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BFFC" w14:textId="77777777" w:rsidR="00B838DF" w:rsidRPr="00EB07BC" w:rsidRDefault="00B838DF">
      <w:pPr>
        <w:rPr>
          <w:sz w:val="32"/>
        </w:rPr>
      </w:pPr>
    </w:p>
    <w:p w14:paraId="280ED84D" w14:textId="77777777" w:rsidR="00B838DF" w:rsidRPr="00EB07BC" w:rsidRDefault="00B838DF">
      <w:pPr>
        <w:rPr>
          <w:sz w:val="32"/>
        </w:rPr>
      </w:pPr>
    </w:p>
    <w:p w14:paraId="5C8CCCD3" w14:textId="77777777" w:rsidR="00B838DF" w:rsidRPr="00EB07BC" w:rsidRDefault="00B838DF">
      <w:pPr>
        <w:rPr>
          <w:sz w:val="32"/>
        </w:rPr>
      </w:pPr>
    </w:p>
    <w:p w14:paraId="209AA61A" w14:textId="733D2710" w:rsidR="00B838DF" w:rsidRPr="00EB07BC" w:rsidRDefault="00B97145">
      <w:pPr>
        <w:jc w:val="center"/>
        <w:rPr>
          <w:sz w:val="32"/>
        </w:rPr>
      </w:pPr>
      <w:r>
        <w:rPr>
          <w:noProof/>
        </w:rPr>
        <w:drawing>
          <wp:inline distT="0" distB="0" distL="0" distR="0" wp14:anchorId="59AE042E" wp14:editId="1189EC5B">
            <wp:extent cx="4343400" cy="574675"/>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4675"/>
                    </a:xfrm>
                    <a:prstGeom prst="rect">
                      <a:avLst/>
                    </a:prstGeom>
                    <a:noFill/>
                    <a:ln>
                      <a:noFill/>
                    </a:ln>
                  </pic:spPr>
                </pic:pic>
              </a:graphicData>
            </a:graphic>
          </wp:inline>
        </w:drawing>
      </w:r>
    </w:p>
    <w:p w14:paraId="67E2F90D" w14:textId="77777777" w:rsidR="00FB4D29" w:rsidRDefault="00FB4D2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09795E1D" w14:textId="77777777" w:rsidR="00FB4D29" w:rsidRDefault="00FB4D2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01C31B7" w14:textId="77777777" w:rsidR="00FB4D29" w:rsidRDefault="00CF4592">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交银施罗德持续成长主题混合型证券投资基金</w:t>
      </w:r>
    </w:p>
    <w:p w14:paraId="24ABEF48" w14:textId="79FB7F33" w:rsidR="00FB4D29" w:rsidRDefault="00CF4592">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730760AA" w14:textId="76295CE2" w:rsidR="00FB4D29" w:rsidRDefault="00CF4592">
      <w:pPr>
        <w:snapToGrid w:val="0"/>
        <w:spacing w:line="360" w:lineRule="auto"/>
        <w:jc w:val="center"/>
        <w:rPr>
          <w:rFonts w:ascii="宋体" w:hAnsi="宋体"/>
          <w:b/>
          <w:sz w:val="30"/>
          <w:szCs w:val="30"/>
        </w:rPr>
      </w:pPr>
      <w:r>
        <w:rPr>
          <w:rFonts w:ascii="Times New Roman" w:hAnsi="Times New Roman"/>
          <w:b/>
          <w:color w:val="000000"/>
          <w:sz w:val="32"/>
          <w:szCs w:val="32"/>
        </w:rPr>
        <w:t>(</w:t>
      </w:r>
      <w:r w:rsidR="00A73108">
        <w:rPr>
          <w:rFonts w:ascii="Times New Roman" w:hAnsi="Times New Roman"/>
          <w:b/>
          <w:color w:val="000000"/>
          <w:sz w:val="32"/>
          <w:szCs w:val="32"/>
        </w:rPr>
        <w:t>202</w:t>
      </w:r>
      <w:r w:rsidR="00F71F93">
        <w:rPr>
          <w:rFonts w:ascii="Times New Roman" w:hAnsi="Times New Roman"/>
          <w:b/>
          <w:color w:val="000000"/>
          <w:sz w:val="32"/>
          <w:szCs w:val="32"/>
        </w:rPr>
        <w:t>3</w:t>
      </w:r>
      <w:r>
        <w:rPr>
          <w:rFonts w:ascii="Times New Roman" w:hAnsi="Times New Roman"/>
          <w:b/>
          <w:color w:val="000000"/>
          <w:sz w:val="32"/>
          <w:szCs w:val="32"/>
        </w:rPr>
        <w:t>年</w:t>
      </w:r>
      <w:r w:rsidR="00057C09">
        <w:rPr>
          <w:rFonts w:ascii="Times New Roman" w:hAnsi="Times New Roman"/>
          <w:b/>
          <w:color w:val="000000"/>
          <w:sz w:val="32"/>
          <w:szCs w:val="32"/>
        </w:rPr>
        <w:t>第</w:t>
      </w:r>
      <w:r w:rsidR="00F71F93">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7D144CD8" w14:textId="77777777" w:rsidR="00FB4D29" w:rsidRDefault="00FB4D2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ED4FAAD" w14:textId="77777777" w:rsidR="00FB4D29" w:rsidRDefault="00FB4D2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BA16A3C" w14:textId="77777777" w:rsidR="00FB4D29" w:rsidRDefault="00FB4D2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A7539CB" w14:textId="77777777" w:rsidR="00FB4D29" w:rsidRDefault="00FB4D2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E36EADA" w14:textId="77777777" w:rsidR="00FB4D29" w:rsidRDefault="00FB4D2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BDC7953" w14:textId="77777777" w:rsidR="00FB4D29" w:rsidRDefault="00FB4D2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4272D9C" w14:textId="77777777" w:rsidR="00FB4D29" w:rsidRDefault="00CF4592">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E0D85F3" w14:textId="77777777" w:rsidR="00FB4D29" w:rsidRDefault="00CF4592">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基金托管人：中国工商银行股份有限公司</w:t>
      </w:r>
    </w:p>
    <w:p w14:paraId="27D891AC" w14:textId="77777777" w:rsidR="00FB4D29" w:rsidRDefault="00FB4D2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A593785" w14:textId="77777777" w:rsidR="00FB4D29" w:rsidRDefault="00FB4D2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BB3C076" w14:textId="6239525C" w:rsidR="00FB4D29" w:rsidRDefault="00CF4592">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F71F93">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F71F93">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月</w:t>
      </w:r>
    </w:p>
    <w:p w14:paraId="09EB2BDD" w14:textId="77777777" w:rsidR="00FB4D29" w:rsidRDefault="00FB4D29">
      <w:pPr>
        <w:autoSpaceDE w:val="0"/>
        <w:autoSpaceDN w:val="0"/>
        <w:adjustRightInd w:val="0"/>
        <w:snapToGrid w:val="0"/>
        <w:spacing w:line="360" w:lineRule="auto"/>
        <w:ind w:left="1347" w:rightChars="6" w:right="13"/>
        <w:rPr>
          <w:rFonts w:ascii="宋体" w:hAnsi="宋体"/>
          <w:kern w:val="0"/>
          <w:sz w:val="32"/>
          <w:szCs w:val="32"/>
        </w:rPr>
        <w:sectPr w:rsidR="00FB4D29">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1DFE6B38" w14:textId="77777777" w:rsidR="00FB4D29" w:rsidRDefault="00CF4592">
      <w:pPr>
        <w:pStyle w:val="1"/>
        <w:snapToGrid w:val="0"/>
        <w:spacing w:beforeLines="0" w:before="240" w:after="240"/>
        <w:rPr>
          <w:rFonts w:ascii="宋体" w:hAnsi="宋体"/>
          <w:kern w:val="0"/>
        </w:rPr>
      </w:pPr>
      <w:bookmarkStart w:id="0" w:name="_Toc324920538"/>
      <w:bookmarkStart w:id="1" w:name="_Toc496884613"/>
      <w:bookmarkStart w:id="2" w:name="_Toc107476019"/>
      <w:r>
        <w:rPr>
          <w:rFonts w:ascii="Times New Roman" w:hAnsi="Times New Roman"/>
          <w:kern w:val="0"/>
        </w:rPr>
        <w:lastRenderedPageBreak/>
        <w:t>重要提示</w:t>
      </w:r>
      <w:bookmarkEnd w:id="0"/>
      <w:bookmarkEnd w:id="1"/>
      <w:bookmarkEnd w:id="2"/>
    </w:p>
    <w:p w14:paraId="44640415" w14:textId="77777777" w:rsidR="00FB4D29" w:rsidRDefault="00CF459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交银施罗德持续成长主题混合型证券投资基金（以下简称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2017</w:t>
      </w:r>
      <w:r>
        <w:rPr>
          <w:rFonts w:ascii="Times New Roman" w:hAnsi="Times New Roman"/>
          <w:kern w:val="0"/>
          <w:sz w:val="24"/>
        </w:rPr>
        <w:t>年</w:t>
      </w:r>
      <w:r>
        <w:rPr>
          <w:rFonts w:ascii="Times New Roman" w:hAnsi="Times New Roman"/>
          <w:kern w:val="0"/>
          <w:sz w:val="24"/>
        </w:rPr>
        <w:t>7</w:t>
      </w:r>
      <w:r>
        <w:rPr>
          <w:rFonts w:ascii="Times New Roman" w:hAnsi="Times New Roman"/>
          <w:kern w:val="0"/>
          <w:sz w:val="24"/>
        </w:rPr>
        <w:t>月</w:t>
      </w:r>
      <w:r>
        <w:rPr>
          <w:rFonts w:ascii="Times New Roman" w:hAnsi="Times New Roman"/>
          <w:kern w:val="0"/>
          <w:sz w:val="24"/>
        </w:rPr>
        <w:t>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2017</w:t>
      </w:r>
      <w:r>
        <w:rPr>
          <w:rFonts w:ascii="Times New Roman" w:hAnsi="Times New Roman"/>
          <w:kern w:val="0"/>
          <w:sz w:val="24"/>
        </w:rPr>
        <w:t>】</w:t>
      </w:r>
      <w:r>
        <w:rPr>
          <w:rFonts w:ascii="Times New Roman" w:hAnsi="Times New Roman"/>
          <w:kern w:val="0"/>
          <w:sz w:val="24"/>
        </w:rPr>
        <w:t>1156</w:t>
      </w:r>
      <w:r>
        <w:rPr>
          <w:rFonts w:ascii="Times New Roman" w:hAnsi="Times New Roman"/>
          <w:kern w:val="0"/>
          <w:sz w:val="24"/>
        </w:rPr>
        <w:t>号文准予募集注册。本基金基金合同于</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12</w:t>
      </w:r>
      <w:r>
        <w:rPr>
          <w:rFonts w:ascii="Times New Roman" w:hAnsi="Times New Roman"/>
          <w:kern w:val="0"/>
          <w:sz w:val="24"/>
        </w:rPr>
        <w:t>日正式生效。</w:t>
      </w:r>
    </w:p>
    <w:p w14:paraId="4BFD7112" w14:textId="6B817C13" w:rsidR="00B45E91" w:rsidRPr="00B45E91" w:rsidRDefault="00B45E91">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45E91">
        <w:rPr>
          <w:rFonts w:ascii="Times New Roman" w:hAnsi="Times New Roman" w:hint="eastAsia"/>
          <w:kern w:val="0"/>
          <w:sz w:val="24"/>
        </w:rPr>
        <w:t>本基金经</w:t>
      </w:r>
      <w:r w:rsidR="004B4674" w:rsidRPr="00B45E91">
        <w:rPr>
          <w:rFonts w:ascii="Times New Roman" w:hAnsi="Times New Roman" w:hint="eastAsia"/>
          <w:kern w:val="0"/>
          <w:sz w:val="24"/>
        </w:rPr>
        <w:t>202</w:t>
      </w:r>
      <w:r w:rsidR="00BF759E">
        <w:rPr>
          <w:rFonts w:ascii="Times New Roman" w:hAnsi="Times New Roman"/>
          <w:kern w:val="0"/>
          <w:sz w:val="24"/>
        </w:rPr>
        <w:t>2</w:t>
      </w:r>
      <w:r w:rsidRPr="00B45E91">
        <w:rPr>
          <w:rFonts w:ascii="Times New Roman" w:hAnsi="Times New Roman" w:hint="eastAsia"/>
          <w:kern w:val="0"/>
          <w:sz w:val="24"/>
        </w:rPr>
        <w:t>年</w:t>
      </w:r>
      <w:r w:rsidR="004B4674">
        <w:rPr>
          <w:rFonts w:ascii="Times New Roman" w:hAnsi="Times New Roman"/>
          <w:kern w:val="0"/>
          <w:sz w:val="24"/>
        </w:rPr>
        <w:t>10</w:t>
      </w:r>
      <w:r w:rsidRPr="00B45E91">
        <w:rPr>
          <w:rFonts w:ascii="Times New Roman" w:hAnsi="Times New Roman" w:hint="eastAsia"/>
          <w:kern w:val="0"/>
          <w:sz w:val="24"/>
        </w:rPr>
        <w:t>月</w:t>
      </w:r>
      <w:r w:rsidR="004B4674">
        <w:rPr>
          <w:rFonts w:ascii="Times New Roman" w:hAnsi="Times New Roman"/>
          <w:kern w:val="0"/>
          <w:sz w:val="24"/>
        </w:rPr>
        <w:t>13</w:t>
      </w:r>
      <w:r w:rsidRPr="00B45E91">
        <w:rPr>
          <w:rFonts w:ascii="Times New Roman" w:hAnsi="Times New Roman" w:hint="eastAsia"/>
          <w:kern w:val="0"/>
          <w:sz w:val="24"/>
        </w:rPr>
        <w:t>日中国证监会证监许可【</w:t>
      </w:r>
      <w:r w:rsidR="004B4674" w:rsidRPr="00B45E91">
        <w:rPr>
          <w:rFonts w:ascii="Times New Roman" w:hAnsi="Times New Roman" w:hint="eastAsia"/>
          <w:kern w:val="0"/>
          <w:sz w:val="24"/>
        </w:rPr>
        <w:t>202</w:t>
      </w:r>
      <w:r w:rsidR="004B4674">
        <w:rPr>
          <w:rFonts w:ascii="Times New Roman" w:hAnsi="Times New Roman"/>
          <w:kern w:val="0"/>
          <w:sz w:val="24"/>
        </w:rPr>
        <w:t>2</w:t>
      </w:r>
      <w:r w:rsidRPr="00B45E91">
        <w:rPr>
          <w:rFonts w:ascii="Times New Roman" w:hAnsi="Times New Roman" w:hint="eastAsia"/>
          <w:kern w:val="0"/>
          <w:sz w:val="24"/>
        </w:rPr>
        <w:t>】</w:t>
      </w:r>
      <w:r w:rsidR="004B4674">
        <w:rPr>
          <w:rFonts w:ascii="Times New Roman" w:hAnsi="Times New Roman"/>
          <w:kern w:val="0"/>
          <w:sz w:val="24"/>
        </w:rPr>
        <w:t>2464</w:t>
      </w:r>
      <w:r w:rsidRPr="00B45E91">
        <w:rPr>
          <w:rFonts w:ascii="Times New Roman" w:hAnsi="Times New Roman" w:hint="eastAsia"/>
          <w:kern w:val="0"/>
          <w:sz w:val="24"/>
        </w:rPr>
        <w:t>号文准予变更注册。</w:t>
      </w:r>
      <w:r>
        <w:rPr>
          <w:rFonts w:ascii="Times New Roman" w:hAnsi="Times New Roman"/>
          <w:kern w:val="0"/>
          <w:sz w:val="24"/>
        </w:rPr>
        <w:t>交银施罗德持续成长主题混合型证券投资基金</w:t>
      </w:r>
      <w:r w:rsidRPr="00B45E91">
        <w:rPr>
          <w:rFonts w:ascii="Times New Roman" w:hAnsi="Times New Roman" w:hint="eastAsia"/>
          <w:kern w:val="0"/>
          <w:sz w:val="24"/>
        </w:rPr>
        <w:t>以通讯方式召开基金份额持有人大会，大会于</w:t>
      </w:r>
      <w:r w:rsidRPr="00B45E91">
        <w:rPr>
          <w:rFonts w:ascii="Times New Roman" w:hAnsi="Times New Roman" w:hint="eastAsia"/>
          <w:kern w:val="0"/>
          <w:sz w:val="24"/>
        </w:rPr>
        <w:t>202</w:t>
      </w:r>
      <w:r w:rsidR="008A7725">
        <w:rPr>
          <w:rFonts w:ascii="Times New Roman" w:hAnsi="Times New Roman"/>
          <w:kern w:val="0"/>
          <w:sz w:val="24"/>
        </w:rPr>
        <w:t>3</w:t>
      </w:r>
      <w:r w:rsidRPr="00B45E91">
        <w:rPr>
          <w:rFonts w:ascii="Times New Roman" w:hAnsi="Times New Roman" w:hint="eastAsia"/>
          <w:kern w:val="0"/>
          <w:sz w:val="24"/>
        </w:rPr>
        <w:t>年</w:t>
      </w:r>
      <w:r w:rsidR="008A7725">
        <w:rPr>
          <w:rFonts w:ascii="Times New Roman" w:hAnsi="Times New Roman" w:hint="eastAsia"/>
          <w:kern w:val="0"/>
          <w:sz w:val="24"/>
        </w:rPr>
        <w:t>3</w:t>
      </w:r>
      <w:r w:rsidRPr="00B45E91">
        <w:rPr>
          <w:rFonts w:ascii="Times New Roman" w:hAnsi="Times New Roman" w:hint="eastAsia"/>
          <w:kern w:val="0"/>
          <w:sz w:val="24"/>
        </w:rPr>
        <w:t>月</w:t>
      </w:r>
      <w:r w:rsidR="008A7725">
        <w:rPr>
          <w:rFonts w:ascii="Times New Roman" w:hAnsi="Times New Roman"/>
          <w:kern w:val="0"/>
          <w:sz w:val="24"/>
        </w:rPr>
        <w:t>28</w:t>
      </w:r>
      <w:r w:rsidRPr="00B45E91">
        <w:rPr>
          <w:rFonts w:ascii="Times New Roman" w:hAnsi="Times New Roman" w:hint="eastAsia"/>
          <w:kern w:val="0"/>
          <w:sz w:val="24"/>
        </w:rPr>
        <w:t>日表决通过了</w:t>
      </w:r>
      <w:r w:rsidRPr="00563CCD">
        <w:rPr>
          <w:rFonts w:hAnsi="宋体" w:hint="eastAsia"/>
          <w:kern w:val="0"/>
          <w:sz w:val="24"/>
        </w:rPr>
        <w:t>《关于</w:t>
      </w:r>
      <w:r>
        <w:rPr>
          <w:rFonts w:ascii="Times New Roman" w:hAnsi="Times New Roman"/>
          <w:kern w:val="0"/>
          <w:sz w:val="24"/>
        </w:rPr>
        <w:t>交银施罗德持续成长主题混合型证券投资基金</w:t>
      </w:r>
      <w:r w:rsidRPr="00563CCD">
        <w:rPr>
          <w:rFonts w:hAnsi="宋体" w:hint="eastAsia"/>
          <w:kern w:val="0"/>
          <w:sz w:val="24"/>
        </w:rPr>
        <w:t>调整投资范围及修改基金合同有关事项的议案》</w:t>
      </w:r>
      <w:r>
        <w:rPr>
          <w:rFonts w:ascii="Times New Roman" w:hAnsi="Times New Roman" w:hint="eastAsia"/>
          <w:kern w:val="0"/>
          <w:sz w:val="24"/>
        </w:rPr>
        <w:t>，</w:t>
      </w:r>
      <w:r w:rsidRPr="00B45E91">
        <w:rPr>
          <w:rFonts w:ascii="Times New Roman" w:hAnsi="Times New Roman" w:hint="eastAsia"/>
          <w:kern w:val="0"/>
          <w:sz w:val="24"/>
        </w:rPr>
        <w:t>同意在交银施罗德持续成长主题混合型证券投资基金投资范围中增加港股通标的股票</w:t>
      </w:r>
      <w:r w:rsidR="005467B3" w:rsidRPr="005467B3">
        <w:rPr>
          <w:rFonts w:ascii="Times New Roman" w:hAnsi="Times New Roman" w:hint="eastAsia"/>
          <w:kern w:val="0"/>
          <w:sz w:val="24"/>
        </w:rPr>
        <w:t>、删除权证和中小板</w:t>
      </w:r>
      <w:r w:rsidR="00E25A3E" w:rsidRPr="00E25A3E">
        <w:rPr>
          <w:rFonts w:ascii="Times New Roman" w:hAnsi="Times New Roman" w:hint="eastAsia"/>
          <w:kern w:val="0"/>
          <w:sz w:val="24"/>
        </w:rPr>
        <w:t>，相应调整投资策略、业绩比较基准、投资比例限制、估值方法等内容，增加基金合同自动终止条款、增加</w:t>
      </w:r>
      <w:r w:rsidR="00E25A3E" w:rsidRPr="00E25A3E">
        <w:rPr>
          <w:rFonts w:ascii="Times New Roman" w:hAnsi="Times New Roman" w:hint="eastAsia"/>
          <w:kern w:val="0"/>
          <w:sz w:val="24"/>
        </w:rPr>
        <w:t>C</w:t>
      </w:r>
      <w:r w:rsidR="00E25A3E" w:rsidRPr="00E25A3E">
        <w:rPr>
          <w:rFonts w:ascii="Times New Roman" w:hAnsi="Times New Roman" w:hint="eastAsia"/>
          <w:kern w:val="0"/>
          <w:sz w:val="24"/>
        </w:rPr>
        <w:t>类基金份额、增加侧袋机制相关表述，并修改基金合同中根据上述调整需要同步进行修订的其他部分条款，以及按照最新的法律法规及中国证监会要求修改的内容。</w:t>
      </w:r>
      <w:r w:rsidRPr="00B45E91">
        <w:rPr>
          <w:rFonts w:ascii="Times New Roman" w:hAnsi="Times New Roman" w:hint="eastAsia"/>
          <w:kern w:val="0"/>
          <w:sz w:val="24"/>
        </w:rPr>
        <w:t>上述基金份额持有人大会决议事项自表决通过之日起生效。</w:t>
      </w:r>
    </w:p>
    <w:p w14:paraId="54E79867" w14:textId="77777777" w:rsidR="00FB4D29" w:rsidRDefault="00CF459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53CE9197" w14:textId="77777777" w:rsidR="00FB4D29" w:rsidRDefault="00CF459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6B43675" w14:textId="070BA5FB" w:rsidR="00FB4D29" w:rsidRDefault="00CF459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w:t>
      </w:r>
      <w:r w:rsidR="00A7492B" w:rsidRPr="00201B8C">
        <w:rPr>
          <w:rFonts w:hint="eastAsia"/>
          <w:kern w:val="0"/>
          <w:sz w:val="24"/>
        </w:rPr>
        <w:t>（包括实施侧袋机制时的特定风险）</w:t>
      </w:r>
      <w:r>
        <w:rPr>
          <w:rFonts w:ascii="Times New Roman" w:hAnsi="Times New Roman"/>
          <w:kern w:val="0"/>
          <w:sz w:val="24"/>
        </w:rPr>
        <w:t>；基金在交易过程中发生交收违约等而导致的信用风险；本基金投资策</w:t>
      </w:r>
      <w:r>
        <w:rPr>
          <w:rFonts w:ascii="Times New Roman" w:hAnsi="Times New Roman"/>
          <w:kern w:val="0"/>
          <w:sz w:val="24"/>
        </w:rPr>
        <w:lastRenderedPageBreak/>
        <w:t>略所特有的风险；投资股指期货的特定风险；投资资产支持证券的特定风险；投资流通受限证券的特定风险；投资科创板股票的特定风险；投资本基金特有的其他风险等等。</w:t>
      </w:r>
    </w:p>
    <w:p w14:paraId="3A99EFDC" w14:textId="2149DF38" w:rsidR="00FB4D29" w:rsidRDefault="00CF459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w:t>
      </w:r>
      <w:r w:rsidR="009A6AB2">
        <w:rPr>
          <w:rFonts w:ascii="Times New Roman" w:hAnsi="Times New Roman" w:hint="eastAsia"/>
          <w:kern w:val="0"/>
          <w:sz w:val="24"/>
        </w:rPr>
        <w:t>预期</w:t>
      </w:r>
      <w:r>
        <w:rPr>
          <w:rFonts w:ascii="Times New Roman" w:hAnsi="Times New Roman"/>
          <w:kern w:val="0"/>
          <w:sz w:val="24"/>
        </w:rPr>
        <w:t>风险和预期收益</w:t>
      </w:r>
      <w:r w:rsidR="00896AD9">
        <w:rPr>
          <w:rFonts w:ascii="Times New Roman" w:hAnsi="Times New Roman" w:hint="eastAsia"/>
          <w:kern w:val="0"/>
          <w:sz w:val="24"/>
        </w:rPr>
        <w:t>理论上</w:t>
      </w:r>
      <w:r>
        <w:rPr>
          <w:rFonts w:ascii="Times New Roman" w:hAnsi="Times New Roman"/>
          <w:kern w:val="0"/>
          <w:sz w:val="24"/>
        </w:rPr>
        <w:t>高于债券型基金和货币市场基金，低于股票型基金。</w:t>
      </w:r>
    </w:p>
    <w:p w14:paraId="35DCD677" w14:textId="77777777" w:rsidR="00FB25E6" w:rsidRDefault="00FB25E6" w:rsidP="00FB25E6">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B25E6">
        <w:rPr>
          <w:rFonts w:ascii="Times New Roman" w:hAnsi="Times New Roman"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444FEBA5" w14:textId="7E7C54FE" w:rsidR="00FB25E6" w:rsidRPr="00FB25E6" w:rsidRDefault="00FB25E6" w:rsidP="00FB25E6">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B25E6">
        <w:rPr>
          <w:rFonts w:ascii="Times New Roman" w:hAnsi="Times New Roman" w:hint="eastAsia"/>
          <w:kern w:val="0"/>
          <w:sz w:val="24"/>
        </w:rPr>
        <w:t>本基金可投资资产支持证券，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23D68CB4" w14:textId="77777777" w:rsidR="00FB25E6" w:rsidRDefault="00FB25E6">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B25E6">
        <w:rPr>
          <w:rFonts w:ascii="Times New Roman" w:hAnsi="Times New Roman"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024CA06" w14:textId="60E4D06C" w:rsidR="00FB4D29" w:rsidRDefault="00CF459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5E6710B5" w14:textId="77777777" w:rsidR="00FB4D29" w:rsidRDefault="00CF4592">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32F8E95D" w14:textId="1E501756" w:rsidR="001F3E2C" w:rsidRDefault="001F3E2C">
      <w:pPr>
        <w:autoSpaceDE w:val="0"/>
        <w:autoSpaceDN w:val="0"/>
        <w:adjustRightInd w:val="0"/>
        <w:snapToGrid w:val="0"/>
        <w:spacing w:line="360" w:lineRule="auto"/>
        <w:ind w:leftChars="50" w:left="105" w:firstLineChars="200" w:firstLine="480"/>
        <w:rPr>
          <w:rFonts w:ascii="宋体" w:hAnsi="宋体"/>
          <w:kern w:val="0"/>
          <w:sz w:val="24"/>
        </w:rPr>
      </w:pPr>
      <w:r w:rsidRPr="001F3E2C">
        <w:rPr>
          <w:rFonts w:ascii="宋体" w:hAnsi="宋体"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w:t>
      </w:r>
      <w:r w:rsidRPr="001F3E2C">
        <w:rPr>
          <w:rFonts w:ascii="宋体" w:hAnsi="宋体" w:hint="eastAsia"/>
          <w:kern w:val="0"/>
          <w:sz w:val="24"/>
        </w:rPr>
        <w:lastRenderedPageBreak/>
        <w:t>形下，港股通不能正常交易，港股不能及时卖出，可能带来一定的流动性风险）等。具体风险请查阅本基金招募说明书“风险揭示”章节的具体内容。</w:t>
      </w:r>
    </w:p>
    <w:p w14:paraId="019BF505" w14:textId="1D21796C" w:rsidR="005073E2" w:rsidRPr="001F3E2C" w:rsidRDefault="005073E2">
      <w:pPr>
        <w:autoSpaceDE w:val="0"/>
        <w:autoSpaceDN w:val="0"/>
        <w:adjustRightInd w:val="0"/>
        <w:snapToGrid w:val="0"/>
        <w:spacing w:line="360" w:lineRule="auto"/>
        <w:ind w:leftChars="50" w:left="105" w:firstLineChars="200" w:firstLine="480"/>
        <w:rPr>
          <w:rFonts w:ascii="宋体" w:hAnsi="宋体"/>
          <w:kern w:val="0"/>
          <w:sz w:val="24"/>
        </w:rPr>
      </w:pPr>
      <w:r w:rsidRPr="005073E2">
        <w:rPr>
          <w:rFonts w:ascii="宋体" w:hAnsi="宋体" w:hint="eastAsia"/>
          <w:kern w:val="0"/>
          <w:sz w:val="24"/>
        </w:rPr>
        <w:t>基金可根据投资策略需要或不同配置地市场环境的变化，选择将部分基金资产投资于港股或选择不将基金资产投资于港股，基金资产并非必然投资港股。</w:t>
      </w:r>
    </w:p>
    <w:p w14:paraId="588DADCE" w14:textId="77777777" w:rsidR="00FB25E6" w:rsidRDefault="00FB25E6" w:rsidP="00FB25E6">
      <w:pPr>
        <w:autoSpaceDE w:val="0"/>
        <w:autoSpaceDN w:val="0"/>
        <w:adjustRightInd w:val="0"/>
        <w:snapToGrid w:val="0"/>
        <w:spacing w:line="360" w:lineRule="auto"/>
        <w:ind w:leftChars="50" w:left="105" w:firstLineChars="200" w:firstLine="480"/>
        <w:rPr>
          <w:rFonts w:ascii="宋体" w:hAnsi="宋体"/>
          <w:kern w:val="0"/>
          <w:sz w:val="24"/>
        </w:rPr>
      </w:pPr>
      <w:r w:rsidRPr="00114F56">
        <w:rPr>
          <w:rFonts w:ascii="宋体" w:hAnsi="宋体" w:hint="eastAsia"/>
          <w:bCs/>
          <w:sz w:val="24"/>
        </w:rPr>
        <w:t>《基金合同》生效后，</w:t>
      </w:r>
      <w:r w:rsidRPr="0017051B">
        <w:rPr>
          <w:rFonts w:ascii="宋体" w:hAnsi="宋体" w:hint="eastAsia"/>
          <w:sz w:val="24"/>
        </w:rPr>
        <w:t>连续50个工作日出现基金份额持有人数量不满200人或者基金资产净值低于5000万元情形的，基金合同终止，不需召开基金份额持有人大会</w:t>
      </w:r>
      <w:r>
        <w:rPr>
          <w:rFonts w:ascii="宋体" w:hAnsi="宋体" w:hint="eastAsia"/>
          <w:sz w:val="24"/>
        </w:rPr>
        <w:t>。基金份额持有人可能面临</w:t>
      </w:r>
      <w:r w:rsidRPr="00C01711">
        <w:rPr>
          <w:rFonts w:ascii="宋体" w:hAnsi="宋体" w:hint="eastAsia"/>
          <w:sz w:val="24"/>
        </w:rPr>
        <w:t>基金合同提前终止</w:t>
      </w:r>
      <w:r>
        <w:rPr>
          <w:rFonts w:ascii="宋体" w:hAnsi="宋体" w:hint="eastAsia"/>
          <w:sz w:val="24"/>
        </w:rPr>
        <w:t>的</w:t>
      </w:r>
      <w:r w:rsidRPr="00C01711">
        <w:rPr>
          <w:rFonts w:ascii="宋体" w:hAnsi="宋体" w:hint="eastAsia"/>
          <w:sz w:val="24"/>
        </w:rPr>
        <w:t>风险</w:t>
      </w:r>
      <w:r w:rsidRPr="00114F56">
        <w:rPr>
          <w:rFonts w:ascii="宋体" w:hAnsi="宋体" w:hint="eastAsia"/>
          <w:sz w:val="24"/>
        </w:rPr>
        <w:t>。</w:t>
      </w:r>
    </w:p>
    <w:p w14:paraId="2E19194E" w14:textId="77777777" w:rsidR="00FB25E6" w:rsidRDefault="00FB25E6" w:rsidP="00FB25E6">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121D670F" w14:textId="0D456345" w:rsidR="00FB4D29" w:rsidRDefault="00CF4592">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0D076EDD" w14:textId="3BC40934" w:rsidR="00FB4D29" w:rsidRDefault="001F3E2C">
      <w:pPr>
        <w:autoSpaceDE w:val="0"/>
        <w:autoSpaceDN w:val="0"/>
        <w:adjustRightInd w:val="0"/>
        <w:snapToGrid w:val="0"/>
        <w:spacing w:line="360" w:lineRule="auto"/>
        <w:ind w:leftChars="50" w:left="105" w:firstLineChars="200" w:firstLine="480"/>
        <w:rPr>
          <w:rFonts w:ascii="宋体" w:hAnsi="宋体"/>
          <w:kern w:val="0"/>
          <w:sz w:val="24"/>
        </w:rPr>
      </w:pPr>
      <w:r w:rsidRPr="001F3E2C">
        <w:rPr>
          <w:rFonts w:ascii="Times New Roman" w:hAnsi="Times New Roman" w:hint="eastAsia"/>
          <w:kern w:val="0"/>
          <w:sz w:val="24"/>
        </w:rPr>
        <w:t>本基金本次更新招募说明书对基金合同变更的相关信息进行更新，基金合同变更相关信息截止日为</w:t>
      </w:r>
      <w:r w:rsidRPr="001F3E2C">
        <w:rPr>
          <w:rFonts w:ascii="Times New Roman" w:hAnsi="Times New Roman" w:hint="eastAsia"/>
          <w:kern w:val="0"/>
          <w:sz w:val="24"/>
        </w:rPr>
        <w:t xml:space="preserve"> 202</w:t>
      </w:r>
      <w:r w:rsidR="00EC19FF">
        <w:rPr>
          <w:rFonts w:ascii="Times New Roman" w:hAnsi="Times New Roman"/>
          <w:kern w:val="0"/>
          <w:sz w:val="24"/>
        </w:rPr>
        <w:t>3</w:t>
      </w:r>
      <w:r w:rsidRPr="001F3E2C">
        <w:rPr>
          <w:rFonts w:ascii="Times New Roman" w:hAnsi="Times New Roman" w:hint="eastAsia"/>
          <w:kern w:val="0"/>
          <w:sz w:val="24"/>
        </w:rPr>
        <w:t>年</w:t>
      </w:r>
      <w:r w:rsidR="00EC19FF">
        <w:rPr>
          <w:rFonts w:ascii="Times New Roman" w:hAnsi="Times New Roman"/>
          <w:kern w:val="0"/>
          <w:sz w:val="24"/>
        </w:rPr>
        <w:t>3</w:t>
      </w:r>
      <w:r w:rsidRPr="001F3E2C">
        <w:rPr>
          <w:rFonts w:ascii="Times New Roman" w:hAnsi="Times New Roman" w:hint="eastAsia"/>
          <w:kern w:val="0"/>
          <w:sz w:val="24"/>
        </w:rPr>
        <w:t>月</w:t>
      </w:r>
      <w:r w:rsidR="00EC19FF">
        <w:rPr>
          <w:rFonts w:ascii="Times New Roman" w:hAnsi="Times New Roman"/>
          <w:kern w:val="0"/>
          <w:sz w:val="24"/>
        </w:rPr>
        <w:t>29</w:t>
      </w:r>
      <w:r w:rsidRPr="001F3E2C">
        <w:rPr>
          <w:rFonts w:ascii="Times New Roman" w:hAnsi="Times New Roman" w:hint="eastAsia"/>
          <w:kern w:val="0"/>
          <w:sz w:val="24"/>
        </w:rPr>
        <w:t>日。</w:t>
      </w:r>
      <w:r>
        <w:rPr>
          <w:rFonts w:hint="eastAsia"/>
          <w:iCs/>
          <w:kern w:val="0"/>
          <w:sz w:val="24"/>
        </w:rPr>
        <w:t>除非另有说明，</w:t>
      </w:r>
      <w:r w:rsidR="00CF4592">
        <w:rPr>
          <w:rFonts w:ascii="Times New Roman" w:hAnsi="Times New Roman"/>
          <w:kern w:val="0"/>
          <w:sz w:val="24"/>
        </w:rPr>
        <w:t>本招募说明书所载内容截止日为</w:t>
      </w:r>
      <w:r w:rsidR="00CF4592">
        <w:rPr>
          <w:rFonts w:ascii="Times New Roman" w:hAnsi="Times New Roman"/>
          <w:kern w:val="0"/>
          <w:sz w:val="24"/>
        </w:rPr>
        <w:t>2022</w:t>
      </w:r>
      <w:r w:rsidR="00CF4592">
        <w:rPr>
          <w:rFonts w:ascii="Times New Roman" w:hAnsi="Times New Roman"/>
          <w:kern w:val="0"/>
          <w:sz w:val="24"/>
        </w:rPr>
        <w:t>年</w:t>
      </w:r>
      <w:r w:rsidR="00CF4592">
        <w:rPr>
          <w:rFonts w:ascii="Times New Roman" w:hAnsi="Times New Roman"/>
          <w:kern w:val="0"/>
          <w:sz w:val="24"/>
        </w:rPr>
        <w:t>05</w:t>
      </w:r>
      <w:r w:rsidR="00CF4592">
        <w:rPr>
          <w:rFonts w:ascii="Times New Roman" w:hAnsi="Times New Roman"/>
          <w:kern w:val="0"/>
          <w:sz w:val="24"/>
        </w:rPr>
        <w:t>月</w:t>
      </w:r>
      <w:r w:rsidR="00CF4592">
        <w:rPr>
          <w:rFonts w:ascii="Times New Roman" w:hAnsi="Times New Roman"/>
          <w:kern w:val="0"/>
          <w:sz w:val="24"/>
        </w:rPr>
        <w:t>27</w:t>
      </w:r>
      <w:r w:rsidR="00CF4592">
        <w:rPr>
          <w:rFonts w:ascii="Times New Roman" w:hAnsi="Times New Roman"/>
          <w:kern w:val="0"/>
          <w:sz w:val="24"/>
        </w:rPr>
        <w:t>日，有关财务数据和净值表现截止日为</w:t>
      </w:r>
      <w:r w:rsidR="00CF4592">
        <w:rPr>
          <w:rFonts w:ascii="Times New Roman" w:hAnsi="Times New Roman"/>
          <w:kern w:val="0"/>
          <w:sz w:val="24"/>
        </w:rPr>
        <w:t>2022</w:t>
      </w:r>
      <w:r w:rsidR="00CF4592">
        <w:rPr>
          <w:rFonts w:ascii="Times New Roman" w:hAnsi="Times New Roman"/>
          <w:kern w:val="0"/>
          <w:sz w:val="24"/>
        </w:rPr>
        <w:t>年</w:t>
      </w:r>
      <w:r w:rsidR="00CF4592">
        <w:rPr>
          <w:rFonts w:ascii="Times New Roman" w:hAnsi="Times New Roman"/>
          <w:kern w:val="0"/>
          <w:sz w:val="24"/>
        </w:rPr>
        <w:t>03</w:t>
      </w:r>
      <w:r w:rsidR="00CF4592">
        <w:rPr>
          <w:rFonts w:ascii="Times New Roman" w:hAnsi="Times New Roman"/>
          <w:kern w:val="0"/>
          <w:sz w:val="24"/>
        </w:rPr>
        <w:t>月</w:t>
      </w:r>
      <w:r w:rsidR="00CF4592">
        <w:rPr>
          <w:rFonts w:ascii="Times New Roman" w:hAnsi="Times New Roman"/>
          <w:kern w:val="0"/>
          <w:sz w:val="24"/>
        </w:rPr>
        <w:t>31</w:t>
      </w:r>
      <w:r w:rsidR="00CF4592">
        <w:rPr>
          <w:rFonts w:ascii="Times New Roman" w:hAnsi="Times New Roman"/>
          <w:kern w:val="0"/>
          <w:sz w:val="24"/>
        </w:rPr>
        <w:t>日。本招募说明书所载的财务数据未经审计。</w:t>
      </w:r>
    </w:p>
    <w:p w14:paraId="7134C18A" w14:textId="77777777" w:rsidR="00FB4D29" w:rsidRDefault="00FB4D29">
      <w:pPr>
        <w:autoSpaceDE w:val="0"/>
        <w:autoSpaceDN w:val="0"/>
        <w:adjustRightInd w:val="0"/>
        <w:snapToGrid w:val="0"/>
        <w:spacing w:before="51" w:line="360" w:lineRule="auto"/>
        <w:ind w:left="120" w:rightChars="6" w:right="13" w:firstLine="480"/>
        <w:rPr>
          <w:rFonts w:ascii="宋体" w:hAnsi="宋体"/>
          <w:kern w:val="0"/>
          <w:szCs w:val="24"/>
        </w:rPr>
        <w:sectPr w:rsidR="00FB4D29">
          <w:headerReference w:type="default" r:id="rId13"/>
          <w:pgSz w:w="11920" w:h="16840"/>
          <w:pgMar w:top="1440" w:right="1680" w:bottom="280" w:left="1680" w:header="0" w:footer="1073" w:gutter="0"/>
          <w:pgNumType w:start="1"/>
          <w:cols w:space="720"/>
        </w:sectPr>
      </w:pPr>
    </w:p>
    <w:p w14:paraId="368CB0A9" w14:textId="77777777" w:rsidR="008C5B3C" w:rsidRPr="00F82365" w:rsidRDefault="00CF4592" w:rsidP="00F82365">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F82365">
        <w:rPr>
          <w:rFonts w:ascii="宋体" w:hAnsi="宋体"/>
          <w:b/>
          <w:bCs/>
          <w:color w:val="000000"/>
          <w:kern w:val="0"/>
          <w:position w:val="-4"/>
          <w:sz w:val="24"/>
          <w:szCs w:val="30"/>
        </w:rPr>
        <w:lastRenderedPageBreak/>
        <w:t>目</w:t>
      </w:r>
      <w:r w:rsidRPr="00F82365">
        <w:rPr>
          <w:rFonts w:ascii="宋体" w:hAnsi="宋体"/>
          <w:b/>
          <w:bCs/>
          <w:color w:val="000000"/>
          <w:kern w:val="0"/>
          <w:position w:val="-4"/>
          <w:sz w:val="24"/>
          <w:szCs w:val="30"/>
        </w:rPr>
        <w:tab/>
        <w:t>录</w:t>
      </w:r>
    </w:p>
    <w:p w14:paraId="3F087AFB" w14:textId="1EC25C10" w:rsidR="008C5B3C" w:rsidRPr="00F82365" w:rsidRDefault="00D4333C" w:rsidP="00F82365">
      <w:pPr>
        <w:pStyle w:val="11"/>
        <w:tabs>
          <w:tab w:val="right" w:leader="dot" w:pos="8550"/>
        </w:tabs>
        <w:spacing w:line="360" w:lineRule="auto"/>
        <w:rPr>
          <w:rStyle w:val="af0"/>
          <w:rFonts w:ascii="宋体" w:hAnsi="宋体"/>
          <w:noProof/>
          <w:kern w:val="0"/>
          <w:sz w:val="24"/>
        </w:rPr>
      </w:pPr>
      <w:r w:rsidRPr="00F82365">
        <w:rPr>
          <w:rStyle w:val="af0"/>
          <w:noProof/>
          <w:kern w:val="0"/>
        </w:rPr>
        <w:fldChar w:fldCharType="begin"/>
      </w:r>
      <w:r w:rsidRPr="00F82365">
        <w:rPr>
          <w:rStyle w:val="af0"/>
          <w:noProof/>
          <w:kern w:val="0"/>
        </w:rPr>
        <w:instrText xml:space="preserve"> TOC \o "1-3" \f - \h \t "-1" </w:instrText>
      </w:r>
      <w:r w:rsidRPr="00F82365">
        <w:rPr>
          <w:rStyle w:val="af0"/>
          <w:noProof/>
        </w:rPr>
        <w:fldChar w:fldCharType="separate"/>
      </w:r>
      <w:hyperlink w:anchor="_Toc107476019" w:history="1">
        <w:r w:rsidR="008C5B3C" w:rsidRPr="00F82365">
          <w:rPr>
            <w:rStyle w:val="af0"/>
            <w:rFonts w:ascii="宋体" w:hAnsi="宋体" w:hint="eastAsia"/>
            <w:noProof/>
            <w:kern w:val="0"/>
            <w:sz w:val="24"/>
          </w:rPr>
          <w:t>重要提示</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_Toc107476019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w:t>
        </w:r>
        <w:r w:rsidR="008C5B3C" w:rsidRPr="00F82365">
          <w:rPr>
            <w:rStyle w:val="af0"/>
            <w:rFonts w:ascii="宋体" w:hAnsi="宋体"/>
            <w:noProof/>
            <w:kern w:val="0"/>
            <w:sz w:val="24"/>
          </w:rPr>
          <w:fldChar w:fldCharType="end"/>
        </w:r>
      </w:hyperlink>
    </w:p>
    <w:p w14:paraId="4362B685" w14:textId="188D9E0D"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20" w:history="1">
        <w:r w:rsidR="008C5B3C" w:rsidRPr="00F82365">
          <w:rPr>
            <w:rStyle w:val="af0"/>
            <w:rFonts w:ascii="宋体" w:hAnsi="宋体" w:hint="eastAsia"/>
            <w:noProof/>
            <w:kern w:val="0"/>
            <w:sz w:val="24"/>
          </w:rPr>
          <w:t>一、绪言</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_Toc107476020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5</w:t>
        </w:r>
        <w:r w:rsidR="008C5B3C" w:rsidRPr="00F82365">
          <w:rPr>
            <w:rStyle w:val="af0"/>
            <w:rFonts w:ascii="宋体" w:hAnsi="宋体"/>
            <w:noProof/>
            <w:kern w:val="0"/>
            <w:sz w:val="24"/>
          </w:rPr>
          <w:fldChar w:fldCharType="end"/>
        </w:r>
      </w:hyperlink>
    </w:p>
    <w:p w14:paraId="3D00D3CC" w14:textId="35DA6D16"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21" w:history="1">
        <w:r w:rsidR="008C5B3C" w:rsidRPr="00F82365">
          <w:rPr>
            <w:rStyle w:val="af0"/>
            <w:rFonts w:ascii="宋体" w:hAnsi="宋体" w:hint="eastAsia"/>
            <w:noProof/>
            <w:kern w:val="0"/>
            <w:sz w:val="24"/>
          </w:rPr>
          <w:t>二、释义</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_Toc107476021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6</w:t>
        </w:r>
        <w:r w:rsidR="008C5B3C" w:rsidRPr="00F82365">
          <w:rPr>
            <w:rStyle w:val="af0"/>
            <w:rFonts w:ascii="宋体" w:hAnsi="宋体"/>
            <w:noProof/>
            <w:kern w:val="0"/>
            <w:sz w:val="24"/>
          </w:rPr>
          <w:fldChar w:fldCharType="end"/>
        </w:r>
      </w:hyperlink>
    </w:p>
    <w:p w14:paraId="63CA1DE3" w14:textId="627D67D6"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22" w:history="1">
        <w:r w:rsidR="008C5B3C" w:rsidRPr="00F82365">
          <w:rPr>
            <w:rStyle w:val="af0"/>
            <w:rFonts w:ascii="宋体" w:hAnsi="宋体" w:hint="eastAsia"/>
            <w:noProof/>
            <w:kern w:val="0"/>
            <w:sz w:val="24"/>
          </w:rPr>
          <w:t>三、基金管理人</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_Toc107476022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11</w:t>
        </w:r>
        <w:r w:rsidR="008C5B3C" w:rsidRPr="00F82365">
          <w:rPr>
            <w:rStyle w:val="af0"/>
            <w:rFonts w:ascii="宋体" w:hAnsi="宋体"/>
            <w:noProof/>
            <w:kern w:val="0"/>
            <w:sz w:val="24"/>
          </w:rPr>
          <w:fldChar w:fldCharType="end"/>
        </w:r>
      </w:hyperlink>
    </w:p>
    <w:p w14:paraId="5BE97311" w14:textId="76829B7C"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23" w:history="1">
        <w:r w:rsidR="008C5B3C" w:rsidRPr="00F82365">
          <w:rPr>
            <w:rStyle w:val="af0"/>
            <w:rFonts w:ascii="宋体" w:hAnsi="宋体" w:hint="eastAsia"/>
            <w:noProof/>
            <w:kern w:val="0"/>
            <w:sz w:val="24"/>
          </w:rPr>
          <w:t>四、基金托管人</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_Toc107476023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19</w:t>
        </w:r>
        <w:r w:rsidR="008C5B3C" w:rsidRPr="00F82365">
          <w:rPr>
            <w:rStyle w:val="af0"/>
            <w:rFonts w:ascii="宋体" w:hAnsi="宋体"/>
            <w:noProof/>
            <w:kern w:val="0"/>
            <w:sz w:val="24"/>
          </w:rPr>
          <w:fldChar w:fldCharType="end"/>
        </w:r>
      </w:hyperlink>
    </w:p>
    <w:p w14:paraId="25F038B5" w14:textId="6377A8D5"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24" w:history="1">
        <w:r w:rsidR="008C5B3C" w:rsidRPr="00F82365">
          <w:rPr>
            <w:rStyle w:val="af0"/>
            <w:rFonts w:ascii="宋体" w:hAnsi="宋体" w:hint="eastAsia"/>
            <w:noProof/>
            <w:kern w:val="0"/>
            <w:sz w:val="24"/>
          </w:rPr>
          <w:t>五、相关服务机构</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_Toc107476024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24</w:t>
        </w:r>
        <w:r w:rsidR="008C5B3C" w:rsidRPr="00F82365">
          <w:rPr>
            <w:rStyle w:val="af0"/>
            <w:rFonts w:ascii="宋体" w:hAnsi="宋体"/>
            <w:noProof/>
            <w:kern w:val="0"/>
            <w:sz w:val="24"/>
          </w:rPr>
          <w:fldChar w:fldCharType="end"/>
        </w:r>
      </w:hyperlink>
    </w:p>
    <w:p w14:paraId="0BBC2FF4" w14:textId="2712960C"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25" w:history="1">
        <w:r w:rsidR="008C5B3C" w:rsidRPr="00F82365">
          <w:rPr>
            <w:rStyle w:val="af0"/>
            <w:rFonts w:ascii="宋体" w:hAnsi="宋体" w:hint="eastAsia"/>
            <w:noProof/>
            <w:kern w:val="0"/>
            <w:sz w:val="24"/>
          </w:rPr>
          <w:t>六、基金的历史沿革</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_Toc107476025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52</w:t>
        </w:r>
        <w:r w:rsidR="008C5B3C" w:rsidRPr="00F82365">
          <w:rPr>
            <w:rStyle w:val="af0"/>
            <w:rFonts w:ascii="宋体" w:hAnsi="宋体"/>
            <w:noProof/>
            <w:kern w:val="0"/>
            <w:sz w:val="24"/>
          </w:rPr>
          <w:fldChar w:fldCharType="end"/>
        </w:r>
      </w:hyperlink>
    </w:p>
    <w:p w14:paraId="4D885FF5" w14:textId="17EC50D9"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26" w:history="1">
        <w:r w:rsidR="008C5B3C" w:rsidRPr="00F82365">
          <w:rPr>
            <w:rStyle w:val="af0"/>
            <w:rFonts w:ascii="宋体" w:hAnsi="宋体" w:hint="eastAsia"/>
            <w:noProof/>
            <w:kern w:val="0"/>
            <w:sz w:val="24"/>
          </w:rPr>
          <w:t>七、基金的存续</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_Toc107476026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53</w:t>
        </w:r>
        <w:r w:rsidR="008C5B3C" w:rsidRPr="00F82365">
          <w:rPr>
            <w:rStyle w:val="af0"/>
            <w:rFonts w:ascii="宋体" w:hAnsi="宋体"/>
            <w:noProof/>
            <w:kern w:val="0"/>
            <w:sz w:val="24"/>
          </w:rPr>
          <w:fldChar w:fldCharType="end"/>
        </w:r>
      </w:hyperlink>
    </w:p>
    <w:p w14:paraId="03D61C50" w14:textId="7340558C"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27" w:history="1">
        <w:r w:rsidR="008C5B3C" w:rsidRPr="00F82365">
          <w:rPr>
            <w:rStyle w:val="af0"/>
            <w:rFonts w:ascii="宋体" w:hAnsi="宋体" w:hint="eastAsia"/>
            <w:noProof/>
            <w:kern w:val="0"/>
            <w:sz w:val="24"/>
          </w:rPr>
          <w:t>八、基金份额的申购与赎回</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_Toc107476027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54</w:t>
        </w:r>
        <w:r w:rsidR="008C5B3C" w:rsidRPr="00F82365">
          <w:rPr>
            <w:rStyle w:val="af0"/>
            <w:rFonts w:ascii="宋体" w:hAnsi="宋体"/>
            <w:noProof/>
            <w:kern w:val="0"/>
            <w:sz w:val="24"/>
          </w:rPr>
          <w:fldChar w:fldCharType="end"/>
        </w:r>
      </w:hyperlink>
    </w:p>
    <w:p w14:paraId="4808E887" w14:textId="1FA0C677"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28" w:history="1">
        <w:r w:rsidR="008C5B3C" w:rsidRPr="00F82365">
          <w:rPr>
            <w:rStyle w:val="af0"/>
            <w:rFonts w:ascii="宋体" w:hAnsi="宋体" w:hint="eastAsia"/>
            <w:noProof/>
            <w:kern w:val="0"/>
            <w:sz w:val="24"/>
          </w:rPr>
          <w:t>九、基金的转换</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_Toc107476028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68</w:t>
        </w:r>
        <w:r w:rsidR="008C5B3C" w:rsidRPr="00F82365">
          <w:rPr>
            <w:rStyle w:val="af0"/>
            <w:rFonts w:ascii="宋体" w:hAnsi="宋体"/>
            <w:noProof/>
            <w:kern w:val="0"/>
            <w:sz w:val="24"/>
          </w:rPr>
          <w:fldChar w:fldCharType="end"/>
        </w:r>
      </w:hyperlink>
    </w:p>
    <w:p w14:paraId="18CD571D" w14:textId="356D12E8"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29" w:history="1">
        <w:r w:rsidR="008C5B3C" w:rsidRPr="00F82365">
          <w:rPr>
            <w:rStyle w:val="af0"/>
            <w:rFonts w:ascii="宋体" w:hAnsi="宋体" w:hint="eastAsia"/>
            <w:noProof/>
            <w:kern w:val="0"/>
            <w:sz w:val="24"/>
          </w:rPr>
          <w:t>十、基金的投资</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_Toc107476029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75</w:t>
        </w:r>
        <w:r w:rsidR="008C5B3C" w:rsidRPr="00F82365">
          <w:rPr>
            <w:rStyle w:val="af0"/>
            <w:rFonts w:ascii="宋体" w:hAnsi="宋体"/>
            <w:noProof/>
            <w:kern w:val="0"/>
            <w:sz w:val="24"/>
          </w:rPr>
          <w:fldChar w:fldCharType="end"/>
        </w:r>
      </w:hyperlink>
    </w:p>
    <w:p w14:paraId="1893C5BC" w14:textId="0DC84E90"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30" w:history="1">
        <w:r w:rsidR="008C5B3C" w:rsidRPr="00F82365">
          <w:rPr>
            <w:rStyle w:val="af0"/>
            <w:rFonts w:ascii="宋体" w:hAnsi="宋体" w:hint="eastAsia"/>
            <w:noProof/>
            <w:kern w:val="0"/>
            <w:sz w:val="24"/>
          </w:rPr>
          <w:t>十一、基金的业绩</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_Toc107476030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89</w:t>
        </w:r>
        <w:r w:rsidR="008C5B3C" w:rsidRPr="00F82365">
          <w:rPr>
            <w:rStyle w:val="af0"/>
            <w:rFonts w:ascii="宋体" w:hAnsi="宋体"/>
            <w:noProof/>
            <w:kern w:val="0"/>
            <w:sz w:val="24"/>
          </w:rPr>
          <w:fldChar w:fldCharType="end"/>
        </w:r>
      </w:hyperlink>
    </w:p>
    <w:p w14:paraId="78157ABC" w14:textId="2D826D3B"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31" w:history="1">
        <w:r w:rsidR="008C5B3C" w:rsidRPr="00F82365">
          <w:rPr>
            <w:rStyle w:val="af0"/>
            <w:rFonts w:ascii="宋体" w:hAnsi="宋体" w:hint="eastAsia"/>
            <w:noProof/>
            <w:kern w:val="0"/>
            <w:sz w:val="24"/>
          </w:rPr>
          <w:t>十二、基金的财产</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_Toc107476031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91</w:t>
        </w:r>
        <w:r w:rsidR="008C5B3C" w:rsidRPr="00F82365">
          <w:rPr>
            <w:rStyle w:val="af0"/>
            <w:rFonts w:ascii="宋体" w:hAnsi="宋体"/>
            <w:noProof/>
            <w:kern w:val="0"/>
            <w:sz w:val="24"/>
          </w:rPr>
          <w:fldChar w:fldCharType="end"/>
        </w:r>
      </w:hyperlink>
    </w:p>
    <w:p w14:paraId="6B127C66" w14:textId="5D7F5669"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32" w:history="1">
        <w:r w:rsidR="008C5B3C" w:rsidRPr="00F82365">
          <w:rPr>
            <w:rStyle w:val="af0"/>
            <w:rFonts w:ascii="宋体" w:hAnsi="宋体" w:hint="eastAsia"/>
            <w:noProof/>
            <w:kern w:val="0"/>
            <w:sz w:val="24"/>
          </w:rPr>
          <w:t>十三、基金资产的估值</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_Toc107476032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92</w:t>
        </w:r>
        <w:r w:rsidR="008C5B3C" w:rsidRPr="00F82365">
          <w:rPr>
            <w:rStyle w:val="af0"/>
            <w:rFonts w:ascii="宋体" w:hAnsi="宋体"/>
            <w:noProof/>
            <w:kern w:val="0"/>
            <w:sz w:val="24"/>
          </w:rPr>
          <w:fldChar w:fldCharType="end"/>
        </w:r>
      </w:hyperlink>
    </w:p>
    <w:p w14:paraId="3F3B49DE" w14:textId="219C33B5"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33" w:history="1">
        <w:r w:rsidR="008C5B3C" w:rsidRPr="00F82365">
          <w:rPr>
            <w:rStyle w:val="af0"/>
            <w:rFonts w:ascii="宋体" w:hAnsi="宋体" w:hint="eastAsia"/>
            <w:noProof/>
            <w:kern w:val="0"/>
            <w:sz w:val="24"/>
          </w:rPr>
          <w:t>十四、基金收益与分配</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_Toc107476033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99</w:t>
        </w:r>
        <w:r w:rsidR="008C5B3C" w:rsidRPr="00F82365">
          <w:rPr>
            <w:rStyle w:val="af0"/>
            <w:rFonts w:ascii="宋体" w:hAnsi="宋体"/>
            <w:noProof/>
            <w:kern w:val="0"/>
            <w:sz w:val="24"/>
          </w:rPr>
          <w:fldChar w:fldCharType="end"/>
        </w:r>
      </w:hyperlink>
    </w:p>
    <w:p w14:paraId="608DAA61" w14:textId="3C6807E3"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34" w:history="1">
        <w:r w:rsidR="008C5B3C" w:rsidRPr="00F82365">
          <w:rPr>
            <w:rStyle w:val="af0"/>
            <w:rFonts w:ascii="宋体" w:hAnsi="宋体" w:hint="eastAsia"/>
            <w:noProof/>
            <w:kern w:val="0"/>
            <w:sz w:val="24"/>
          </w:rPr>
          <w:t>十五、基金的费用与税收</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_Toc107476034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101</w:t>
        </w:r>
        <w:r w:rsidR="008C5B3C" w:rsidRPr="00F82365">
          <w:rPr>
            <w:rStyle w:val="af0"/>
            <w:rFonts w:ascii="宋体" w:hAnsi="宋体"/>
            <w:noProof/>
            <w:kern w:val="0"/>
            <w:sz w:val="24"/>
          </w:rPr>
          <w:fldChar w:fldCharType="end"/>
        </w:r>
      </w:hyperlink>
    </w:p>
    <w:p w14:paraId="35CE382F" w14:textId="0FF5E4B9"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35" w:history="1">
        <w:r w:rsidR="008C5B3C" w:rsidRPr="00F82365">
          <w:rPr>
            <w:rStyle w:val="af0"/>
            <w:rFonts w:ascii="宋体" w:hAnsi="宋体" w:hint="eastAsia"/>
            <w:noProof/>
            <w:kern w:val="0"/>
            <w:sz w:val="24"/>
          </w:rPr>
          <w:t>十六、基金的会计与审计</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_Toc107476035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104</w:t>
        </w:r>
        <w:r w:rsidR="008C5B3C" w:rsidRPr="00F82365">
          <w:rPr>
            <w:rStyle w:val="af0"/>
            <w:rFonts w:ascii="宋体" w:hAnsi="宋体"/>
            <w:noProof/>
            <w:kern w:val="0"/>
            <w:sz w:val="24"/>
          </w:rPr>
          <w:fldChar w:fldCharType="end"/>
        </w:r>
      </w:hyperlink>
    </w:p>
    <w:p w14:paraId="434E40F6" w14:textId="1109D985"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36" w:history="1">
        <w:r w:rsidR="008C5B3C" w:rsidRPr="00F82365">
          <w:rPr>
            <w:rStyle w:val="af0"/>
            <w:rFonts w:ascii="宋体" w:hAnsi="宋体" w:hint="eastAsia"/>
            <w:noProof/>
            <w:kern w:val="0"/>
            <w:sz w:val="24"/>
          </w:rPr>
          <w:t>十七、基金的信息披露</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_Toc107476036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105</w:t>
        </w:r>
        <w:r w:rsidR="008C5B3C" w:rsidRPr="00F82365">
          <w:rPr>
            <w:rStyle w:val="af0"/>
            <w:rFonts w:ascii="宋体" w:hAnsi="宋体"/>
            <w:noProof/>
            <w:kern w:val="0"/>
            <w:sz w:val="24"/>
          </w:rPr>
          <w:fldChar w:fldCharType="end"/>
        </w:r>
      </w:hyperlink>
    </w:p>
    <w:p w14:paraId="2C1EE7B3" w14:textId="134C5D67"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37" w:history="1">
        <w:r w:rsidR="008C5B3C" w:rsidRPr="00F82365">
          <w:rPr>
            <w:rStyle w:val="af0"/>
            <w:rFonts w:ascii="宋体" w:hAnsi="宋体" w:hint="eastAsia"/>
            <w:noProof/>
            <w:kern w:val="0"/>
            <w:sz w:val="24"/>
          </w:rPr>
          <w:t>十八、侧袋机制</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_Toc107476037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112</w:t>
        </w:r>
        <w:r w:rsidR="008C5B3C" w:rsidRPr="00F82365">
          <w:rPr>
            <w:rStyle w:val="af0"/>
            <w:rFonts w:ascii="宋体" w:hAnsi="宋体"/>
            <w:noProof/>
            <w:kern w:val="0"/>
            <w:sz w:val="24"/>
          </w:rPr>
          <w:fldChar w:fldCharType="end"/>
        </w:r>
      </w:hyperlink>
    </w:p>
    <w:p w14:paraId="38AB78B2" w14:textId="1EA8BC54"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38" w:history="1">
        <w:r w:rsidR="008C5B3C" w:rsidRPr="00F82365">
          <w:rPr>
            <w:rStyle w:val="af0"/>
            <w:rFonts w:ascii="宋体" w:hAnsi="宋体" w:hint="eastAsia"/>
            <w:noProof/>
            <w:kern w:val="0"/>
            <w:sz w:val="24"/>
          </w:rPr>
          <w:t>十九、风险揭示</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_Toc107476038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114</w:t>
        </w:r>
        <w:r w:rsidR="008C5B3C" w:rsidRPr="00F82365">
          <w:rPr>
            <w:rStyle w:val="af0"/>
            <w:rFonts w:ascii="宋体" w:hAnsi="宋体"/>
            <w:noProof/>
            <w:kern w:val="0"/>
            <w:sz w:val="24"/>
          </w:rPr>
          <w:fldChar w:fldCharType="end"/>
        </w:r>
      </w:hyperlink>
    </w:p>
    <w:p w14:paraId="2542271F" w14:textId="52A07FFB"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39" w:history="1">
        <w:r w:rsidR="008C5B3C" w:rsidRPr="00F82365">
          <w:rPr>
            <w:rStyle w:val="af0"/>
            <w:rFonts w:ascii="宋体" w:hAnsi="宋体" w:hint="eastAsia"/>
            <w:noProof/>
            <w:kern w:val="0"/>
            <w:sz w:val="24"/>
          </w:rPr>
          <w:t>二十、基金合同的变更、终止与基金财产的清算</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_Toc107476039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124</w:t>
        </w:r>
        <w:r w:rsidR="008C5B3C" w:rsidRPr="00F82365">
          <w:rPr>
            <w:rStyle w:val="af0"/>
            <w:rFonts w:ascii="宋体" w:hAnsi="宋体"/>
            <w:noProof/>
            <w:kern w:val="0"/>
            <w:sz w:val="24"/>
          </w:rPr>
          <w:fldChar w:fldCharType="end"/>
        </w:r>
      </w:hyperlink>
    </w:p>
    <w:p w14:paraId="75E39DA9" w14:textId="37DF500F"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40" w:history="1">
        <w:r w:rsidR="008C5B3C" w:rsidRPr="00F82365">
          <w:rPr>
            <w:rStyle w:val="af0"/>
            <w:rFonts w:ascii="宋体" w:hAnsi="宋体" w:hint="eastAsia"/>
            <w:noProof/>
            <w:kern w:val="0"/>
            <w:sz w:val="24"/>
          </w:rPr>
          <w:t>二十一、基金合同内容摘要</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_Toc107476040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126</w:t>
        </w:r>
        <w:r w:rsidR="008C5B3C" w:rsidRPr="00F82365">
          <w:rPr>
            <w:rStyle w:val="af0"/>
            <w:rFonts w:ascii="宋体" w:hAnsi="宋体"/>
            <w:noProof/>
            <w:kern w:val="0"/>
            <w:sz w:val="24"/>
          </w:rPr>
          <w:fldChar w:fldCharType="end"/>
        </w:r>
      </w:hyperlink>
    </w:p>
    <w:p w14:paraId="38244E96" w14:textId="1C0E1427"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41" w:history="1">
        <w:r w:rsidR="008C5B3C" w:rsidRPr="00F82365">
          <w:rPr>
            <w:rStyle w:val="af0"/>
            <w:rFonts w:ascii="宋体" w:hAnsi="宋体" w:hint="eastAsia"/>
            <w:noProof/>
            <w:kern w:val="0"/>
            <w:sz w:val="24"/>
          </w:rPr>
          <w:t>二十二、托管协议的内容摘要</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_Toc107476041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143</w:t>
        </w:r>
        <w:r w:rsidR="008C5B3C" w:rsidRPr="00F82365">
          <w:rPr>
            <w:rStyle w:val="af0"/>
            <w:rFonts w:ascii="宋体" w:hAnsi="宋体"/>
            <w:noProof/>
            <w:kern w:val="0"/>
            <w:sz w:val="24"/>
          </w:rPr>
          <w:fldChar w:fldCharType="end"/>
        </w:r>
      </w:hyperlink>
    </w:p>
    <w:p w14:paraId="63E7A370" w14:textId="56FEAC3D"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42" w:history="1">
        <w:r w:rsidR="008C5B3C" w:rsidRPr="00F82365">
          <w:rPr>
            <w:rStyle w:val="af0"/>
            <w:rFonts w:ascii="宋体" w:hAnsi="宋体" w:hint="eastAsia"/>
            <w:noProof/>
            <w:kern w:val="0"/>
            <w:sz w:val="24"/>
          </w:rPr>
          <w:t>二十三、对基金份额持有人的服务</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_Toc107476042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160</w:t>
        </w:r>
        <w:r w:rsidR="008C5B3C" w:rsidRPr="00F82365">
          <w:rPr>
            <w:rStyle w:val="af0"/>
            <w:rFonts w:ascii="宋体" w:hAnsi="宋体"/>
            <w:noProof/>
            <w:kern w:val="0"/>
            <w:sz w:val="24"/>
          </w:rPr>
          <w:fldChar w:fldCharType="end"/>
        </w:r>
      </w:hyperlink>
    </w:p>
    <w:p w14:paraId="4875DC73" w14:textId="14D796E5"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43" w:history="1">
        <w:r w:rsidR="008C5B3C" w:rsidRPr="00F82365">
          <w:rPr>
            <w:rStyle w:val="af0"/>
            <w:rFonts w:ascii="宋体" w:hAnsi="宋体" w:hint="eastAsia"/>
            <w:noProof/>
            <w:kern w:val="0"/>
            <w:sz w:val="24"/>
          </w:rPr>
          <w:t>二十四、其他应披露事项</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_Toc107476043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162</w:t>
        </w:r>
        <w:r w:rsidR="008C5B3C" w:rsidRPr="00F82365">
          <w:rPr>
            <w:rStyle w:val="af0"/>
            <w:rFonts w:ascii="宋体" w:hAnsi="宋体"/>
            <w:noProof/>
            <w:kern w:val="0"/>
            <w:sz w:val="24"/>
          </w:rPr>
          <w:fldChar w:fldCharType="end"/>
        </w:r>
      </w:hyperlink>
    </w:p>
    <w:p w14:paraId="6C96FCAB" w14:textId="32578396"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44" w:history="1">
        <w:r w:rsidR="008C5B3C" w:rsidRPr="00F82365">
          <w:rPr>
            <w:rStyle w:val="af0"/>
            <w:rFonts w:ascii="宋体" w:hAnsi="宋体" w:hint="eastAsia"/>
            <w:noProof/>
            <w:kern w:val="0"/>
            <w:sz w:val="24"/>
          </w:rPr>
          <w:t>二十五、招募说明书的存放及查阅方式</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_Toc107476044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165</w:t>
        </w:r>
        <w:r w:rsidR="008C5B3C" w:rsidRPr="00F82365">
          <w:rPr>
            <w:rStyle w:val="af0"/>
            <w:rFonts w:ascii="宋体" w:hAnsi="宋体"/>
            <w:noProof/>
            <w:kern w:val="0"/>
            <w:sz w:val="24"/>
          </w:rPr>
          <w:fldChar w:fldCharType="end"/>
        </w:r>
      </w:hyperlink>
    </w:p>
    <w:p w14:paraId="7768249A" w14:textId="7E565BD1" w:rsidR="008C5B3C" w:rsidRPr="00F82365" w:rsidRDefault="001E631D" w:rsidP="00F82365">
      <w:pPr>
        <w:pStyle w:val="11"/>
        <w:tabs>
          <w:tab w:val="right" w:leader="dot" w:pos="8550"/>
        </w:tabs>
        <w:spacing w:line="360" w:lineRule="auto"/>
        <w:rPr>
          <w:rStyle w:val="af0"/>
          <w:rFonts w:ascii="宋体" w:hAnsi="宋体"/>
          <w:noProof/>
          <w:kern w:val="0"/>
          <w:sz w:val="24"/>
        </w:rPr>
      </w:pPr>
      <w:hyperlink w:anchor="_Toc107476045" w:history="1">
        <w:r w:rsidR="008C5B3C" w:rsidRPr="00F82365">
          <w:rPr>
            <w:rStyle w:val="af0"/>
            <w:rFonts w:ascii="宋体" w:hAnsi="宋体" w:hint="eastAsia"/>
            <w:noProof/>
            <w:kern w:val="0"/>
            <w:sz w:val="24"/>
          </w:rPr>
          <w:t>二十六、备查文件</w:t>
        </w:r>
        <w:r w:rsidR="008C5B3C" w:rsidRPr="00F82365">
          <w:rPr>
            <w:rStyle w:val="af0"/>
            <w:rFonts w:ascii="宋体" w:hAnsi="宋体"/>
            <w:noProof/>
            <w:kern w:val="0"/>
            <w:sz w:val="24"/>
          </w:rPr>
          <w:tab/>
        </w:r>
        <w:r w:rsidR="008C5B3C" w:rsidRPr="00F82365">
          <w:rPr>
            <w:rStyle w:val="af0"/>
            <w:rFonts w:ascii="宋体" w:hAnsi="宋体"/>
            <w:noProof/>
            <w:kern w:val="0"/>
            <w:sz w:val="24"/>
          </w:rPr>
          <w:fldChar w:fldCharType="begin"/>
        </w:r>
        <w:r w:rsidR="008C5B3C" w:rsidRPr="00F82365">
          <w:rPr>
            <w:rStyle w:val="af0"/>
            <w:rFonts w:ascii="宋体" w:hAnsi="宋体"/>
            <w:noProof/>
            <w:kern w:val="0"/>
            <w:sz w:val="24"/>
          </w:rPr>
          <w:instrText xml:space="preserve"> PAGEREF _Toc107476045 \h </w:instrText>
        </w:r>
        <w:r w:rsidR="008C5B3C" w:rsidRPr="00F82365">
          <w:rPr>
            <w:rStyle w:val="af0"/>
            <w:rFonts w:ascii="宋体" w:hAnsi="宋体"/>
            <w:noProof/>
            <w:kern w:val="0"/>
            <w:sz w:val="24"/>
          </w:rPr>
        </w:r>
        <w:r w:rsidR="008C5B3C" w:rsidRPr="00F82365">
          <w:rPr>
            <w:rStyle w:val="af0"/>
            <w:rFonts w:ascii="宋体" w:hAnsi="宋体"/>
            <w:noProof/>
            <w:kern w:val="0"/>
            <w:sz w:val="24"/>
          </w:rPr>
          <w:fldChar w:fldCharType="separate"/>
        </w:r>
        <w:r w:rsidR="003065AF">
          <w:rPr>
            <w:rStyle w:val="af0"/>
            <w:rFonts w:ascii="宋体" w:hAnsi="宋体"/>
            <w:noProof/>
            <w:kern w:val="0"/>
            <w:sz w:val="24"/>
          </w:rPr>
          <w:t>166</w:t>
        </w:r>
        <w:r w:rsidR="008C5B3C" w:rsidRPr="00F82365">
          <w:rPr>
            <w:rStyle w:val="af0"/>
            <w:rFonts w:ascii="宋体" w:hAnsi="宋体"/>
            <w:noProof/>
            <w:kern w:val="0"/>
            <w:sz w:val="24"/>
          </w:rPr>
          <w:fldChar w:fldCharType="end"/>
        </w:r>
      </w:hyperlink>
    </w:p>
    <w:p w14:paraId="5F2F0448" w14:textId="2C86D73C" w:rsidR="00FB4D29" w:rsidRDefault="00D4333C" w:rsidP="00F82365">
      <w:pPr>
        <w:pStyle w:val="af3"/>
        <w:snapToGrid w:val="0"/>
        <w:spacing w:after="240" w:line="360" w:lineRule="auto"/>
        <w:jc w:val="center"/>
        <w:sectPr w:rsidR="00FB4D29">
          <w:pgSz w:w="11920" w:h="16840"/>
          <w:pgMar w:top="1480" w:right="1680" w:bottom="280" w:left="1680" w:header="0" w:footer="1073" w:gutter="0"/>
          <w:cols w:space="720"/>
        </w:sectPr>
      </w:pPr>
      <w:r w:rsidRPr="00F82365">
        <w:rPr>
          <w:rStyle w:val="af0"/>
          <w:rFonts w:ascii="Calibri" w:hAnsi="Calibri"/>
          <w:noProof/>
          <w:kern w:val="2"/>
          <w:sz w:val="21"/>
          <w:szCs w:val="22"/>
        </w:rPr>
        <w:fldChar w:fldCharType="end"/>
      </w:r>
    </w:p>
    <w:p w14:paraId="29C4379E" w14:textId="77777777" w:rsidR="00FB4D29" w:rsidRDefault="00CF4592">
      <w:pPr>
        <w:pStyle w:val="1"/>
        <w:snapToGrid w:val="0"/>
        <w:spacing w:beforeLines="0" w:before="240" w:after="240"/>
        <w:rPr>
          <w:rFonts w:ascii="宋体" w:hAnsi="宋体"/>
          <w:szCs w:val="30"/>
        </w:rPr>
      </w:pPr>
      <w:bookmarkStart w:id="3" w:name="_Toc107476020"/>
      <w:r>
        <w:rPr>
          <w:rFonts w:ascii="Times New Roman" w:hAnsi="Times New Roman"/>
          <w:sz w:val="30"/>
        </w:rPr>
        <w:lastRenderedPageBreak/>
        <w:t>一、绪言</w:t>
      </w:r>
      <w:bookmarkEnd w:id="3"/>
    </w:p>
    <w:p w14:paraId="67966CBB" w14:textId="61F6DC0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持续成长主题混合型证券投资基金招募说明书》（以下简称“本招募说明书”）依据《中华人民共和国证券投资基金法》（以下简称“《基金法》”）、《公开募集证券投资基金运作管理办法》（以下简称“《运作办法》”）、</w:t>
      </w:r>
      <w:r w:rsidR="001D5461" w:rsidRPr="001D5461">
        <w:rPr>
          <w:rFonts w:ascii="宋体" w:hAnsi="宋体" w:hint="eastAsia"/>
          <w:sz w:val="24"/>
        </w:rPr>
        <w:t>《</w:t>
      </w:r>
      <w:r w:rsidR="001D5461" w:rsidRPr="001D5461">
        <w:rPr>
          <w:rFonts w:ascii="宋体" w:hAnsi="宋体"/>
          <w:bCs/>
          <w:sz w:val="24"/>
        </w:rPr>
        <w:t>公开募集证券投资基金销售机构监督管理办法</w:t>
      </w:r>
      <w:r w:rsidR="001D5461" w:rsidRPr="001D5461">
        <w:rPr>
          <w:rFonts w:ascii="宋体" w:hAnsi="宋体" w:hint="eastAsia"/>
          <w:sz w:val="24"/>
        </w:rPr>
        <w:t>》</w:t>
      </w:r>
      <w:r>
        <w:rPr>
          <w:rFonts w:ascii="宋体" w:hAnsi="宋体"/>
          <w:sz w:val="24"/>
        </w:rPr>
        <w:t>（以下简称“《销售办法》”）、《公开募集证券投资基金信息披露管理办法》（以下简称“《信息披露办法》”）、《公开募集开放式证券投资基金流动性风险管理规定》（以下简称“《流动性规定》”）和其他相关法律法规的规定以及《交银施罗德持续成长主题混合型证券投资基金基金合同》（以下简称“基金合同”）编写。</w:t>
      </w:r>
    </w:p>
    <w:p w14:paraId="10D634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4BA2127" w14:textId="1545CCB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w:t>
      </w:r>
      <w:r w:rsidR="001B626D">
        <w:rPr>
          <w:rFonts w:ascii="宋体" w:hAnsi="宋体" w:hint="eastAsia"/>
          <w:sz w:val="24"/>
        </w:rPr>
        <w:t>变更</w:t>
      </w:r>
      <w:r>
        <w:rPr>
          <w:rFonts w:ascii="宋体" w:hAnsi="宋体"/>
          <w:sz w:val="24"/>
        </w:rPr>
        <w:t>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BAFE0F4"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7069BA98" w14:textId="5663A952" w:rsidR="00FB4D29" w:rsidRDefault="00CF4592">
      <w:pPr>
        <w:pStyle w:val="1"/>
        <w:snapToGrid w:val="0"/>
        <w:spacing w:beforeLines="0" w:before="240" w:after="240"/>
        <w:rPr>
          <w:rFonts w:ascii="宋体" w:hAnsi="宋体"/>
          <w:szCs w:val="30"/>
        </w:rPr>
      </w:pPr>
      <w:r>
        <w:rPr>
          <w:rFonts w:ascii="宋体" w:hAnsi="宋体"/>
          <w:sz w:val="24"/>
        </w:rPr>
        <w:br w:type="page"/>
      </w:r>
      <w:bookmarkStart w:id="4" w:name="_Toc107476021"/>
      <w:r>
        <w:rPr>
          <w:rFonts w:ascii="Times New Roman" w:hAnsi="Times New Roman"/>
          <w:sz w:val="30"/>
        </w:rPr>
        <w:lastRenderedPageBreak/>
        <w:t>二、释义</w:t>
      </w:r>
      <w:bookmarkEnd w:id="4"/>
    </w:p>
    <w:p w14:paraId="2328515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5CC4E3F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1、基金或本基金：指交银施罗德持续成长主题混合型证券投资基金</w:t>
      </w:r>
    </w:p>
    <w:p w14:paraId="0869B2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59EBEEB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3、基金托管人或本基金托管人：指中国工商银行股份有限公司</w:t>
      </w:r>
    </w:p>
    <w:p w14:paraId="4B31383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4、《基金合同》或基金合同：指《交银施罗德持续成长主题混合型证券投资基金基金合同》及对基金合同的任何有效修订和补充</w:t>
      </w:r>
    </w:p>
    <w:p w14:paraId="3A46AB7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5、托管协议：指基金管理人与基金托管人就本基金签订之《交银施罗德持续成长主题混合型证券投资基金托管协议》及对该托管协议的任何有效修订和补充</w:t>
      </w:r>
    </w:p>
    <w:p w14:paraId="442CB60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6、招募说明书或《招募说明书》或本招募说明书：指《交银施罗德持续成长主题混合型证券投资基金招募说明书》及其更新</w:t>
      </w:r>
    </w:p>
    <w:p w14:paraId="024FA3B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7、基金份额发售公告：指《交银施罗德持续成长主题混合型证券投资基金基金份额发售公告》</w:t>
      </w:r>
    </w:p>
    <w:p w14:paraId="4448DC1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8、基金产品资料概要：指《交银施罗德持续成长主题混合型证券投资基金基金产品资料概要》及其更新</w:t>
      </w:r>
    </w:p>
    <w:p w14:paraId="3A30C0D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7B63D2F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3FA08700" w14:textId="5AD72B0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sidR="006C72AA">
        <w:rPr>
          <w:bCs/>
          <w:sz w:val="24"/>
        </w:rPr>
        <w:t>公开募集证券投资基金销售机构监督管理办法</w:t>
      </w:r>
      <w:r>
        <w:rPr>
          <w:rFonts w:ascii="宋体" w:hAnsi="宋体"/>
          <w:sz w:val="24"/>
        </w:rPr>
        <w:t>》及颁布机关对其不时做出的修订</w:t>
      </w:r>
    </w:p>
    <w:p w14:paraId="0C67D2D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0610FCD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54BFAEE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14、《流动性规定》：指《公开募集开放式证券投资基金流动性风险管理规定》及颁布机关对其不时做出的修订</w:t>
      </w:r>
    </w:p>
    <w:p w14:paraId="58A67B2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15、流动性受限资产：指由于法律法规、监管、合同或操作障碍等原因无法以合理价格予以变现的资产，包括但不限于到期日在10个交易日以上的逆回购与银行</w:t>
      </w:r>
      <w:r>
        <w:rPr>
          <w:rFonts w:ascii="宋体" w:hAnsi="宋体"/>
          <w:sz w:val="24"/>
        </w:rPr>
        <w:lastRenderedPageBreak/>
        <w:t>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05CEBAA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6DBFA8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17、中国证监会：指中国证券监督管理委员会</w:t>
      </w:r>
    </w:p>
    <w:p w14:paraId="2025EC2D" w14:textId="0B9B616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18、银行业监督管理机构：指中国人民银行和/或</w:t>
      </w:r>
      <w:r w:rsidR="001A4EE9">
        <w:rPr>
          <w:rFonts w:ascii="宋体" w:hAnsi="宋体" w:hint="eastAsia"/>
          <w:sz w:val="24"/>
        </w:rPr>
        <w:t>中国银行保险监督管理委员会</w:t>
      </w:r>
    </w:p>
    <w:p w14:paraId="69E22E7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19、基金合同当事人：指受基金合同约束，根据基金合同享有权利并承担义务的法律主体，包括基金管理人、基金托管人和基金份额持有人</w:t>
      </w:r>
    </w:p>
    <w:p w14:paraId="251EA82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20、个人投资者：指依据有关法律法规规定可投资于证券投资基金的自然人</w:t>
      </w:r>
    </w:p>
    <w:p w14:paraId="242607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21、机构投资者：指依法可以投资证券投资基金的、在中华人民共和国境内合法登记并存续或经有关政府部门批准设立并存续的企业法人、事业法人、社会团体或其他组织</w:t>
      </w:r>
    </w:p>
    <w:p w14:paraId="61FCCA8B" w14:textId="2C4D0FC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22、合格境外投资者：</w:t>
      </w:r>
      <w:r w:rsidR="001A4EE9" w:rsidRPr="001A4EE9">
        <w:rPr>
          <w:rFonts w:ascii="宋体" w:hAnsi="宋体" w:hint="eastAsia"/>
          <w:sz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169AF81" w14:textId="4143B55A" w:rsidR="00FB4D29" w:rsidRDefault="00CF4592" w:rsidP="001D0A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23、投资人或投资者：指个人投资者、机构投资者、合格境外投资者以及法律法规或中国证监会允许购买证券投资基金的其他投资人的合称</w:t>
      </w:r>
    </w:p>
    <w:p w14:paraId="0E7EB33F" w14:textId="5D91233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1D0AE1">
        <w:rPr>
          <w:rFonts w:ascii="宋体" w:hAnsi="宋体"/>
          <w:sz w:val="24"/>
        </w:rPr>
        <w:t>4</w:t>
      </w:r>
      <w:r>
        <w:rPr>
          <w:rFonts w:ascii="宋体" w:hAnsi="宋体"/>
          <w:sz w:val="24"/>
        </w:rPr>
        <w:t>、基金份额持有人：指依基金合同和招募说明书合法取得基金份额的投资人</w:t>
      </w:r>
    </w:p>
    <w:p w14:paraId="2DAF2106" w14:textId="2401204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1D0AE1">
        <w:rPr>
          <w:rFonts w:ascii="宋体" w:hAnsi="宋体"/>
          <w:sz w:val="24"/>
        </w:rPr>
        <w:t>5</w:t>
      </w:r>
      <w:r>
        <w:rPr>
          <w:rFonts w:ascii="宋体" w:hAnsi="宋体"/>
          <w:sz w:val="24"/>
        </w:rPr>
        <w:t>、基金销售业务：指基金管理人或销售机构宣传推介基金，发售基金份额，办理基金份额的申购、赎回、转换、转托管及定期定额投资等业务</w:t>
      </w:r>
    </w:p>
    <w:p w14:paraId="3292B24E" w14:textId="5A3FB36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1D0AE1">
        <w:rPr>
          <w:rFonts w:ascii="宋体" w:hAnsi="宋体"/>
          <w:sz w:val="24"/>
        </w:rPr>
        <w:t>6</w:t>
      </w:r>
      <w:r>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40CF2CFB" w14:textId="58D198E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1D0AE1">
        <w:rPr>
          <w:rFonts w:ascii="宋体" w:hAnsi="宋体"/>
          <w:sz w:val="24"/>
        </w:rPr>
        <w:t>7</w:t>
      </w:r>
      <w:r>
        <w:rPr>
          <w:rFonts w:ascii="宋体" w:hAnsi="宋体"/>
          <w:sz w:val="24"/>
        </w:rPr>
        <w:t>、登记业务：指基金登记、存管、过户、清算和结算业务，具体内容包括投</w:t>
      </w:r>
      <w:r>
        <w:rPr>
          <w:rFonts w:ascii="宋体" w:hAnsi="宋体"/>
          <w:sz w:val="24"/>
        </w:rPr>
        <w:lastRenderedPageBreak/>
        <w:t>资人基金账户的建立和管理、基金份额登记、基金销售业务的确认、清算和结算、代理发放红利、建立并保管基金份额持有人名册和办理非交易过户等</w:t>
      </w:r>
    </w:p>
    <w:p w14:paraId="66FD806F" w14:textId="7BE3E21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1D0AE1">
        <w:rPr>
          <w:rFonts w:ascii="宋体" w:hAnsi="宋体"/>
          <w:sz w:val="24"/>
        </w:rPr>
        <w:t>8</w:t>
      </w:r>
      <w:r>
        <w:rPr>
          <w:rFonts w:ascii="宋体" w:hAnsi="宋体"/>
          <w:sz w:val="24"/>
        </w:rPr>
        <w:t>、登记机构：指办理登记业务的机构。基金的登记机构为交银施罗德基金管理有限公司或接受交银施罗德基金管理有限公司委托办理登记业务的机构</w:t>
      </w:r>
    </w:p>
    <w:p w14:paraId="263507B4" w14:textId="7066203D" w:rsidR="00FB4D29" w:rsidRDefault="001D0A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w:t>
      </w:r>
      <w:r w:rsidR="00CF4592">
        <w:rPr>
          <w:rFonts w:ascii="宋体" w:hAnsi="宋体"/>
          <w:sz w:val="24"/>
        </w:rPr>
        <w:t>、基金账户：指登记机构为投资人开立的、记录其持有的、基金管理人所管理的基金份额余额及其变动情况的账户</w:t>
      </w:r>
    </w:p>
    <w:p w14:paraId="5B755503" w14:textId="18EFBCD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1D0AE1">
        <w:rPr>
          <w:rFonts w:ascii="宋体" w:hAnsi="宋体"/>
          <w:sz w:val="24"/>
        </w:rPr>
        <w:t>0</w:t>
      </w:r>
      <w:r>
        <w:rPr>
          <w:rFonts w:ascii="宋体" w:hAnsi="宋体"/>
          <w:sz w:val="24"/>
        </w:rPr>
        <w:t>、基金交易账户：指销售机构为投资人开立的、记录投资人通过该销售机构办理认购、申购、赎回、转换、定期定额投资及转托管等业务而引起的基金份额变动及结余情况的账户</w:t>
      </w:r>
    </w:p>
    <w:p w14:paraId="3F4B3F03" w14:textId="6F79A5A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1D0AE1">
        <w:rPr>
          <w:rFonts w:ascii="宋体" w:hAnsi="宋体"/>
          <w:sz w:val="24"/>
        </w:rPr>
        <w:t>1</w:t>
      </w:r>
      <w:r>
        <w:rPr>
          <w:rFonts w:ascii="宋体" w:hAnsi="宋体"/>
          <w:sz w:val="24"/>
        </w:rPr>
        <w:t>、基金合同生效日：指</w:t>
      </w:r>
      <w:r w:rsidR="001D0AE1" w:rsidRPr="001D0AE1">
        <w:rPr>
          <w:rFonts w:ascii="宋体" w:hAnsi="宋体" w:hint="eastAsia"/>
          <w:sz w:val="24"/>
        </w:rPr>
        <w:t>根据202</w:t>
      </w:r>
      <w:r w:rsidR="00F81D04">
        <w:rPr>
          <w:rFonts w:ascii="宋体" w:hAnsi="宋体"/>
          <w:sz w:val="24"/>
        </w:rPr>
        <w:t>3</w:t>
      </w:r>
      <w:r w:rsidR="001D0AE1" w:rsidRPr="001D0AE1">
        <w:rPr>
          <w:rFonts w:ascii="宋体" w:hAnsi="宋体" w:hint="eastAsia"/>
          <w:sz w:val="24"/>
        </w:rPr>
        <w:t>年</w:t>
      </w:r>
      <w:r w:rsidR="00F81D04">
        <w:rPr>
          <w:rFonts w:ascii="宋体" w:hAnsi="宋体"/>
          <w:sz w:val="24"/>
        </w:rPr>
        <w:t>2</w:t>
      </w:r>
      <w:r w:rsidR="001D0AE1" w:rsidRPr="001D0AE1">
        <w:rPr>
          <w:rFonts w:ascii="宋体" w:hAnsi="宋体" w:hint="eastAsia"/>
          <w:sz w:val="24"/>
        </w:rPr>
        <w:t>月</w:t>
      </w:r>
      <w:r w:rsidR="00F81D04">
        <w:rPr>
          <w:rFonts w:ascii="宋体" w:hAnsi="宋体"/>
          <w:sz w:val="24"/>
        </w:rPr>
        <w:t>24</w:t>
      </w:r>
      <w:r w:rsidR="001D0AE1" w:rsidRPr="001D0AE1">
        <w:rPr>
          <w:rFonts w:ascii="宋体" w:hAnsi="宋体" w:hint="eastAsia"/>
          <w:sz w:val="24"/>
        </w:rPr>
        <w:t>日至202</w:t>
      </w:r>
      <w:r w:rsidR="00F81D04">
        <w:rPr>
          <w:rFonts w:ascii="宋体" w:hAnsi="宋体"/>
          <w:sz w:val="24"/>
        </w:rPr>
        <w:t>3</w:t>
      </w:r>
      <w:r w:rsidR="001D0AE1" w:rsidRPr="001D0AE1">
        <w:rPr>
          <w:rFonts w:ascii="宋体" w:hAnsi="宋体" w:hint="eastAsia"/>
          <w:sz w:val="24"/>
        </w:rPr>
        <w:t>年</w:t>
      </w:r>
      <w:r w:rsidR="00F81D04">
        <w:rPr>
          <w:rFonts w:ascii="宋体" w:hAnsi="宋体" w:hint="eastAsia"/>
          <w:sz w:val="24"/>
        </w:rPr>
        <w:t>3</w:t>
      </w:r>
      <w:r w:rsidR="001D0AE1" w:rsidRPr="001D0AE1">
        <w:rPr>
          <w:rFonts w:ascii="宋体" w:hAnsi="宋体" w:hint="eastAsia"/>
          <w:sz w:val="24"/>
        </w:rPr>
        <w:t>月</w:t>
      </w:r>
      <w:r w:rsidR="00F81D04">
        <w:rPr>
          <w:rFonts w:ascii="宋体" w:hAnsi="宋体" w:hint="eastAsia"/>
          <w:sz w:val="24"/>
        </w:rPr>
        <w:t>2</w:t>
      </w:r>
      <w:r w:rsidR="00F81D04">
        <w:rPr>
          <w:rFonts w:ascii="宋体" w:hAnsi="宋体"/>
          <w:sz w:val="24"/>
        </w:rPr>
        <w:t>7</w:t>
      </w:r>
      <w:r w:rsidR="001D0AE1" w:rsidRPr="001D0AE1">
        <w:rPr>
          <w:rFonts w:ascii="宋体" w:hAnsi="宋体" w:hint="eastAsia"/>
          <w:sz w:val="24"/>
        </w:rPr>
        <w:t>日基金份额持有人大会审议通过的《关于交银施罗德持续成长主题混合型证券投资基金调整投资范围及修改基金合同有关事项的议案》所修订的《交银施罗德持续成长主题混合型证券投资基金基金合同》生效日</w:t>
      </w:r>
    </w:p>
    <w:p w14:paraId="44BD37A6" w14:textId="52AD38E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3246BF">
        <w:rPr>
          <w:rFonts w:ascii="宋体" w:hAnsi="宋体"/>
          <w:sz w:val="24"/>
        </w:rPr>
        <w:t>2</w:t>
      </w:r>
      <w:r>
        <w:rPr>
          <w:rFonts w:ascii="宋体" w:hAnsi="宋体"/>
          <w:sz w:val="24"/>
        </w:rPr>
        <w:t>、基金合同终止日：指基金合同规定的基金合同终止事由出现后，基金财产清算完毕，清算结果报中国证监会备案并予以公告的日期</w:t>
      </w:r>
    </w:p>
    <w:p w14:paraId="2A0CA1D0" w14:textId="5A6DBFD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3246BF">
        <w:rPr>
          <w:rFonts w:ascii="宋体" w:hAnsi="宋体"/>
          <w:sz w:val="24"/>
        </w:rPr>
        <w:t>3</w:t>
      </w:r>
      <w:r>
        <w:rPr>
          <w:rFonts w:ascii="宋体" w:hAnsi="宋体"/>
          <w:sz w:val="24"/>
        </w:rPr>
        <w:t>、基金募集期：指自基金份额发售之日起至发售结束之日止的期间，最长不得超过3个月</w:t>
      </w:r>
    </w:p>
    <w:p w14:paraId="41A87F7B" w14:textId="3F64F8C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3246BF">
        <w:rPr>
          <w:rFonts w:ascii="宋体" w:hAnsi="宋体"/>
          <w:sz w:val="24"/>
        </w:rPr>
        <w:t>4</w:t>
      </w:r>
      <w:r>
        <w:rPr>
          <w:rFonts w:ascii="宋体" w:hAnsi="宋体"/>
          <w:sz w:val="24"/>
        </w:rPr>
        <w:t>、存续期：指基金合同生效至终止之间的不定期期限</w:t>
      </w:r>
    </w:p>
    <w:p w14:paraId="782F6021" w14:textId="1FA92FE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3246BF">
        <w:rPr>
          <w:rFonts w:ascii="宋体" w:hAnsi="宋体"/>
          <w:sz w:val="24"/>
        </w:rPr>
        <w:t>5</w:t>
      </w:r>
      <w:r>
        <w:rPr>
          <w:rFonts w:ascii="宋体" w:hAnsi="宋体"/>
          <w:sz w:val="24"/>
        </w:rPr>
        <w:t>、工作日：指上海证券交易所、深圳证券交易所的正常交易日</w:t>
      </w:r>
    </w:p>
    <w:p w14:paraId="4C87D902" w14:textId="389EA40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3246BF">
        <w:rPr>
          <w:rFonts w:ascii="宋体" w:hAnsi="宋体"/>
          <w:sz w:val="24"/>
        </w:rPr>
        <w:t>6</w:t>
      </w:r>
      <w:r>
        <w:rPr>
          <w:rFonts w:ascii="宋体" w:hAnsi="宋体"/>
          <w:sz w:val="24"/>
        </w:rPr>
        <w:t>、T日：指销售机构在规定时间受理投资人申购、赎回或其他业务申请的开放日</w:t>
      </w:r>
    </w:p>
    <w:p w14:paraId="129D07DB" w14:textId="3908745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3246BF">
        <w:rPr>
          <w:rFonts w:ascii="宋体" w:hAnsi="宋体"/>
          <w:sz w:val="24"/>
        </w:rPr>
        <w:t>7</w:t>
      </w:r>
      <w:r>
        <w:rPr>
          <w:rFonts w:ascii="宋体" w:hAnsi="宋体"/>
          <w:sz w:val="24"/>
        </w:rPr>
        <w:t>、T+n日：指自T日起第n个工作日（不包含T日）</w:t>
      </w:r>
    </w:p>
    <w:p w14:paraId="2D432624" w14:textId="146423D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3246BF">
        <w:rPr>
          <w:rFonts w:ascii="宋体" w:hAnsi="宋体"/>
          <w:sz w:val="24"/>
        </w:rPr>
        <w:t>8</w:t>
      </w:r>
      <w:r>
        <w:rPr>
          <w:rFonts w:ascii="宋体" w:hAnsi="宋体"/>
          <w:sz w:val="24"/>
        </w:rPr>
        <w:t>、开放日：指为投资人办理基金份额申购、赎回或其他业务的工作日</w:t>
      </w:r>
      <w:r w:rsidR="003246BF" w:rsidRPr="003246BF">
        <w:rPr>
          <w:rFonts w:ascii="宋体" w:hAnsi="宋体" w:hint="eastAsia"/>
          <w:sz w:val="24"/>
        </w:rPr>
        <w:t>（若该工作日为非港股通交易日，则本基金可不开放）</w:t>
      </w:r>
    </w:p>
    <w:p w14:paraId="041AF4CB" w14:textId="60BFE112" w:rsidR="00FB4D29" w:rsidRDefault="003246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CF4592">
        <w:rPr>
          <w:rFonts w:ascii="宋体" w:hAnsi="宋体"/>
          <w:sz w:val="24"/>
        </w:rPr>
        <w:t>、开放时间：指开放日基金接受申购、赎回或其他交易的时间段</w:t>
      </w:r>
    </w:p>
    <w:p w14:paraId="3F001E13" w14:textId="3C2A53F2" w:rsidR="003246BF" w:rsidRDefault="00CF4592">
      <w:pPr>
        <w:autoSpaceDE w:val="0"/>
        <w:autoSpaceDN w:val="0"/>
        <w:adjustRightInd w:val="0"/>
        <w:snapToGrid w:val="0"/>
        <w:spacing w:line="360" w:lineRule="auto"/>
        <w:ind w:firstLineChars="200" w:firstLine="480"/>
        <w:jc w:val="left"/>
        <w:rPr>
          <w:bCs/>
          <w:sz w:val="24"/>
        </w:rPr>
      </w:pPr>
      <w:r>
        <w:rPr>
          <w:rFonts w:ascii="宋体" w:hAnsi="宋体"/>
          <w:sz w:val="24"/>
        </w:rPr>
        <w:t>4</w:t>
      </w:r>
      <w:r w:rsidR="003246BF">
        <w:rPr>
          <w:rFonts w:ascii="宋体" w:hAnsi="宋体"/>
          <w:sz w:val="24"/>
        </w:rPr>
        <w:t>0</w:t>
      </w:r>
      <w:r>
        <w:rPr>
          <w:rFonts w:ascii="宋体" w:hAnsi="宋体"/>
          <w:sz w:val="24"/>
        </w:rPr>
        <w:t>、《业务规则》：指</w:t>
      </w:r>
      <w:r w:rsidR="003246BF">
        <w:rPr>
          <w:rFonts w:hint="eastAsia"/>
          <w:bCs/>
          <w:sz w:val="24"/>
        </w:rPr>
        <w:t>中国证券登记结算有限责任公司相关业务规则及其不时做出的修订</w:t>
      </w:r>
    </w:p>
    <w:p w14:paraId="0D5EFF98" w14:textId="2C5C199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3246BF">
        <w:rPr>
          <w:rFonts w:ascii="宋体" w:hAnsi="宋体"/>
          <w:sz w:val="24"/>
        </w:rPr>
        <w:t>1</w:t>
      </w:r>
      <w:r>
        <w:rPr>
          <w:rFonts w:ascii="宋体" w:hAnsi="宋体"/>
          <w:sz w:val="24"/>
        </w:rPr>
        <w:t>、认购：指在基金募集期内，投资人根据基金合同和招募说明书的规定申请购买基金份额的行为</w:t>
      </w:r>
    </w:p>
    <w:p w14:paraId="108032E7" w14:textId="644F9F1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3246BF">
        <w:rPr>
          <w:rFonts w:ascii="宋体" w:hAnsi="宋体"/>
          <w:sz w:val="24"/>
        </w:rPr>
        <w:t>2</w:t>
      </w:r>
      <w:r>
        <w:rPr>
          <w:rFonts w:ascii="宋体" w:hAnsi="宋体"/>
          <w:sz w:val="24"/>
        </w:rPr>
        <w:t>、申购：指基金合同生效后，投资人根据基金合同和招募说明书的规定申请</w:t>
      </w:r>
      <w:r>
        <w:rPr>
          <w:rFonts w:ascii="宋体" w:hAnsi="宋体"/>
          <w:sz w:val="24"/>
        </w:rPr>
        <w:lastRenderedPageBreak/>
        <w:t>购买基金份额的行为</w:t>
      </w:r>
    </w:p>
    <w:p w14:paraId="212D82BD" w14:textId="5D96DCE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3246BF">
        <w:rPr>
          <w:rFonts w:ascii="宋体" w:hAnsi="宋体"/>
          <w:sz w:val="24"/>
        </w:rPr>
        <w:t>3</w:t>
      </w:r>
      <w:r>
        <w:rPr>
          <w:rFonts w:ascii="宋体" w:hAnsi="宋体"/>
          <w:sz w:val="24"/>
        </w:rPr>
        <w:t>、赎回：指基金合同生效后，基金份额持有人按基金合同和招募说明书规定的条件要求将基金份额兑换为现金的行为</w:t>
      </w:r>
    </w:p>
    <w:p w14:paraId="69FD56B0" w14:textId="7FA5F99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3246BF">
        <w:rPr>
          <w:rFonts w:ascii="宋体" w:hAnsi="宋体"/>
          <w:sz w:val="24"/>
        </w:rPr>
        <w:t>4</w:t>
      </w:r>
      <w:r>
        <w:rPr>
          <w:rFonts w:ascii="宋体"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6F38976" w14:textId="1D65D88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3246BF">
        <w:rPr>
          <w:rFonts w:ascii="宋体" w:hAnsi="宋体"/>
          <w:sz w:val="24"/>
        </w:rPr>
        <w:t>5</w:t>
      </w:r>
      <w:r>
        <w:rPr>
          <w:rFonts w:ascii="宋体" w:hAnsi="宋体"/>
          <w:sz w:val="24"/>
        </w:rPr>
        <w:t>、转托管：指基金份额持有人在本基金的不同销售机构之间实施的变更所持基金份额销售机构的操作</w:t>
      </w:r>
    </w:p>
    <w:p w14:paraId="37ED4072" w14:textId="672F5FA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3246BF">
        <w:rPr>
          <w:rFonts w:ascii="宋体" w:hAnsi="宋体"/>
          <w:sz w:val="24"/>
        </w:rPr>
        <w:t>6</w:t>
      </w:r>
      <w:r>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3CE2152" w14:textId="1F7613A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3246BF">
        <w:rPr>
          <w:rFonts w:ascii="宋体" w:hAnsi="宋体"/>
          <w:sz w:val="24"/>
        </w:rPr>
        <w:t>7</w:t>
      </w:r>
      <w:r>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35E0FA57" w14:textId="0FDD33D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3246BF">
        <w:rPr>
          <w:rFonts w:ascii="宋体" w:hAnsi="宋体"/>
          <w:sz w:val="24"/>
        </w:rPr>
        <w:t>8</w:t>
      </w:r>
      <w:r>
        <w:rPr>
          <w:rFonts w:ascii="宋体" w:hAnsi="宋体"/>
          <w:sz w:val="24"/>
        </w:rPr>
        <w:t>、元：指人民币元</w:t>
      </w:r>
    </w:p>
    <w:p w14:paraId="12F0B440" w14:textId="341B1CE5" w:rsidR="00FB4D29" w:rsidRDefault="003246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CF4592">
        <w:rPr>
          <w:rFonts w:ascii="宋体" w:hAnsi="宋体"/>
          <w:sz w:val="24"/>
        </w:rPr>
        <w:t>、基金收益：指基金投资所得红利、股息、债券利息、买卖证券价差、银行存款利息、已实现的其他合法收入及因运用基金财产带来的成本和费用的节约</w:t>
      </w:r>
    </w:p>
    <w:p w14:paraId="373FAA28" w14:textId="4A8DB65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3246BF">
        <w:rPr>
          <w:rFonts w:ascii="宋体" w:hAnsi="宋体"/>
          <w:sz w:val="24"/>
        </w:rPr>
        <w:t>0</w:t>
      </w:r>
      <w:r>
        <w:rPr>
          <w:rFonts w:ascii="宋体" w:hAnsi="宋体"/>
          <w:sz w:val="24"/>
        </w:rPr>
        <w:t>、基金资产总值：指基金拥有的各类有价证券、股指期货合约、银行存款本息、基金应收</w:t>
      </w:r>
      <w:r w:rsidR="00125E1E">
        <w:rPr>
          <w:rFonts w:ascii="宋体" w:hAnsi="宋体" w:hint="eastAsia"/>
          <w:sz w:val="24"/>
        </w:rPr>
        <w:t>款项</w:t>
      </w:r>
      <w:r>
        <w:rPr>
          <w:rFonts w:ascii="宋体" w:hAnsi="宋体"/>
          <w:sz w:val="24"/>
        </w:rPr>
        <w:t>及其他资产的价值总和</w:t>
      </w:r>
    </w:p>
    <w:p w14:paraId="206F8F22" w14:textId="3998FD6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3246BF">
        <w:rPr>
          <w:rFonts w:ascii="宋体" w:hAnsi="宋体"/>
          <w:sz w:val="24"/>
        </w:rPr>
        <w:t>1</w:t>
      </w:r>
      <w:r>
        <w:rPr>
          <w:rFonts w:ascii="宋体" w:hAnsi="宋体"/>
          <w:sz w:val="24"/>
        </w:rPr>
        <w:t>、基金资产净值：指基金资产总值减去基金负债后的价值</w:t>
      </w:r>
    </w:p>
    <w:p w14:paraId="72D2D394" w14:textId="3D3E0B1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3246BF">
        <w:rPr>
          <w:rFonts w:ascii="宋体" w:hAnsi="宋体"/>
          <w:sz w:val="24"/>
        </w:rPr>
        <w:t>2</w:t>
      </w:r>
      <w:r>
        <w:rPr>
          <w:rFonts w:ascii="宋体" w:hAnsi="宋体"/>
          <w:sz w:val="24"/>
        </w:rPr>
        <w:t>、基金份额净值：指计算日基金资产净值除以计算日基金份额总数</w:t>
      </w:r>
    </w:p>
    <w:p w14:paraId="1D0BD8DE" w14:textId="103B834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3246BF">
        <w:rPr>
          <w:rFonts w:ascii="宋体" w:hAnsi="宋体"/>
          <w:sz w:val="24"/>
        </w:rPr>
        <w:t>3</w:t>
      </w:r>
      <w:r>
        <w:rPr>
          <w:rFonts w:ascii="宋体" w:hAnsi="宋体"/>
          <w:sz w:val="24"/>
        </w:rPr>
        <w:t>、基金资产估值：指计算评估基金资产和负债的价值，以确定基金资产净值和基金份额净值的过程</w:t>
      </w:r>
    </w:p>
    <w:p w14:paraId="056F5CD5" w14:textId="77777777" w:rsidR="003246BF" w:rsidRPr="003246BF" w:rsidRDefault="003246BF" w:rsidP="003246BF">
      <w:pPr>
        <w:autoSpaceDE w:val="0"/>
        <w:autoSpaceDN w:val="0"/>
        <w:adjustRightInd w:val="0"/>
        <w:snapToGrid w:val="0"/>
        <w:spacing w:line="360" w:lineRule="auto"/>
        <w:ind w:firstLineChars="200" w:firstLine="480"/>
        <w:jc w:val="left"/>
        <w:rPr>
          <w:rFonts w:ascii="宋体" w:hAnsi="宋体"/>
          <w:sz w:val="24"/>
        </w:rPr>
      </w:pPr>
      <w:r w:rsidRPr="003246BF">
        <w:rPr>
          <w:rFonts w:ascii="宋体" w:hAnsi="宋体" w:hint="eastAsia"/>
          <w:sz w:val="24"/>
        </w:rPr>
        <w:t>54、港股通：指内地投资者委托内地证券公司，经由内地证券交易所在香港设立的证券交易服务公司，向香港联合交易所进行申报，买卖规定范围内的香港联合交易所上市的股票</w:t>
      </w:r>
    </w:p>
    <w:p w14:paraId="1C4900E4" w14:textId="77777777" w:rsidR="003246BF" w:rsidRPr="003246BF" w:rsidRDefault="003246BF" w:rsidP="003246BF">
      <w:pPr>
        <w:autoSpaceDE w:val="0"/>
        <w:autoSpaceDN w:val="0"/>
        <w:adjustRightInd w:val="0"/>
        <w:snapToGrid w:val="0"/>
        <w:spacing w:line="360" w:lineRule="auto"/>
        <w:ind w:firstLineChars="200" w:firstLine="480"/>
        <w:jc w:val="left"/>
        <w:rPr>
          <w:rFonts w:ascii="宋体" w:hAnsi="宋体"/>
          <w:sz w:val="24"/>
        </w:rPr>
      </w:pPr>
      <w:r w:rsidRPr="003246BF">
        <w:rPr>
          <w:rFonts w:ascii="宋体" w:hAnsi="宋体" w:hint="eastAsia"/>
          <w:sz w:val="24"/>
        </w:rPr>
        <w:t>55、销售服务费：指从基金财产中计提的，用于本基金市场推广、销售以及基金份额持有人服务的费用</w:t>
      </w:r>
    </w:p>
    <w:p w14:paraId="37B3F66E" w14:textId="4E02E482" w:rsidR="003246BF" w:rsidRPr="003246BF" w:rsidRDefault="003246BF" w:rsidP="003246BF">
      <w:pPr>
        <w:autoSpaceDE w:val="0"/>
        <w:autoSpaceDN w:val="0"/>
        <w:adjustRightInd w:val="0"/>
        <w:snapToGrid w:val="0"/>
        <w:spacing w:line="360" w:lineRule="auto"/>
        <w:ind w:firstLineChars="200" w:firstLine="480"/>
        <w:jc w:val="left"/>
        <w:rPr>
          <w:rFonts w:ascii="宋体" w:hAnsi="宋体"/>
          <w:sz w:val="24"/>
        </w:rPr>
      </w:pPr>
      <w:r w:rsidRPr="003246BF">
        <w:rPr>
          <w:rFonts w:ascii="宋体" w:hAnsi="宋体" w:hint="eastAsia"/>
          <w:sz w:val="24"/>
        </w:rPr>
        <w:t>56、A</w:t>
      </w:r>
      <w:r w:rsidR="00125E1E">
        <w:rPr>
          <w:rFonts w:ascii="宋体" w:hAnsi="宋体" w:hint="eastAsia"/>
          <w:sz w:val="24"/>
        </w:rPr>
        <w:t>类基金份额：指在投资人</w:t>
      </w:r>
      <w:r w:rsidRPr="003246BF">
        <w:rPr>
          <w:rFonts w:ascii="宋体" w:hAnsi="宋体" w:hint="eastAsia"/>
          <w:sz w:val="24"/>
        </w:rPr>
        <w:t>申购时收取申购费用、赎回时收取赎回费用</w:t>
      </w:r>
      <w:r w:rsidR="00A81CF9">
        <w:rPr>
          <w:rFonts w:ascii="宋体" w:hAnsi="宋体" w:hint="eastAsia"/>
          <w:sz w:val="24"/>
        </w:rPr>
        <w:t>，</w:t>
      </w:r>
      <w:r w:rsidRPr="003246BF">
        <w:rPr>
          <w:rFonts w:ascii="宋体" w:hAnsi="宋体" w:hint="eastAsia"/>
          <w:sz w:val="24"/>
        </w:rPr>
        <w:t>且不从本类别基金资产中计提销售服务费的基金份额</w:t>
      </w:r>
    </w:p>
    <w:p w14:paraId="1D092FB6" w14:textId="7F35E7EA" w:rsidR="003246BF" w:rsidRDefault="003246BF" w:rsidP="003246BF">
      <w:pPr>
        <w:autoSpaceDE w:val="0"/>
        <w:autoSpaceDN w:val="0"/>
        <w:adjustRightInd w:val="0"/>
        <w:snapToGrid w:val="0"/>
        <w:spacing w:line="360" w:lineRule="auto"/>
        <w:ind w:firstLineChars="200" w:firstLine="480"/>
        <w:jc w:val="left"/>
        <w:rPr>
          <w:rFonts w:ascii="宋体" w:hAnsi="宋体"/>
          <w:sz w:val="24"/>
        </w:rPr>
      </w:pPr>
      <w:r w:rsidRPr="003246BF">
        <w:rPr>
          <w:rFonts w:ascii="宋体" w:hAnsi="宋体" w:hint="eastAsia"/>
          <w:sz w:val="24"/>
        </w:rPr>
        <w:lastRenderedPageBreak/>
        <w:t>57、C</w:t>
      </w:r>
      <w:r w:rsidR="00125E1E">
        <w:rPr>
          <w:rFonts w:ascii="宋体" w:hAnsi="宋体" w:hint="eastAsia"/>
          <w:sz w:val="24"/>
        </w:rPr>
        <w:t>类基金份额：指在投资人</w:t>
      </w:r>
      <w:r w:rsidRPr="003246BF">
        <w:rPr>
          <w:rFonts w:ascii="宋体" w:hAnsi="宋体" w:hint="eastAsia"/>
          <w:sz w:val="24"/>
        </w:rPr>
        <w:t>申购时不收取申购费用、赎回时收取赎回费用，并从本类别基金资产中计提销售服务费的基金份额</w:t>
      </w:r>
    </w:p>
    <w:p w14:paraId="543E1682" w14:textId="6725ECD7" w:rsidR="003246BF" w:rsidRDefault="00CF4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3246BF">
        <w:rPr>
          <w:rFonts w:ascii="宋体" w:hAnsi="宋体"/>
          <w:sz w:val="24"/>
        </w:rPr>
        <w:t>8</w:t>
      </w:r>
      <w:r>
        <w:rPr>
          <w:rFonts w:ascii="宋体" w:hAnsi="宋体"/>
          <w:sz w:val="24"/>
        </w:rPr>
        <w:t>、</w:t>
      </w:r>
      <w:r w:rsidR="003246BF">
        <w:rPr>
          <w:rFonts w:ascii="宋体" w:hAnsi="宋体"/>
          <w:sz w:val="24"/>
        </w:rPr>
        <w:t>规定媒介</w:t>
      </w:r>
      <w:r>
        <w:rPr>
          <w:rFonts w:ascii="宋体" w:hAnsi="宋体"/>
          <w:sz w:val="24"/>
        </w:rPr>
        <w:t>：指</w:t>
      </w:r>
      <w:r w:rsidR="003246BF" w:rsidRPr="003246BF">
        <w:rPr>
          <w:rFonts w:ascii="宋体" w:hAnsi="宋体" w:hint="eastAsia"/>
          <w:sz w:val="24"/>
        </w:rPr>
        <w:t>符合中国证监会规定条件的用以进行信息披露的全国性报刊及《信息披露办法》规定的互联网网站（包括基金管理人网站、基金托管人网站、中国证监会基金电子披露网站）等媒介</w:t>
      </w:r>
    </w:p>
    <w:p w14:paraId="4AB7E469" w14:textId="280910CF" w:rsidR="003246BF" w:rsidRPr="003246BF" w:rsidRDefault="003246BF">
      <w:pPr>
        <w:autoSpaceDE w:val="0"/>
        <w:autoSpaceDN w:val="0"/>
        <w:adjustRightInd w:val="0"/>
        <w:snapToGrid w:val="0"/>
        <w:spacing w:line="360" w:lineRule="auto"/>
        <w:ind w:firstLineChars="200" w:firstLine="480"/>
        <w:jc w:val="left"/>
        <w:rPr>
          <w:rFonts w:ascii="宋体" w:hAnsi="宋体"/>
          <w:sz w:val="24"/>
        </w:rPr>
      </w:pPr>
      <w:r w:rsidRPr="003246BF">
        <w:rPr>
          <w:rFonts w:ascii="宋体" w:hAnsi="宋体" w:hint="eastAsia"/>
          <w:sz w:val="24"/>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BC26D10" w14:textId="0833E57E" w:rsidR="003246BF" w:rsidRPr="003246BF" w:rsidRDefault="003246BF" w:rsidP="003246BF">
      <w:pPr>
        <w:autoSpaceDE w:val="0"/>
        <w:autoSpaceDN w:val="0"/>
        <w:adjustRightInd w:val="0"/>
        <w:snapToGrid w:val="0"/>
        <w:spacing w:line="360" w:lineRule="auto"/>
        <w:ind w:firstLineChars="200" w:firstLine="480"/>
        <w:jc w:val="left"/>
        <w:rPr>
          <w:rFonts w:ascii="宋体" w:hAnsi="宋体"/>
          <w:sz w:val="24"/>
        </w:rPr>
      </w:pPr>
      <w:r w:rsidRPr="003246BF">
        <w:rPr>
          <w:rFonts w:ascii="宋体" w:hAnsi="宋体" w:hint="eastAsia"/>
          <w:sz w:val="24"/>
        </w:rPr>
        <w:t>6</w:t>
      </w:r>
      <w:r w:rsidR="00125E1E">
        <w:rPr>
          <w:rFonts w:ascii="宋体" w:hAnsi="宋体"/>
          <w:sz w:val="24"/>
        </w:rPr>
        <w:t>0</w:t>
      </w:r>
      <w:r w:rsidRPr="003246BF">
        <w:rPr>
          <w:rFonts w:ascii="宋体" w:hAnsi="宋体"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3B23DC8" w14:textId="70A0FFE8" w:rsidR="00FB4D29" w:rsidRDefault="003246BF" w:rsidP="003246BF">
      <w:pPr>
        <w:autoSpaceDE w:val="0"/>
        <w:autoSpaceDN w:val="0"/>
        <w:adjustRightInd w:val="0"/>
        <w:snapToGrid w:val="0"/>
        <w:spacing w:line="360" w:lineRule="auto"/>
        <w:ind w:firstLineChars="200" w:firstLine="480"/>
        <w:jc w:val="left"/>
        <w:rPr>
          <w:rFonts w:ascii="宋体" w:hAnsi="宋体"/>
          <w:szCs w:val="24"/>
        </w:rPr>
      </w:pPr>
      <w:r w:rsidRPr="003246BF">
        <w:rPr>
          <w:rFonts w:ascii="宋体" w:hAnsi="宋体"/>
          <w:sz w:val="24"/>
        </w:rPr>
        <w:t>6</w:t>
      </w:r>
      <w:r w:rsidR="00125E1E">
        <w:rPr>
          <w:rFonts w:ascii="宋体" w:hAnsi="宋体"/>
          <w:sz w:val="24"/>
        </w:rPr>
        <w:t>1</w:t>
      </w:r>
      <w:r w:rsidR="00CF4592">
        <w:rPr>
          <w:rFonts w:ascii="宋体" w:hAnsi="宋体"/>
          <w:sz w:val="24"/>
        </w:rPr>
        <w:t>、不可抗力：指基金合同当事人不能预见、不能避免且不能克服的客观事件</w:t>
      </w:r>
    </w:p>
    <w:p w14:paraId="6684B743"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50A5048E" w14:textId="6B866409" w:rsidR="00FB4D29" w:rsidRDefault="00CF4592">
      <w:pPr>
        <w:pStyle w:val="1"/>
        <w:snapToGrid w:val="0"/>
        <w:spacing w:beforeLines="0" w:before="240" w:after="240"/>
        <w:rPr>
          <w:rFonts w:ascii="宋体" w:hAnsi="宋体"/>
          <w:szCs w:val="30"/>
        </w:rPr>
      </w:pPr>
      <w:r>
        <w:rPr>
          <w:rFonts w:ascii="宋体" w:hAnsi="宋体"/>
          <w:sz w:val="24"/>
        </w:rPr>
        <w:br w:type="page"/>
      </w:r>
      <w:bookmarkStart w:id="5" w:name="_Toc107476022"/>
      <w:r>
        <w:rPr>
          <w:rFonts w:ascii="Times New Roman" w:hAnsi="Times New Roman"/>
          <w:sz w:val="30"/>
        </w:rPr>
        <w:lastRenderedPageBreak/>
        <w:t>三、基金管理人</w:t>
      </w:r>
      <w:bookmarkEnd w:id="5"/>
    </w:p>
    <w:p w14:paraId="65ACAD1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2C799F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0E50D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E534EC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D0300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72EED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E57409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454EFF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985AE4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87C407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31C32C6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278AD38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13E14A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FB4D29" w14:paraId="1D68557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505C1A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08E39218"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FB4D29" w14:paraId="2EC8D88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6A2CF21"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EF1013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FB4D29" w14:paraId="7EC3655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A2861F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A439BF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FB4D29" w14:paraId="231AA42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9148CA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465DEA2"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50182197" w14:textId="77777777" w:rsidR="00FB4D29" w:rsidRDefault="00FB4D29">
      <w:pPr>
        <w:autoSpaceDE w:val="0"/>
        <w:autoSpaceDN w:val="0"/>
        <w:adjustRightInd w:val="0"/>
        <w:snapToGrid w:val="0"/>
        <w:spacing w:line="360" w:lineRule="auto"/>
        <w:ind w:firstLineChars="200" w:firstLine="420"/>
        <w:jc w:val="left"/>
        <w:rPr>
          <w:rFonts w:ascii="宋体" w:hAnsi="宋体"/>
          <w:szCs w:val="24"/>
        </w:rPr>
      </w:pPr>
    </w:p>
    <w:p w14:paraId="48CD8B40" w14:textId="77777777" w:rsidR="00FB4D29" w:rsidRDefault="00FB4D29">
      <w:pPr>
        <w:autoSpaceDE w:val="0"/>
        <w:autoSpaceDN w:val="0"/>
        <w:adjustRightInd w:val="0"/>
        <w:snapToGrid w:val="0"/>
        <w:spacing w:line="360" w:lineRule="auto"/>
        <w:ind w:firstLineChars="200" w:firstLine="420"/>
        <w:jc w:val="left"/>
        <w:rPr>
          <w:rFonts w:ascii="宋体" w:hAnsi="宋体"/>
          <w:szCs w:val="24"/>
        </w:rPr>
      </w:pPr>
    </w:p>
    <w:p w14:paraId="1063F79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4DB25395" w14:textId="77777777" w:rsidR="004E1592" w:rsidRPr="002C1FF7" w:rsidRDefault="004E1592" w:rsidP="004E1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1、基金管理人董事会成员</w:t>
      </w:r>
    </w:p>
    <w:p w14:paraId="4D3D4E60"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3F48B25"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童洁萍女士，董事，硕士。现任交通银行个人金融业务部副总经理。历任交通银行南京分行个人金融业务部副高级经理，江苏省分行个人金融业务部副总经理、总经理，江苏省分行玄武支行行长。</w:t>
      </w:r>
    </w:p>
    <w:p w14:paraId="178AF538"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lastRenderedPageBreak/>
        <w:t>王贤家先生，董事，学士。现任交通银行风险管理部</w:t>
      </w:r>
      <w:r w:rsidRPr="002C1FF7">
        <w:rPr>
          <w:rFonts w:ascii="宋体" w:hAnsi="宋体"/>
          <w:sz w:val="24"/>
        </w:rPr>
        <w:t>/</w:t>
      </w:r>
      <w:r w:rsidRPr="002C1FF7">
        <w:rPr>
          <w:rFonts w:ascii="宋体" w:hAnsi="宋体" w:hint="eastAsia"/>
          <w:sz w:val="24"/>
        </w:rPr>
        <w:t>内控案防办</w:t>
      </w:r>
      <w:r w:rsidRPr="002C1FF7">
        <w:rPr>
          <w:rFonts w:ascii="宋体" w:hAnsi="宋体"/>
          <w:sz w:val="24"/>
        </w:rPr>
        <w:t xml:space="preserve"> </w:t>
      </w:r>
      <w:r w:rsidRPr="002C1FF7">
        <w:rPr>
          <w:rFonts w:ascii="宋体" w:hAnsi="宋体" w:hint="eastAsia"/>
          <w:sz w:val="24"/>
        </w:rPr>
        <w:t>副总经理。历任交通银行国际业务部外汇资金处交易员，澳门分行资金部主管，总行金融市场部债券投资部副高级经理、外汇交易部高级经理。</w:t>
      </w:r>
    </w:p>
    <w:p w14:paraId="48EE129A"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谢卫先生，董事，总经理，代任首席信息官，博士，高级经济师，民盟中央委员、全国政协委员。现任交银施罗德基金管理有限公司总经理，兼任交银施罗德资产管理</w:t>
      </w:r>
      <w:r w:rsidRPr="002C1FF7">
        <w:rPr>
          <w:rFonts w:ascii="宋体" w:hAnsi="宋体"/>
          <w:sz w:val="24"/>
        </w:rPr>
        <w:t>(</w:t>
      </w:r>
      <w:r w:rsidRPr="002C1FF7">
        <w:rPr>
          <w:rFonts w:ascii="宋体" w:hAnsi="宋体" w:hint="eastAsia"/>
          <w:sz w:val="24"/>
        </w:rPr>
        <w:t>香港</w:t>
      </w:r>
      <w:r w:rsidRPr="002C1FF7">
        <w:rPr>
          <w:rFonts w:ascii="宋体" w:hAnsi="宋体"/>
          <w:sz w:val="24"/>
        </w:rPr>
        <w:t>)</w:t>
      </w:r>
      <w:r w:rsidRPr="002C1FF7">
        <w:rPr>
          <w:rFonts w:ascii="宋体"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04C6CB1"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李定邦（</w:t>
      </w:r>
      <w:r w:rsidRPr="002C1FF7">
        <w:rPr>
          <w:rFonts w:ascii="宋体" w:hAnsi="宋体"/>
          <w:sz w:val="24"/>
        </w:rPr>
        <w:t>Lieven Debruyne</w:t>
      </w:r>
      <w:r w:rsidRPr="002C1FF7">
        <w:rPr>
          <w:rFonts w:ascii="宋体" w:hAnsi="宋体" w:hint="eastAsia"/>
          <w:sz w:val="24"/>
        </w:rPr>
        <w:t>）先生，董事，硕士。现任施罗德集团全球业务总裁，担任集团管理委员会成员。历任施罗德投资管理有限公司亚洲投资产品总监、亚太区行政总裁、施罗德投资管理（香港）有限公司行政总裁兼亚太区基金业务拓展总监。</w:t>
      </w:r>
    </w:p>
    <w:p w14:paraId="3EF2BED5"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章骏翔先生，副董事长，硕士，美国特许金融分析师</w:t>
      </w:r>
      <w:r w:rsidRPr="002C1FF7">
        <w:rPr>
          <w:rFonts w:ascii="宋体" w:hAnsi="宋体"/>
          <w:sz w:val="24"/>
        </w:rPr>
        <w:t>(CFA)</w:t>
      </w:r>
      <w:r w:rsidRPr="002C1FF7">
        <w:rPr>
          <w:rFonts w:ascii="宋体" w:hAnsi="宋体" w:hint="eastAsia"/>
          <w:sz w:val="24"/>
        </w:rPr>
        <w:t>持证人。现任施罗德投资管理</w:t>
      </w:r>
      <w:r w:rsidRPr="002C1FF7">
        <w:rPr>
          <w:rFonts w:ascii="宋体" w:hAnsi="宋体"/>
          <w:sz w:val="24"/>
        </w:rPr>
        <w:t>(</w:t>
      </w:r>
      <w:r w:rsidRPr="002C1FF7">
        <w:rPr>
          <w:rFonts w:ascii="宋体" w:hAnsi="宋体" w:hint="eastAsia"/>
          <w:sz w:val="24"/>
        </w:rPr>
        <w:t>香港</w:t>
      </w:r>
      <w:r w:rsidRPr="002C1FF7">
        <w:rPr>
          <w:rFonts w:ascii="宋体" w:hAnsi="宋体"/>
          <w:sz w:val="24"/>
        </w:rPr>
        <w:t>)</w:t>
      </w:r>
      <w:r w:rsidRPr="002C1FF7">
        <w:rPr>
          <w:rFonts w:ascii="宋体" w:hAnsi="宋体" w:hint="eastAsia"/>
          <w:sz w:val="24"/>
        </w:rPr>
        <w:t>有限公司亚洲投资风险主管。历任渣打银行（香港）交易风险监控，华宝兴业基金管理有限公司风险管理部总经理，法国安盛投资管理（香港）有限公司亚洲风险经理等职。</w:t>
      </w:r>
    </w:p>
    <w:p w14:paraId="018FC707"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03D2FC43"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02449F7"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B3673D7"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sz w:val="24"/>
        </w:rPr>
        <w:t>2</w:t>
      </w:r>
      <w:r w:rsidRPr="002C1FF7">
        <w:rPr>
          <w:rFonts w:ascii="宋体" w:hAnsi="宋体" w:hint="eastAsia"/>
          <w:sz w:val="24"/>
        </w:rPr>
        <w:t>、基金管理人监事会成员</w:t>
      </w:r>
    </w:p>
    <w:p w14:paraId="1306B0F0"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梅津芝女士，监事长，学士。高级经济师、审计师。现任交通银行工会办公室</w:t>
      </w:r>
      <w:r w:rsidRPr="002C1FF7">
        <w:rPr>
          <w:rFonts w:ascii="宋体" w:hAnsi="宋体" w:hint="eastAsia"/>
          <w:sz w:val="24"/>
        </w:rPr>
        <w:lastRenderedPageBreak/>
        <w:t>主任。历任交通银行山西省分行个人金融业务部高级经理，交通银行山西省分行副行长，交通银行个人金融业务部副总经理，交通银行私人银行部总经理。</w:t>
      </w:r>
    </w:p>
    <w:p w14:paraId="02BE92A6"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640CAB44"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刘峥先生，监事，硕士。现任交银施罗德基金管理有限公司综合管理部总经理。历任交通银行上海市分行管理培训生，交通银行战略投资部高级投资并购经理，交银施罗德基金管理有限公司总裁办公室高级综合管理经理、副总经理。</w:t>
      </w:r>
    </w:p>
    <w:p w14:paraId="55133C0D"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5DF3A23A"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sz w:val="24"/>
        </w:rPr>
        <w:t>3</w:t>
      </w:r>
      <w:r w:rsidRPr="002C1FF7">
        <w:rPr>
          <w:rFonts w:ascii="宋体" w:hAnsi="宋体" w:hint="eastAsia"/>
          <w:sz w:val="24"/>
        </w:rPr>
        <w:t>、基金管理人高级管理人员</w:t>
      </w:r>
    </w:p>
    <w:p w14:paraId="66A36D4D"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谢卫先生，总经理、代任首席信息官。简历同上。</w:t>
      </w:r>
    </w:p>
    <w:p w14:paraId="26A501D5"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3442092" w14:textId="77777777" w:rsidR="004E1592" w:rsidRPr="002C1FF7" w:rsidRDefault="004E1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07A252DD" w14:textId="77777777" w:rsidR="004E1592" w:rsidRPr="002C1FF7" w:rsidRDefault="004E1592" w:rsidP="004E1592">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2F69B21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04E11317" w14:textId="6DC4BCF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何帅先生:上海财经大学硕士，</w:t>
      </w:r>
      <w:r w:rsidR="004057EA">
        <w:rPr>
          <w:rFonts w:ascii="宋体" w:hAnsi="宋体"/>
          <w:sz w:val="24"/>
        </w:rPr>
        <w:t>13</w:t>
      </w:r>
      <w:r>
        <w:rPr>
          <w:rFonts w:ascii="宋体" w:hAnsi="宋体"/>
          <w:sz w:val="24"/>
        </w:rPr>
        <w:t>年证券投资行业从业经验。2010年至2012年任国联安基金管理有限公司研究员。2012年加入交银施罗德基金管理有限公司，曾任行业分析师，现任权益部基金经理。现任交银施罗德优势行业灵活配置混合型证券投资基金(2015年07月09日至今)、交银施罗德阿尔法核心混合型证券投资基金</w:t>
      </w:r>
      <w:r>
        <w:rPr>
          <w:rFonts w:ascii="宋体" w:hAnsi="宋体"/>
          <w:sz w:val="24"/>
        </w:rPr>
        <w:lastRenderedPageBreak/>
        <w:t>(2015年09月16日至今)、交银施罗德持续成长主题混合型证券投资基金(2018年01月12日至今)</w:t>
      </w:r>
      <w:r w:rsidR="003C030D" w:rsidRPr="003C030D">
        <w:rPr>
          <w:rFonts w:ascii="宋体" w:hAnsi="宋体" w:hint="eastAsia"/>
          <w:sz w:val="24"/>
        </w:rPr>
        <w:t>、交银施罗德瑞和三年持有期混合型证券投资基金(2022年03月02日至今)的基金经理</w:t>
      </w:r>
      <w:r>
        <w:rPr>
          <w:rFonts w:ascii="宋体" w:hAnsi="宋体"/>
          <w:sz w:val="24"/>
        </w:rPr>
        <w:t>。</w:t>
      </w:r>
    </w:p>
    <w:p w14:paraId="49A615D3" w14:textId="77777777" w:rsidR="00FB4D29" w:rsidRDefault="00FB4D29">
      <w:pPr>
        <w:autoSpaceDE w:val="0"/>
        <w:autoSpaceDN w:val="0"/>
        <w:adjustRightInd w:val="0"/>
        <w:snapToGrid w:val="0"/>
        <w:spacing w:line="360" w:lineRule="auto"/>
        <w:ind w:firstLineChars="200" w:firstLine="420"/>
        <w:jc w:val="left"/>
        <w:rPr>
          <w:rFonts w:ascii="宋体" w:hAnsi="宋体"/>
          <w:szCs w:val="24"/>
        </w:rPr>
      </w:pPr>
    </w:p>
    <w:p w14:paraId="03A0098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2D9A83F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1BC67C1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28936FE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3B379E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5FDA6B9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06E54620" w14:textId="77777777" w:rsidR="00FB4D29" w:rsidRDefault="00FB4D29" w:rsidP="002C1FF7">
      <w:pPr>
        <w:autoSpaceDE w:val="0"/>
        <w:autoSpaceDN w:val="0"/>
        <w:adjustRightInd w:val="0"/>
        <w:snapToGrid w:val="0"/>
        <w:spacing w:line="360" w:lineRule="auto"/>
        <w:jc w:val="left"/>
        <w:rPr>
          <w:rFonts w:ascii="宋体" w:hAnsi="宋体"/>
          <w:szCs w:val="24"/>
        </w:rPr>
      </w:pPr>
    </w:p>
    <w:p w14:paraId="24BFE9BB" w14:textId="5880BC4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w:t>
      </w:r>
      <w:r w:rsidR="00EE4FAE">
        <w:rPr>
          <w:rFonts w:ascii="宋体" w:hAnsi="宋体"/>
          <w:sz w:val="24"/>
        </w:rPr>
        <w:t>2023</w:t>
      </w:r>
      <w:r>
        <w:rPr>
          <w:rFonts w:ascii="宋体" w:hAnsi="宋体"/>
          <w:sz w:val="24"/>
        </w:rPr>
        <w:t>年0</w:t>
      </w:r>
      <w:r w:rsidR="00EE4FAE">
        <w:rPr>
          <w:rFonts w:ascii="宋体" w:hAnsi="宋体"/>
          <w:sz w:val="24"/>
        </w:rPr>
        <w:t>3</w:t>
      </w:r>
      <w:r>
        <w:rPr>
          <w:rFonts w:ascii="宋体" w:hAnsi="宋体"/>
          <w:sz w:val="24"/>
        </w:rPr>
        <w:t>月2</w:t>
      </w:r>
      <w:r w:rsidR="00EE4FAE">
        <w:rPr>
          <w:rFonts w:ascii="宋体" w:hAnsi="宋体"/>
          <w:sz w:val="24"/>
        </w:rPr>
        <w:t>9</w:t>
      </w:r>
      <w:r>
        <w:rPr>
          <w:rFonts w:ascii="宋体" w:hAnsi="宋体"/>
          <w:sz w:val="24"/>
        </w:rPr>
        <w:t>日，期后变动（如有）敬请关注基金管理人发布的相关公告。</w:t>
      </w:r>
    </w:p>
    <w:p w14:paraId="717675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68974B3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0F2D13F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4F647B5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5CDBCB4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771288D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1D18410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46826CF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149A78D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051AFD1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776D2B0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3218C88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7BD15E7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2A221EB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7A01863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1、基金管理人承诺不从事违反《中华人民共和国证券法》的行为，并承诺建立健全内部控制制度，采取有效措施，防止违反《中华人民共和国证券法》行为的发生；</w:t>
      </w:r>
    </w:p>
    <w:p w14:paraId="27877C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13B7403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7826DC4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05DCDA3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04AC752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6716443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C43A1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2999D1E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D1654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CB194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3394B70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6B3E772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566F38A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03DCBB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4601BD6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4BCB77F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7C672B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732B6F2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64533BF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830AA6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2E052CC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公司设立独立的风险管理部，风险管理部保持高度的独立性和权威性，负责对公司各部门风险控制工作进行监督和检查。</w:t>
      </w:r>
    </w:p>
    <w:p w14:paraId="1794549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307F085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46ED9E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7BA9470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2816E3E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113137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281ED70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422AD51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003CE4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3B1B230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1B1C25D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21E40D2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D99AE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6B17CAC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ACA5B9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102814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6C9C0E1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39D67F1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w:t>
      </w:r>
      <w:r>
        <w:rPr>
          <w:rFonts w:ascii="宋体" w:hAnsi="宋体"/>
          <w:sz w:val="24"/>
        </w:rPr>
        <w:lastRenderedPageBreak/>
        <w:t>一个部门的风险管理系统的发展提供协助，汇总公司业务所有的风险信息，独立识别、评估各类风险，提出风险控制建议，使公司在一种风险管理和控制的环境中实现业务目标。</w:t>
      </w:r>
    </w:p>
    <w:p w14:paraId="74D5BE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46EF144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CEAC36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355678A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15F16F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48004D4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4EA1974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28363E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43FAA46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0181B5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681023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4E3BB43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37C8CD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C35356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604DB96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0CFA0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（5）建立有效的内部监控系统</w:t>
      </w:r>
    </w:p>
    <w:p w14:paraId="583D076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85259C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4A4B13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3D2C07D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5D363A3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247555E1"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17AFA963" w14:textId="58747BA8" w:rsidR="00FB4D29" w:rsidRDefault="00CF4592">
      <w:pPr>
        <w:pStyle w:val="1"/>
        <w:snapToGrid w:val="0"/>
        <w:spacing w:beforeLines="0" w:before="240" w:after="240"/>
        <w:rPr>
          <w:rFonts w:ascii="宋体" w:hAnsi="宋体"/>
          <w:szCs w:val="30"/>
        </w:rPr>
      </w:pPr>
      <w:r>
        <w:rPr>
          <w:rFonts w:ascii="宋体" w:hAnsi="宋体"/>
          <w:sz w:val="24"/>
        </w:rPr>
        <w:br w:type="page"/>
      </w:r>
      <w:bookmarkStart w:id="6" w:name="_Toc107476023"/>
      <w:r>
        <w:rPr>
          <w:rFonts w:ascii="Times New Roman" w:hAnsi="Times New Roman"/>
          <w:sz w:val="30"/>
        </w:rPr>
        <w:lastRenderedPageBreak/>
        <w:t>四、基金托管人</w:t>
      </w:r>
      <w:bookmarkEnd w:id="6"/>
    </w:p>
    <w:p w14:paraId="4901F5EF"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（一）基金托管人基本情况</w:t>
      </w:r>
    </w:p>
    <w:p w14:paraId="6B44A9C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名称：中国工商银行股份有限公司</w:t>
      </w:r>
    </w:p>
    <w:p w14:paraId="44328DA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注册地址：北京市西城区复兴门内大街55号</w:t>
      </w:r>
    </w:p>
    <w:p w14:paraId="6271802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成立时间：1984年1月1日</w:t>
      </w:r>
    </w:p>
    <w:p w14:paraId="374E70B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陈四清</w:t>
      </w:r>
    </w:p>
    <w:p w14:paraId="57473C2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注册资本：人民币35,640,625.7089万元</w:t>
      </w:r>
    </w:p>
    <w:p w14:paraId="62DB80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联系电话：010-66105799</w:t>
      </w:r>
    </w:p>
    <w:p w14:paraId="19EDFF5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联系人：郭明</w:t>
      </w:r>
    </w:p>
    <w:p w14:paraId="5A6A182E"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（二）主要人员情况</w:t>
      </w:r>
    </w:p>
    <w:p w14:paraId="332E798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截至2022年3月，中国工商银行资产托管部共有员工214人，平均年龄34岁，95%以上员工拥有大学本科以上学历，高管人员均拥有研究生以上学历或高级技术职称。</w:t>
      </w:r>
    </w:p>
    <w:p w14:paraId="18F9CBB9"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（三）基金托管业务经营情况</w:t>
      </w:r>
    </w:p>
    <w:p w14:paraId="4209463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2022年3月，中国工商银行共托管证券投资基金1304只。自2003年以来，本行连续二十年获得香港《亚洲货币》、英国《全球托管人》、香港《财资》、美国《环球金融》、内地《证券时报》、《上海证券报》等境内外权威财经媒体评选的81项最佳托管银行大奖；是获得奖项最多的国内托管银行，优良的服务品质获得国内外金融领域的持续认可和广泛好评。</w:t>
      </w:r>
    </w:p>
    <w:p w14:paraId="78D73C76"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（四）基金托管人的内部控制制度</w:t>
      </w:r>
    </w:p>
    <w:p w14:paraId="7437799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五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0F3FB5E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1、内部风险控制目标</w:t>
      </w:r>
    </w:p>
    <w:p w14:paraId="1A3112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791B8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2、内部风险控制组织结构</w:t>
      </w:r>
    </w:p>
    <w:p w14:paraId="5C65ED1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4D460A1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3、内部风险控制原则</w:t>
      </w:r>
    </w:p>
    <w:p w14:paraId="12FEC43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（1）合法性原则。内控制度应当符合国家法律法规及监管机构的监管要求，并贯穿于托管业务经营管理活动的始终。</w:t>
      </w:r>
    </w:p>
    <w:p w14:paraId="52B9547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（2）完整性原则。托管业务的各项经营管理活动都必须有相应的规范程序和监督制约；监督制约应渗透到托管业务的全过程和各个操作环节，覆盖所有的部门、岗位和人员。</w:t>
      </w:r>
    </w:p>
    <w:p w14:paraId="2AEAD3D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（3）及时性原则。托管业务经营活动必须在发生时能准确及时地记录；按照</w:t>
      </w:r>
      <w:r>
        <w:rPr>
          <w:rFonts w:ascii="宋体" w:hAnsi="宋体"/>
          <w:sz w:val="24"/>
        </w:rPr>
        <w:lastRenderedPageBreak/>
        <w:t>“内控优先”的原则，新设机构或新增业务品种时，必须做到已建立相关的规章制度。</w:t>
      </w:r>
    </w:p>
    <w:p w14:paraId="0DCEB5A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（4）审慎性原则。各项业务经营活动必须防范风险，审慎经营，保证基金资产和其他委托资产的安全与完整。</w:t>
      </w:r>
    </w:p>
    <w:p w14:paraId="4E1C995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（5）有效性原则。内控制度应根据国家政策、法律及经营管理的需要适时修改完善，并保证得到全面落实执行，不得有任何空间、时限及人员的例外。</w:t>
      </w:r>
    </w:p>
    <w:p w14:paraId="3A349E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（6）独立性原则。设立专门履行托管人职责的管理部门；直接操作人员和控制人员必须相对独立，适当分离；内控制度的检查、评价部门必须独立于内控制度的制定和执行部门。</w:t>
      </w:r>
    </w:p>
    <w:p w14:paraId="0FA1A44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4、内部风险控制措施实施</w:t>
      </w:r>
    </w:p>
    <w:p w14:paraId="472751E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4A7D707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495080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306C6CE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（4）经营控制。资产托管部通过制定计划、编制预算等方法开展各种业务营销活动、处理各项事务，从而有效地控制和配置组织资源，达到资源利用和效益最大化目的。</w:t>
      </w:r>
    </w:p>
    <w:p w14:paraId="4A9A08B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14:paraId="124C72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（6）数据安全控制。我们通过业务操作区相对独立、数据和传真加密、数据</w:t>
      </w:r>
      <w:r>
        <w:rPr>
          <w:rFonts w:ascii="宋体" w:hAnsi="宋体"/>
          <w:sz w:val="24"/>
        </w:rPr>
        <w:lastRenderedPageBreak/>
        <w:t>传输线路的冗余备份、监控设施的运用和保障等措施来保障数据安全。</w:t>
      </w:r>
    </w:p>
    <w:p w14:paraId="19CD95D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7EF90F7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5、资产托管部内部风险控制情况</w:t>
      </w:r>
    </w:p>
    <w:p w14:paraId="33D376A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（1）资产托管部内部设置专职稽核监察部门，配备专职稽核监察人员，在总经理的直接领导下，依照有关法律规章，全面贯彻落实全程监控思想，确保资产托管业务健康、稳定地发展。</w:t>
      </w:r>
    </w:p>
    <w:p w14:paraId="527C2C3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00B8959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444EAAE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18FE2CFE"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(五)基金托管人对基金管理人运作基金进行监督的方法和程序</w:t>
      </w:r>
    </w:p>
    <w:p w14:paraId="6A10D481" w14:textId="51405BD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根据《基金法》、基金合同、托管协议和有关基金法规的规定，基金托管人对基金的投资范围和投资对象、基金投融资比例、基金投资禁止行为、基金参与银行间债券市场、基金资产净值的计算、</w:t>
      </w:r>
      <w:r w:rsidR="0019797F">
        <w:rPr>
          <w:rFonts w:ascii="宋体" w:hAnsi="宋体" w:hint="eastAsia"/>
          <w:sz w:val="24"/>
        </w:rPr>
        <w:t>各类</w:t>
      </w:r>
      <w:r>
        <w:rPr>
          <w:rFonts w:ascii="宋体" w:hAnsi="宋体"/>
          <w:sz w:val="24"/>
        </w:rPr>
        <w:t>基金份额净值计算、应收资金到账、基金</w:t>
      </w:r>
      <w:r>
        <w:rPr>
          <w:rFonts w:ascii="宋体" w:hAnsi="宋体"/>
          <w:sz w:val="24"/>
        </w:rPr>
        <w:lastRenderedPageBreak/>
        <w:t>费用开支及收入确定、基金收益分配、相关信息披露、基金宣传推介材料中登载基金业绩表现数据等进行监督和核查，其中对基金的投资比例的监督和核查自基金合同生效之后六个月开始。</w:t>
      </w:r>
    </w:p>
    <w:p w14:paraId="22B5369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1CFC6E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14:paraId="1B21C285" w14:textId="77777777" w:rsidR="00FB4D29" w:rsidRDefault="00FB4D29">
      <w:pPr>
        <w:autoSpaceDE w:val="0"/>
        <w:autoSpaceDN w:val="0"/>
        <w:adjustRightInd w:val="0"/>
        <w:snapToGrid w:val="0"/>
        <w:spacing w:line="360" w:lineRule="auto"/>
        <w:ind w:firstLineChars="200" w:firstLine="420"/>
        <w:jc w:val="left"/>
        <w:rPr>
          <w:rFonts w:ascii="宋体" w:hAnsi="宋体"/>
          <w:szCs w:val="24"/>
        </w:rPr>
      </w:pPr>
    </w:p>
    <w:p w14:paraId="1FE4B8B7"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46D4DED7" w14:textId="12E0D879" w:rsidR="00FB4D29" w:rsidRDefault="00CF4592">
      <w:pPr>
        <w:pStyle w:val="1"/>
        <w:snapToGrid w:val="0"/>
        <w:spacing w:beforeLines="0" w:before="240" w:after="240"/>
        <w:rPr>
          <w:rFonts w:ascii="宋体" w:hAnsi="宋体"/>
          <w:szCs w:val="30"/>
        </w:rPr>
      </w:pPr>
      <w:r>
        <w:rPr>
          <w:rFonts w:ascii="宋体" w:hAnsi="宋体"/>
          <w:sz w:val="24"/>
        </w:rPr>
        <w:br w:type="page"/>
      </w:r>
      <w:bookmarkStart w:id="7" w:name="_Toc107476024"/>
      <w:r>
        <w:rPr>
          <w:rFonts w:ascii="Times New Roman" w:hAnsi="Times New Roman"/>
          <w:sz w:val="30"/>
        </w:rPr>
        <w:lastRenderedPageBreak/>
        <w:t>五、相关服务机构</w:t>
      </w:r>
      <w:bookmarkEnd w:id="7"/>
    </w:p>
    <w:p w14:paraId="6F75ACD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107523B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78E86C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14:paraId="078C451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B422A9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468AA0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E500A8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FB11FD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91FF89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2A907F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46A4A1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7CA92F2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183642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8A61CC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个人投资者可以通过基金管理人网上直销交易平台办理开户、本基金的申购、赎回、转换、定期定额投资等业务，具体交易细则请参阅基金管理人网站。</w:t>
      </w:r>
    </w:p>
    <w:p w14:paraId="07AB2517" w14:textId="500F70C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4BBA88B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52DA1D0B" w14:textId="77777777" w:rsidR="00E520E1" w:rsidRDefault="00E520E1">
      <w:pPr>
        <w:autoSpaceDE w:val="0"/>
        <w:autoSpaceDN w:val="0"/>
        <w:adjustRightInd w:val="0"/>
        <w:snapToGrid w:val="0"/>
        <w:spacing w:line="360" w:lineRule="auto"/>
        <w:ind w:firstLineChars="200" w:firstLine="480"/>
        <w:jc w:val="left"/>
        <w:rPr>
          <w:rFonts w:ascii="宋体" w:hAnsi="宋体"/>
          <w:sz w:val="24"/>
        </w:rPr>
      </w:pPr>
      <w:r w:rsidRPr="00E520E1">
        <w:rPr>
          <w:rFonts w:ascii="宋体" w:hAnsi="宋体" w:hint="eastAsia"/>
          <w:sz w:val="24"/>
        </w:rPr>
        <w:t>本基金A类基金份额除直销机构外的其他销售机构：</w:t>
      </w:r>
    </w:p>
    <w:p w14:paraId="4E1B636E" w14:textId="2003F4F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0BC242B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3685179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2AE75B9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08B1983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2029EA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030C52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0AC2C36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6CCF8C9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7151F1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（2）名称：中国工商银行股份有限公司</w:t>
      </w:r>
    </w:p>
    <w:p w14:paraId="6FAFD4F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14:paraId="47896D4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办公地址：北京市复兴门内大街55号</w:t>
      </w:r>
    </w:p>
    <w:p w14:paraId="7E32387F" w14:textId="7B65434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E072F7">
        <w:rPr>
          <w:rFonts w:ascii="宋体" w:hAnsi="宋体" w:hint="eastAsia"/>
          <w:sz w:val="24"/>
        </w:rPr>
        <w:t>陈四清</w:t>
      </w:r>
    </w:p>
    <w:p w14:paraId="67AE5C1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14:paraId="270EE2C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14:paraId="011F982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14:paraId="341D0D8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599CA31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929DE1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063B19F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245EDB6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66133E9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0B5496E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472DB4F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3F83750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（4）名称：中信银行股份有限公司</w:t>
      </w:r>
    </w:p>
    <w:p w14:paraId="312CF0C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241D990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1E8349E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2DB6DF8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5BAA629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3294E9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15DB8C5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22A29D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53747F1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（5）名称：东莞农村商业银行股份有限公司</w:t>
      </w:r>
    </w:p>
    <w:p w14:paraId="373C9A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14:paraId="2B11575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14:paraId="534F554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14:paraId="25876DF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14:paraId="5793840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14:paraId="513C3F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联系人：林培珊</w:t>
      </w:r>
    </w:p>
    <w:p w14:paraId="0F62DE5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14:paraId="5EF8359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14:paraId="732D1CC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（6）名称：上海浦东发展银行股份有限公司</w:t>
      </w:r>
    </w:p>
    <w:p w14:paraId="24B6C5B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14:paraId="12CC681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14:paraId="46C1BC9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14:paraId="116D4B0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14:paraId="28E3C7F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14:paraId="457A738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14:paraId="05AF732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14:paraId="36E1D9A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14:paraId="11682C9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（7）名称：宁波银行股份有限公司</w:t>
      </w:r>
    </w:p>
    <w:p w14:paraId="6482A06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02504E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5DD5295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559F992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66C3D7B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02368FA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0232825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66BE262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（8）名称：平安银行股份有限公司</w:t>
      </w:r>
    </w:p>
    <w:p w14:paraId="27CBB1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4C73207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77B20D8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04BE2E7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0F09621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76043A6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1B40A66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1A3BBCE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00CB49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（9）名称：中国光大银行股份有限公司</w:t>
      </w:r>
    </w:p>
    <w:p w14:paraId="11CFB44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住所：北京市西城区太平桥大街25号、甲25号中国光大中心</w:t>
      </w:r>
    </w:p>
    <w:p w14:paraId="6844D10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14:paraId="3313E3D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1D181B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14:paraId="40F419C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14:paraId="6F8CE5F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14:paraId="0B5F214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14:paraId="5B8D687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5AED100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（10）名称：东方财富证券股份有限公司</w:t>
      </w:r>
    </w:p>
    <w:p w14:paraId="538D510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14:paraId="6F6A94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14:paraId="66C9D82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14:paraId="6875FE1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14:paraId="11A1EC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14:paraId="0BEE9E8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14:paraId="5C4406D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14:paraId="38C66A1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14:paraId="2EE129A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（11）名称：安信证券股份有限公司</w:t>
      </w:r>
    </w:p>
    <w:p w14:paraId="0F08E7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14:paraId="63B668A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14:paraId="67D8DA2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14:paraId="0535F91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14:paraId="02A0AE1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694247B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2EC6489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14:paraId="07DCC0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14:paraId="3ABF6B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（12）名称：中泰证券股份有限公司</w:t>
      </w:r>
    </w:p>
    <w:p w14:paraId="5C99D44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14717D3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60DD5D2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274B878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电话：（0531）68889155</w:t>
      </w:r>
    </w:p>
    <w:p w14:paraId="179AD7C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2A55AF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342E848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779E07F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04A3F33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（13）名称：招商证券股份有限公司</w:t>
      </w:r>
    </w:p>
    <w:p w14:paraId="20B7055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2853909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28DF22D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134748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30AB8C0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4028AF8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73E2C1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5D37AD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3C12296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（14）名称：山西证券股份有限公司</w:t>
      </w:r>
    </w:p>
    <w:p w14:paraId="1FCBD95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14:paraId="6A5CE46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14:paraId="08B2ED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14:paraId="533DF1C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14:paraId="0A72480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14:paraId="5D40EB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14:paraId="1E97CD5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14:paraId="40AC764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（15）名称：联储证券有限责任公司</w:t>
      </w:r>
    </w:p>
    <w:p w14:paraId="3341E06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14:paraId="01499C4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14:paraId="7FFCAA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14:paraId="1B36383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14:paraId="0A176D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14:paraId="3FD360D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14:paraId="2B36FA0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14:paraId="772314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（16）名称：中信证券（山东）有限责任公司</w:t>
      </w:r>
    </w:p>
    <w:p w14:paraId="17DADA1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41ECDB4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36A5EEF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16CE4DD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038CA9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46597F5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727652B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404F2B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383E76C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（17）名称：中信证券股份有限公司</w:t>
      </w:r>
    </w:p>
    <w:p w14:paraId="4F5EB54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7F5C9B6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1EC3F83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5F156E3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5431AB2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107F4D4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7EC4AEC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（18）名称：中信证券华南股份有限公司</w:t>
      </w:r>
    </w:p>
    <w:p w14:paraId="5A70F5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3A8D1C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5281A4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5290E03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1AF6D21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09E7492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08ED190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0AE5270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14175EC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（19）名称：国信证券股份有限公司</w:t>
      </w:r>
    </w:p>
    <w:p w14:paraId="5F9C08A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0005D5E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7AEAC3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14:paraId="1B6CF9E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3EBB0D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传真：（0755）82133952</w:t>
      </w:r>
    </w:p>
    <w:p w14:paraId="28EF625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14:paraId="029B8DA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2496EDE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4D32934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（20）名称：东莞证券股份有限公司</w:t>
      </w:r>
    </w:p>
    <w:p w14:paraId="28484CF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14:paraId="78BDF24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14:paraId="2A04775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14:paraId="0864287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14:paraId="057041F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14:paraId="3EA0063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14:paraId="1C1C13A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14:paraId="7C2A97B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（21）名称：财通证券股份有限公司</w:t>
      </w:r>
    </w:p>
    <w:p w14:paraId="090AAA6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14:paraId="793845B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14:paraId="7ED6CFC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14:paraId="11EDC09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14:paraId="690121D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14:paraId="6B7CF50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14:paraId="33D1BE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14:paraId="108339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（22）名称：中国国际金融股份有限公司</w:t>
      </w:r>
    </w:p>
    <w:p w14:paraId="153594E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439DE0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1AB470E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14:paraId="175D0F9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14:paraId="682BBF0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714BC7E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0340E5C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6BBAC1E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（23）名称：万联证券股份有限公司</w:t>
      </w:r>
    </w:p>
    <w:p w14:paraId="76AD9BE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住所：广东省广州市天河区珠江东路11号高德置地广场F座18、19层</w:t>
      </w:r>
    </w:p>
    <w:p w14:paraId="7D41D2F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办公地址：广东省广州市天河区珠江东路13号高德置地广场E座12层</w:t>
      </w:r>
    </w:p>
    <w:p w14:paraId="6146370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法定代表人：罗钦城</w:t>
      </w:r>
    </w:p>
    <w:p w14:paraId="5DBABCE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联系电话：020-83988334</w:t>
      </w:r>
    </w:p>
    <w:p w14:paraId="5FEE835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传真：020-38286588</w:t>
      </w:r>
    </w:p>
    <w:p w14:paraId="5C31D07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联系人：丁思</w:t>
      </w:r>
    </w:p>
    <w:p w14:paraId="7E1724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客户服务电话：95322</w:t>
      </w:r>
    </w:p>
    <w:p w14:paraId="58E4B4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网址：www.wlzq.cn</w:t>
      </w:r>
    </w:p>
    <w:p w14:paraId="58FB58A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（24）名称：华龙证券股份有限公司</w:t>
      </w:r>
    </w:p>
    <w:p w14:paraId="3D85CF3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14:paraId="516C7B0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14:paraId="49B89EE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14:paraId="4AB4B1D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14:paraId="1117B8F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14:paraId="561E804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14:paraId="6B2B899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14:paraId="004969D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14:paraId="1B6E92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（25）名称：西部证券股份有限公司</w:t>
      </w:r>
    </w:p>
    <w:p w14:paraId="7BF7558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14:paraId="5A99DF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14:paraId="5C261D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14:paraId="3D40E00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14:paraId="7CE07B8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4AF019A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14:paraId="7815D2B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14:paraId="7840D02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14:paraId="697D575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（26）名称：东兴证券股份有限公司</w:t>
      </w:r>
    </w:p>
    <w:p w14:paraId="088C2D8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04BB38C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1D7D447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电话：（010）66555316</w:t>
      </w:r>
    </w:p>
    <w:p w14:paraId="69B868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629AD1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14:paraId="685A799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14:paraId="71F75A9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395A35C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（27）名称：国联证券股份有限公司</w:t>
      </w:r>
    </w:p>
    <w:p w14:paraId="54CF047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14:paraId="24EB20E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办公地址：江苏省无锡市金融一街8号</w:t>
      </w:r>
    </w:p>
    <w:p w14:paraId="6B59DEF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14:paraId="71CB61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联系电话：0510-82831662</w:t>
      </w:r>
    </w:p>
    <w:p w14:paraId="225BE51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14:paraId="3A6FC8C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14:paraId="6D75F0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客户服务电话：95570</w:t>
      </w:r>
    </w:p>
    <w:p w14:paraId="608EBA6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网址：www.glsc.com.cn</w:t>
      </w:r>
    </w:p>
    <w:p w14:paraId="5E92556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（28）名称：华宝证券股份有限公司</w:t>
      </w:r>
    </w:p>
    <w:p w14:paraId="2EE2B1D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49CDA77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719EBE6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71FB290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4B626AA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19A36D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2DA8DA3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41C93D7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6048AA6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（29）名称：广发证券股份有限公司</w:t>
      </w:r>
    </w:p>
    <w:p w14:paraId="5EBDB13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2E43901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70FBED1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0BC4702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0A0FD43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1C4C734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3BF05BD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客户服务电话：95575</w:t>
      </w:r>
    </w:p>
    <w:p w14:paraId="0EFF2AA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6E143EA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（30）名称：天风证券股份有限公司</w:t>
      </w:r>
    </w:p>
    <w:p w14:paraId="19B576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14:paraId="618725F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14:paraId="18C9042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14:paraId="72AFEF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14:paraId="627E449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14:paraId="2119EFC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14:paraId="7B0FA0F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14:paraId="219F2C7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14:paraId="727A0AD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（31）名称：国金证券股份有限公司</w:t>
      </w:r>
    </w:p>
    <w:p w14:paraId="4EFE3D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0A9AC84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6F02061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3BB05F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785E8F2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5EA7824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5B3D717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5F380C9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04472B6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（32）名称：海通证券股份有限公司</w:t>
      </w:r>
    </w:p>
    <w:p w14:paraId="395923F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2BC5F69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64914D8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3559067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335AFBA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4475BE8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741B91C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60B4F48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1915F2E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（33）名称：恒泰证券股份有限公司</w:t>
      </w:r>
    </w:p>
    <w:p w14:paraId="7A1363A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住所：内蒙古呼和浩特市新城区新华东街111号</w:t>
      </w:r>
    </w:p>
    <w:p w14:paraId="54E3B7B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14:paraId="3F0AE50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14:paraId="200134A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14:paraId="694EC9B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14:paraId="0E9CFE1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14:paraId="37CBBFC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14:paraId="1E89C4F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14:paraId="2656C32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（34）名称：方正中期期货有限公司</w:t>
      </w:r>
    </w:p>
    <w:p w14:paraId="69896D3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住所：北京市石景山区金府路32号院3号楼5层512室</w:t>
      </w:r>
    </w:p>
    <w:p w14:paraId="582F736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办公地址：北京市朝阳区东三环北路38号院1号泰康金融大厦22层</w:t>
      </w:r>
    </w:p>
    <w:p w14:paraId="2F6A240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法定代表人：姜志军</w:t>
      </w:r>
    </w:p>
    <w:p w14:paraId="15F43D6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联系电话：010-85881211</w:t>
      </w:r>
    </w:p>
    <w:p w14:paraId="55E4D96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传真：010-85881394</w:t>
      </w:r>
    </w:p>
    <w:p w14:paraId="47764D9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联系人：罗雯</w:t>
      </w:r>
    </w:p>
    <w:p w14:paraId="208A90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客户服务电话：4008802277</w:t>
      </w:r>
    </w:p>
    <w:p w14:paraId="7EC86E1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网址：www.founderfu.com</w:t>
      </w:r>
    </w:p>
    <w:p w14:paraId="6A3497A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（35）名称：国泰君安证券股份有限公司</w:t>
      </w:r>
    </w:p>
    <w:p w14:paraId="7EAC16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2ADF656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57410E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75C61F4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4CAAFD5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56C52FD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65C9516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7743BCE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7CB2820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（36）名称：北京钱景财富投资管理有限公司</w:t>
      </w:r>
    </w:p>
    <w:p w14:paraId="6733CCB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494177E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6FA190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242669C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电话：（010）57418829</w:t>
      </w:r>
    </w:p>
    <w:p w14:paraId="70B471A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5579BBC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3A25E1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5A56BEF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4CE7ED5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（37）名称：北京肯特瑞基金销售有限公司</w:t>
      </w:r>
    </w:p>
    <w:p w14:paraId="788992AC" w14:textId="77777777" w:rsidR="00FB4D29" w:rsidRPr="002C1FF7" w:rsidRDefault="00CF4592" w:rsidP="002C1FF7">
      <w:pPr>
        <w:autoSpaceDE w:val="0"/>
        <w:autoSpaceDN w:val="0"/>
        <w:adjustRightInd w:val="0"/>
        <w:snapToGrid w:val="0"/>
        <w:spacing w:line="360" w:lineRule="auto"/>
        <w:ind w:firstLineChars="200" w:firstLine="480"/>
        <w:jc w:val="left"/>
        <w:rPr>
          <w:rFonts w:ascii="宋体" w:hAnsi="宋体"/>
          <w:sz w:val="24"/>
        </w:rPr>
      </w:pPr>
      <w:r w:rsidRPr="002C1FF7">
        <w:rPr>
          <w:rFonts w:ascii="宋体" w:hAnsi="宋体" w:hint="eastAsia"/>
          <w:sz w:val="24"/>
        </w:rPr>
        <w:t>住所：</w:t>
      </w:r>
      <w:r w:rsidRPr="002C1FF7">
        <w:rPr>
          <w:rFonts w:ascii="宋体" w:hAnsi="宋体"/>
          <w:sz w:val="24"/>
        </w:rPr>
        <w:t xml:space="preserve"> </w:t>
      </w:r>
      <w:r w:rsidRPr="002C1FF7">
        <w:rPr>
          <w:rFonts w:ascii="宋体" w:hAnsi="宋体" w:hint="eastAsia"/>
          <w:sz w:val="24"/>
        </w:rPr>
        <w:t>北京市海淀区西三旗建材城中路</w:t>
      </w:r>
      <w:r w:rsidRPr="002C1FF7">
        <w:rPr>
          <w:rFonts w:ascii="宋体" w:hAnsi="宋体"/>
          <w:sz w:val="24"/>
        </w:rPr>
        <w:t>12号17号平房157</w:t>
      </w:r>
    </w:p>
    <w:p w14:paraId="50CCCFC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5C4C433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74BC403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74F9767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2143B63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3DB2FC6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1688F4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1F0EFB0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（38）名称：上海大智慧基金销售有限公司</w:t>
      </w:r>
    </w:p>
    <w:p w14:paraId="1CC0920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22AF24F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342A967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60DC031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736E6BD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6E2C91B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3EDFF02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300BEE3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54BD9D3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（39）名称：珠海盈米财富管理有限公司</w:t>
      </w:r>
    </w:p>
    <w:p w14:paraId="0945823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4AA1C1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3A96159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2AC8374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5DFE43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7E7D51C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联系人：黄敏嫦</w:t>
      </w:r>
    </w:p>
    <w:p w14:paraId="28B7A58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2856CCB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24F9698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（40）名称：北京汇成基金销售有限公司</w:t>
      </w:r>
    </w:p>
    <w:p w14:paraId="0F52CF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住所：北京市海淀区中关村大街11号11层1108</w:t>
      </w:r>
    </w:p>
    <w:p w14:paraId="76E1632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办公地址：北京市海淀区中关村大街11号11层1108</w:t>
      </w:r>
    </w:p>
    <w:p w14:paraId="3FA5CF8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5717010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288E351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72988AC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联系人：丁向坤</w:t>
      </w:r>
    </w:p>
    <w:p w14:paraId="610FD33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3726114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网址：www.fundzone.cn、www.51jijinhui.com</w:t>
      </w:r>
    </w:p>
    <w:p w14:paraId="4A71FB7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（41）名称：上海利得基金销售有限公司</w:t>
      </w:r>
    </w:p>
    <w:p w14:paraId="11C96EF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77B370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39E02B8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67F38A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0508C4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3C76A2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2E4952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4DFF2B8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5135EDA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（42）名称：上海凯石财富基金销售有限公司</w:t>
      </w:r>
    </w:p>
    <w:p w14:paraId="1CEAF31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7C7B8D0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2ADDDB5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1C34B9C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2DC7D5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66685A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4C5CC8D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1E92830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75BA6F7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（43）名称：北京虹点基金销售有限公司</w:t>
      </w:r>
    </w:p>
    <w:p w14:paraId="0C5368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76D9CDA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1CB25D8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01BAB4D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72B7BFA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0E3FF13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461688E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698ED4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27731AF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（44）名称：上海陆金所资产管理有限公司</w:t>
      </w:r>
    </w:p>
    <w:p w14:paraId="05DD2C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11113B5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5D1F529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15B196E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58F7AA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30570D1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169DD65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403591A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6222057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（45）名称：天津万家财富资产管理有限公司</w:t>
      </w:r>
    </w:p>
    <w:p w14:paraId="4E3896D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6BFFDCE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51CA23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52CB09A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523EBB7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4BA99B1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44B0A92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48566CE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369BA53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（46）名称：上海万得基金销售有限公司</w:t>
      </w:r>
    </w:p>
    <w:p w14:paraId="0C1D1E2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541A470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0F23023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王廷富</w:t>
      </w:r>
    </w:p>
    <w:p w14:paraId="4D183CA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35DB187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3145C87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5D27A0F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5458197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52D611B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（47）名称：格上富信投资顾问有限公司</w:t>
      </w:r>
    </w:p>
    <w:p w14:paraId="7971B23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19CF4FB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4132B21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50E7118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4B98DE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42A1BE3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520B749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1C847D3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21C3FE2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（48）名称：深圳市金斧子基金销售有限公司</w:t>
      </w:r>
    </w:p>
    <w:p w14:paraId="76F9AB8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63355A7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10DB6E2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4D1DA47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053C0C7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6BB77F9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79A65A1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7DDBBC0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71CA8E3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（49）名称：凤凰金信（银川）投资管理有限公司</w:t>
      </w:r>
    </w:p>
    <w:p w14:paraId="02BE13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14:paraId="50EC6E3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14:paraId="194D5E8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482FEEA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71E4654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传真：（010）58160173</w:t>
      </w:r>
    </w:p>
    <w:p w14:paraId="620EF78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733A53C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1FADB8F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14:paraId="669CA48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（50）名称：北京蛋卷基金销售有限公司</w:t>
      </w:r>
    </w:p>
    <w:p w14:paraId="2260CAF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76579C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1A2C34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2CE9A4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1A4FE61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063B30A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27C6AC9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0BD81DF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7D02189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（51）名称：北京新浪仓石基金销售有限公司</w:t>
      </w:r>
    </w:p>
    <w:p w14:paraId="547567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370A47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2062093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6C096C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409A60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7D7F233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11777B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2FB996C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7DDAAC2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（52）名称：中证金牛（北京）投资咨询有限公司</w:t>
      </w:r>
    </w:p>
    <w:p w14:paraId="490A6BA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2FD063F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68970D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05FE6D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0CBDB15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6449E8E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孟汉霄</w:t>
      </w:r>
    </w:p>
    <w:p w14:paraId="027958B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044C1F3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7755910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（53）名称：上海云湾投资管理有限公司</w:t>
      </w:r>
    </w:p>
    <w:p w14:paraId="28AA0F3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1F1716A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53CC3AA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5CF26DB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5B689C1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5737F8B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194C60D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222BD6F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06E2D12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（54）名称：北京创金启富基金销售有限公司</w:t>
      </w:r>
    </w:p>
    <w:p w14:paraId="467E453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75333C5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499E566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5A6693C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2C40F12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526FF1D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2B9D469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4BAA741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653355C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（55）名称：奕丰基金销售有限公司</w:t>
      </w:r>
    </w:p>
    <w:p w14:paraId="7D6F074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2776903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0A87B05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128537C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1BB980E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369396F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5713EC5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325E47D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网址：www.ifastps.com.cn</w:t>
      </w:r>
    </w:p>
    <w:p w14:paraId="65F7614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（56）名称：北京中植基金销售有限公司</w:t>
      </w:r>
    </w:p>
    <w:p w14:paraId="5E5B5D3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72132BC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6483E26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3291C41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1D1B859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43DFA06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751A81D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14F4D65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14:paraId="0FCEFC4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（57）名称：上海天天基金销售有限公司</w:t>
      </w:r>
    </w:p>
    <w:p w14:paraId="12B2012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51E1D25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5F4FF3E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194DC98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58381DB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7BDA17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78D5D73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3EAF12B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5D6D719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（58）名称：和讯信息科技有限公司</w:t>
      </w:r>
    </w:p>
    <w:p w14:paraId="4AAC4EE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4F5CD17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36DC5C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3EE4FD3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71D3AF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60F43D0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14D5C36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67B6376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54788DB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（59）名称：诺亚正行(上海)基金销售投资顾问有限公司</w:t>
      </w:r>
    </w:p>
    <w:p w14:paraId="2FE06AE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4F723B8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办公地址：上海杨浦区秦皇岛路32号C栋 2楼</w:t>
      </w:r>
    </w:p>
    <w:p w14:paraId="6C63279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32F30C3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3127BE7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5CC3C9E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5E2687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0723640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73C0722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（60）名称：上海好买基金销售有限公司</w:t>
      </w:r>
    </w:p>
    <w:p w14:paraId="38E8ECD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5AD2821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58D6917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3A97508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59F9442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4AB76DD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79FDD8B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1A70289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（61）名称：上海长量基金销售投资顾问有限公司</w:t>
      </w:r>
    </w:p>
    <w:p w14:paraId="5BD12A2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024AEE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0F9CAC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0896EF1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215EE6A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50C2547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4A2FA9A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218D5E7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476EB8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（62）名称：深圳众禄基金销售有限公司</w:t>
      </w:r>
    </w:p>
    <w:p w14:paraId="7DB93B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463CFF8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2D232DB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399D99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6E0D08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051CAD1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联系人：汤素娅</w:t>
      </w:r>
    </w:p>
    <w:p w14:paraId="382A07C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3F7939C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28A9808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（63）名称：蚂蚁（杭州）基金销售有限公司</w:t>
      </w:r>
    </w:p>
    <w:p w14:paraId="09B36AB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4312D65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44B6715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26281D3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6BF54F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3D09D58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3D508BC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（64）名称：上海基煜基金销售有限公司</w:t>
      </w:r>
    </w:p>
    <w:p w14:paraId="561044C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492BC2E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2EE05F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70BF4D7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760B97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35C048F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2CBB22F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223A0AC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27BCE12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（65）名称：浙江同花顺基金销售有限公司</w:t>
      </w:r>
    </w:p>
    <w:p w14:paraId="141602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2B628D0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7ECA00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267260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0CEA08F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0967D87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6FE8C9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507C175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43989F8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（66）名称：宜信普泽投资顾问（北京）有限公司</w:t>
      </w:r>
    </w:p>
    <w:p w14:paraId="512DC57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住所：北京市朝阳区建国路88号9号楼15层1809</w:t>
      </w:r>
    </w:p>
    <w:p w14:paraId="63FDD0A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1B3B8A9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564175F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2858334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5AB4898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5B0DE71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3F67941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03A9AA7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（67）名称：上海联泰基金销售有限公司</w:t>
      </w:r>
    </w:p>
    <w:p w14:paraId="1EFDB58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062ADB0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3520AE1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41C2DA4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6B3CCBA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165DBB2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24E1C02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0396659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3BC483F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（68）名称：一路财富（北京）信息科技有限公司</w:t>
      </w:r>
    </w:p>
    <w:p w14:paraId="7D0744F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1AEE88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4C04350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5872819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3BE16A7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51BE72C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12463FC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2C0A201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1B7F02C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（69）名称：北京展恒基金销售股份有限公司</w:t>
      </w:r>
    </w:p>
    <w:p w14:paraId="729A6B0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2907CF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2BB4BA8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4F65075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电话：（010）59601366-7024</w:t>
      </w:r>
    </w:p>
    <w:p w14:paraId="71D6775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4BACC79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3E7242F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4080371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11CEC8D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（70）名称：深圳市新兰德证券投资咨询有限公司</w:t>
      </w:r>
    </w:p>
    <w:p w14:paraId="44FAFB1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6B7FF3F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26BFAE5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2290F90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2EAE7A2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7691FB1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595BA7E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2C4457D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54EB1C5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（71）名称：上海挖财金融信息服务有限公司</w:t>
      </w:r>
    </w:p>
    <w:p w14:paraId="5AABF14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1154144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619B89D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2703DBF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5A1A6AE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4284B18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779C7BE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494A85F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4B032D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（72）名称：嘉实财富管理有限公司</w:t>
      </w:r>
    </w:p>
    <w:p w14:paraId="5405AF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793C92E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23DBE77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464C2B6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732AFB5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52F842E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192B176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客户服务电话：400-021-8850</w:t>
      </w:r>
    </w:p>
    <w:p w14:paraId="252D4D1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55F4400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（73）名称：南京苏宁基金销售有限公司</w:t>
      </w:r>
    </w:p>
    <w:p w14:paraId="164A2FD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371AA51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143B8C7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4B8789E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29C2BF0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2F286F4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3D40CB0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79BACBF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0E30F5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（74）名称：北京度小满基金销售有限公司</w:t>
      </w:r>
    </w:p>
    <w:p w14:paraId="07512B0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4FEDA38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6AA7846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378E4D4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6936DCE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78C47FE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256B846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28C43C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14:paraId="0B5BE5A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（75）名称：北京唐鼎耀华投资咨询有限公司</w:t>
      </w:r>
    </w:p>
    <w:p w14:paraId="5F85DED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2DC3515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3913A7D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421B5A1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2E5B326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7BA8F59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1BE2F58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6CF21B2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1F0787B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（76）名称：上海华夏财富投资管理有限公司</w:t>
      </w:r>
    </w:p>
    <w:p w14:paraId="7EEE89A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住所：上海市虹口区东大名路687号1幢2楼268室</w:t>
      </w:r>
    </w:p>
    <w:p w14:paraId="202427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2600FE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0F243A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7BE229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2E6E9F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64FBBC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286DA31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1117A1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（77）名称：江苏汇林保大基金销售有限公司</w:t>
      </w:r>
    </w:p>
    <w:p w14:paraId="5292B91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61D2BBA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6C7701B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2C8A8F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5AA9FB2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461525B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3454C4C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330EFF2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61607A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（78）名称：玄元保险代理有限公司</w:t>
      </w:r>
    </w:p>
    <w:p w14:paraId="4D4B44B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5B97651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5A0CEF1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3D3CAB0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5B7B1B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1CD2D29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5EE64D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442FE6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（79）名称：阳光人寿保险股份有限公司</w:t>
      </w:r>
    </w:p>
    <w:p w14:paraId="7CAD754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257A44B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5EAB2BC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67BB181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0F98A11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传真：（010）85632773</w:t>
      </w:r>
    </w:p>
    <w:p w14:paraId="6D68F5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6E8CE92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2EDA693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0C04602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（80）名称：大连网金基金销售有限公司</w:t>
      </w:r>
    </w:p>
    <w:p w14:paraId="1EE91F2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705C8EA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29D9900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1A785EC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16D99FA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35CEF14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5F0B3D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4D49427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0E872F9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（81）名称：中信期货有限公司</w:t>
      </w:r>
    </w:p>
    <w:p w14:paraId="733A5AD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20BC153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6A87C04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74E7DB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7DD30B5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246670B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08FE857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27537C3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48D18DE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（82）名称：上海中欧财富基金销售有限公司</w:t>
      </w:r>
    </w:p>
    <w:p w14:paraId="2A3E49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14:paraId="32A36BF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14:paraId="42709DD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14:paraId="75634DA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14:paraId="7DA669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14:paraId="743B029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黎静</w:t>
      </w:r>
    </w:p>
    <w:p w14:paraId="16E0269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14:paraId="303440F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14:paraId="5FAC6D9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（83）名称：中国人寿保险股份有限公司</w:t>
      </w:r>
    </w:p>
    <w:p w14:paraId="74F40B7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5169ED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67C2F32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3CF7031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6B3FA1F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033460B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（84）名称：和耕传承基金销售有限公司</w:t>
      </w:r>
    </w:p>
    <w:p w14:paraId="0B6DF40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1436FA2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1C27533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2BB06A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29F6F45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0209AED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4885A43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49F9D15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0FE02F3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（85）名称：腾安基金销售（深圳）有限公司</w:t>
      </w:r>
    </w:p>
    <w:p w14:paraId="267F8D6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06603BA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34DE297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49E9E7B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2D6A37E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5EEEB6F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06EED23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13044F3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（86）名称：北京植信基金销售有限公司</w:t>
      </w:r>
    </w:p>
    <w:p w14:paraId="275EED4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7FC0CA6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办公地址：北京市朝阳区惠河南路盛世龙源10号</w:t>
      </w:r>
    </w:p>
    <w:p w14:paraId="2220B71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5C1BDA1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338BB4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11861F1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6162EE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2B52390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0C622A5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（87）名称：上海钜派钰茂基金销售有限公司</w:t>
      </w:r>
    </w:p>
    <w:p w14:paraId="2CFE33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2F07B9C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5670128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248417E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7A9564E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504D2BB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3B93DD7C" w14:textId="22AAC73B" w:rsidR="00FB4D29" w:rsidRDefault="00CF4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网址：</w:t>
      </w:r>
      <w:hyperlink r:id="rId14" w:history="1">
        <w:r w:rsidR="00244C56" w:rsidRPr="00AD0209">
          <w:rPr>
            <w:rStyle w:val="af0"/>
            <w:rFonts w:ascii="宋体" w:hAnsi="宋体"/>
            <w:sz w:val="24"/>
          </w:rPr>
          <w:t>www.jp-fund.com</w:t>
        </w:r>
      </w:hyperlink>
    </w:p>
    <w:p w14:paraId="293FC83D" w14:textId="77777777" w:rsidR="00244C56" w:rsidRDefault="00244C56">
      <w:pPr>
        <w:autoSpaceDE w:val="0"/>
        <w:autoSpaceDN w:val="0"/>
        <w:adjustRightInd w:val="0"/>
        <w:snapToGrid w:val="0"/>
        <w:spacing w:line="360" w:lineRule="auto"/>
        <w:ind w:firstLineChars="200" w:firstLine="420"/>
        <w:jc w:val="left"/>
        <w:rPr>
          <w:rFonts w:ascii="宋体" w:hAnsi="宋体"/>
          <w:szCs w:val="24"/>
        </w:rPr>
      </w:pPr>
    </w:p>
    <w:p w14:paraId="415D78F1" w14:textId="77777777" w:rsidR="00640C22" w:rsidRDefault="00640C22" w:rsidP="00727890">
      <w:pPr>
        <w:autoSpaceDE w:val="0"/>
        <w:autoSpaceDN w:val="0"/>
        <w:adjustRightInd w:val="0"/>
        <w:snapToGrid w:val="0"/>
        <w:spacing w:line="360" w:lineRule="auto"/>
        <w:ind w:firstLineChars="200" w:firstLine="480"/>
        <w:jc w:val="left"/>
        <w:rPr>
          <w:rFonts w:ascii="宋体" w:hAnsi="宋体"/>
          <w:sz w:val="24"/>
        </w:rPr>
      </w:pPr>
      <w:r w:rsidRPr="00640C22">
        <w:rPr>
          <w:rFonts w:ascii="宋体" w:hAnsi="宋体" w:hint="eastAsia"/>
          <w:sz w:val="24"/>
        </w:rPr>
        <w:t>本基金C类基金份额目前仅通过直销机构进行销售。</w:t>
      </w:r>
    </w:p>
    <w:p w14:paraId="32A4A023" w14:textId="56ECE800" w:rsidR="00FB4D29" w:rsidRDefault="00CF4592" w:rsidP="0072789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382BDBF4" w14:textId="185B8CC0" w:rsidR="006A4C40" w:rsidRPr="006A4C40" w:rsidRDefault="006A4C40" w:rsidP="006A4C40">
      <w:pPr>
        <w:autoSpaceDE w:val="0"/>
        <w:autoSpaceDN w:val="0"/>
        <w:adjustRightInd w:val="0"/>
        <w:snapToGrid w:val="0"/>
        <w:spacing w:line="360" w:lineRule="auto"/>
        <w:ind w:firstLineChars="200" w:firstLine="480"/>
        <w:jc w:val="left"/>
        <w:rPr>
          <w:rFonts w:ascii="宋体" w:hAnsi="宋体"/>
          <w:sz w:val="24"/>
        </w:rPr>
      </w:pPr>
    </w:p>
    <w:p w14:paraId="70A01A21" w14:textId="0A2C457C" w:rsidR="00FB4D29" w:rsidRDefault="00CF4592" w:rsidP="00B46D5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491765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21A7DAC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3F80140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2F8E0CD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778E7C7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30492F6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2A9293AF" w14:textId="0B336A2C" w:rsidR="00FB4D29" w:rsidRDefault="00CF4592" w:rsidP="00B46D5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543862E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123685C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0B782B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住所：上海市银城中路68号时代金融中心19楼</w:t>
      </w:r>
    </w:p>
    <w:p w14:paraId="2B1F0C7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612CE99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130B56C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350DA86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80143A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138DB3F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3E3DD1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648B285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499741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住所：中国(上海)自由贸易试验区陆家嘴环路1318号星展银行大厦507单元01室</w:t>
      </w:r>
    </w:p>
    <w:p w14:paraId="4AC94DBB" w14:textId="1B084E0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sidR="00436F9A" w:rsidRPr="00436F9A">
        <w:rPr>
          <w:rFonts w:ascii="宋体" w:hAnsi="宋体" w:hint="eastAsia"/>
          <w:sz w:val="24"/>
        </w:rPr>
        <w:t>中国上海市浦东新区东育路588号前滩中心42楼</w:t>
      </w:r>
    </w:p>
    <w:p w14:paraId="27B7EBF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55E3D47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205BD25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7DA15B5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323B50CF" w14:textId="425385A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w:t>
      </w:r>
      <w:r w:rsidR="0037412B" w:rsidRPr="0037412B">
        <w:rPr>
          <w:rFonts w:ascii="宋体" w:hAnsi="宋体" w:hint="eastAsia"/>
          <w:sz w:val="24"/>
        </w:rPr>
        <w:t>沈兆杰</w:t>
      </w:r>
      <w:r>
        <w:rPr>
          <w:rFonts w:ascii="宋体" w:hAnsi="宋体"/>
          <w:sz w:val="24"/>
        </w:rPr>
        <w:t>、金诗涛</w:t>
      </w:r>
    </w:p>
    <w:p w14:paraId="2897F46F" w14:textId="77777777" w:rsidR="00FB4D29" w:rsidRDefault="00FB4D29">
      <w:pPr>
        <w:autoSpaceDE w:val="0"/>
        <w:autoSpaceDN w:val="0"/>
        <w:adjustRightInd w:val="0"/>
        <w:snapToGrid w:val="0"/>
        <w:spacing w:line="360" w:lineRule="auto"/>
        <w:ind w:firstLineChars="200" w:firstLine="420"/>
        <w:jc w:val="left"/>
        <w:rPr>
          <w:rFonts w:ascii="宋体" w:hAnsi="宋体"/>
          <w:szCs w:val="24"/>
        </w:rPr>
      </w:pPr>
    </w:p>
    <w:p w14:paraId="57B9EBA8"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6EDD65DA" w14:textId="06C2E552" w:rsidR="00FB4D29" w:rsidRDefault="00CF4592">
      <w:pPr>
        <w:pStyle w:val="1"/>
        <w:snapToGrid w:val="0"/>
        <w:spacing w:beforeLines="0" w:before="240" w:after="240"/>
        <w:rPr>
          <w:rFonts w:ascii="宋体" w:hAnsi="宋体"/>
          <w:szCs w:val="30"/>
        </w:rPr>
      </w:pPr>
      <w:r>
        <w:rPr>
          <w:rFonts w:ascii="宋体" w:hAnsi="宋体"/>
          <w:sz w:val="24"/>
        </w:rPr>
        <w:br w:type="page"/>
      </w:r>
      <w:bookmarkStart w:id="8" w:name="_Toc107476025"/>
      <w:r>
        <w:rPr>
          <w:rFonts w:ascii="Times New Roman" w:hAnsi="Times New Roman"/>
          <w:sz w:val="30"/>
        </w:rPr>
        <w:lastRenderedPageBreak/>
        <w:t>六、基金的</w:t>
      </w:r>
      <w:r w:rsidR="007F006B">
        <w:rPr>
          <w:rFonts w:ascii="Times New Roman" w:hAnsi="Times New Roman" w:hint="eastAsia"/>
          <w:sz w:val="30"/>
        </w:rPr>
        <w:t>历史沿革</w:t>
      </w:r>
      <w:bookmarkEnd w:id="8"/>
    </w:p>
    <w:p w14:paraId="1898F83C" w14:textId="579D94C5" w:rsidR="007F006B" w:rsidRPr="007F006B" w:rsidRDefault="007F006B" w:rsidP="007F006B">
      <w:pPr>
        <w:autoSpaceDE w:val="0"/>
        <w:autoSpaceDN w:val="0"/>
        <w:adjustRightInd w:val="0"/>
        <w:snapToGrid w:val="0"/>
        <w:spacing w:line="360" w:lineRule="auto"/>
        <w:ind w:firstLineChars="200" w:firstLine="480"/>
        <w:jc w:val="left"/>
        <w:rPr>
          <w:rFonts w:ascii="宋体" w:hAnsi="宋体"/>
          <w:sz w:val="24"/>
        </w:rPr>
      </w:pPr>
      <w:r w:rsidRPr="007F006B">
        <w:rPr>
          <w:rFonts w:ascii="宋体" w:hAnsi="宋体" w:hint="eastAsia"/>
          <w:sz w:val="24"/>
        </w:rPr>
        <w:t>交银施罗德持续成长主题混合型</w:t>
      </w:r>
      <w:r>
        <w:rPr>
          <w:rFonts w:ascii="宋体" w:hAnsi="宋体" w:hint="eastAsia"/>
          <w:sz w:val="24"/>
        </w:rPr>
        <w:t>证券投资基金</w:t>
      </w:r>
      <w:r w:rsidR="00CF4592">
        <w:rPr>
          <w:rFonts w:ascii="宋体" w:hAnsi="宋体"/>
          <w:sz w:val="24"/>
        </w:rPr>
        <w:t>经中国证监会证监许可[2017]1156号文</w:t>
      </w:r>
      <w:r w:rsidR="000975FA">
        <w:rPr>
          <w:rFonts w:ascii="宋体" w:hAnsi="宋体" w:hint="eastAsia"/>
          <w:sz w:val="24"/>
        </w:rPr>
        <w:t>准予</w:t>
      </w:r>
      <w:r w:rsidR="00594B0D">
        <w:rPr>
          <w:rFonts w:ascii="宋体" w:hAnsi="宋体" w:hint="eastAsia"/>
          <w:sz w:val="24"/>
        </w:rPr>
        <w:t>募集</w:t>
      </w:r>
      <w:r w:rsidR="000975FA">
        <w:rPr>
          <w:rFonts w:ascii="宋体" w:hAnsi="宋体" w:hint="eastAsia"/>
          <w:sz w:val="24"/>
        </w:rPr>
        <w:t>注册</w:t>
      </w:r>
      <w:r>
        <w:rPr>
          <w:rFonts w:ascii="宋体" w:hAnsi="宋体" w:hint="eastAsia"/>
          <w:sz w:val="24"/>
        </w:rPr>
        <w:t>，</w:t>
      </w:r>
      <w:r w:rsidR="00CF4592">
        <w:rPr>
          <w:rFonts w:ascii="宋体" w:hAnsi="宋体"/>
          <w:sz w:val="24"/>
        </w:rPr>
        <w:t>自2017年11月22日</w:t>
      </w:r>
      <w:r w:rsidRPr="007F006B">
        <w:rPr>
          <w:rFonts w:ascii="宋体" w:hAnsi="宋体" w:hint="eastAsia"/>
          <w:sz w:val="24"/>
        </w:rPr>
        <w:t>起向社会公开募集，于</w:t>
      </w:r>
      <w:r w:rsidR="00CF4592">
        <w:rPr>
          <w:rFonts w:ascii="宋体" w:hAnsi="宋体"/>
          <w:sz w:val="24"/>
        </w:rPr>
        <w:t>2018年1月8日</w:t>
      </w:r>
      <w:r w:rsidRPr="007F006B">
        <w:rPr>
          <w:rFonts w:ascii="宋体" w:hAnsi="宋体" w:hint="eastAsia"/>
          <w:sz w:val="24"/>
        </w:rPr>
        <w:t>结束募集工作，并于</w:t>
      </w:r>
      <w:r>
        <w:rPr>
          <w:rFonts w:ascii="宋体" w:hAnsi="宋体" w:hint="eastAsia"/>
          <w:sz w:val="24"/>
        </w:rPr>
        <w:t>201</w:t>
      </w:r>
      <w:r>
        <w:rPr>
          <w:rFonts w:ascii="宋体" w:hAnsi="宋体"/>
          <w:sz w:val="24"/>
        </w:rPr>
        <w:t>8</w:t>
      </w:r>
      <w:r w:rsidRPr="007F006B">
        <w:rPr>
          <w:rFonts w:ascii="宋体" w:hAnsi="宋体" w:hint="eastAsia"/>
          <w:sz w:val="24"/>
        </w:rPr>
        <w:t>年</w:t>
      </w:r>
      <w:r>
        <w:rPr>
          <w:rFonts w:ascii="宋体" w:hAnsi="宋体"/>
          <w:sz w:val="24"/>
        </w:rPr>
        <w:t>1</w:t>
      </w:r>
      <w:r w:rsidRPr="007F006B">
        <w:rPr>
          <w:rFonts w:ascii="宋体" w:hAnsi="宋体" w:hint="eastAsia"/>
          <w:sz w:val="24"/>
        </w:rPr>
        <w:t>月</w:t>
      </w:r>
      <w:r>
        <w:rPr>
          <w:rFonts w:ascii="宋体" w:hAnsi="宋体" w:hint="eastAsia"/>
          <w:sz w:val="24"/>
        </w:rPr>
        <w:t>1</w:t>
      </w:r>
      <w:r>
        <w:rPr>
          <w:rFonts w:ascii="宋体" w:hAnsi="宋体"/>
          <w:sz w:val="24"/>
        </w:rPr>
        <w:t>2</w:t>
      </w:r>
      <w:r w:rsidRPr="007F006B">
        <w:rPr>
          <w:rFonts w:ascii="宋体" w:hAnsi="宋体" w:hint="eastAsia"/>
          <w:sz w:val="24"/>
        </w:rPr>
        <w:t>日获得中国证监会的书面确认，《交银施罗德持续成长主题混合型</w:t>
      </w:r>
      <w:r>
        <w:rPr>
          <w:rFonts w:ascii="宋体" w:hAnsi="宋体" w:hint="eastAsia"/>
          <w:sz w:val="24"/>
        </w:rPr>
        <w:t>证券投资基金</w:t>
      </w:r>
      <w:r w:rsidRPr="007F006B">
        <w:rPr>
          <w:rFonts w:ascii="宋体" w:hAnsi="宋体" w:hint="eastAsia"/>
          <w:sz w:val="24"/>
        </w:rPr>
        <w:t>基金合同》自该日起生效。</w:t>
      </w:r>
    </w:p>
    <w:p w14:paraId="7FEE0D9E" w14:textId="4ACB8BBE" w:rsidR="007F006B" w:rsidRPr="002861D7" w:rsidRDefault="002861D7" w:rsidP="009C2C56">
      <w:pPr>
        <w:autoSpaceDE w:val="0"/>
        <w:autoSpaceDN w:val="0"/>
        <w:adjustRightInd w:val="0"/>
        <w:snapToGrid w:val="0"/>
        <w:spacing w:line="360" w:lineRule="auto"/>
        <w:ind w:firstLineChars="200" w:firstLine="480"/>
        <w:jc w:val="left"/>
        <w:rPr>
          <w:rFonts w:ascii="宋体" w:hAnsi="宋体"/>
          <w:sz w:val="24"/>
        </w:rPr>
      </w:pPr>
      <w:r w:rsidRPr="002861D7">
        <w:rPr>
          <w:rFonts w:ascii="宋体" w:hAnsi="宋体" w:hint="eastAsia"/>
          <w:sz w:val="24"/>
        </w:rPr>
        <w:t>自202</w:t>
      </w:r>
      <w:r w:rsidR="0043711A">
        <w:rPr>
          <w:rFonts w:ascii="宋体" w:hAnsi="宋体"/>
          <w:sz w:val="24"/>
        </w:rPr>
        <w:t>3</w:t>
      </w:r>
      <w:r w:rsidRPr="002861D7">
        <w:rPr>
          <w:rFonts w:ascii="宋体" w:hAnsi="宋体" w:hint="eastAsia"/>
          <w:sz w:val="24"/>
        </w:rPr>
        <w:t>年</w:t>
      </w:r>
      <w:r w:rsidR="0043711A">
        <w:rPr>
          <w:rFonts w:ascii="宋体" w:hAnsi="宋体" w:hint="eastAsia"/>
          <w:sz w:val="24"/>
        </w:rPr>
        <w:t>2</w:t>
      </w:r>
      <w:r w:rsidRPr="002861D7">
        <w:rPr>
          <w:rFonts w:ascii="宋体" w:hAnsi="宋体" w:hint="eastAsia"/>
          <w:sz w:val="24"/>
        </w:rPr>
        <w:t>月</w:t>
      </w:r>
      <w:r w:rsidR="0043711A">
        <w:rPr>
          <w:rFonts w:ascii="宋体" w:hAnsi="宋体"/>
          <w:sz w:val="24"/>
        </w:rPr>
        <w:t>2</w:t>
      </w:r>
      <w:r w:rsidR="006A31E4">
        <w:rPr>
          <w:rFonts w:ascii="宋体" w:hAnsi="宋体"/>
          <w:sz w:val="24"/>
        </w:rPr>
        <w:t>4</w:t>
      </w:r>
      <w:r w:rsidRPr="002861D7">
        <w:rPr>
          <w:rFonts w:ascii="宋体" w:hAnsi="宋体" w:hint="eastAsia"/>
          <w:sz w:val="24"/>
        </w:rPr>
        <w:t>日至202</w:t>
      </w:r>
      <w:r w:rsidR="0043711A">
        <w:rPr>
          <w:rFonts w:ascii="宋体" w:hAnsi="宋体"/>
          <w:sz w:val="24"/>
        </w:rPr>
        <w:t>3</w:t>
      </w:r>
      <w:r w:rsidRPr="002861D7">
        <w:rPr>
          <w:rFonts w:ascii="宋体" w:hAnsi="宋体" w:hint="eastAsia"/>
          <w:sz w:val="24"/>
        </w:rPr>
        <w:t>年</w:t>
      </w:r>
      <w:r w:rsidR="0043711A">
        <w:rPr>
          <w:rFonts w:ascii="宋体" w:hAnsi="宋体"/>
          <w:sz w:val="24"/>
        </w:rPr>
        <w:t>3</w:t>
      </w:r>
      <w:r w:rsidRPr="002861D7">
        <w:rPr>
          <w:rFonts w:ascii="宋体" w:hAnsi="宋体" w:hint="eastAsia"/>
          <w:sz w:val="24"/>
        </w:rPr>
        <w:t>月</w:t>
      </w:r>
      <w:r w:rsidR="0043711A">
        <w:rPr>
          <w:rFonts w:ascii="宋体" w:hAnsi="宋体" w:hint="eastAsia"/>
          <w:sz w:val="24"/>
        </w:rPr>
        <w:t>2</w:t>
      </w:r>
      <w:r w:rsidR="0043711A">
        <w:rPr>
          <w:rFonts w:ascii="宋体" w:hAnsi="宋体"/>
          <w:sz w:val="24"/>
        </w:rPr>
        <w:t>7</w:t>
      </w:r>
      <w:r w:rsidRPr="002861D7">
        <w:rPr>
          <w:rFonts w:ascii="宋体" w:hAnsi="宋体" w:hint="eastAsia"/>
          <w:sz w:val="24"/>
        </w:rPr>
        <w:t>日</w:t>
      </w:r>
      <w:r w:rsidR="009C2C56">
        <w:rPr>
          <w:rFonts w:ascii="宋体" w:hAnsi="宋体" w:hint="eastAsia"/>
          <w:sz w:val="24"/>
        </w:rPr>
        <w:t>交银施罗德持续成长主题混合型证券投资基金</w:t>
      </w:r>
      <w:r w:rsidRPr="002861D7">
        <w:rPr>
          <w:rFonts w:ascii="宋体" w:hAnsi="宋体" w:hint="eastAsia"/>
          <w:sz w:val="24"/>
        </w:rPr>
        <w:t>以通讯方式召开基金份额持有人大会，大会于202</w:t>
      </w:r>
      <w:r w:rsidR="0043711A">
        <w:rPr>
          <w:rFonts w:ascii="宋体" w:hAnsi="宋体"/>
          <w:sz w:val="24"/>
        </w:rPr>
        <w:t>3</w:t>
      </w:r>
      <w:r w:rsidRPr="002861D7">
        <w:rPr>
          <w:rFonts w:ascii="宋体" w:hAnsi="宋体" w:hint="eastAsia"/>
          <w:sz w:val="24"/>
        </w:rPr>
        <w:t>年</w:t>
      </w:r>
      <w:r w:rsidR="0043711A">
        <w:rPr>
          <w:rFonts w:ascii="宋体" w:hAnsi="宋体" w:hint="eastAsia"/>
          <w:sz w:val="24"/>
        </w:rPr>
        <w:t>3</w:t>
      </w:r>
      <w:r w:rsidRPr="002861D7">
        <w:rPr>
          <w:rFonts w:ascii="宋体" w:hAnsi="宋体" w:hint="eastAsia"/>
          <w:sz w:val="24"/>
        </w:rPr>
        <w:t>月</w:t>
      </w:r>
      <w:r w:rsidR="0043711A">
        <w:rPr>
          <w:rFonts w:ascii="宋体" w:hAnsi="宋体"/>
          <w:sz w:val="24"/>
        </w:rPr>
        <w:t>28</w:t>
      </w:r>
      <w:r w:rsidRPr="002861D7">
        <w:rPr>
          <w:rFonts w:ascii="宋体" w:hAnsi="宋体" w:hint="eastAsia"/>
          <w:sz w:val="24"/>
        </w:rPr>
        <w:t>日审议通过了《</w:t>
      </w:r>
      <w:r w:rsidR="009C2C56" w:rsidRPr="00C865F7">
        <w:rPr>
          <w:rFonts w:hint="eastAsia"/>
          <w:kern w:val="0"/>
          <w:sz w:val="24"/>
        </w:rPr>
        <w:t>关于</w:t>
      </w:r>
      <w:r w:rsidR="009C2C56" w:rsidRPr="009C2C56">
        <w:rPr>
          <w:rFonts w:hint="eastAsia"/>
          <w:kern w:val="0"/>
          <w:sz w:val="24"/>
        </w:rPr>
        <w:t>交银施罗德持续成长主题混合型证券投资基金</w:t>
      </w:r>
      <w:r w:rsidR="009C2C56" w:rsidRPr="00C865F7">
        <w:rPr>
          <w:rFonts w:hint="eastAsia"/>
          <w:kern w:val="0"/>
          <w:sz w:val="24"/>
        </w:rPr>
        <w:t>调整投资范围及修改基金合同有关事项的议案</w:t>
      </w:r>
      <w:r w:rsidR="009C2C56">
        <w:rPr>
          <w:rFonts w:ascii="宋体" w:hAnsi="宋体" w:hint="eastAsia"/>
          <w:sz w:val="24"/>
        </w:rPr>
        <w:t>》，内容包括在交银施罗德持续成长主题混合型证券投资基金</w:t>
      </w:r>
      <w:r w:rsidR="009C2C56" w:rsidRPr="009C2C56">
        <w:rPr>
          <w:rFonts w:ascii="宋体" w:hAnsi="宋体" w:hint="eastAsia"/>
          <w:sz w:val="24"/>
        </w:rPr>
        <w:t>的投资范围中增加港股通标的股票</w:t>
      </w:r>
      <w:r w:rsidR="001C019A" w:rsidRPr="001C019A">
        <w:rPr>
          <w:rFonts w:ascii="宋体" w:hAnsi="宋体" w:hint="eastAsia"/>
          <w:bCs/>
          <w:sz w:val="24"/>
        </w:rPr>
        <w:t>、删除权证和中小板</w:t>
      </w:r>
      <w:r w:rsidR="009C2C56" w:rsidRPr="009C2C56">
        <w:rPr>
          <w:rFonts w:ascii="宋体" w:hAnsi="宋体" w:hint="eastAsia"/>
          <w:sz w:val="24"/>
        </w:rPr>
        <w:t>，相</w:t>
      </w:r>
      <w:r w:rsidR="009C2C56">
        <w:rPr>
          <w:rFonts w:ascii="宋体" w:hAnsi="宋体" w:hint="eastAsia"/>
          <w:sz w:val="24"/>
        </w:rPr>
        <w:t>应调整投资策略</w:t>
      </w:r>
      <w:r w:rsidR="00296C6C">
        <w:rPr>
          <w:rFonts w:ascii="宋体" w:hAnsi="宋体" w:hint="eastAsia"/>
          <w:sz w:val="24"/>
        </w:rPr>
        <w:t>、业绩比较基准</w:t>
      </w:r>
      <w:r w:rsidR="009C2C56">
        <w:rPr>
          <w:rFonts w:ascii="宋体" w:hAnsi="宋体" w:hint="eastAsia"/>
          <w:sz w:val="24"/>
        </w:rPr>
        <w:t>、投资比例限制、估值方法等内容，</w:t>
      </w:r>
      <w:r w:rsidR="009C2C56" w:rsidRPr="009C2C56">
        <w:rPr>
          <w:rFonts w:ascii="宋体" w:hAnsi="宋体" w:hint="eastAsia"/>
          <w:sz w:val="24"/>
        </w:rPr>
        <w:t>增加基金合同自动终止条款、增加</w:t>
      </w:r>
      <w:bookmarkStart w:id="9" w:name="_GoBack"/>
      <w:bookmarkEnd w:id="9"/>
      <w:r w:rsidR="009C2C56" w:rsidRPr="009C2C56">
        <w:rPr>
          <w:rFonts w:ascii="宋体" w:hAnsi="宋体" w:hint="eastAsia"/>
          <w:sz w:val="24"/>
        </w:rPr>
        <w:t>C类基金份额、增加侧袋机制相关表述</w:t>
      </w:r>
      <w:r w:rsidR="00296C6C">
        <w:rPr>
          <w:rFonts w:ascii="宋体" w:hAnsi="宋体" w:hint="eastAsia"/>
          <w:sz w:val="24"/>
        </w:rPr>
        <w:t>，并</w:t>
      </w:r>
      <w:r w:rsidR="009C2C56" w:rsidRPr="009C2C56">
        <w:rPr>
          <w:rFonts w:ascii="宋体" w:hAnsi="宋体" w:hint="eastAsia"/>
          <w:sz w:val="24"/>
        </w:rPr>
        <w:t>修改基金合同</w:t>
      </w:r>
      <w:r w:rsidR="00296C6C" w:rsidRPr="00C25B30">
        <w:rPr>
          <w:rFonts w:hint="eastAsia"/>
          <w:bCs/>
          <w:sz w:val="24"/>
        </w:rPr>
        <w:t>中根据上述调整需要同步进行修订的</w:t>
      </w:r>
      <w:r w:rsidR="009C2C56" w:rsidRPr="009C2C56">
        <w:rPr>
          <w:rFonts w:ascii="宋体" w:hAnsi="宋体" w:hint="eastAsia"/>
          <w:sz w:val="24"/>
        </w:rPr>
        <w:t>其他</w:t>
      </w:r>
      <w:r w:rsidR="00296C6C">
        <w:rPr>
          <w:rFonts w:ascii="宋体" w:hAnsi="宋体" w:hint="eastAsia"/>
          <w:sz w:val="24"/>
        </w:rPr>
        <w:t>部分</w:t>
      </w:r>
      <w:r w:rsidR="009C2C56" w:rsidRPr="009C2C56">
        <w:rPr>
          <w:rFonts w:ascii="宋体" w:hAnsi="宋体" w:hint="eastAsia"/>
          <w:sz w:val="24"/>
        </w:rPr>
        <w:t>条款，</w:t>
      </w:r>
      <w:r w:rsidR="00296C6C" w:rsidRPr="00C25B30">
        <w:rPr>
          <w:rFonts w:hint="eastAsia"/>
          <w:bCs/>
          <w:sz w:val="24"/>
        </w:rPr>
        <w:t>以及按照最新的法律法规及中国证监会要求修改的内容</w:t>
      </w:r>
      <w:r w:rsidR="00296C6C">
        <w:rPr>
          <w:rFonts w:hint="eastAsia"/>
          <w:bCs/>
          <w:sz w:val="24"/>
        </w:rPr>
        <w:t>。</w:t>
      </w:r>
      <w:r w:rsidR="009C2C56" w:rsidRPr="009C2C56">
        <w:rPr>
          <w:rFonts w:ascii="宋体" w:hAnsi="宋体" w:hint="eastAsia"/>
          <w:sz w:val="24"/>
        </w:rPr>
        <w:t>上述基金份额持有人大会决议事项自表决通过之日起生效。</w:t>
      </w:r>
      <w:r w:rsidRPr="002861D7">
        <w:rPr>
          <w:rFonts w:ascii="宋体" w:hAnsi="宋体" w:hint="eastAsia"/>
          <w:sz w:val="24"/>
        </w:rPr>
        <w:t>自202</w:t>
      </w:r>
      <w:r w:rsidR="0043711A">
        <w:rPr>
          <w:rFonts w:ascii="宋体" w:hAnsi="宋体"/>
          <w:sz w:val="24"/>
        </w:rPr>
        <w:t>3</w:t>
      </w:r>
      <w:r w:rsidRPr="002861D7">
        <w:rPr>
          <w:rFonts w:ascii="宋体" w:hAnsi="宋体" w:hint="eastAsia"/>
          <w:sz w:val="24"/>
        </w:rPr>
        <w:t>年</w:t>
      </w:r>
      <w:r w:rsidR="0043711A">
        <w:rPr>
          <w:rFonts w:ascii="宋体" w:hAnsi="宋体" w:hint="eastAsia"/>
          <w:sz w:val="24"/>
        </w:rPr>
        <w:t>3</w:t>
      </w:r>
      <w:r w:rsidRPr="002861D7">
        <w:rPr>
          <w:rFonts w:ascii="宋体" w:hAnsi="宋体" w:hint="eastAsia"/>
          <w:sz w:val="24"/>
        </w:rPr>
        <w:t>月</w:t>
      </w:r>
      <w:r w:rsidR="0043711A">
        <w:rPr>
          <w:rFonts w:ascii="宋体" w:hAnsi="宋体"/>
          <w:sz w:val="24"/>
        </w:rPr>
        <w:t>29</w:t>
      </w:r>
      <w:r w:rsidRPr="002861D7">
        <w:rPr>
          <w:rFonts w:ascii="宋体" w:hAnsi="宋体" w:hint="eastAsia"/>
          <w:sz w:val="24"/>
        </w:rPr>
        <w:t>日起，根据《</w:t>
      </w:r>
      <w:r w:rsidR="009C2C56" w:rsidRPr="009C2C56">
        <w:rPr>
          <w:rFonts w:ascii="宋体" w:hAnsi="宋体" w:hint="eastAsia"/>
          <w:sz w:val="24"/>
        </w:rPr>
        <w:t>关于交银施罗德持续成长主题混合型证券投资基金调整投资范围及修改基金合同有关事项的议案</w:t>
      </w:r>
      <w:r w:rsidRPr="002861D7">
        <w:rPr>
          <w:rFonts w:ascii="宋体" w:hAnsi="宋体" w:hint="eastAsia"/>
          <w:sz w:val="24"/>
        </w:rPr>
        <w:t>》修改而成的《</w:t>
      </w:r>
      <w:r w:rsidR="009C2C56">
        <w:rPr>
          <w:rFonts w:ascii="宋体" w:hAnsi="宋体" w:hint="eastAsia"/>
          <w:sz w:val="24"/>
        </w:rPr>
        <w:t>交银施罗德持续成长主题混合型证券投资基金</w:t>
      </w:r>
      <w:r w:rsidRPr="002861D7">
        <w:rPr>
          <w:rFonts w:ascii="宋体" w:hAnsi="宋体" w:hint="eastAsia"/>
          <w:sz w:val="24"/>
        </w:rPr>
        <w:t>基金合同》生效。</w:t>
      </w:r>
    </w:p>
    <w:p w14:paraId="7DC1D79D" w14:textId="77777777" w:rsidR="00AF2A34" w:rsidRDefault="00AF2A34" w:rsidP="00F82365">
      <w:pPr>
        <w:autoSpaceDE w:val="0"/>
        <w:autoSpaceDN w:val="0"/>
        <w:adjustRightInd w:val="0"/>
        <w:spacing w:line="360" w:lineRule="auto"/>
        <w:rPr>
          <w:rFonts w:ascii="宋体" w:hAnsi="宋体"/>
          <w:szCs w:val="24"/>
        </w:rPr>
      </w:pPr>
    </w:p>
    <w:p w14:paraId="51E32B28" w14:textId="168BDC83" w:rsidR="00FB4D29" w:rsidRDefault="00CF4592">
      <w:pPr>
        <w:pStyle w:val="1"/>
        <w:snapToGrid w:val="0"/>
        <w:spacing w:beforeLines="0" w:before="240" w:after="240"/>
        <w:rPr>
          <w:rFonts w:ascii="宋体" w:hAnsi="宋体"/>
          <w:szCs w:val="30"/>
        </w:rPr>
      </w:pPr>
      <w:r>
        <w:rPr>
          <w:rFonts w:ascii="宋体" w:hAnsi="宋体"/>
          <w:sz w:val="24"/>
        </w:rPr>
        <w:br w:type="page"/>
      </w:r>
      <w:bookmarkStart w:id="10" w:name="_Toc107476026"/>
      <w:r>
        <w:rPr>
          <w:rFonts w:ascii="Times New Roman" w:hAnsi="Times New Roman"/>
          <w:sz w:val="30"/>
        </w:rPr>
        <w:lastRenderedPageBreak/>
        <w:t>七、基金的</w:t>
      </w:r>
      <w:r w:rsidR="00BA2CAA">
        <w:rPr>
          <w:rFonts w:ascii="Times New Roman" w:hAnsi="Times New Roman" w:hint="eastAsia"/>
          <w:sz w:val="30"/>
        </w:rPr>
        <w:t>存续</w:t>
      </w:r>
      <w:bookmarkEnd w:id="10"/>
    </w:p>
    <w:p w14:paraId="2FE150AD" w14:textId="77777777" w:rsidR="00BA2CAA" w:rsidRDefault="00CF4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《基金合同》生效后，连续20个工作日出现基金份额持有人数量不满200人或者基金资产净值低于5000万元情形的，基金管理人应当在定期报告中予以披露。</w:t>
      </w:r>
      <w:r w:rsidR="00BA2CAA" w:rsidRPr="00BA2CAA">
        <w:rPr>
          <w:rFonts w:ascii="宋体" w:hAnsi="宋体" w:hint="eastAsia"/>
          <w:sz w:val="24"/>
        </w:rPr>
        <w:t>连续50个工作日出现前述情形的，基金合同终止，不需召开基金份额持有人大会。</w:t>
      </w:r>
    </w:p>
    <w:p w14:paraId="74825CA3" w14:textId="4A091F90" w:rsidR="00FB4D29" w:rsidRDefault="00BA2CAA">
      <w:pPr>
        <w:autoSpaceDE w:val="0"/>
        <w:autoSpaceDN w:val="0"/>
        <w:adjustRightInd w:val="0"/>
        <w:snapToGrid w:val="0"/>
        <w:spacing w:line="360" w:lineRule="auto"/>
        <w:ind w:firstLineChars="200" w:firstLine="480"/>
        <w:jc w:val="left"/>
        <w:rPr>
          <w:rFonts w:ascii="宋体" w:hAnsi="宋体"/>
          <w:szCs w:val="24"/>
        </w:rPr>
      </w:pPr>
      <w:r w:rsidRPr="00BA2CAA">
        <w:rPr>
          <w:rFonts w:ascii="宋体" w:hAnsi="宋体" w:hint="eastAsia"/>
          <w:sz w:val="24"/>
        </w:rPr>
        <w:t>法律法规或监管机构另有规定时，从其规定。</w:t>
      </w:r>
    </w:p>
    <w:p w14:paraId="228BBF82"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603B45DC" w14:textId="5B0CC681" w:rsidR="00FB4D29" w:rsidRDefault="00CF4592">
      <w:pPr>
        <w:pStyle w:val="1"/>
        <w:snapToGrid w:val="0"/>
        <w:spacing w:beforeLines="0" w:before="240" w:after="240"/>
        <w:rPr>
          <w:rFonts w:ascii="宋体" w:hAnsi="宋体"/>
          <w:szCs w:val="30"/>
        </w:rPr>
      </w:pPr>
      <w:r>
        <w:rPr>
          <w:rFonts w:ascii="宋体" w:hAnsi="宋体"/>
          <w:sz w:val="24"/>
        </w:rPr>
        <w:br w:type="page"/>
      </w:r>
      <w:bookmarkStart w:id="11" w:name="_Toc107476027"/>
      <w:r>
        <w:rPr>
          <w:rFonts w:ascii="Times New Roman" w:hAnsi="Times New Roman"/>
          <w:sz w:val="30"/>
        </w:rPr>
        <w:lastRenderedPageBreak/>
        <w:t>八、基金份额的申购与赎回</w:t>
      </w:r>
      <w:bookmarkEnd w:id="11"/>
    </w:p>
    <w:p w14:paraId="5CF3FB90"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（一）申购和赎回的场所</w:t>
      </w:r>
    </w:p>
    <w:p w14:paraId="170699B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734378C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E7DB48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37835C1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57179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D4F5A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843440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27962FB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7B1518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78917D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09833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A0175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个人投资者可以通过基金管理人网上直销交易平台办理开户、本基金的申购、赎回、转换、定期定额投资等业务，具体交易细则请参阅基金管理人网站。</w:t>
      </w:r>
    </w:p>
    <w:p w14:paraId="54F99A2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069B250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08E76D9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3164AFC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7EB7F7F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72B007E1"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（二）申购和赎回的开放日及时间</w:t>
      </w:r>
    </w:p>
    <w:p w14:paraId="662B447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24ED66B7" w14:textId="0FFF746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w:t>
      </w:r>
      <w:r w:rsidR="00B8012B" w:rsidRPr="00796A70">
        <w:rPr>
          <w:rFonts w:hint="eastAsia"/>
          <w:bCs/>
          <w:sz w:val="24"/>
        </w:rPr>
        <w:t>（若该工作日为非港股通交易日，则本基金可不开放）</w:t>
      </w:r>
      <w:r>
        <w:rPr>
          <w:rFonts w:ascii="宋体" w:hAnsi="宋体"/>
          <w:sz w:val="24"/>
        </w:rPr>
        <w:t>，但基金管理人根据法律法规、中国证监会的要求或基金合同的规定公告暂停申购、赎回时除外。</w:t>
      </w:r>
    </w:p>
    <w:p w14:paraId="428A2EC8" w14:textId="5579EA5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若出现新的证券/期货交易市场、证券/期货交易所交易时间变更或其他特殊情况，基金管理人将视情况对前述开放日及开放时间进行相应的调整，但应在实施日前依照《信息披露办法》的有关规定在</w:t>
      </w:r>
      <w:r w:rsidR="003246BF">
        <w:rPr>
          <w:rFonts w:ascii="宋体" w:hAnsi="宋体"/>
          <w:sz w:val="24"/>
        </w:rPr>
        <w:t>规定媒介</w:t>
      </w:r>
      <w:r>
        <w:rPr>
          <w:rFonts w:ascii="宋体" w:hAnsi="宋体"/>
          <w:sz w:val="24"/>
        </w:rPr>
        <w:t>上公告。</w:t>
      </w:r>
    </w:p>
    <w:p w14:paraId="4A31804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68121008" w14:textId="795747B4" w:rsidR="00FB4D29" w:rsidRDefault="00CF4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B82B06" w:rsidRPr="00B82B06">
        <w:rPr>
          <w:rFonts w:ascii="宋体" w:hAnsi="宋体" w:hint="eastAsia"/>
          <w:sz w:val="24"/>
        </w:rPr>
        <w:t>A类基金份额</w:t>
      </w:r>
      <w:r>
        <w:rPr>
          <w:rFonts w:ascii="宋体" w:hAnsi="宋体"/>
          <w:sz w:val="24"/>
        </w:rPr>
        <w:t>已于2018年3月5日起开放申购、赎回业务。</w:t>
      </w:r>
    </w:p>
    <w:p w14:paraId="2466C831" w14:textId="29A89F4D" w:rsidR="00B82B06" w:rsidRPr="00F82365" w:rsidRDefault="00B82B06">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本基金</w:t>
      </w:r>
      <w:r w:rsidRPr="00F82365">
        <w:rPr>
          <w:rFonts w:ascii="宋体" w:hAnsi="宋体"/>
          <w:sz w:val="24"/>
        </w:rPr>
        <w:t>C类基金份额</w:t>
      </w:r>
      <w:r w:rsidR="005E57F7">
        <w:rPr>
          <w:rFonts w:ascii="宋体" w:hAnsi="宋体"/>
          <w:sz w:val="24"/>
        </w:rPr>
        <w:t>已</w:t>
      </w:r>
      <w:r w:rsidRPr="00F82365">
        <w:rPr>
          <w:rFonts w:ascii="宋体" w:hAnsi="宋体"/>
          <w:sz w:val="24"/>
        </w:rPr>
        <w:t>于</w:t>
      </w:r>
      <w:r w:rsidR="00FA7CBF" w:rsidRPr="00FA7CBF">
        <w:rPr>
          <w:rFonts w:ascii="宋体" w:hAnsi="宋体" w:hint="eastAsia"/>
          <w:sz w:val="24"/>
        </w:rPr>
        <w:t>202</w:t>
      </w:r>
      <w:r w:rsidR="009E6E71">
        <w:rPr>
          <w:rFonts w:ascii="宋体" w:hAnsi="宋体"/>
          <w:sz w:val="24"/>
        </w:rPr>
        <w:t>3</w:t>
      </w:r>
      <w:r w:rsidRPr="00F82365">
        <w:rPr>
          <w:rFonts w:ascii="宋体" w:hAnsi="宋体" w:hint="eastAsia"/>
          <w:sz w:val="24"/>
        </w:rPr>
        <w:t>年</w:t>
      </w:r>
      <w:r w:rsidR="009E6E71">
        <w:rPr>
          <w:rFonts w:ascii="宋体" w:hAnsi="宋体"/>
          <w:sz w:val="24"/>
        </w:rPr>
        <w:t>3</w:t>
      </w:r>
      <w:r w:rsidRPr="00F82365">
        <w:rPr>
          <w:rFonts w:ascii="宋体" w:hAnsi="宋体" w:hint="eastAsia"/>
          <w:sz w:val="24"/>
        </w:rPr>
        <w:t>月</w:t>
      </w:r>
      <w:r w:rsidR="009E6E71">
        <w:rPr>
          <w:rFonts w:ascii="宋体" w:hAnsi="宋体"/>
          <w:sz w:val="24"/>
        </w:rPr>
        <w:t>29</w:t>
      </w:r>
      <w:r w:rsidRPr="00F82365">
        <w:rPr>
          <w:rFonts w:ascii="宋体" w:hAnsi="宋体" w:hint="eastAsia"/>
          <w:sz w:val="24"/>
        </w:rPr>
        <w:t>日起开放申购、赎回业务。</w:t>
      </w:r>
    </w:p>
    <w:p w14:paraId="17FDFB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5AAA7C8"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（三）申购与赎回的原则</w:t>
      </w:r>
    </w:p>
    <w:p w14:paraId="7EF34CC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56D5D6D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64A0FB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0EE3434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F990689" w14:textId="411FA03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3246BF">
        <w:rPr>
          <w:rFonts w:ascii="宋体" w:hAnsi="宋体"/>
          <w:sz w:val="24"/>
        </w:rPr>
        <w:t>规定媒介</w:t>
      </w:r>
      <w:r>
        <w:rPr>
          <w:rFonts w:ascii="宋体" w:hAnsi="宋体"/>
          <w:sz w:val="24"/>
        </w:rPr>
        <w:t>上公告。</w:t>
      </w:r>
    </w:p>
    <w:p w14:paraId="6C9C8664"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（四）申购和赎回的数额限定</w:t>
      </w:r>
    </w:p>
    <w:p w14:paraId="4BDC95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685699E1" w14:textId="6453F8D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w:t>
      </w:r>
      <w:r w:rsidR="003E0C78">
        <w:rPr>
          <w:rFonts w:ascii="宋体" w:hAnsi="宋体" w:hint="eastAsia"/>
          <w:sz w:val="24"/>
        </w:rPr>
        <w:t>万</w:t>
      </w:r>
      <w:r>
        <w:rPr>
          <w:rFonts w:ascii="宋体" w:hAnsi="宋体"/>
          <w:sz w:val="24"/>
        </w:rPr>
        <w:t>元，追加申购的最低金额为单笔10</w:t>
      </w:r>
      <w:r w:rsidR="003E0C78">
        <w:rPr>
          <w:rFonts w:ascii="宋体" w:hAnsi="宋体" w:hint="eastAsia"/>
          <w:sz w:val="24"/>
        </w:rPr>
        <w:t>万</w:t>
      </w:r>
      <w:r>
        <w:rPr>
          <w:rFonts w:ascii="宋体" w:hAnsi="宋体"/>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 元。本基金直销机构单笔申购最低金额可由基金管理人酌情调整。其他销售机构接受申购申请的最低金额为单笔1元，如果销售机构业务规则规定的最低单笔申购金</w:t>
      </w:r>
      <w:r>
        <w:rPr>
          <w:rFonts w:ascii="宋体" w:hAnsi="宋体"/>
          <w:sz w:val="24"/>
        </w:rPr>
        <w:lastRenderedPageBreak/>
        <w:t>额高于1元，以该销售机构的规定为准。</w:t>
      </w:r>
    </w:p>
    <w:p w14:paraId="5D5A40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6A6C40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55F5A32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4B8052D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每个工作日投资人在单个交易账户的本基金份额余额少于1份时，若当日该账户同时有基金份额减少类业务（如赎回、转换出等）被确认，则基金管理人有权将投资人在该账户的本基金份额一次性全部赎回。</w:t>
      </w:r>
    </w:p>
    <w:p w14:paraId="14F7469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D5B0C8E" w14:textId="14924B8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w:t>
      </w:r>
      <w:r w:rsidR="003246BF">
        <w:rPr>
          <w:rFonts w:ascii="宋体" w:hAnsi="宋体"/>
          <w:sz w:val="24"/>
        </w:rPr>
        <w:t>规定媒介</w:t>
      </w:r>
      <w:r>
        <w:rPr>
          <w:rFonts w:ascii="宋体" w:hAnsi="宋体"/>
          <w:sz w:val="24"/>
        </w:rPr>
        <w:t>上刊登公告。</w:t>
      </w:r>
    </w:p>
    <w:p w14:paraId="58FD824B"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（五）申购和赎回的程序</w:t>
      </w:r>
    </w:p>
    <w:p w14:paraId="107C67D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0FA963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05533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0FB53EA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37321B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或基金合同载明的其他暂停赎回或延缓支付赎回款项的情形时，款项的支付办法参照基金合同有关条款处理。</w:t>
      </w:r>
    </w:p>
    <w:p w14:paraId="1862A1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3、申购和赎回申请的确认</w:t>
      </w:r>
    </w:p>
    <w:p w14:paraId="1AEB02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44C5F6D5" w14:textId="170C03E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3246BF">
        <w:rPr>
          <w:rFonts w:ascii="宋体" w:hAnsi="宋体"/>
          <w:sz w:val="24"/>
        </w:rPr>
        <w:t>规定媒介</w:t>
      </w:r>
      <w:r>
        <w:rPr>
          <w:rFonts w:ascii="宋体" w:hAnsi="宋体"/>
          <w:sz w:val="24"/>
        </w:rPr>
        <w:t>上公告。</w:t>
      </w:r>
    </w:p>
    <w:p w14:paraId="799B35C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26BCCF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0CA220E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42D41DB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5E850EB5" w14:textId="1E68E02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w:t>
      </w:r>
      <w:r w:rsidR="003246BF">
        <w:rPr>
          <w:rFonts w:ascii="宋体" w:hAnsi="宋体"/>
          <w:sz w:val="24"/>
        </w:rPr>
        <w:t>规定媒介</w:t>
      </w:r>
      <w:r>
        <w:rPr>
          <w:rFonts w:ascii="宋体" w:hAnsi="宋体"/>
          <w:sz w:val="24"/>
        </w:rPr>
        <w:t>上公告。</w:t>
      </w:r>
    </w:p>
    <w:p w14:paraId="3192210D"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（六）基金的申购费和赎回费</w:t>
      </w:r>
    </w:p>
    <w:p w14:paraId="4E0ACDC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350107CF" w14:textId="77777777" w:rsidR="00B8012B" w:rsidRDefault="00B8012B">
      <w:pPr>
        <w:autoSpaceDE w:val="0"/>
        <w:autoSpaceDN w:val="0"/>
        <w:adjustRightInd w:val="0"/>
        <w:snapToGrid w:val="0"/>
        <w:spacing w:line="360" w:lineRule="auto"/>
        <w:ind w:firstLineChars="200" w:firstLine="480"/>
        <w:jc w:val="left"/>
        <w:rPr>
          <w:rFonts w:ascii="宋体" w:hAnsi="宋体"/>
          <w:sz w:val="24"/>
        </w:rPr>
      </w:pPr>
      <w:r w:rsidRPr="00B8012B">
        <w:rPr>
          <w:rFonts w:ascii="宋体" w:hAnsi="宋体" w:hint="eastAsia"/>
          <w:sz w:val="24"/>
        </w:rPr>
        <w:t>本基金基金份额分为A类基金份额和C类基金份额。投资人申购A类基金份额在申购时支付申购费用；申购C类基金份额不支付申购费用，并从该类别基金资产中计提销售服务费。</w:t>
      </w:r>
    </w:p>
    <w:p w14:paraId="0F8463BF" w14:textId="386D16D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B8012B" w:rsidRPr="00B8012B">
        <w:rPr>
          <w:rFonts w:ascii="宋体" w:hAnsi="宋体" w:hint="eastAsia"/>
          <w:sz w:val="24"/>
        </w:rPr>
        <w:t>A类基金份额</w:t>
      </w:r>
      <w:r>
        <w:rPr>
          <w:rFonts w:ascii="宋体" w:hAnsi="宋体"/>
          <w:sz w:val="24"/>
        </w:rPr>
        <w:t>的申购费用由</w:t>
      </w:r>
      <w:r w:rsidR="00B8012B" w:rsidRPr="00B8012B">
        <w:rPr>
          <w:rFonts w:ascii="宋体" w:hAnsi="宋体" w:hint="eastAsia"/>
          <w:sz w:val="24"/>
        </w:rPr>
        <w:t>申购A类基金份额的</w:t>
      </w:r>
      <w:r>
        <w:rPr>
          <w:rFonts w:ascii="宋体" w:hAnsi="宋体"/>
          <w:sz w:val="24"/>
        </w:rPr>
        <w:t>申购人承担，不列入基金财产，主要用于本基金的市场推广、销售、登记等各项费用。</w:t>
      </w:r>
    </w:p>
    <w:p w14:paraId="64F348D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643D36C4" w14:textId="069588B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B8012B" w:rsidRPr="00B8012B">
        <w:rPr>
          <w:rFonts w:ascii="宋体" w:hAnsi="宋体" w:hint="eastAsia"/>
          <w:sz w:val="24"/>
        </w:rPr>
        <w:t>A类基金份额（非养老金客户）</w:t>
      </w:r>
      <w:r>
        <w:rPr>
          <w:rFonts w:ascii="宋体" w:hAnsi="宋体"/>
          <w:sz w:val="24"/>
        </w:rPr>
        <w:t>的申购费率如下：</w:t>
      </w:r>
    </w:p>
    <w:tbl>
      <w:tblPr>
        <w:tblW w:w="4741" w:type="pct"/>
        <w:tblInd w:w="289" w:type="dxa"/>
        <w:tblCellMar>
          <w:left w:w="0" w:type="dxa"/>
          <w:right w:w="0" w:type="dxa"/>
        </w:tblCellMar>
        <w:tblLook w:val="0000" w:firstRow="0" w:lastRow="0" w:firstColumn="0" w:lastColumn="0" w:noHBand="0" w:noVBand="0"/>
      </w:tblPr>
      <w:tblGrid>
        <w:gridCol w:w="2263"/>
        <w:gridCol w:w="3820"/>
        <w:gridCol w:w="2119"/>
      </w:tblGrid>
      <w:tr w:rsidR="00FB4D29" w14:paraId="5873F9FC" w14:textId="77777777" w:rsidTr="00F82365">
        <w:trPr>
          <w:cantSplit/>
          <w:trHeight w:val="375"/>
        </w:trPr>
        <w:tc>
          <w:tcPr>
            <w:tcW w:w="1379" w:type="pct"/>
            <w:vMerge w:val="restart"/>
            <w:tcBorders>
              <w:top w:val="single" w:sz="4" w:space="0" w:color="auto"/>
              <w:left w:val="single" w:sz="4" w:space="0" w:color="auto"/>
              <w:bottom w:val="single" w:sz="4" w:space="0" w:color="auto"/>
              <w:right w:val="single" w:sz="4" w:space="0" w:color="auto"/>
            </w:tcBorders>
            <w:vAlign w:val="center"/>
          </w:tcPr>
          <w:p w14:paraId="1B6AE9ED" w14:textId="0381CD49" w:rsidR="00FB4D29" w:rsidRDefault="00B8012B">
            <w:pPr>
              <w:widowControl/>
              <w:snapToGrid w:val="0"/>
              <w:jc w:val="center"/>
              <w:rPr>
                <w:rFonts w:ascii="宋体" w:hAnsi="宋体"/>
                <w:color w:val="000000"/>
                <w:kern w:val="0"/>
                <w:sz w:val="25"/>
                <w:szCs w:val="24"/>
              </w:rPr>
            </w:pPr>
            <w:r w:rsidRPr="00B8012B">
              <w:rPr>
                <w:rFonts w:ascii="Times New Roman" w:hAnsi="Times New Roman" w:hint="eastAsia"/>
                <w:color w:val="000000"/>
                <w:kern w:val="0"/>
                <w:sz w:val="25"/>
                <w:szCs w:val="24"/>
              </w:rPr>
              <w:lastRenderedPageBreak/>
              <w:t>A</w:t>
            </w:r>
            <w:r w:rsidRPr="00B8012B">
              <w:rPr>
                <w:rFonts w:ascii="Times New Roman" w:hAnsi="Times New Roman" w:hint="eastAsia"/>
                <w:color w:val="000000"/>
                <w:kern w:val="0"/>
                <w:sz w:val="25"/>
                <w:szCs w:val="24"/>
              </w:rPr>
              <w:t>类基金份额的</w:t>
            </w:r>
            <w:r w:rsidR="00CF4592">
              <w:rPr>
                <w:rFonts w:ascii="Times New Roman" w:hAnsi="Times New Roman"/>
                <w:color w:val="000000"/>
                <w:kern w:val="0"/>
                <w:sz w:val="25"/>
                <w:szCs w:val="24"/>
              </w:rPr>
              <w:t>申购费率</w:t>
            </w:r>
          </w:p>
        </w:tc>
        <w:tc>
          <w:tcPr>
            <w:tcW w:w="2329" w:type="pct"/>
            <w:tcBorders>
              <w:top w:val="single" w:sz="4" w:space="0" w:color="auto"/>
              <w:left w:val="single" w:sz="4" w:space="0" w:color="auto"/>
              <w:bottom w:val="single" w:sz="4" w:space="0" w:color="auto"/>
              <w:right w:val="single" w:sz="4" w:space="0" w:color="auto"/>
            </w:tcBorders>
            <w:vAlign w:val="center"/>
          </w:tcPr>
          <w:p w14:paraId="6F9CF21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1292" w:type="pct"/>
            <w:tcBorders>
              <w:top w:val="single" w:sz="4" w:space="0" w:color="auto"/>
              <w:left w:val="single" w:sz="4" w:space="0" w:color="auto"/>
              <w:bottom w:val="single" w:sz="4" w:space="0" w:color="auto"/>
              <w:right w:val="single" w:sz="4" w:space="0" w:color="auto"/>
            </w:tcBorders>
            <w:vAlign w:val="center"/>
          </w:tcPr>
          <w:p w14:paraId="72FFBFF4" w14:textId="341A15BC" w:rsidR="00FB4D29" w:rsidRDefault="00B8012B">
            <w:pPr>
              <w:widowControl/>
              <w:snapToGrid w:val="0"/>
              <w:jc w:val="center"/>
              <w:rPr>
                <w:rFonts w:ascii="宋体" w:hAnsi="宋体"/>
                <w:color w:val="000000"/>
                <w:kern w:val="0"/>
                <w:sz w:val="25"/>
                <w:szCs w:val="24"/>
              </w:rPr>
            </w:pPr>
            <w:r w:rsidRPr="00B8012B">
              <w:rPr>
                <w:rFonts w:ascii="Times New Roman" w:hAnsi="Times New Roman" w:hint="eastAsia"/>
                <w:color w:val="000000"/>
                <w:kern w:val="0"/>
                <w:sz w:val="25"/>
                <w:szCs w:val="24"/>
              </w:rPr>
              <w:t>A</w:t>
            </w:r>
            <w:r w:rsidRPr="00B8012B">
              <w:rPr>
                <w:rFonts w:ascii="Times New Roman" w:hAnsi="Times New Roman" w:hint="eastAsia"/>
                <w:color w:val="000000"/>
                <w:kern w:val="0"/>
                <w:sz w:val="25"/>
                <w:szCs w:val="24"/>
              </w:rPr>
              <w:t>类基金份额</w:t>
            </w:r>
            <w:r w:rsidR="00CF4592">
              <w:rPr>
                <w:rFonts w:ascii="Times New Roman" w:hAnsi="Times New Roman"/>
                <w:color w:val="000000"/>
                <w:kern w:val="0"/>
                <w:sz w:val="25"/>
                <w:szCs w:val="24"/>
              </w:rPr>
              <w:t>申购费率</w:t>
            </w:r>
          </w:p>
        </w:tc>
      </w:tr>
      <w:tr w:rsidR="00FB4D29" w14:paraId="47EB9680" w14:textId="77777777" w:rsidTr="00F82365">
        <w:trPr>
          <w:cantSplit/>
          <w:trHeight w:val="375"/>
        </w:trPr>
        <w:tc>
          <w:tcPr>
            <w:tcW w:w="1379" w:type="pct"/>
            <w:vMerge/>
            <w:tcBorders>
              <w:top w:val="single" w:sz="4" w:space="0" w:color="auto"/>
              <w:left w:val="single" w:sz="4" w:space="0" w:color="auto"/>
              <w:bottom w:val="single" w:sz="4" w:space="0" w:color="auto"/>
              <w:right w:val="single" w:sz="4" w:space="0" w:color="auto"/>
            </w:tcBorders>
            <w:vAlign w:val="center"/>
          </w:tcPr>
          <w:p w14:paraId="744A2C9C" w14:textId="77777777" w:rsidR="00FB4D29" w:rsidRDefault="00FB4D29">
            <w:pPr>
              <w:widowControl/>
              <w:snapToGrid w:val="0"/>
              <w:jc w:val="center"/>
              <w:rPr>
                <w:rFonts w:ascii="宋体" w:hAnsi="宋体"/>
                <w:color w:val="000000"/>
                <w:kern w:val="0"/>
                <w:sz w:val="25"/>
                <w:szCs w:val="24"/>
              </w:rPr>
            </w:pPr>
          </w:p>
        </w:tc>
        <w:tc>
          <w:tcPr>
            <w:tcW w:w="2329" w:type="pct"/>
            <w:tcBorders>
              <w:top w:val="single" w:sz="4" w:space="0" w:color="auto"/>
              <w:left w:val="single" w:sz="4" w:space="0" w:color="auto"/>
              <w:bottom w:val="single" w:sz="4" w:space="0" w:color="auto"/>
              <w:right w:val="single" w:sz="4" w:space="0" w:color="auto"/>
            </w:tcBorders>
            <w:vAlign w:val="center"/>
          </w:tcPr>
          <w:p w14:paraId="5C9E445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万元以下</w:t>
            </w:r>
          </w:p>
        </w:tc>
        <w:tc>
          <w:tcPr>
            <w:tcW w:w="1292" w:type="pct"/>
            <w:tcBorders>
              <w:top w:val="single" w:sz="4" w:space="0" w:color="auto"/>
              <w:left w:val="single" w:sz="4" w:space="0" w:color="auto"/>
              <w:bottom w:val="single" w:sz="4" w:space="0" w:color="auto"/>
              <w:right w:val="single" w:sz="4" w:space="0" w:color="auto"/>
            </w:tcBorders>
            <w:vAlign w:val="center"/>
          </w:tcPr>
          <w:p w14:paraId="3EB1D95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FB4D29" w14:paraId="6B9EA79C" w14:textId="77777777" w:rsidTr="00F82365">
        <w:trPr>
          <w:cantSplit/>
          <w:trHeight w:val="375"/>
        </w:trPr>
        <w:tc>
          <w:tcPr>
            <w:tcW w:w="1379" w:type="pct"/>
            <w:vMerge/>
            <w:tcBorders>
              <w:top w:val="single" w:sz="4" w:space="0" w:color="auto"/>
              <w:left w:val="single" w:sz="4" w:space="0" w:color="auto"/>
              <w:bottom w:val="single" w:sz="4" w:space="0" w:color="auto"/>
              <w:right w:val="single" w:sz="4" w:space="0" w:color="auto"/>
            </w:tcBorders>
            <w:vAlign w:val="center"/>
          </w:tcPr>
          <w:p w14:paraId="33F999AC" w14:textId="77777777" w:rsidR="00FB4D29" w:rsidRDefault="00FB4D29">
            <w:pPr>
              <w:widowControl/>
              <w:snapToGrid w:val="0"/>
              <w:jc w:val="center"/>
              <w:rPr>
                <w:rFonts w:ascii="宋体" w:hAnsi="宋体"/>
                <w:color w:val="000000"/>
                <w:kern w:val="0"/>
                <w:sz w:val="25"/>
                <w:szCs w:val="24"/>
              </w:rPr>
            </w:pPr>
          </w:p>
        </w:tc>
        <w:tc>
          <w:tcPr>
            <w:tcW w:w="2329" w:type="pct"/>
            <w:tcBorders>
              <w:top w:val="single" w:sz="4" w:space="0" w:color="auto"/>
              <w:left w:val="single" w:sz="4" w:space="0" w:color="auto"/>
              <w:bottom w:val="single" w:sz="4" w:space="0" w:color="auto"/>
              <w:right w:val="single" w:sz="4" w:space="0" w:color="auto"/>
            </w:tcBorders>
            <w:vAlign w:val="center"/>
          </w:tcPr>
          <w:p w14:paraId="098927E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292" w:type="pct"/>
            <w:tcBorders>
              <w:top w:val="single" w:sz="4" w:space="0" w:color="auto"/>
              <w:left w:val="single" w:sz="4" w:space="0" w:color="auto"/>
              <w:bottom w:val="single" w:sz="4" w:space="0" w:color="auto"/>
              <w:right w:val="single" w:sz="4" w:space="0" w:color="auto"/>
            </w:tcBorders>
            <w:vAlign w:val="center"/>
          </w:tcPr>
          <w:p w14:paraId="6DCCF9F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rsidR="00FB4D29" w14:paraId="53085C00" w14:textId="77777777" w:rsidTr="00F82365">
        <w:trPr>
          <w:cantSplit/>
          <w:trHeight w:val="375"/>
        </w:trPr>
        <w:tc>
          <w:tcPr>
            <w:tcW w:w="1379" w:type="pct"/>
            <w:vMerge/>
            <w:tcBorders>
              <w:top w:val="single" w:sz="4" w:space="0" w:color="auto"/>
              <w:left w:val="single" w:sz="4" w:space="0" w:color="auto"/>
              <w:bottom w:val="single" w:sz="4" w:space="0" w:color="auto"/>
              <w:right w:val="single" w:sz="4" w:space="0" w:color="auto"/>
            </w:tcBorders>
            <w:vAlign w:val="center"/>
          </w:tcPr>
          <w:p w14:paraId="40910A14" w14:textId="77777777" w:rsidR="00FB4D29" w:rsidRDefault="00FB4D29">
            <w:pPr>
              <w:widowControl/>
              <w:snapToGrid w:val="0"/>
              <w:jc w:val="center"/>
              <w:rPr>
                <w:rFonts w:ascii="宋体" w:hAnsi="宋体"/>
                <w:color w:val="000000"/>
                <w:kern w:val="0"/>
                <w:sz w:val="25"/>
                <w:szCs w:val="24"/>
              </w:rPr>
            </w:pPr>
          </w:p>
        </w:tc>
        <w:tc>
          <w:tcPr>
            <w:tcW w:w="2329" w:type="pct"/>
            <w:tcBorders>
              <w:top w:val="single" w:sz="4" w:space="0" w:color="auto"/>
              <w:left w:val="single" w:sz="4" w:space="0" w:color="auto"/>
              <w:bottom w:val="single" w:sz="4" w:space="0" w:color="auto"/>
              <w:right w:val="single" w:sz="4" w:space="0" w:color="auto"/>
            </w:tcBorders>
            <w:vAlign w:val="center"/>
          </w:tcPr>
          <w:p w14:paraId="173C653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292" w:type="pct"/>
            <w:tcBorders>
              <w:top w:val="single" w:sz="4" w:space="0" w:color="auto"/>
              <w:left w:val="single" w:sz="4" w:space="0" w:color="auto"/>
              <w:bottom w:val="single" w:sz="4" w:space="0" w:color="auto"/>
              <w:right w:val="single" w:sz="4" w:space="0" w:color="auto"/>
            </w:tcBorders>
            <w:vAlign w:val="center"/>
          </w:tcPr>
          <w:p w14:paraId="0304323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2BE3FED" w14:textId="5AE4934A" w:rsidR="00FB4D29" w:rsidRDefault="005D6F94">
      <w:pPr>
        <w:autoSpaceDE w:val="0"/>
        <w:autoSpaceDN w:val="0"/>
        <w:adjustRightInd w:val="0"/>
        <w:snapToGrid w:val="0"/>
        <w:spacing w:line="360" w:lineRule="auto"/>
        <w:ind w:firstLineChars="200" w:firstLine="480"/>
        <w:jc w:val="left"/>
        <w:rPr>
          <w:rFonts w:ascii="宋体" w:hAnsi="宋体"/>
          <w:szCs w:val="24"/>
        </w:rPr>
      </w:pPr>
      <w:r w:rsidRPr="005D6F94">
        <w:rPr>
          <w:rFonts w:ascii="宋体" w:hAnsi="宋体" w:hint="eastAsia"/>
          <w:sz w:val="24"/>
        </w:rPr>
        <w:t>持有A类基金份额的投资人</w:t>
      </w:r>
      <w:r w:rsidR="00CF4592">
        <w:rPr>
          <w:rFonts w:ascii="宋体" w:hAnsi="宋体"/>
          <w:sz w:val="24"/>
        </w:rPr>
        <w:t>因红利自动再投资而产生的</w:t>
      </w:r>
      <w:r>
        <w:rPr>
          <w:rFonts w:ascii="宋体" w:hAnsi="宋体"/>
          <w:sz w:val="24"/>
        </w:rPr>
        <w:t>A</w:t>
      </w:r>
      <w:r>
        <w:rPr>
          <w:rFonts w:ascii="宋体" w:hAnsi="宋体" w:hint="eastAsia"/>
          <w:sz w:val="24"/>
        </w:rPr>
        <w:t>类</w:t>
      </w:r>
      <w:r w:rsidR="00CF4592">
        <w:rPr>
          <w:rFonts w:ascii="宋体" w:hAnsi="宋体"/>
          <w:sz w:val="24"/>
        </w:rPr>
        <w:t>基金份额，不收取相应的申购费用。</w:t>
      </w:r>
    </w:p>
    <w:p w14:paraId="57A71BFF" w14:textId="141D3FD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w:t>
      </w:r>
      <w:r w:rsidR="005D6F94">
        <w:rPr>
          <w:rFonts w:ascii="宋体" w:hAnsi="宋体"/>
          <w:sz w:val="24"/>
        </w:rPr>
        <w:t>A</w:t>
      </w:r>
      <w:r w:rsidR="005D6F94">
        <w:rPr>
          <w:rFonts w:ascii="宋体" w:hAnsi="宋体" w:hint="eastAsia"/>
          <w:sz w:val="24"/>
        </w:rPr>
        <w:t>类</w:t>
      </w:r>
      <w:r>
        <w:rPr>
          <w:rFonts w:ascii="宋体" w:hAnsi="宋体"/>
          <w:sz w:val="24"/>
        </w:rPr>
        <w:t>基金份额的养老金客户实施特定申购费率。</w:t>
      </w:r>
    </w:p>
    <w:p w14:paraId="40E9E89F" w14:textId="4C11C63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w:t>
      </w:r>
    </w:p>
    <w:p w14:paraId="688DE437" w14:textId="3FAC903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w:t>
      </w:r>
      <w:r w:rsidR="005A1E26" w:rsidRPr="005A1E26">
        <w:rPr>
          <w:rFonts w:ascii="宋体" w:hAnsi="宋体" w:hint="eastAsia"/>
          <w:sz w:val="24"/>
        </w:rPr>
        <w:t>A类</w:t>
      </w:r>
      <w:r>
        <w:rPr>
          <w:rFonts w:ascii="宋体" w:hAnsi="宋体"/>
          <w:sz w:val="24"/>
        </w:rPr>
        <w:t>基金份额的养老金客户特定申购费率如下表：</w:t>
      </w:r>
    </w:p>
    <w:tbl>
      <w:tblPr>
        <w:tblW w:w="4915" w:type="pct"/>
        <w:tblInd w:w="147" w:type="dxa"/>
        <w:tblCellMar>
          <w:left w:w="0" w:type="dxa"/>
          <w:right w:w="0" w:type="dxa"/>
        </w:tblCellMar>
        <w:tblLook w:val="0000" w:firstRow="0" w:lastRow="0" w:firstColumn="0" w:lastColumn="0" w:noHBand="0" w:noVBand="0"/>
      </w:tblPr>
      <w:tblGrid>
        <w:gridCol w:w="2263"/>
        <w:gridCol w:w="4102"/>
        <w:gridCol w:w="2138"/>
      </w:tblGrid>
      <w:tr w:rsidR="00FB4D29" w14:paraId="088799D2" w14:textId="77777777" w:rsidTr="00F82365">
        <w:trPr>
          <w:cantSplit/>
          <w:trHeight w:val="375"/>
        </w:trPr>
        <w:tc>
          <w:tcPr>
            <w:tcW w:w="1331" w:type="pct"/>
            <w:vMerge w:val="restart"/>
            <w:tcBorders>
              <w:top w:val="single" w:sz="4" w:space="0" w:color="auto"/>
              <w:left w:val="single" w:sz="4" w:space="0" w:color="auto"/>
              <w:bottom w:val="single" w:sz="4" w:space="0" w:color="auto"/>
              <w:right w:val="single" w:sz="4" w:space="0" w:color="auto"/>
            </w:tcBorders>
            <w:vAlign w:val="center"/>
          </w:tcPr>
          <w:p w14:paraId="2679049F" w14:textId="38142379" w:rsidR="00FB4D29" w:rsidRDefault="005D6F94">
            <w:pPr>
              <w:widowControl/>
              <w:snapToGrid w:val="0"/>
              <w:jc w:val="center"/>
              <w:rPr>
                <w:rFonts w:ascii="宋体" w:hAnsi="宋体"/>
                <w:color w:val="000000"/>
                <w:kern w:val="0"/>
                <w:sz w:val="25"/>
                <w:szCs w:val="24"/>
              </w:rPr>
            </w:pPr>
            <w:r w:rsidRPr="005D6F94">
              <w:rPr>
                <w:rFonts w:ascii="Times New Roman" w:hAnsi="Times New Roman" w:hint="eastAsia"/>
                <w:color w:val="000000"/>
                <w:kern w:val="0"/>
                <w:sz w:val="25"/>
                <w:szCs w:val="24"/>
              </w:rPr>
              <w:t>A</w:t>
            </w:r>
            <w:r w:rsidRPr="005D6F94">
              <w:rPr>
                <w:rFonts w:ascii="Times New Roman" w:hAnsi="Times New Roman" w:hint="eastAsia"/>
                <w:color w:val="000000"/>
                <w:kern w:val="0"/>
                <w:sz w:val="25"/>
                <w:szCs w:val="24"/>
              </w:rPr>
              <w:t>类基金份额的</w:t>
            </w:r>
            <w:r w:rsidR="00CF4592">
              <w:rPr>
                <w:rFonts w:ascii="Times New Roman" w:hAnsi="Times New Roman"/>
                <w:color w:val="000000"/>
                <w:kern w:val="0"/>
                <w:sz w:val="25"/>
                <w:szCs w:val="24"/>
              </w:rPr>
              <w:t>申购费率</w:t>
            </w:r>
          </w:p>
        </w:tc>
        <w:tc>
          <w:tcPr>
            <w:tcW w:w="2412" w:type="pct"/>
            <w:tcBorders>
              <w:top w:val="single" w:sz="4" w:space="0" w:color="auto"/>
              <w:left w:val="single" w:sz="4" w:space="0" w:color="auto"/>
              <w:bottom w:val="single" w:sz="4" w:space="0" w:color="auto"/>
              <w:right w:val="single" w:sz="4" w:space="0" w:color="auto"/>
            </w:tcBorders>
            <w:vAlign w:val="center"/>
          </w:tcPr>
          <w:p w14:paraId="0BB31E28"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1257" w:type="pct"/>
            <w:tcBorders>
              <w:top w:val="single" w:sz="4" w:space="0" w:color="auto"/>
              <w:left w:val="single" w:sz="4" w:space="0" w:color="auto"/>
              <w:bottom w:val="single" w:sz="4" w:space="0" w:color="auto"/>
              <w:right w:val="single" w:sz="4" w:space="0" w:color="auto"/>
            </w:tcBorders>
            <w:vAlign w:val="center"/>
          </w:tcPr>
          <w:p w14:paraId="7198A890" w14:textId="24E2EB99" w:rsidR="00FB4D29" w:rsidRDefault="005D6F94">
            <w:pPr>
              <w:widowControl/>
              <w:snapToGrid w:val="0"/>
              <w:jc w:val="center"/>
              <w:rPr>
                <w:rFonts w:ascii="宋体" w:hAnsi="宋体"/>
                <w:color w:val="000000"/>
                <w:kern w:val="0"/>
                <w:sz w:val="25"/>
                <w:szCs w:val="24"/>
              </w:rPr>
            </w:pPr>
            <w:r w:rsidRPr="005D6F94">
              <w:rPr>
                <w:rFonts w:ascii="Times New Roman" w:hAnsi="Times New Roman" w:hint="eastAsia"/>
                <w:color w:val="000000"/>
                <w:kern w:val="0"/>
                <w:sz w:val="25"/>
                <w:szCs w:val="24"/>
              </w:rPr>
              <w:t>A</w:t>
            </w:r>
            <w:r>
              <w:rPr>
                <w:rFonts w:ascii="Times New Roman" w:hAnsi="Times New Roman" w:hint="eastAsia"/>
                <w:color w:val="000000"/>
                <w:kern w:val="0"/>
                <w:sz w:val="25"/>
                <w:szCs w:val="24"/>
              </w:rPr>
              <w:t>类基金份额</w:t>
            </w:r>
            <w:r w:rsidR="00CF4592">
              <w:rPr>
                <w:rFonts w:ascii="Times New Roman" w:hAnsi="Times New Roman"/>
                <w:color w:val="000000"/>
                <w:kern w:val="0"/>
                <w:sz w:val="25"/>
                <w:szCs w:val="24"/>
              </w:rPr>
              <w:t>特定申购费率</w:t>
            </w:r>
          </w:p>
        </w:tc>
      </w:tr>
      <w:tr w:rsidR="00FB4D29" w14:paraId="6E323974" w14:textId="77777777" w:rsidTr="00F82365">
        <w:trPr>
          <w:cantSplit/>
          <w:trHeight w:val="375"/>
        </w:trPr>
        <w:tc>
          <w:tcPr>
            <w:tcW w:w="1331" w:type="pct"/>
            <w:vMerge/>
            <w:tcBorders>
              <w:top w:val="single" w:sz="4" w:space="0" w:color="auto"/>
              <w:left w:val="single" w:sz="4" w:space="0" w:color="auto"/>
              <w:bottom w:val="single" w:sz="4" w:space="0" w:color="auto"/>
              <w:right w:val="single" w:sz="4" w:space="0" w:color="auto"/>
            </w:tcBorders>
            <w:vAlign w:val="center"/>
          </w:tcPr>
          <w:p w14:paraId="5524CA5B" w14:textId="77777777" w:rsidR="00FB4D29" w:rsidRDefault="00FB4D29">
            <w:pPr>
              <w:widowControl/>
              <w:snapToGrid w:val="0"/>
              <w:jc w:val="center"/>
              <w:rPr>
                <w:rFonts w:ascii="宋体" w:hAnsi="宋体"/>
                <w:color w:val="000000"/>
                <w:kern w:val="0"/>
                <w:sz w:val="25"/>
                <w:szCs w:val="24"/>
              </w:rPr>
            </w:pPr>
          </w:p>
        </w:tc>
        <w:tc>
          <w:tcPr>
            <w:tcW w:w="2412" w:type="pct"/>
            <w:tcBorders>
              <w:top w:val="single" w:sz="4" w:space="0" w:color="auto"/>
              <w:left w:val="single" w:sz="4" w:space="0" w:color="auto"/>
              <w:bottom w:val="single" w:sz="4" w:space="0" w:color="auto"/>
              <w:right w:val="single" w:sz="4" w:space="0" w:color="auto"/>
            </w:tcBorders>
            <w:vAlign w:val="center"/>
          </w:tcPr>
          <w:p w14:paraId="7F73E051"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万元以下</w:t>
            </w:r>
          </w:p>
        </w:tc>
        <w:tc>
          <w:tcPr>
            <w:tcW w:w="1257" w:type="pct"/>
            <w:tcBorders>
              <w:top w:val="single" w:sz="4" w:space="0" w:color="auto"/>
              <w:left w:val="single" w:sz="4" w:space="0" w:color="auto"/>
              <w:bottom w:val="single" w:sz="4" w:space="0" w:color="auto"/>
              <w:right w:val="single" w:sz="4" w:space="0" w:color="auto"/>
            </w:tcBorders>
            <w:vAlign w:val="center"/>
          </w:tcPr>
          <w:p w14:paraId="1B718CC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FB4D29" w14:paraId="01E7C704" w14:textId="77777777" w:rsidTr="00F82365">
        <w:trPr>
          <w:cantSplit/>
          <w:trHeight w:val="375"/>
        </w:trPr>
        <w:tc>
          <w:tcPr>
            <w:tcW w:w="1331" w:type="pct"/>
            <w:vMerge/>
            <w:tcBorders>
              <w:top w:val="single" w:sz="4" w:space="0" w:color="auto"/>
              <w:left w:val="single" w:sz="4" w:space="0" w:color="auto"/>
              <w:bottom w:val="single" w:sz="4" w:space="0" w:color="auto"/>
              <w:right w:val="single" w:sz="4" w:space="0" w:color="auto"/>
            </w:tcBorders>
            <w:vAlign w:val="center"/>
          </w:tcPr>
          <w:p w14:paraId="17D319D1" w14:textId="77777777" w:rsidR="00FB4D29" w:rsidRDefault="00FB4D29">
            <w:pPr>
              <w:widowControl/>
              <w:snapToGrid w:val="0"/>
              <w:jc w:val="center"/>
              <w:rPr>
                <w:rFonts w:ascii="宋体" w:hAnsi="宋体"/>
                <w:color w:val="000000"/>
                <w:kern w:val="0"/>
                <w:sz w:val="25"/>
                <w:szCs w:val="24"/>
              </w:rPr>
            </w:pPr>
          </w:p>
        </w:tc>
        <w:tc>
          <w:tcPr>
            <w:tcW w:w="2412" w:type="pct"/>
            <w:tcBorders>
              <w:top w:val="single" w:sz="4" w:space="0" w:color="auto"/>
              <w:left w:val="single" w:sz="4" w:space="0" w:color="auto"/>
              <w:bottom w:val="single" w:sz="4" w:space="0" w:color="auto"/>
              <w:right w:val="single" w:sz="4" w:space="0" w:color="auto"/>
            </w:tcBorders>
            <w:vAlign w:val="center"/>
          </w:tcPr>
          <w:p w14:paraId="1892386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257" w:type="pct"/>
            <w:tcBorders>
              <w:top w:val="single" w:sz="4" w:space="0" w:color="auto"/>
              <w:left w:val="single" w:sz="4" w:space="0" w:color="auto"/>
              <w:bottom w:val="single" w:sz="4" w:space="0" w:color="auto"/>
              <w:right w:val="single" w:sz="4" w:space="0" w:color="auto"/>
            </w:tcBorders>
            <w:vAlign w:val="center"/>
          </w:tcPr>
          <w:p w14:paraId="3C897F5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FB4D29" w14:paraId="66ED0275" w14:textId="77777777" w:rsidTr="00F82365">
        <w:trPr>
          <w:cantSplit/>
          <w:trHeight w:val="375"/>
        </w:trPr>
        <w:tc>
          <w:tcPr>
            <w:tcW w:w="1331" w:type="pct"/>
            <w:vMerge/>
            <w:tcBorders>
              <w:top w:val="single" w:sz="4" w:space="0" w:color="auto"/>
              <w:left w:val="single" w:sz="4" w:space="0" w:color="auto"/>
              <w:bottom w:val="single" w:sz="4" w:space="0" w:color="auto"/>
              <w:right w:val="single" w:sz="4" w:space="0" w:color="auto"/>
            </w:tcBorders>
            <w:vAlign w:val="center"/>
          </w:tcPr>
          <w:p w14:paraId="33CA88B8" w14:textId="77777777" w:rsidR="00FB4D29" w:rsidRDefault="00FB4D29">
            <w:pPr>
              <w:widowControl/>
              <w:snapToGrid w:val="0"/>
              <w:jc w:val="center"/>
              <w:rPr>
                <w:rFonts w:ascii="宋体" w:hAnsi="宋体"/>
                <w:color w:val="000000"/>
                <w:kern w:val="0"/>
                <w:sz w:val="25"/>
                <w:szCs w:val="24"/>
              </w:rPr>
            </w:pPr>
          </w:p>
        </w:tc>
        <w:tc>
          <w:tcPr>
            <w:tcW w:w="2412" w:type="pct"/>
            <w:tcBorders>
              <w:top w:val="single" w:sz="4" w:space="0" w:color="auto"/>
              <w:left w:val="single" w:sz="4" w:space="0" w:color="auto"/>
              <w:bottom w:val="single" w:sz="4" w:space="0" w:color="auto"/>
              <w:right w:val="single" w:sz="4" w:space="0" w:color="auto"/>
            </w:tcBorders>
            <w:vAlign w:val="center"/>
          </w:tcPr>
          <w:p w14:paraId="7BEBD16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257" w:type="pct"/>
            <w:tcBorders>
              <w:top w:val="single" w:sz="4" w:space="0" w:color="auto"/>
              <w:left w:val="single" w:sz="4" w:space="0" w:color="auto"/>
              <w:bottom w:val="single" w:sz="4" w:space="0" w:color="auto"/>
              <w:right w:val="single" w:sz="4" w:space="0" w:color="auto"/>
            </w:tcBorders>
            <w:vAlign w:val="center"/>
          </w:tcPr>
          <w:p w14:paraId="20CCABF1"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D842E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2F4EE79" w14:textId="2AD7D41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w:t>
      </w:r>
      <w:r w:rsidR="00E32A18" w:rsidRPr="00E32A18">
        <w:rPr>
          <w:rFonts w:ascii="宋体" w:hAnsi="宋体" w:hint="eastAsia"/>
          <w:sz w:val="24"/>
        </w:rPr>
        <w:t>A类基金份额</w:t>
      </w:r>
      <w:r>
        <w:rPr>
          <w:rFonts w:ascii="宋体" w:hAnsi="宋体"/>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96D759E" w14:textId="20857A2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w:t>
      </w:r>
      <w:r w:rsidR="00E32A18" w:rsidRPr="00E32A18">
        <w:rPr>
          <w:rFonts w:ascii="宋体" w:hAnsi="宋体" w:hint="eastAsia"/>
          <w:sz w:val="24"/>
        </w:rPr>
        <w:t>A类基金份额</w:t>
      </w:r>
      <w:r>
        <w:rPr>
          <w:rFonts w:ascii="宋体" w:hAnsi="宋体"/>
          <w:sz w:val="24"/>
        </w:rPr>
        <w:t>申购业务的个人投资者享受申购费率优惠，赎回费率标准不变。具体优惠费率请参见本基金管理人网站列示的网上直销交易平台申购费率表或相关公告。</w:t>
      </w:r>
    </w:p>
    <w:p w14:paraId="07460A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本公司基金网上直销业务已开通的银行卡及各银行卡交易金额限额请参阅本公司网站。</w:t>
      </w:r>
    </w:p>
    <w:p w14:paraId="25019A7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498FCE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4653BF39" w14:textId="77777777" w:rsidR="00E32A18" w:rsidRDefault="00E32A18">
      <w:pPr>
        <w:autoSpaceDE w:val="0"/>
        <w:autoSpaceDN w:val="0"/>
        <w:adjustRightInd w:val="0"/>
        <w:snapToGrid w:val="0"/>
        <w:spacing w:line="360" w:lineRule="auto"/>
        <w:ind w:firstLineChars="200" w:firstLine="480"/>
        <w:jc w:val="left"/>
        <w:rPr>
          <w:rFonts w:ascii="宋体" w:hAnsi="宋体"/>
          <w:sz w:val="24"/>
        </w:rPr>
      </w:pPr>
      <w:r w:rsidRPr="00E32A18">
        <w:rPr>
          <w:rFonts w:ascii="宋体" w:hAnsi="宋体" w:hint="eastAsia"/>
          <w:sz w:val="24"/>
        </w:rPr>
        <w:t>（1）本基金A类基金份额的赎回费率</w:t>
      </w:r>
    </w:p>
    <w:p w14:paraId="2D023211" w14:textId="3D6A22A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E32A18" w:rsidRPr="00E32A18">
        <w:rPr>
          <w:rFonts w:ascii="宋体" w:hAnsi="宋体" w:hint="eastAsia"/>
          <w:sz w:val="24"/>
        </w:rPr>
        <w:t>A类基金份额</w:t>
      </w:r>
      <w:r>
        <w:rPr>
          <w:rFonts w:ascii="宋体" w:hAnsi="宋体"/>
          <w:sz w:val="24"/>
        </w:rPr>
        <w:t>的赎回费用由赎回</w:t>
      </w:r>
      <w:r w:rsidR="00E32A18">
        <w:rPr>
          <w:rFonts w:ascii="宋体" w:hAnsi="宋体" w:hint="eastAsia"/>
          <w:sz w:val="24"/>
        </w:rPr>
        <w:t>A类</w:t>
      </w:r>
      <w:r>
        <w:rPr>
          <w:rFonts w:ascii="宋体" w:hAnsi="宋体"/>
          <w:sz w:val="24"/>
        </w:rPr>
        <w:t>基金份额的基金份额持有人承担，在基金份额持有人赎回</w:t>
      </w:r>
      <w:r w:rsidR="00E32A18">
        <w:rPr>
          <w:rFonts w:ascii="宋体" w:hAnsi="宋体" w:hint="eastAsia"/>
          <w:sz w:val="24"/>
        </w:rPr>
        <w:t>A类</w:t>
      </w:r>
      <w:r>
        <w:rPr>
          <w:rFonts w:ascii="宋体" w:hAnsi="宋体"/>
          <w:sz w:val="24"/>
        </w:rPr>
        <w:t>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应当将赎回费总额的25%计入基金财产。上述“月”指的是30个自然日。未归入基金财产的部分用于支付登记费和其他必要的手续费。</w:t>
      </w:r>
    </w:p>
    <w:p w14:paraId="48477318" w14:textId="1EFF7A6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C840FD" w:rsidRPr="00C840FD">
        <w:rPr>
          <w:rFonts w:ascii="宋体" w:hAnsi="宋体" w:hint="eastAsia"/>
          <w:sz w:val="24"/>
        </w:rPr>
        <w:t>A类基金份额</w:t>
      </w:r>
      <w:r>
        <w:rPr>
          <w:rFonts w:ascii="宋体" w:hAnsi="宋体"/>
          <w:sz w:val="24"/>
        </w:rPr>
        <w:t>的赎回费率如下：</w:t>
      </w:r>
    </w:p>
    <w:tbl>
      <w:tblPr>
        <w:tblW w:w="4915" w:type="pct"/>
        <w:tblInd w:w="147" w:type="dxa"/>
        <w:tblCellMar>
          <w:left w:w="0" w:type="dxa"/>
          <w:right w:w="0" w:type="dxa"/>
        </w:tblCellMar>
        <w:tblLook w:val="0000" w:firstRow="0" w:lastRow="0" w:firstColumn="0" w:lastColumn="0" w:noHBand="0" w:noVBand="0"/>
      </w:tblPr>
      <w:tblGrid>
        <w:gridCol w:w="2263"/>
        <w:gridCol w:w="4102"/>
        <w:gridCol w:w="2138"/>
      </w:tblGrid>
      <w:tr w:rsidR="00FB4D29" w14:paraId="51B0A167" w14:textId="77777777" w:rsidTr="00F82365">
        <w:trPr>
          <w:cantSplit/>
          <w:trHeight w:val="375"/>
        </w:trPr>
        <w:tc>
          <w:tcPr>
            <w:tcW w:w="1331" w:type="pct"/>
            <w:vMerge w:val="restart"/>
            <w:tcBorders>
              <w:top w:val="single" w:sz="4" w:space="0" w:color="auto"/>
              <w:left w:val="single" w:sz="4" w:space="0" w:color="auto"/>
              <w:bottom w:val="single" w:sz="4" w:space="0" w:color="auto"/>
              <w:right w:val="single" w:sz="4" w:space="0" w:color="auto"/>
            </w:tcBorders>
            <w:vAlign w:val="center"/>
          </w:tcPr>
          <w:p w14:paraId="78172D0B" w14:textId="59D614DA" w:rsidR="00FB4D29" w:rsidRDefault="00C840FD">
            <w:pPr>
              <w:widowControl/>
              <w:snapToGrid w:val="0"/>
              <w:jc w:val="center"/>
              <w:rPr>
                <w:rFonts w:ascii="宋体" w:hAnsi="宋体"/>
                <w:color w:val="000000"/>
                <w:kern w:val="0"/>
                <w:sz w:val="25"/>
                <w:szCs w:val="24"/>
              </w:rPr>
            </w:pPr>
            <w:r w:rsidRPr="00C840FD">
              <w:rPr>
                <w:rFonts w:ascii="Times New Roman" w:hAnsi="Times New Roman" w:hint="eastAsia"/>
                <w:color w:val="000000"/>
                <w:kern w:val="0"/>
                <w:sz w:val="25"/>
                <w:szCs w:val="24"/>
              </w:rPr>
              <w:t>A</w:t>
            </w:r>
            <w:r w:rsidRPr="00C840FD">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CF4592">
              <w:rPr>
                <w:rFonts w:ascii="Times New Roman" w:hAnsi="Times New Roman"/>
                <w:color w:val="000000"/>
                <w:kern w:val="0"/>
                <w:sz w:val="25"/>
                <w:szCs w:val="24"/>
              </w:rPr>
              <w:t>赎回费率</w:t>
            </w:r>
          </w:p>
        </w:tc>
        <w:tc>
          <w:tcPr>
            <w:tcW w:w="2412" w:type="pct"/>
            <w:tcBorders>
              <w:top w:val="single" w:sz="4" w:space="0" w:color="auto"/>
              <w:left w:val="single" w:sz="4" w:space="0" w:color="auto"/>
              <w:bottom w:val="single" w:sz="4" w:space="0" w:color="auto"/>
              <w:right w:val="single" w:sz="4" w:space="0" w:color="auto"/>
            </w:tcBorders>
            <w:vAlign w:val="center"/>
          </w:tcPr>
          <w:p w14:paraId="2C27EA38"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257" w:type="pct"/>
            <w:tcBorders>
              <w:top w:val="single" w:sz="4" w:space="0" w:color="auto"/>
              <w:left w:val="single" w:sz="4" w:space="0" w:color="auto"/>
              <w:bottom w:val="single" w:sz="4" w:space="0" w:color="auto"/>
              <w:right w:val="single" w:sz="4" w:space="0" w:color="auto"/>
            </w:tcBorders>
            <w:vAlign w:val="center"/>
          </w:tcPr>
          <w:p w14:paraId="12513D7D" w14:textId="5D6F4BAD" w:rsidR="00FB4D29" w:rsidRDefault="00C840FD">
            <w:pPr>
              <w:widowControl/>
              <w:snapToGrid w:val="0"/>
              <w:jc w:val="center"/>
              <w:rPr>
                <w:rFonts w:ascii="宋体" w:hAnsi="宋体"/>
                <w:color w:val="000000"/>
                <w:kern w:val="0"/>
                <w:sz w:val="25"/>
                <w:szCs w:val="24"/>
              </w:rPr>
            </w:pPr>
            <w:r w:rsidRPr="00C840FD">
              <w:rPr>
                <w:rFonts w:ascii="Times New Roman" w:hAnsi="Times New Roman" w:hint="eastAsia"/>
                <w:color w:val="000000"/>
                <w:kern w:val="0"/>
                <w:sz w:val="25"/>
                <w:szCs w:val="24"/>
              </w:rPr>
              <w:t>A</w:t>
            </w:r>
            <w:r w:rsidRPr="00C840FD">
              <w:rPr>
                <w:rFonts w:ascii="Times New Roman" w:hAnsi="Times New Roman" w:hint="eastAsia"/>
                <w:color w:val="000000"/>
                <w:kern w:val="0"/>
                <w:sz w:val="25"/>
                <w:szCs w:val="24"/>
              </w:rPr>
              <w:t>类基金份额</w:t>
            </w:r>
            <w:r w:rsidR="00CF4592">
              <w:rPr>
                <w:rFonts w:ascii="Times New Roman" w:hAnsi="Times New Roman"/>
                <w:color w:val="000000"/>
                <w:kern w:val="0"/>
                <w:sz w:val="25"/>
                <w:szCs w:val="24"/>
              </w:rPr>
              <w:t>赎回费率</w:t>
            </w:r>
          </w:p>
        </w:tc>
      </w:tr>
      <w:tr w:rsidR="00FB4D29" w14:paraId="5E478A45" w14:textId="77777777" w:rsidTr="00F82365">
        <w:trPr>
          <w:cantSplit/>
          <w:trHeight w:val="375"/>
        </w:trPr>
        <w:tc>
          <w:tcPr>
            <w:tcW w:w="1331" w:type="pct"/>
            <w:vMerge/>
            <w:tcBorders>
              <w:top w:val="single" w:sz="4" w:space="0" w:color="auto"/>
              <w:left w:val="single" w:sz="4" w:space="0" w:color="auto"/>
              <w:bottom w:val="single" w:sz="4" w:space="0" w:color="auto"/>
              <w:right w:val="single" w:sz="4" w:space="0" w:color="auto"/>
            </w:tcBorders>
            <w:vAlign w:val="center"/>
          </w:tcPr>
          <w:p w14:paraId="002CC0B7" w14:textId="77777777" w:rsidR="00FB4D29" w:rsidRDefault="00FB4D29">
            <w:pPr>
              <w:widowControl/>
              <w:snapToGrid w:val="0"/>
              <w:jc w:val="center"/>
              <w:rPr>
                <w:rFonts w:ascii="宋体" w:hAnsi="宋体"/>
                <w:color w:val="000000"/>
                <w:kern w:val="0"/>
                <w:sz w:val="25"/>
                <w:szCs w:val="24"/>
              </w:rPr>
            </w:pPr>
          </w:p>
        </w:tc>
        <w:tc>
          <w:tcPr>
            <w:tcW w:w="2412" w:type="pct"/>
            <w:tcBorders>
              <w:top w:val="single" w:sz="4" w:space="0" w:color="auto"/>
              <w:left w:val="single" w:sz="4" w:space="0" w:color="auto"/>
              <w:bottom w:val="single" w:sz="4" w:space="0" w:color="auto"/>
              <w:right w:val="single" w:sz="4" w:space="0" w:color="auto"/>
            </w:tcBorders>
            <w:vAlign w:val="center"/>
          </w:tcPr>
          <w:p w14:paraId="4FE9ED3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1257" w:type="pct"/>
            <w:tcBorders>
              <w:top w:val="single" w:sz="4" w:space="0" w:color="auto"/>
              <w:left w:val="single" w:sz="4" w:space="0" w:color="auto"/>
              <w:bottom w:val="single" w:sz="4" w:space="0" w:color="auto"/>
              <w:right w:val="single" w:sz="4" w:space="0" w:color="auto"/>
            </w:tcBorders>
            <w:vAlign w:val="center"/>
          </w:tcPr>
          <w:p w14:paraId="5C3E54C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FB4D29" w14:paraId="27E4595C" w14:textId="77777777" w:rsidTr="00F82365">
        <w:trPr>
          <w:cantSplit/>
          <w:trHeight w:val="375"/>
        </w:trPr>
        <w:tc>
          <w:tcPr>
            <w:tcW w:w="1331" w:type="pct"/>
            <w:vMerge/>
            <w:tcBorders>
              <w:top w:val="single" w:sz="4" w:space="0" w:color="auto"/>
              <w:left w:val="single" w:sz="4" w:space="0" w:color="auto"/>
              <w:bottom w:val="single" w:sz="4" w:space="0" w:color="auto"/>
              <w:right w:val="single" w:sz="4" w:space="0" w:color="auto"/>
            </w:tcBorders>
            <w:vAlign w:val="center"/>
          </w:tcPr>
          <w:p w14:paraId="79905E71" w14:textId="77777777" w:rsidR="00FB4D29" w:rsidRDefault="00FB4D29">
            <w:pPr>
              <w:widowControl/>
              <w:snapToGrid w:val="0"/>
              <w:jc w:val="center"/>
              <w:rPr>
                <w:rFonts w:ascii="宋体" w:hAnsi="宋体"/>
                <w:color w:val="000000"/>
                <w:kern w:val="0"/>
                <w:sz w:val="25"/>
                <w:szCs w:val="24"/>
              </w:rPr>
            </w:pPr>
          </w:p>
        </w:tc>
        <w:tc>
          <w:tcPr>
            <w:tcW w:w="2412" w:type="pct"/>
            <w:tcBorders>
              <w:top w:val="single" w:sz="4" w:space="0" w:color="auto"/>
              <w:left w:val="single" w:sz="4" w:space="0" w:color="auto"/>
              <w:bottom w:val="single" w:sz="4" w:space="0" w:color="auto"/>
              <w:right w:val="single" w:sz="4" w:space="0" w:color="auto"/>
            </w:tcBorders>
            <w:vAlign w:val="center"/>
          </w:tcPr>
          <w:p w14:paraId="32840C0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1257" w:type="pct"/>
            <w:tcBorders>
              <w:top w:val="single" w:sz="4" w:space="0" w:color="auto"/>
              <w:left w:val="single" w:sz="4" w:space="0" w:color="auto"/>
              <w:bottom w:val="single" w:sz="4" w:space="0" w:color="auto"/>
              <w:right w:val="single" w:sz="4" w:space="0" w:color="auto"/>
            </w:tcBorders>
            <w:vAlign w:val="center"/>
          </w:tcPr>
          <w:p w14:paraId="0ECEA032"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FB4D29" w14:paraId="1FCA9899" w14:textId="77777777" w:rsidTr="00F82365">
        <w:trPr>
          <w:cantSplit/>
          <w:trHeight w:val="375"/>
        </w:trPr>
        <w:tc>
          <w:tcPr>
            <w:tcW w:w="1331" w:type="pct"/>
            <w:vMerge/>
            <w:tcBorders>
              <w:top w:val="single" w:sz="4" w:space="0" w:color="auto"/>
              <w:left w:val="single" w:sz="4" w:space="0" w:color="auto"/>
              <w:bottom w:val="single" w:sz="4" w:space="0" w:color="auto"/>
              <w:right w:val="single" w:sz="4" w:space="0" w:color="auto"/>
            </w:tcBorders>
            <w:vAlign w:val="center"/>
          </w:tcPr>
          <w:p w14:paraId="7E44E4ED" w14:textId="77777777" w:rsidR="00FB4D29" w:rsidRDefault="00FB4D29">
            <w:pPr>
              <w:widowControl/>
              <w:snapToGrid w:val="0"/>
              <w:jc w:val="center"/>
              <w:rPr>
                <w:rFonts w:ascii="宋体" w:hAnsi="宋体"/>
                <w:color w:val="000000"/>
                <w:kern w:val="0"/>
                <w:sz w:val="25"/>
                <w:szCs w:val="24"/>
              </w:rPr>
            </w:pPr>
          </w:p>
        </w:tc>
        <w:tc>
          <w:tcPr>
            <w:tcW w:w="2412" w:type="pct"/>
            <w:tcBorders>
              <w:top w:val="single" w:sz="4" w:space="0" w:color="auto"/>
              <w:left w:val="single" w:sz="4" w:space="0" w:color="auto"/>
              <w:bottom w:val="single" w:sz="4" w:space="0" w:color="auto"/>
              <w:right w:val="single" w:sz="4" w:space="0" w:color="auto"/>
            </w:tcBorders>
            <w:vAlign w:val="center"/>
          </w:tcPr>
          <w:p w14:paraId="340F5561"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1257" w:type="pct"/>
            <w:tcBorders>
              <w:top w:val="single" w:sz="4" w:space="0" w:color="auto"/>
              <w:left w:val="single" w:sz="4" w:space="0" w:color="auto"/>
              <w:bottom w:val="single" w:sz="4" w:space="0" w:color="auto"/>
              <w:right w:val="single" w:sz="4" w:space="0" w:color="auto"/>
            </w:tcBorders>
            <w:vAlign w:val="center"/>
          </w:tcPr>
          <w:p w14:paraId="4B4B38B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FB4D29" w14:paraId="34E8F1BE" w14:textId="77777777" w:rsidTr="00F82365">
        <w:trPr>
          <w:cantSplit/>
          <w:trHeight w:val="375"/>
        </w:trPr>
        <w:tc>
          <w:tcPr>
            <w:tcW w:w="1331" w:type="pct"/>
            <w:vMerge/>
            <w:tcBorders>
              <w:top w:val="single" w:sz="4" w:space="0" w:color="auto"/>
              <w:left w:val="single" w:sz="4" w:space="0" w:color="auto"/>
              <w:bottom w:val="single" w:sz="4" w:space="0" w:color="auto"/>
              <w:right w:val="single" w:sz="4" w:space="0" w:color="auto"/>
            </w:tcBorders>
            <w:vAlign w:val="center"/>
          </w:tcPr>
          <w:p w14:paraId="3A4CE532" w14:textId="77777777" w:rsidR="00FB4D29" w:rsidRDefault="00FB4D29">
            <w:pPr>
              <w:widowControl/>
              <w:snapToGrid w:val="0"/>
              <w:jc w:val="center"/>
              <w:rPr>
                <w:rFonts w:ascii="宋体" w:hAnsi="宋体"/>
                <w:color w:val="000000"/>
                <w:kern w:val="0"/>
                <w:sz w:val="25"/>
                <w:szCs w:val="24"/>
              </w:rPr>
            </w:pPr>
          </w:p>
        </w:tc>
        <w:tc>
          <w:tcPr>
            <w:tcW w:w="2412" w:type="pct"/>
            <w:tcBorders>
              <w:top w:val="single" w:sz="4" w:space="0" w:color="auto"/>
              <w:left w:val="single" w:sz="4" w:space="0" w:color="auto"/>
              <w:bottom w:val="single" w:sz="4" w:space="0" w:color="auto"/>
              <w:right w:val="single" w:sz="4" w:space="0" w:color="auto"/>
            </w:tcBorders>
            <w:vAlign w:val="center"/>
          </w:tcPr>
          <w:p w14:paraId="3301912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1257" w:type="pct"/>
            <w:tcBorders>
              <w:top w:val="single" w:sz="4" w:space="0" w:color="auto"/>
              <w:left w:val="single" w:sz="4" w:space="0" w:color="auto"/>
              <w:bottom w:val="single" w:sz="4" w:space="0" w:color="auto"/>
              <w:right w:val="single" w:sz="4" w:space="0" w:color="auto"/>
            </w:tcBorders>
            <w:vAlign w:val="center"/>
          </w:tcPr>
          <w:p w14:paraId="5E2B0EF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FB4D29" w14:paraId="47A50A41" w14:textId="77777777" w:rsidTr="00F82365">
        <w:trPr>
          <w:cantSplit/>
          <w:trHeight w:val="375"/>
        </w:trPr>
        <w:tc>
          <w:tcPr>
            <w:tcW w:w="1331" w:type="pct"/>
            <w:vMerge/>
            <w:tcBorders>
              <w:top w:val="single" w:sz="4" w:space="0" w:color="auto"/>
              <w:left w:val="single" w:sz="4" w:space="0" w:color="auto"/>
              <w:bottom w:val="single" w:sz="4" w:space="0" w:color="auto"/>
              <w:right w:val="single" w:sz="4" w:space="0" w:color="auto"/>
            </w:tcBorders>
            <w:vAlign w:val="center"/>
          </w:tcPr>
          <w:p w14:paraId="678ED6B8" w14:textId="77777777" w:rsidR="00FB4D29" w:rsidRDefault="00FB4D29">
            <w:pPr>
              <w:widowControl/>
              <w:snapToGrid w:val="0"/>
              <w:jc w:val="center"/>
              <w:rPr>
                <w:rFonts w:ascii="宋体" w:hAnsi="宋体"/>
                <w:color w:val="000000"/>
                <w:kern w:val="0"/>
                <w:sz w:val="25"/>
                <w:szCs w:val="24"/>
              </w:rPr>
            </w:pPr>
          </w:p>
        </w:tc>
        <w:tc>
          <w:tcPr>
            <w:tcW w:w="2412" w:type="pct"/>
            <w:tcBorders>
              <w:top w:val="single" w:sz="4" w:space="0" w:color="auto"/>
              <w:left w:val="single" w:sz="4" w:space="0" w:color="auto"/>
              <w:bottom w:val="single" w:sz="4" w:space="0" w:color="auto"/>
              <w:right w:val="single" w:sz="4" w:space="0" w:color="auto"/>
            </w:tcBorders>
            <w:vAlign w:val="center"/>
          </w:tcPr>
          <w:p w14:paraId="6DD042BB"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1257" w:type="pct"/>
            <w:tcBorders>
              <w:top w:val="single" w:sz="4" w:space="0" w:color="auto"/>
              <w:left w:val="single" w:sz="4" w:space="0" w:color="auto"/>
              <w:bottom w:val="single" w:sz="4" w:space="0" w:color="auto"/>
              <w:right w:val="single" w:sz="4" w:space="0" w:color="auto"/>
            </w:tcBorders>
            <w:vAlign w:val="center"/>
          </w:tcPr>
          <w:p w14:paraId="699D03B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18739F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14:paraId="15A96071" w14:textId="49D14A86" w:rsidR="004D2CC3" w:rsidRDefault="007A253B" w:rsidP="007A253B">
      <w:pPr>
        <w:autoSpaceDE w:val="0"/>
        <w:autoSpaceDN w:val="0"/>
        <w:adjustRightInd w:val="0"/>
        <w:snapToGrid w:val="0"/>
        <w:spacing w:line="360" w:lineRule="auto"/>
        <w:ind w:firstLineChars="200" w:firstLine="480"/>
        <w:rPr>
          <w:rFonts w:ascii="宋体" w:hAnsi="宋体"/>
          <w:sz w:val="24"/>
        </w:rPr>
      </w:pPr>
      <w:r w:rsidRPr="009F4A6B">
        <w:rPr>
          <w:rFonts w:ascii="宋体" w:hAnsi="宋体" w:hint="eastAsia"/>
          <w:sz w:val="24"/>
        </w:rPr>
        <w:t>（</w:t>
      </w:r>
      <w:r w:rsidRPr="009F4A6B">
        <w:rPr>
          <w:rFonts w:ascii="宋体" w:hAnsi="宋体"/>
          <w:sz w:val="24"/>
        </w:rPr>
        <w:t>2</w:t>
      </w:r>
      <w:r w:rsidRPr="009F4A6B">
        <w:rPr>
          <w:rFonts w:ascii="宋体" w:hAnsi="宋体" w:hint="eastAsia"/>
          <w:sz w:val="24"/>
        </w:rPr>
        <w:t>）</w:t>
      </w:r>
      <w:r w:rsidR="004D2CC3" w:rsidRPr="00E32A18">
        <w:rPr>
          <w:rFonts w:ascii="宋体" w:hAnsi="宋体" w:hint="eastAsia"/>
          <w:sz w:val="24"/>
        </w:rPr>
        <w:t>本基金</w:t>
      </w:r>
      <w:r w:rsidR="004D2CC3">
        <w:rPr>
          <w:rFonts w:ascii="宋体" w:hAnsi="宋体"/>
          <w:sz w:val="24"/>
        </w:rPr>
        <w:t>C</w:t>
      </w:r>
      <w:r w:rsidR="004D2CC3" w:rsidRPr="00E32A18">
        <w:rPr>
          <w:rFonts w:ascii="宋体" w:hAnsi="宋体" w:hint="eastAsia"/>
          <w:sz w:val="24"/>
        </w:rPr>
        <w:t>类基金份额的赎回费率</w:t>
      </w:r>
    </w:p>
    <w:p w14:paraId="305A9151" w14:textId="77777777" w:rsidR="004D2CC3" w:rsidRDefault="004D2CC3" w:rsidP="00F82365">
      <w:pPr>
        <w:autoSpaceDE w:val="0"/>
        <w:autoSpaceDN w:val="0"/>
        <w:adjustRightInd w:val="0"/>
        <w:snapToGrid w:val="0"/>
        <w:spacing w:line="360" w:lineRule="auto"/>
        <w:ind w:firstLineChars="200" w:firstLine="480"/>
        <w:rPr>
          <w:rFonts w:ascii="宋体" w:hAnsi="宋体"/>
          <w:sz w:val="24"/>
        </w:rPr>
      </w:pPr>
      <w:r w:rsidRPr="003C2E0A">
        <w:rPr>
          <w:rFonts w:ascii="宋体" w:hAnsi="宋体" w:hint="eastAsia"/>
          <w:sz w:val="24"/>
        </w:rPr>
        <w:t>本基金</w:t>
      </w:r>
      <w:r w:rsidRPr="003C2E0A">
        <w:rPr>
          <w:rFonts w:ascii="宋体" w:hAnsi="宋体"/>
          <w:sz w:val="24"/>
        </w:rPr>
        <w:t>C</w:t>
      </w:r>
      <w:r w:rsidRPr="003C2E0A">
        <w:rPr>
          <w:rFonts w:ascii="宋体" w:hAnsi="宋体" w:hint="eastAsia"/>
          <w:sz w:val="24"/>
        </w:rPr>
        <w:t>类基金份额的赎回费用由赎回</w:t>
      </w:r>
      <w:r w:rsidRPr="003C2E0A">
        <w:rPr>
          <w:rFonts w:ascii="宋体" w:hAnsi="宋体"/>
          <w:sz w:val="24"/>
        </w:rPr>
        <w:t>C</w:t>
      </w:r>
      <w:r w:rsidRPr="003C2E0A">
        <w:rPr>
          <w:rFonts w:ascii="宋体" w:hAnsi="宋体" w:hint="eastAsia"/>
          <w:sz w:val="24"/>
        </w:rPr>
        <w:t>类基金份额的基金份额持有人承担，在基金份额持有人赎回</w:t>
      </w:r>
      <w:r w:rsidRPr="003C2E0A">
        <w:rPr>
          <w:rFonts w:ascii="宋体" w:hAnsi="宋体"/>
          <w:sz w:val="24"/>
        </w:rPr>
        <w:t>C</w:t>
      </w:r>
      <w:r w:rsidRPr="003C2E0A">
        <w:rPr>
          <w:rFonts w:ascii="宋体" w:hAnsi="宋体" w:hint="eastAsia"/>
          <w:sz w:val="24"/>
        </w:rPr>
        <w:t>类基金份额时收取，对</w:t>
      </w:r>
      <w:r w:rsidRPr="003C2E0A">
        <w:rPr>
          <w:rFonts w:ascii="宋体" w:hAnsi="宋体"/>
          <w:sz w:val="24"/>
        </w:rPr>
        <w:t>C</w:t>
      </w:r>
      <w:r w:rsidRPr="003C2E0A">
        <w:rPr>
          <w:rFonts w:ascii="宋体" w:hAnsi="宋体" w:hint="eastAsia"/>
          <w:sz w:val="24"/>
        </w:rPr>
        <w:t>类基金份额持有人收取的赎回费全额计入基金财产。</w:t>
      </w:r>
    </w:p>
    <w:p w14:paraId="6A43A8CF" w14:textId="298D64A3" w:rsidR="007A253B" w:rsidRPr="009F4A6B" w:rsidRDefault="007A253B" w:rsidP="007A253B">
      <w:pPr>
        <w:autoSpaceDE w:val="0"/>
        <w:autoSpaceDN w:val="0"/>
        <w:adjustRightInd w:val="0"/>
        <w:snapToGrid w:val="0"/>
        <w:spacing w:line="360" w:lineRule="auto"/>
        <w:ind w:firstLineChars="200" w:firstLine="480"/>
        <w:rPr>
          <w:rFonts w:ascii="宋体" w:hAnsi="宋体"/>
          <w:sz w:val="24"/>
        </w:rPr>
      </w:pPr>
      <w:r w:rsidRPr="009F4A6B">
        <w:rPr>
          <w:rFonts w:ascii="宋体" w:hAnsi="宋体" w:hint="eastAsia"/>
          <w:sz w:val="24"/>
        </w:rPr>
        <w:t>本基金</w:t>
      </w:r>
      <w:r w:rsidRPr="00F82365">
        <w:rPr>
          <w:rFonts w:ascii="宋体" w:hAnsi="宋体"/>
          <w:sz w:val="24"/>
        </w:rPr>
        <w:t>C</w:t>
      </w:r>
      <w:r w:rsidRPr="00F82365">
        <w:rPr>
          <w:rFonts w:ascii="宋体" w:hAnsi="宋体" w:hint="eastAsia"/>
          <w:sz w:val="24"/>
        </w:rPr>
        <w:t>类基</w:t>
      </w:r>
      <w:r w:rsidRPr="009F4A6B">
        <w:rPr>
          <w:rFonts w:ascii="宋体" w:hAnsi="宋体" w:hint="eastAsia"/>
          <w:sz w:val="24"/>
        </w:rPr>
        <w:t>金份额的赎回费率如下：</w:t>
      </w:r>
    </w:p>
    <w:tbl>
      <w:tblPr>
        <w:tblW w:w="836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03"/>
        <w:gridCol w:w="3625"/>
        <w:gridCol w:w="2333"/>
      </w:tblGrid>
      <w:tr w:rsidR="007A253B" w:rsidRPr="00950533" w14:paraId="6BCF8E0A" w14:textId="77777777" w:rsidTr="00F82365">
        <w:trPr>
          <w:cantSplit/>
          <w:trHeight w:val="132"/>
          <w:jc w:val="center"/>
        </w:trPr>
        <w:tc>
          <w:tcPr>
            <w:tcW w:w="2403" w:type="dxa"/>
            <w:vMerge w:val="restart"/>
            <w:vAlign w:val="center"/>
          </w:tcPr>
          <w:p w14:paraId="40AFF87F" w14:textId="77777777" w:rsidR="007A253B" w:rsidRPr="00F51638" w:rsidRDefault="007A253B" w:rsidP="00B838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C</w:t>
            </w:r>
            <w:r w:rsidRPr="00F51638">
              <w:rPr>
                <w:rFonts w:ascii="Times New Roman" w:hAnsi="Times New Roman" w:hint="eastAsia"/>
                <w:color w:val="000000"/>
                <w:kern w:val="0"/>
                <w:sz w:val="25"/>
                <w:szCs w:val="24"/>
              </w:rPr>
              <w:t>类基金份额的</w:t>
            </w:r>
            <w:r w:rsidRPr="00F51638">
              <w:rPr>
                <w:rFonts w:ascii="Times New Roman" w:hAnsi="Times New Roman"/>
                <w:color w:val="000000"/>
                <w:kern w:val="0"/>
                <w:sz w:val="25"/>
                <w:szCs w:val="24"/>
              </w:rPr>
              <w:t>赎回费率</w:t>
            </w:r>
          </w:p>
        </w:tc>
        <w:tc>
          <w:tcPr>
            <w:tcW w:w="3625" w:type="dxa"/>
            <w:shd w:val="clear" w:color="auto" w:fill="FFFFFF"/>
            <w:vAlign w:val="center"/>
          </w:tcPr>
          <w:p w14:paraId="39DCFE2C" w14:textId="77777777" w:rsidR="007A253B" w:rsidRPr="00F51638" w:rsidRDefault="007A253B" w:rsidP="00B838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持有期限</w:t>
            </w:r>
          </w:p>
        </w:tc>
        <w:tc>
          <w:tcPr>
            <w:tcW w:w="2333" w:type="dxa"/>
            <w:shd w:val="clear" w:color="auto" w:fill="FFFFFF"/>
            <w:vAlign w:val="center"/>
          </w:tcPr>
          <w:p w14:paraId="6E0FB63F" w14:textId="77777777" w:rsidR="007A253B" w:rsidRPr="00F51638" w:rsidRDefault="007A253B" w:rsidP="00B838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C</w:t>
            </w:r>
            <w:r w:rsidRPr="00F51638">
              <w:rPr>
                <w:rFonts w:ascii="Times New Roman" w:hAnsi="Times New Roman" w:hint="eastAsia"/>
                <w:color w:val="000000"/>
                <w:kern w:val="0"/>
                <w:sz w:val="25"/>
                <w:szCs w:val="24"/>
              </w:rPr>
              <w:t>类基金份额</w:t>
            </w:r>
            <w:r w:rsidRPr="00F51638">
              <w:rPr>
                <w:rFonts w:ascii="Times New Roman" w:hAnsi="Times New Roman"/>
                <w:color w:val="000000"/>
                <w:kern w:val="0"/>
                <w:sz w:val="25"/>
                <w:szCs w:val="24"/>
              </w:rPr>
              <w:t>赎回费率</w:t>
            </w:r>
          </w:p>
        </w:tc>
      </w:tr>
      <w:tr w:rsidR="007A253B" w:rsidRPr="00950533" w14:paraId="52815467" w14:textId="77777777" w:rsidTr="00F82365">
        <w:trPr>
          <w:cantSplit/>
          <w:trHeight w:val="131"/>
          <w:jc w:val="center"/>
        </w:trPr>
        <w:tc>
          <w:tcPr>
            <w:tcW w:w="2403" w:type="dxa"/>
            <w:vMerge/>
          </w:tcPr>
          <w:p w14:paraId="1488F8EA" w14:textId="77777777" w:rsidR="007A253B" w:rsidRPr="00F51638" w:rsidRDefault="007A253B" w:rsidP="00B838DF">
            <w:pPr>
              <w:widowControl/>
              <w:snapToGrid w:val="0"/>
              <w:jc w:val="center"/>
              <w:rPr>
                <w:rFonts w:ascii="Times New Roman" w:hAnsi="Times New Roman"/>
                <w:color w:val="000000"/>
                <w:kern w:val="0"/>
                <w:sz w:val="25"/>
                <w:szCs w:val="24"/>
              </w:rPr>
            </w:pPr>
          </w:p>
        </w:tc>
        <w:tc>
          <w:tcPr>
            <w:tcW w:w="3625" w:type="dxa"/>
          </w:tcPr>
          <w:p w14:paraId="65C1F668" w14:textId="77777777" w:rsidR="007A253B" w:rsidRPr="00F51638" w:rsidRDefault="007A253B" w:rsidP="00B838DF">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7</w:t>
            </w:r>
            <w:r w:rsidRPr="00F51638">
              <w:rPr>
                <w:rFonts w:ascii="Times New Roman" w:hAnsi="Times New Roman" w:hint="eastAsia"/>
                <w:color w:val="000000"/>
                <w:kern w:val="0"/>
                <w:sz w:val="25"/>
                <w:szCs w:val="24"/>
              </w:rPr>
              <w:t>日以内</w:t>
            </w:r>
          </w:p>
        </w:tc>
        <w:tc>
          <w:tcPr>
            <w:tcW w:w="2333" w:type="dxa"/>
          </w:tcPr>
          <w:p w14:paraId="5D16E5F8" w14:textId="77777777" w:rsidR="007A253B" w:rsidRPr="00F51638" w:rsidRDefault="007A253B" w:rsidP="00B838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1.5%</w:t>
            </w:r>
          </w:p>
        </w:tc>
      </w:tr>
      <w:tr w:rsidR="007A253B" w:rsidRPr="00950533" w14:paraId="555E05CC" w14:textId="77777777" w:rsidTr="00F82365">
        <w:trPr>
          <w:cantSplit/>
          <w:trHeight w:val="131"/>
          <w:jc w:val="center"/>
        </w:trPr>
        <w:tc>
          <w:tcPr>
            <w:tcW w:w="2403" w:type="dxa"/>
            <w:vMerge/>
          </w:tcPr>
          <w:p w14:paraId="468FD02E" w14:textId="77777777" w:rsidR="007A253B" w:rsidRPr="00F51638" w:rsidRDefault="007A253B" w:rsidP="00B838DF">
            <w:pPr>
              <w:widowControl/>
              <w:snapToGrid w:val="0"/>
              <w:jc w:val="center"/>
              <w:rPr>
                <w:rFonts w:ascii="Times New Roman" w:hAnsi="Times New Roman"/>
                <w:color w:val="000000"/>
                <w:kern w:val="0"/>
                <w:sz w:val="25"/>
                <w:szCs w:val="24"/>
              </w:rPr>
            </w:pPr>
          </w:p>
        </w:tc>
        <w:tc>
          <w:tcPr>
            <w:tcW w:w="3625" w:type="dxa"/>
            <w:vAlign w:val="center"/>
          </w:tcPr>
          <w:p w14:paraId="1632499C" w14:textId="77777777" w:rsidR="007A253B" w:rsidRPr="00F51638" w:rsidRDefault="007A253B" w:rsidP="00B838DF">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7</w:t>
            </w:r>
            <w:r w:rsidRPr="00F51638">
              <w:rPr>
                <w:rFonts w:ascii="Times New Roman" w:hAnsi="Times New Roman" w:hint="eastAsia"/>
                <w:color w:val="000000"/>
                <w:kern w:val="0"/>
                <w:sz w:val="25"/>
                <w:szCs w:val="24"/>
              </w:rPr>
              <w:t>日（含）</w:t>
            </w:r>
            <w:r>
              <w:rPr>
                <w:rFonts w:ascii="Times New Roman" w:hAnsi="Times New Roman"/>
                <w:color w:val="000000"/>
                <w:kern w:val="0"/>
                <w:sz w:val="25"/>
                <w:szCs w:val="24"/>
              </w:rPr>
              <w:t>—</w:t>
            </w:r>
            <w:r w:rsidRPr="00F51638">
              <w:rPr>
                <w:rFonts w:ascii="Times New Roman" w:hAnsi="Times New Roman"/>
                <w:color w:val="000000"/>
                <w:kern w:val="0"/>
                <w:sz w:val="25"/>
                <w:szCs w:val="24"/>
              </w:rPr>
              <w:t>30</w:t>
            </w:r>
            <w:r w:rsidRPr="00F51638">
              <w:rPr>
                <w:rFonts w:ascii="Times New Roman" w:hAnsi="Times New Roman" w:hint="eastAsia"/>
                <w:color w:val="000000"/>
                <w:kern w:val="0"/>
                <w:sz w:val="25"/>
                <w:szCs w:val="24"/>
              </w:rPr>
              <w:t>日</w:t>
            </w:r>
          </w:p>
        </w:tc>
        <w:tc>
          <w:tcPr>
            <w:tcW w:w="2333" w:type="dxa"/>
          </w:tcPr>
          <w:p w14:paraId="223E916F" w14:textId="77777777" w:rsidR="007A253B" w:rsidRPr="00F51638" w:rsidRDefault="007A253B" w:rsidP="00B838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0.5%</w:t>
            </w:r>
          </w:p>
        </w:tc>
      </w:tr>
      <w:tr w:rsidR="007A253B" w:rsidRPr="00950533" w14:paraId="2676B9D3" w14:textId="77777777" w:rsidTr="00F82365">
        <w:trPr>
          <w:cantSplit/>
          <w:trHeight w:val="131"/>
          <w:jc w:val="center"/>
        </w:trPr>
        <w:tc>
          <w:tcPr>
            <w:tcW w:w="2403" w:type="dxa"/>
            <w:vMerge/>
          </w:tcPr>
          <w:p w14:paraId="13113EF9" w14:textId="77777777" w:rsidR="007A253B" w:rsidRPr="00F51638" w:rsidRDefault="007A253B" w:rsidP="00B838DF">
            <w:pPr>
              <w:widowControl/>
              <w:snapToGrid w:val="0"/>
              <w:jc w:val="center"/>
              <w:rPr>
                <w:rFonts w:ascii="Times New Roman" w:hAnsi="Times New Roman"/>
                <w:color w:val="000000"/>
                <w:kern w:val="0"/>
                <w:sz w:val="25"/>
                <w:szCs w:val="24"/>
              </w:rPr>
            </w:pPr>
          </w:p>
        </w:tc>
        <w:tc>
          <w:tcPr>
            <w:tcW w:w="3625" w:type="dxa"/>
            <w:vAlign w:val="center"/>
          </w:tcPr>
          <w:p w14:paraId="17A9A476" w14:textId="77777777" w:rsidR="007A253B" w:rsidRPr="00F51638" w:rsidRDefault="007A253B" w:rsidP="00B838DF">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30</w:t>
            </w:r>
            <w:r w:rsidRPr="00F51638">
              <w:rPr>
                <w:rFonts w:ascii="Times New Roman" w:hAnsi="Times New Roman" w:hint="eastAsia"/>
                <w:color w:val="000000"/>
                <w:kern w:val="0"/>
                <w:sz w:val="25"/>
                <w:szCs w:val="24"/>
              </w:rPr>
              <w:t>日以上（含）</w:t>
            </w:r>
          </w:p>
        </w:tc>
        <w:tc>
          <w:tcPr>
            <w:tcW w:w="2333" w:type="dxa"/>
          </w:tcPr>
          <w:p w14:paraId="6216F9B7" w14:textId="77777777" w:rsidR="007A253B" w:rsidRPr="00F51638" w:rsidRDefault="007A253B" w:rsidP="00B838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0</w:t>
            </w:r>
          </w:p>
        </w:tc>
      </w:tr>
    </w:tbl>
    <w:p w14:paraId="33C38D0C" w14:textId="3E73DA09" w:rsidR="007A253B" w:rsidRPr="00F82365" w:rsidRDefault="007A253B" w:rsidP="007A253B">
      <w:pPr>
        <w:autoSpaceDE w:val="0"/>
        <w:autoSpaceDN w:val="0"/>
        <w:adjustRightInd w:val="0"/>
        <w:snapToGrid w:val="0"/>
        <w:spacing w:line="360" w:lineRule="auto"/>
        <w:ind w:firstLineChars="200" w:firstLine="480"/>
        <w:jc w:val="left"/>
        <w:rPr>
          <w:rFonts w:ascii="宋体" w:hAnsi="宋体"/>
          <w:sz w:val="24"/>
        </w:rPr>
      </w:pPr>
    </w:p>
    <w:p w14:paraId="5BC807E8" w14:textId="7D806D0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w:t>
      </w:r>
      <w:r w:rsidR="003246BF">
        <w:rPr>
          <w:rFonts w:ascii="宋体" w:hAnsi="宋体"/>
          <w:sz w:val="24"/>
        </w:rPr>
        <w:t>规定媒介</w:t>
      </w:r>
      <w:r>
        <w:rPr>
          <w:rFonts w:ascii="宋体" w:hAnsi="宋体"/>
          <w:sz w:val="24"/>
        </w:rPr>
        <w:t>上公告。</w:t>
      </w:r>
    </w:p>
    <w:p w14:paraId="23E432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04662C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5EBDC5FB"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（七）申购和赎回的数额和价格</w:t>
      </w:r>
    </w:p>
    <w:p w14:paraId="316129B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778B25A7" w14:textId="2C3D92B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w:t>
      </w:r>
      <w:r w:rsidR="00A60BCD" w:rsidRPr="00A60BCD">
        <w:rPr>
          <w:rFonts w:ascii="宋体" w:hAnsi="宋体" w:hint="eastAsia"/>
          <w:sz w:val="24"/>
        </w:rPr>
        <w:t>A类基金份额或C类基金份额</w:t>
      </w:r>
      <w:r>
        <w:rPr>
          <w:rFonts w:ascii="宋体" w:hAnsi="宋体"/>
          <w:sz w:val="24"/>
        </w:rPr>
        <w:t>的有效份额为净申购金额除以当日</w:t>
      </w:r>
      <w:r w:rsidR="00A60BCD" w:rsidRPr="00A60BCD">
        <w:rPr>
          <w:rFonts w:ascii="宋体" w:hAnsi="宋体" w:hint="eastAsia"/>
          <w:sz w:val="24"/>
        </w:rPr>
        <w:t>该类基金份额</w:t>
      </w:r>
      <w:r>
        <w:rPr>
          <w:rFonts w:ascii="宋体" w:hAnsi="宋体"/>
          <w:sz w:val="24"/>
        </w:rPr>
        <w:t>的基金份额净值，有效份额单位为份，申购份额计算结果按四舍五入方法，保留到小数点后2位，由此产生的收益或损失由基金财产承担。</w:t>
      </w:r>
    </w:p>
    <w:p w14:paraId="30306A62" w14:textId="4F55744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w:t>
      </w:r>
      <w:r w:rsidR="00A60BCD" w:rsidRPr="00A60BCD">
        <w:rPr>
          <w:rFonts w:ascii="宋体" w:hAnsi="宋体" w:hint="eastAsia"/>
          <w:sz w:val="24"/>
        </w:rPr>
        <w:t>A类基金份额</w:t>
      </w:r>
      <w:r w:rsidR="0095704D">
        <w:rPr>
          <w:rFonts w:ascii="宋体" w:hAnsi="宋体" w:hint="eastAsia"/>
          <w:sz w:val="24"/>
        </w:rPr>
        <w:t>和</w:t>
      </w:r>
      <w:r w:rsidR="00A60BCD" w:rsidRPr="00A60BCD">
        <w:rPr>
          <w:rFonts w:ascii="宋体" w:hAnsi="宋体" w:hint="eastAsia"/>
          <w:sz w:val="24"/>
        </w:rPr>
        <w:t>C类基金份额</w:t>
      </w:r>
      <w:r>
        <w:rPr>
          <w:rFonts w:ascii="宋体" w:hAnsi="宋体"/>
          <w:sz w:val="24"/>
        </w:rPr>
        <w:t>有效赎回份额乘以当日</w:t>
      </w:r>
      <w:r w:rsidR="00A60BCD" w:rsidRPr="002122DE">
        <w:rPr>
          <w:rFonts w:ascii="Times New Roman" w:hAnsi="Times New Roman" w:hint="eastAsia"/>
          <w:sz w:val="24"/>
        </w:rPr>
        <w:t>该类</w:t>
      </w:r>
      <w:r>
        <w:rPr>
          <w:rFonts w:ascii="宋体" w:hAnsi="宋体"/>
          <w:sz w:val="24"/>
        </w:rPr>
        <w:t>基金份额净值并扣除相应的费用（如有），赎回金额单位为元。赎回金额计算结果按四舍五入方法，保留到小数点后2位，由此产生的收益或损失由基金财产承担。</w:t>
      </w:r>
    </w:p>
    <w:p w14:paraId="4C6E0F0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7000B66D" w14:textId="77777777" w:rsidR="00A60BCD" w:rsidRDefault="00A60BCD">
      <w:pPr>
        <w:autoSpaceDE w:val="0"/>
        <w:autoSpaceDN w:val="0"/>
        <w:adjustRightInd w:val="0"/>
        <w:snapToGrid w:val="0"/>
        <w:spacing w:line="360" w:lineRule="auto"/>
        <w:ind w:firstLineChars="200" w:firstLine="480"/>
        <w:jc w:val="left"/>
        <w:rPr>
          <w:rFonts w:ascii="宋体" w:hAnsi="宋体"/>
          <w:sz w:val="24"/>
        </w:rPr>
      </w:pPr>
      <w:r w:rsidRPr="00A60BCD">
        <w:rPr>
          <w:rFonts w:ascii="宋体" w:hAnsi="宋体" w:hint="eastAsia"/>
          <w:sz w:val="24"/>
        </w:rPr>
        <w:t>（1）A类基金份额的申购</w:t>
      </w:r>
    </w:p>
    <w:p w14:paraId="3543B984" w14:textId="5715879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0230D0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5B5C68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498E7EA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7A9E2B2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20E975FE" w14:textId="60F82C5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w:t>
      </w:r>
      <w:r w:rsidR="00A60BCD" w:rsidRPr="00A60BCD">
        <w:rPr>
          <w:rFonts w:ascii="宋体" w:hAnsi="宋体" w:hint="eastAsia"/>
          <w:sz w:val="24"/>
        </w:rPr>
        <w:t>A类</w:t>
      </w:r>
      <w:r>
        <w:rPr>
          <w:rFonts w:ascii="宋体" w:hAnsi="宋体"/>
          <w:sz w:val="24"/>
        </w:rPr>
        <w:t>基金份额净值</w:t>
      </w:r>
    </w:p>
    <w:p w14:paraId="3760656B" w14:textId="1C5A4AA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w:t>
      </w:r>
      <w:r w:rsidR="00AB72E0">
        <w:rPr>
          <w:rFonts w:ascii="宋体" w:hAnsi="宋体" w:hint="eastAsia"/>
          <w:sz w:val="24"/>
        </w:rPr>
        <w:t>一</w:t>
      </w:r>
      <w:r>
        <w:rPr>
          <w:rFonts w:ascii="宋体" w:hAnsi="宋体"/>
          <w:sz w:val="24"/>
        </w:rPr>
        <w:t>：某投资者（非养老金客户）投资40,000元申购本基金</w:t>
      </w:r>
      <w:r w:rsidR="00A60BCD" w:rsidRPr="00A60BCD">
        <w:rPr>
          <w:rFonts w:ascii="宋体" w:hAnsi="宋体" w:hint="eastAsia"/>
          <w:sz w:val="24"/>
        </w:rPr>
        <w:t>A类基金份额</w:t>
      </w:r>
      <w:r>
        <w:rPr>
          <w:rFonts w:ascii="宋体" w:hAnsi="宋体"/>
          <w:sz w:val="24"/>
        </w:rPr>
        <w:t>，假设申购当日</w:t>
      </w:r>
      <w:r w:rsidR="00A60BCD">
        <w:rPr>
          <w:rFonts w:ascii="宋体" w:hAnsi="宋体" w:hint="eastAsia"/>
          <w:sz w:val="24"/>
        </w:rPr>
        <w:t>A类</w:t>
      </w:r>
      <w:r>
        <w:rPr>
          <w:rFonts w:ascii="宋体" w:hAnsi="宋体"/>
          <w:sz w:val="24"/>
        </w:rPr>
        <w:t>基金份额净值为1.0400元，申购费率为1.5%，则其可得到的申购份额为：</w:t>
      </w:r>
    </w:p>
    <w:p w14:paraId="081F930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14:paraId="3E589F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14:paraId="68FD2BC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14:paraId="53847C5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申购份额=（40,000-591.13）/1.0400=37,893.14份</w:t>
      </w:r>
    </w:p>
    <w:p w14:paraId="1CA28DF7" w14:textId="732B782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即：某投资者（非养老金客户）投资40,000元申购本基金</w:t>
      </w:r>
      <w:r w:rsidR="00A60BCD">
        <w:rPr>
          <w:rFonts w:ascii="宋体" w:hAnsi="宋体" w:hint="eastAsia"/>
          <w:sz w:val="24"/>
        </w:rPr>
        <w:t>A类基金份额</w:t>
      </w:r>
      <w:r>
        <w:rPr>
          <w:rFonts w:ascii="宋体" w:hAnsi="宋体"/>
          <w:sz w:val="24"/>
        </w:rPr>
        <w:t>，假设申购当日</w:t>
      </w:r>
      <w:r w:rsidR="00AB65A5">
        <w:rPr>
          <w:rFonts w:ascii="宋体" w:hAnsi="宋体" w:hint="eastAsia"/>
          <w:sz w:val="24"/>
        </w:rPr>
        <w:t>A类</w:t>
      </w:r>
      <w:r>
        <w:rPr>
          <w:rFonts w:ascii="宋体" w:hAnsi="宋体"/>
          <w:sz w:val="24"/>
        </w:rPr>
        <w:t>基金份额净值为1.0400元，则其可得到37,893.14份</w:t>
      </w:r>
      <w:r w:rsidR="00AB65A5">
        <w:rPr>
          <w:rFonts w:ascii="宋体" w:hAnsi="宋体" w:hint="eastAsia"/>
          <w:sz w:val="24"/>
        </w:rPr>
        <w:t>A类</w:t>
      </w:r>
      <w:r>
        <w:rPr>
          <w:rFonts w:ascii="宋体" w:hAnsi="宋体"/>
          <w:sz w:val="24"/>
        </w:rPr>
        <w:t>基金份额。</w:t>
      </w:r>
    </w:p>
    <w:p w14:paraId="232D0257" w14:textId="4EEE4BA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AB72E0">
        <w:rPr>
          <w:rFonts w:ascii="宋体" w:hAnsi="宋体" w:hint="eastAsia"/>
          <w:sz w:val="24"/>
        </w:rPr>
        <w:t>二</w:t>
      </w:r>
      <w:r>
        <w:rPr>
          <w:rFonts w:ascii="宋体" w:hAnsi="宋体"/>
          <w:sz w:val="24"/>
        </w:rPr>
        <w:t>：某养老金客户投资100,000元通过基金管理人的直销柜台申购本基金</w:t>
      </w:r>
      <w:r w:rsidR="00AB65A5">
        <w:rPr>
          <w:rFonts w:ascii="宋体" w:hAnsi="宋体" w:hint="eastAsia"/>
          <w:sz w:val="24"/>
        </w:rPr>
        <w:t>A类基金份额</w:t>
      </w:r>
      <w:r>
        <w:rPr>
          <w:rFonts w:ascii="宋体" w:hAnsi="宋体"/>
          <w:sz w:val="24"/>
        </w:rPr>
        <w:t>，假设申购当日</w:t>
      </w:r>
      <w:r w:rsidR="00AB65A5">
        <w:rPr>
          <w:rFonts w:ascii="宋体" w:hAnsi="宋体" w:hint="eastAsia"/>
          <w:sz w:val="24"/>
        </w:rPr>
        <w:t>A类</w:t>
      </w:r>
      <w:r>
        <w:rPr>
          <w:rFonts w:ascii="宋体" w:hAnsi="宋体"/>
          <w:sz w:val="24"/>
        </w:rPr>
        <w:t>基金份额净值为1.0400元，申购费率为0.6%，则其可得到的申购份额为：</w:t>
      </w:r>
    </w:p>
    <w:p w14:paraId="10BF93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208F610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净申购金额=100,000/（1+0.6%）=99,403.58元</w:t>
      </w:r>
    </w:p>
    <w:p w14:paraId="378A25B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申购费用=100,000-99,403.58=596.42元</w:t>
      </w:r>
    </w:p>
    <w:p w14:paraId="49D5544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申购份额=（100,000-596.42）/1.0400=95,580.37份</w:t>
      </w:r>
    </w:p>
    <w:p w14:paraId="180E816F" w14:textId="3F44DEB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w:t>
      </w:r>
      <w:r w:rsidR="002E4379">
        <w:rPr>
          <w:rFonts w:ascii="宋体" w:hAnsi="宋体" w:hint="eastAsia"/>
          <w:sz w:val="24"/>
        </w:rPr>
        <w:t>A类基金份额</w:t>
      </w:r>
      <w:r>
        <w:rPr>
          <w:rFonts w:ascii="宋体" w:hAnsi="宋体"/>
          <w:sz w:val="24"/>
        </w:rPr>
        <w:t>，假设申购当日</w:t>
      </w:r>
      <w:r w:rsidR="002E4379">
        <w:rPr>
          <w:rFonts w:ascii="宋体" w:hAnsi="宋体" w:hint="eastAsia"/>
          <w:sz w:val="24"/>
        </w:rPr>
        <w:t>A类</w:t>
      </w:r>
      <w:r>
        <w:rPr>
          <w:rFonts w:ascii="宋体" w:hAnsi="宋体"/>
          <w:sz w:val="24"/>
        </w:rPr>
        <w:t>基金份额净值为1.0400元，则其可得到95,580.37份</w:t>
      </w:r>
      <w:r w:rsidR="002E4379">
        <w:rPr>
          <w:rFonts w:ascii="宋体" w:hAnsi="宋体" w:hint="eastAsia"/>
          <w:sz w:val="24"/>
        </w:rPr>
        <w:t>A类</w:t>
      </w:r>
      <w:r>
        <w:rPr>
          <w:rFonts w:ascii="宋体" w:hAnsi="宋体"/>
          <w:sz w:val="24"/>
        </w:rPr>
        <w:t>基金份额。</w:t>
      </w:r>
    </w:p>
    <w:p w14:paraId="68625747" w14:textId="77777777" w:rsidR="00AB72E0" w:rsidRPr="00AB72E0" w:rsidRDefault="00AB72E0" w:rsidP="00AB72E0">
      <w:pPr>
        <w:autoSpaceDE w:val="0"/>
        <w:autoSpaceDN w:val="0"/>
        <w:adjustRightInd w:val="0"/>
        <w:snapToGrid w:val="0"/>
        <w:spacing w:line="360" w:lineRule="auto"/>
        <w:ind w:firstLineChars="200" w:firstLine="480"/>
        <w:jc w:val="left"/>
        <w:rPr>
          <w:rFonts w:ascii="宋体" w:hAnsi="宋体"/>
          <w:sz w:val="24"/>
        </w:rPr>
      </w:pPr>
      <w:r w:rsidRPr="00AB72E0">
        <w:rPr>
          <w:rFonts w:ascii="宋体" w:hAnsi="宋体" w:hint="eastAsia"/>
          <w:sz w:val="24"/>
        </w:rPr>
        <w:t>（2）C类基金份额的申购</w:t>
      </w:r>
    </w:p>
    <w:p w14:paraId="1FBB2320" w14:textId="77777777" w:rsidR="00AB72E0" w:rsidRPr="00AB72E0" w:rsidRDefault="00AB72E0" w:rsidP="00AB72E0">
      <w:pPr>
        <w:autoSpaceDE w:val="0"/>
        <w:autoSpaceDN w:val="0"/>
        <w:adjustRightInd w:val="0"/>
        <w:snapToGrid w:val="0"/>
        <w:spacing w:line="360" w:lineRule="auto"/>
        <w:ind w:firstLineChars="200" w:firstLine="480"/>
        <w:jc w:val="left"/>
        <w:rPr>
          <w:rFonts w:ascii="宋体" w:hAnsi="宋体"/>
          <w:sz w:val="24"/>
        </w:rPr>
      </w:pPr>
      <w:r w:rsidRPr="00AB72E0">
        <w:rPr>
          <w:rFonts w:ascii="宋体" w:hAnsi="宋体" w:hint="eastAsia"/>
          <w:sz w:val="24"/>
        </w:rPr>
        <w:t>如果投资者选择申购C类基金份额，则申购份额的计算方法如下：</w:t>
      </w:r>
    </w:p>
    <w:p w14:paraId="3A4A66C3" w14:textId="77777777" w:rsidR="00AB72E0" w:rsidRPr="00AB72E0" w:rsidRDefault="00AB72E0" w:rsidP="00AB72E0">
      <w:pPr>
        <w:autoSpaceDE w:val="0"/>
        <w:autoSpaceDN w:val="0"/>
        <w:adjustRightInd w:val="0"/>
        <w:snapToGrid w:val="0"/>
        <w:spacing w:line="360" w:lineRule="auto"/>
        <w:ind w:firstLineChars="200" w:firstLine="480"/>
        <w:jc w:val="left"/>
        <w:rPr>
          <w:rFonts w:ascii="宋体" w:hAnsi="宋体"/>
          <w:sz w:val="24"/>
        </w:rPr>
      </w:pPr>
      <w:r w:rsidRPr="00AB72E0">
        <w:rPr>
          <w:rFonts w:ascii="宋体" w:hAnsi="宋体" w:hint="eastAsia"/>
          <w:sz w:val="24"/>
        </w:rPr>
        <w:t>申购份额=申购总金额/T日C类基金份额净值</w:t>
      </w:r>
    </w:p>
    <w:p w14:paraId="53552327" w14:textId="3E0B8861" w:rsidR="00AB72E0" w:rsidRPr="00AB72E0" w:rsidRDefault="00AB72E0" w:rsidP="00AB72E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例三</w:t>
      </w:r>
      <w:r w:rsidRPr="00AB72E0">
        <w:rPr>
          <w:rFonts w:ascii="宋体" w:hAnsi="宋体" w:hint="eastAsia"/>
          <w:sz w:val="24"/>
        </w:rPr>
        <w:t>：某投资者投资100,000元申购本基金的C类基金份额，假设申购当日C类基金份额净值为1.0400元，则其可得到的申购份额为：</w:t>
      </w:r>
    </w:p>
    <w:p w14:paraId="0432609E" w14:textId="77777777" w:rsidR="00AB72E0" w:rsidRPr="00AB72E0" w:rsidRDefault="00AB72E0" w:rsidP="00AB72E0">
      <w:pPr>
        <w:autoSpaceDE w:val="0"/>
        <w:autoSpaceDN w:val="0"/>
        <w:adjustRightInd w:val="0"/>
        <w:snapToGrid w:val="0"/>
        <w:spacing w:line="360" w:lineRule="auto"/>
        <w:ind w:firstLineChars="200" w:firstLine="480"/>
        <w:jc w:val="left"/>
        <w:rPr>
          <w:rFonts w:ascii="宋体" w:hAnsi="宋体"/>
          <w:sz w:val="24"/>
        </w:rPr>
      </w:pPr>
      <w:r w:rsidRPr="00AB72E0">
        <w:rPr>
          <w:rFonts w:ascii="宋体" w:hAnsi="宋体" w:hint="eastAsia"/>
          <w:sz w:val="24"/>
        </w:rPr>
        <w:t>申购份额＝100,000/1.0400＝96,153.85份</w:t>
      </w:r>
    </w:p>
    <w:p w14:paraId="3342411A" w14:textId="77777777" w:rsidR="00AB72E0" w:rsidRDefault="00AB72E0" w:rsidP="00AB72E0">
      <w:pPr>
        <w:autoSpaceDE w:val="0"/>
        <w:autoSpaceDN w:val="0"/>
        <w:adjustRightInd w:val="0"/>
        <w:snapToGrid w:val="0"/>
        <w:spacing w:line="360" w:lineRule="auto"/>
        <w:ind w:firstLineChars="200" w:firstLine="480"/>
        <w:jc w:val="left"/>
        <w:rPr>
          <w:rFonts w:ascii="宋体" w:hAnsi="宋体"/>
          <w:sz w:val="24"/>
        </w:rPr>
      </w:pPr>
      <w:r w:rsidRPr="00AB72E0">
        <w:rPr>
          <w:rFonts w:ascii="宋体" w:hAnsi="宋体" w:hint="eastAsia"/>
          <w:sz w:val="24"/>
        </w:rPr>
        <w:t>即：投资者投资100,000元申购本基金的C类基金份额，假设申购当日C类基金份额净值为1.0400元，则其可得到96,153.85份C类基金份额。</w:t>
      </w:r>
    </w:p>
    <w:p w14:paraId="7F8832CC" w14:textId="7C85C778" w:rsidR="00FB4D29" w:rsidRDefault="00CF4592" w:rsidP="00AB72E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2711B425" w14:textId="740EFDB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w:t>
      </w:r>
      <w:r w:rsidR="002D330D" w:rsidRPr="002D330D">
        <w:rPr>
          <w:rFonts w:ascii="宋体" w:hAnsi="宋体" w:hint="eastAsia"/>
          <w:sz w:val="24"/>
        </w:rPr>
        <w:t>A类基金份额</w:t>
      </w:r>
      <w:r w:rsidR="005D1093">
        <w:rPr>
          <w:rFonts w:ascii="宋体" w:hAnsi="宋体" w:hint="eastAsia"/>
          <w:sz w:val="24"/>
        </w:rPr>
        <w:t>和</w:t>
      </w:r>
      <w:r w:rsidR="002D330D" w:rsidRPr="002D330D">
        <w:rPr>
          <w:rFonts w:ascii="宋体" w:hAnsi="宋体" w:hint="eastAsia"/>
          <w:sz w:val="24"/>
        </w:rPr>
        <w:t>C类基金份额</w:t>
      </w:r>
      <w:r>
        <w:rPr>
          <w:rFonts w:ascii="宋体" w:hAnsi="宋体"/>
          <w:sz w:val="24"/>
        </w:rPr>
        <w:t>有效赎回份额乘以当日</w:t>
      </w:r>
      <w:r w:rsidR="002D330D">
        <w:rPr>
          <w:rFonts w:ascii="Times New Roman" w:hAnsi="Times New Roman" w:hint="eastAsia"/>
          <w:sz w:val="24"/>
        </w:rPr>
        <w:t>该类</w:t>
      </w:r>
      <w:r>
        <w:rPr>
          <w:rFonts w:ascii="宋体" w:hAnsi="宋体"/>
          <w:sz w:val="24"/>
        </w:rPr>
        <w:t>基金份额净值并扣除相应的费用</w:t>
      </w:r>
      <w:r w:rsidR="002D330D" w:rsidRPr="002D330D">
        <w:rPr>
          <w:rFonts w:ascii="宋体" w:hAnsi="宋体" w:hint="eastAsia"/>
          <w:sz w:val="24"/>
        </w:rPr>
        <w:t>（如有）</w:t>
      </w:r>
      <w:r>
        <w:rPr>
          <w:rFonts w:ascii="宋体" w:hAnsi="宋体"/>
          <w:sz w:val="24"/>
        </w:rPr>
        <w:t>，赎回金额单位为元，计算结果保留到</w:t>
      </w:r>
      <w:r>
        <w:rPr>
          <w:rFonts w:ascii="宋体" w:hAnsi="宋体"/>
          <w:sz w:val="24"/>
        </w:rPr>
        <w:lastRenderedPageBreak/>
        <w:t>小数点后两位，第三位四舍五入。</w:t>
      </w:r>
    </w:p>
    <w:p w14:paraId="19315CD5" w14:textId="77777777" w:rsidR="002D330D" w:rsidRPr="002D330D" w:rsidRDefault="002D330D" w:rsidP="002D330D">
      <w:pPr>
        <w:autoSpaceDE w:val="0"/>
        <w:autoSpaceDN w:val="0"/>
        <w:adjustRightInd w:val="0"/>
        <w:snapToGrid w:val="0"/>
        <w:spacing w:line="360" w:lineRule="auto"/>
        <w:ind w:firstLineChars="200" w:firstLine="480"/>
        <w:jc w:val="left"/>
        <w:rPr>
          <w:rFonts w:ascii="宋体" w:hAnsi="宋体"/>
          <w:sz w:val="24"/>
        </w:rPr>
      </w:pPr>
      <w:r w:rsidRPr="002D330D">
        <w:rPr>
          <w:rFonts w:ascii="宋体" w:hAnsi="宋体" w:hint="eastAsia"/>
          <w:sz w:val="24"/>
        </w:rPr>
        <w:t>（1）A类基金份额的赎回</w:t>
      </w:r>
    </w:p>
    <w:p w14:paraId="6D38C8FA" w14:textId="15C30E87" w:rsidR="00FB4D29" w:rsidRDefault="002D330D" w:rsidP="002D330D">
      <w:pPr>
        <w:autoSpaceDE w:val="0"/>
        <w:autoSpaceDN w:val="0"/>
        <w:adjustRightInd w:val="0"/>
        <w:snapToGrid w:val="0"/>
        <w:spacing w:line="360" w:lineRule="auto"/>
        <w:ind w:firstLineChars="200" w:firstLine="480"/>
        <w:jc w:val="left"/>
        <w:rPr>
          <w:rFonts w:ascii="宋体" w:hAnsi="宋体"/>
          <w:szCs w:val="24"/>
        </w:rPr>
      </w:pPr>
      <w:r w:rsidRPr="002D330D">
        <w:rPr>
          <w:rFonts w:ascii="宋体" w:hAnsi="宋体" w:hint="eastAsia"/>
          <w:sz w:val="24"/>
        </w:rPr>
        <w:t>投资者赎回A类基金份额，</w:t>
      </w:r>
      <w:r w:rsidR="00CF4592">
        <w:rPr>
          <w:rFonts w:ascii="宋体" w:hAnsi="宋体"/>
          <w:sz w:val="24"/>
        </w:rPr>
        <w:t>赎回金额的计算方法如下：</w:t>
      </w:r>
    </w:p>
    <w:p w14:paraId="36832159" w14:textId="7D53A35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sidR="002D330D" w:rsidRPr="002D330D">
        <w:rPr>
          <w:rFonts w:ascii="宋体" w:hAnsi="宋体" w:hint="eastAsia"/>
          <w:sz w:val="24"/>
        </w:rPr>
        <w:t>A类</w:t>
      </w:r>
      <w:r>
        <w:rPr>
          <w:rFonts w:ascii="宋体" w:hAnsi="宋体"/>
          <w:sz w:val="24"/>
        </w:rPr>
        <w:t>基金份额净值×赎回费率</w:t>
      </w:r>
    </w:p>
    <w:p w14:paraId="5FA316FE" w14:textId="5469709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sidR="002D330D" w:rsidRPr="002D330D">
        <w:rPr>
          <w:rFonts w:ascii="宋体" w:hAnsi="宋体" w:hint="eastAsia"/>
          <w:sz w:val="24"/>
        </w:rPr>
        <w:t>A类</w:t>
      </w:r>
      <w:r>
        <w:rPr>
          <w:rFonts w:ascii="宋体" w:hAnsi="宋体"/>
          <w:sz w:val="24"/>
        </w:rPr>
        <w:t>基金份额净值-赎回费用</w:t>
      </w:r>
    </w:p>
    <w:p w14:paraId="0EB5E8F1" w14:textId="7E2931F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2D330D">
        <w:rPr>
          <w:rFonts w:ascii="宋体" w:hAnsi="宋体" w:hint="eastAsia"/>
          <w:sz w:val="24"/>
        </w:rPr>
        <w:t>四</w:t>
      </w:r>
      <w:r>
        <w:rPr>
          <w:rFonts w:ascii="宋体" w:hAnsi="宋体"/>
          <w:sz w:val="24"/>
        </w:rPr>
        <w:t>：某投资者赎回持有的10,000份</w:t>
      </w:r>
      <w:r w:rsidR="002D330D" w:rsidRPr="002D330D">
        <w:rPr>
          <w:rFonts w:ascii="宋体" w:hAnsi="宋体" w:hint="eastAsia"/>
          <w:sz w:val="24"/>
        </w:rPr>
        <w:t>A类</w:t>
      </w:r>
      <w:r>
        <w:rPr>
          <w:rFonts w:ascii="宋体" w:hAnsi="宋体"/>
          <w:sz w:val="24"/>
        </w:rPr>
        <w:t>基金份额，持有期限为30日，对应的赎回费率为0.5%，假设赎回当日</w:t>
      </w:r>
      <w:r w:rsidR="002D330D" w:rsidRPr="002D330D">
        <w:rPr>
          <w:rFonts w:ascii="宋体" w:hAnsi="宋体" w:hint="eastAsia"/>
          <w:sz w:val="24"/>
        </w:rPr>
        <w:t>A类</w:t>
      </w:r>
      <w:r>
        <w:rPr>
          <w:rFonts w:ascii="宋体" w:hAnsi="宋体"/>
          <w:sz w:val="24"/>
        </w:rPr>
        <w:t>基金份额净值是1.0160元，则其可得到的赎回金额为：</w:t>
      </w:r>
    </w:p>
    <w:p w14:paraId="73B610C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14:paraId="2AAEC17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14:paraId="0D3FDE67" w14:textId="769629B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w:t>
      </w:r>
      <w:r w:rsidR="002D330D" w:rsidRPr="002D330D">
        <w:rPr>
          <w:rFonts w:ascii="宋体" w:hAnsi="宋体" w:hint="eastAsia"/>
          <w:sz w:val="24"/>
        </w:rPr>
        <w:t>A类</w:t>
      </w:r>
      <w:r>
        <w:rPr>
          <w:rFonts w:ascii="宋体" w:hAnsi="宋体"/>
          <w:sz w:val="24"/>
        </w:rPr>
        <w:t>基金份额，对应的赎回费率为0.5%，假设赎回当日</w:t>
      </w:r>
      <w:r w:rsidR="002D330D" w:rsidRPr="002D330D">
        <w:rPr>
          <w:rFonts w:ascii="宋体" w:hAnsi="宋体" w:hint="eastAsia"/>
          <w:sz w:val="24"/>
        </w:rPr>
        <w:t>A类</w:t>
      </w:r>
      <w:r>
        <w:rPr>
          <w:rFonts w:ascii="宋体" w:hAnsi="宋体"/>
          <w:sz w:val="24"/>
        </w:rPr>
        <w:t>基金份额净值是1.0160元，则其可得到的赎回金额为10,109.20元。</w:t>
      </w:r>
    </w:p>
    <w:p w14:paraId="661B9C3C" w14:textId="77777777" w:rsidR="002D330D" w:rsidRPr="002D330D" w:rsidRDefault="002D330D" w:rsidP="002D330D">
      <w:pPr>
        <w:autoSpaceDE w:val="0"/>
        <w:autoSpaceDN w:val="0"/>
        <w:adjustRightInd w:val="0"/>
        <w:snapToGrid w:val="0"/>
        <w:spacing w:line="360" w:lineRule="auto"/>
        <w:ind w:firstLineChars="200" w:firstLine="480"/>
        <w:jc w:val="left"/>
        <w:rPr>
          <w:rFonts w:ascii="宋体" w:hAnsi="宋体"/>
          <w:sz w:val="24"/>
        </w:rPr>
      </w:pPr>
      <w:r w:rsidRPr="002D330D">
        <w:rPr>
          <w:rFonts w:ascii="宋体" w:hAnsi="宋体" w:hint="eastAsia"/>
          <w:sz w:val="24"/>
        </w:rPr>
        <w:t>（2）C类基金份额的赎回</w:t>
      </w:r>
    </w:p>
    <w:p w14:paraId="4C458762" w14:textId="77777777" w:rsidR="002D330D" w:rsidRPr="002D330D" w:rsidRDefault="002D330D" w:rsidP="002D330D">
      <w:pPr>
        <w:autoSpaceDE w:val="0"/>
        <w:autoSpaceDN w:val="0"/>
        <w:adjustRightInd w:val="0"/>
        <w:snapToGrid w:val="0"/>
        <w:spacing w:line="360" w:lineRule="auto"/>
        <w:ind w:firstLineChars="200" w:firstLine="480"/>
        <w:jc w:val="left"/>
        <w:rPr>
          <w:rFonts w:ascii="宋体" w:hAnsi="宋体"/>
          <w:sz w:val="24"/>
        </w:rPr>
      </w:pPr>
      <w:r w:rsidRPr="002D330D">
        <w:rPr>
          <w:rFonts w:ascii="宋体" w:hAnsi="宋体" w:hint="eastAsia"/>
          <w:sz w:val="24"/>
        </w:rPr>
        <w:t>投资者赎回C类基金份额，赎回金额的计算方法如下：</w:t>
      </w:r>
    </w:p>
    <w:p w14:paraId="22678F6C" w14:textId="77777777" w:rsidR="002D330D" w:rsidRPr="002D330D" w:rsidRDefault="002D330D" w:rsidP="002D330D">
      <w:pPr>
        <w:autoSpaceDE w:val="0"/>
        <w:autoSpaceDN w:val="0"/>
        <w:adjustRightInd w:val="0"/>
        <w:snapToGrid w:val="0"/>
        <w:spacing w:line="360" w:lineRule="auto"/>
        <w:ind w:firstLineChars="200" w:firstLine="480"/>
        <w:jc w:val="left"/>
        <w:rPr>
          <w:rFonts w:ascii="宋体" w:hAnsi="宋体"/>
          <w:sz w:val="24"/>
        </w:rPr>
      </w:pPr>
      <w:r w:rsidRPr="002D330D">
        <w:rPr>
          <w:rFonts w:ascii="宋体" w:hAnsi="宋体" w:hint="eastAsia"/>
          <w:sz w:val="24"/>
        </w:rPr>
        <w:t>赎回费用=赎回份额×T日C类基金份额净值×赎回费率</w:t>
      </w:r>
    </w:p>
    <w:p w14:paraId="79F5ED62" w14:textId="77777777" w:rsidR="002D330D" w:rsidRPr="002D330D" w:rsidRDefault="002D330D" w:rsidP="002D330D">
      <w:pPr>
        <w:autoSpaceDE w:val="0"/>
        <w:autoSpaceDN w:val="0"/>
        <w:adjustRightInd w:val="0"/>
        <w:snapToGrid w:val="0"/>
        <w:spacing w:line="360" w:lineRule="auto"/>
        <w:ind w:firstLineChars="200" w:firstLine="480"/>
        <w:jc w:val="left"/>
        <w:rPr>
          <w:rFonts w:ascii="宋体" w:hAnsi="宋体"/>
          <w:sz w:val="24"/>
        </w:rPr>
      </w:pPr>
      <w:r w:rsidRPr="002D330D">
        <w:rPr>
          <w:rFonts w:ascii="宋体" w:hAnsi="宋体" w:hint="eastAsia"/>
          <w:sz w:val="24"/>
        </w:rPr>
        <w:t>赎回金额=赎回份额×T日C类基金份额净值-赎回费用</w:t>
      </w:r>
    </w:p>
    <w:p w14:paraId="6AA0CFEB" w14:textId="77777777" w:rsidR="002D330D" w:rsidRPr="002D330D" w:rsidRDefault="002D330D" w:rsidP="002D330D">
      <w:pPr>
        <w:autoSpaceDE w:val="0"/>
        <w:autoSpaceDN w:val="0"/>
        <w:adjustRightInd w:val="0"/>
        <w:snapToGrid w:val="0"/>
        <w:spacing w:line="360" w:lineRule="auto"/>
        <w:ind w:firstLineChars="200" w:firstLine="480"/>
        <w:jc w:val="left"/>
        <w:rPr>
          <w:rFonts w:ascii="宋体" w:hAnsi="宋体"/>
          <w:sz w:val="24"/>
        </w:rPr>
      </w:pPr>
      <w:r w:rsidRPr="002D330D">
        <w:rPr>
          <w:rFonts w:ascii="宋体" w:hAnsi="宋体" w:hint="eastAsia"/>
          <w:sz w:val="24"/>
        </w:rPr>
        <w:t>例五：某投资者赎回10,000份C类基金份额，持有期限为20日，对应的赎回费率为0.5%，假设赎回当日C类基金份额净值是1.0160元，则其可得到的赎回金额为：</w:t>
      </w:r>
    </w:p>
    <w:p w14:paraId="36556C5F" w14:textId="77777777" w:rsidR="002D330D" w:rsidRPr="002D330D" w:rsidRDefault="002D330D" w:rsidP="002D330D">
      <w:pPr>
        <w:autoSpaceDE w:val="0"/>
        <w:autoSpaceDN w:val="0"/>
        <w:adjustRightInd w:val="0"/>
        <w:snapToGrid w:val="0"/>
        <w:spacing w:line="360" w:lineRule="auto"/>
        <w:ind w:firstLineChars="200" w:firstLine="480"/>
        <w:jc w:val="left"/>
        <w:rPr>
          <w:rFonts w:ascii="宋体" w:hAnsi="宋体"/>
          <w:sz w:val="24"/>
        </w:rPr>
      </w:pPr>
      <w:r w:rsidRPr="002D330D">
        <w:rPr>
          <w:rFonts w:ascii="宋体" w:hAnsi="宋体" w:hint="eastAsia"/>
          <w:sz w:val="24"/>
        </w:rPr>
        <w:t>赎回费用=10,000×1.0160×0.5%＝50.80元</w:t>
      </w:r>
    </w:p>
    <w:p w14:paraId="062B57F9" w14:textId="77777777" w:rsidR="002D330D" w:rsidRPr="002D330D" w:rsidRDefault="002D330D" w:rsidP="002D330D">
      <w:pPr>
        <w:autoSpaceDE w:val="0"/>
        <w:autoSpaceDN w:val="0"/>
        <w:adjustRightInd w:val="0"/>
        <w:snapToGrid w:val="0"/>
        <w:spacing w:line="360" w:lineRule="auto"/>
        <w:ind w:firstLineChars="200" w:firstLine="480"/>
        <w:jc w:val="left"/>
        <w:rPr>
          <w:rFonts w:ascii="宋体" w:hAnsi="宋体"/>
          <w:sz w:val="24"/>
        </w:rPr>
      </w:pPr>
      <w:r w:rsidRPr="002D330D">
        <w:rPr>
          <w:rFonts w:ascii="宋体" w:hAnsi="宋体" w:hint="eastAsia"/>
          <w:sz w:val="24"/>
        </w:rPr>
        <w:t>赎回金额=10,000×1.0160-50.80＝10,109.20元</w:t>
      </w:r>
    </w:p>
    <w:p w14:paraId="32222B3E" w14:textId="77777777" w:rsidR="002D330D" w:rsidRDefault="002D330D" w:rsidP="002D330D">
      <w:pPr>
        <w:autoSpaceDE w:val="0"/>
        <w:autoSpaceDN w:val="0"/>
        <w:adjustRightInd w:val="0"/>
        <w:snapToGrid w:val="0"/>
        <w:spacing w:line="360" w:lineRule="auto"/>
        <w:ind w:firstLineChars="200" w:firstLine="480"/>
        <w:jc w:val="left"/>
        <w:rPr>
          <w:rFonts w:ascii="宋体" w:hAnsi="宋体"/>
          <w:sz w:val="24"/>
        </w:rPr>
      </w:pPr>
      <w:r w:rsidRPr="002D330D">
        <w:rPr>
          <w:rFonts w:ascii="宋体" w:hAnsi="宋体" w:hint="eastAsia"/>
          <w:sz w:val="24"/>
        </w:rPr>
        <w:t>即：投资者赎回10,000份C类基金份额，持有期限为20日，对应的赎回费率为0.5%，假设赎回当日C类基金份额净值是1.0160元，则其可得到的赎回金额为10,109.20元。</w:t>
      </w:r>
    </w:p>
    <w:p w14:paraId="6643BA6E" w14:textId="6F1C7785" w:rsidR="00FB4D29" w:rsidRDefault="00CF4592" w:rsidP="002D33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F5403D3" w14:textId="2075C19B" w:rsidR="00FB4D29" w:rsidRDefault="002D330D">
      <w:pPr>
        <w:autoSpaceDE w:val="0"/>
        <w:autoSpaceDN w:val="0"/>
        <w:adjustRightInd w:val="0"/>
        <w:snapToGrid w:val="0"/>
        <w:spacing w:line="360" w:lineRule="auto"/>
        <w:ind w:firstLineChars="200" w:firstLine="480"/>
        <w:jc w:val="left"/>
        <w:rPr>
          <w:rFonts w:ascii="宋体" w:hAnsi="宋体"/>
          <w:sz w:val="24"/>
        </w:rPr>
      </w:pPr>
      <w:r w:rsidRPr="002D330D">
        <w:rPr>
          <w:rFonts w:ascii="宋体" w:hAnsi="宋体" w:hint="eastAsia"/>
          <w:sz w:val="24"/>
        </w:rPr>
        <w:t>A类</w:t>
      </w:r>
      <w:r w:rsidR="00CF4592">
        <w:rPr>
          <w:rFonts w:ascii="宋体" w:hAnsi="宋体"/>
          <w:sz w:val="24"/>
        </w:rPr>
        <w:t>基金份额净值＝</w:t>
      </w:r>
      <w:r w:rsidRPr="002D330D">
        <w:rPr>
          <w:rFonts w:ascii="宋体" w:hAnsi="宋体" w:hint="eastAsia"/>
          <w:sz w:val="24"/>
        </w:rPr>
        <w:t>A类基金份额的</w:t>
      </w:r>
      <w:r w:rsidR="00CF4592">
        <w:rPr>
          <w:rFonts w:ascii="宋体" w:hAnsi="宋体"/>
          <w:sz w:val="24"/>
        </w:rPr>
        <w:t>基金资产净值总额/发行在外的</w:t>
      </w:r>
      <w:r>
        <w:rPr>
          <w:rFonts w:ascii="宋体" w:hAnsi="宋体" w:hint="eastAsia"/>
          <w:sz w:val="24"/>
        </w:rPr>
        <w:t>A类</w:t>
      </w:r>
      <w:r w:rsidR="00CF4592">
        <w:rPr>
          <w:rFonts w:ascii="宋体" w:hAnsi="宋体"/>
          <w:sz w:val="24"/>
        </w:rPr>
        <w:t>基金份额总数</w:t>
      </w:r>
    </w:p>
    <w:p w14:paraId="60911B31" w14:textId="069BF9B7" w:rsidR="002D330D" w:rsidRPr="00F82365" w:rsidRDefault="002D330D">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sz w:val="24"/>
        </w:rPr>
        <w:t>C类基金份额净值＝C类基金份额的基金资产净值总额/发行在外的C类基金份额总数</w:t>
      </w:r>
    </w:p>
    <w:p w14:paraId="652384C6" w14:textId="7D1EAEA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w:t>
      </w:r>
      <w:r>
        <w:rPr>
          <w:rFonts w:ascii="宋体" w:hAnsi="宋体"/>
          <w:sz w:val="24"/>
        </w:rPr>
        <w:lastRenderedPageBreak/>
        <w:t>告。遇特殊情况，经中国证监会同意，可以适当延迟计算或公告。本基金</w:t>
      </w:r>
      <w:r w:rsidR="00F10E0A" w:rsidRPr="00F10E0A">
        <w:rPr>
          <w:rFonts w:ascii="宋体" w:hAnsi="宋体" w:hint="eastAsia"/>
          <w:sz w:val="24"/>
        </w:rPr>
        <w:t>A类基金份额和C类基金份额的</w:t>
      </w:r>
      <w:r>
        <w:rPr>
          <w:rFonts w:ascii="宋体" w:hAnsi="宋体"/>
          <w:sz w:val="24"/>
        </w:rPr>
        <w:t>基金份额净值的计算，</w:t>
      </w:r>
      <w:r w:rsidR="00F10E0A">
        <w:rPr>
          <w:rFonts w:ascii="宋体" w:hAnsi="宋体" w:hint="eastAsia"/>
          <w:sz w:val="24"/>
        </w:rPr>
        <w:t>均</w:t>
      </w:r>
      <w:r>
        <w:rPr>
          <w:rFonts w:ascii="宋体" w:hAnsi="宋体"/>
          <w:sz w:val="24"/>
        </w:rPr>
        <w:t>保留到小数点后4位，小数点后第5位四舍五入，由此误差产生的收益或损失由基金财产承担。</w:t>
      </w:r>
    </w:p>
    <w:p w14:paraId="1EA998F1"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（八）拒绝或暂停申购的情形</w:t>
      </w:r>
    </w:p>
    <w:p w14:paraId="6B5D167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6D32AC1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4BFFD8E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312FD4FB" w14:textId="0C6A02B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w:t>
      </w:r>
      <w:r w:rsidR="00F10E0A" w:rsidRPr="003F207A">
        <w:rPr>
          <w:rFonts w:hint="eastAsia"/>
          <w:bCs/>
          <w:sz w:val="24"/>
        </w:rPr>
        <w:t>或港股通临时停市</w:t>
      </w:r>
      <w:r>
        <w:rPr>
          <w:rFonts w:ascii="宋体" w:hAnsi="宋体"/>
          <w:sz w:val="24"/>
        </w:rPr>
        <w:t>，导致基金管理人无法计算当日基金资产净值。</w:t>
      </w:r>
    </w:p>
    <w:p w14:paraId="130A5F3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FF3F6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1D511D2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4BD8177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14:paraId="017B4926" w14:textId="77777777" w:rsidR="00F10E0A" w:rsidRPr="00F10E0A" w:rsidRDefault="00CF4592" w:rsidP="00F10E0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w:t>
      </w:r>
      <w:r w:rsidR="00F10E0A" w:rsidRPr="00F10E0A">
        <w:rPr>
          <w:rFonts w:ascii="宋体" w:hAnsi="宋体" w:hint="eastAsia"/>
          <w:sz w:val="24"/>
        </w:rPr>
        <w:t>港股通交易每日额度不足。</w:t>
      </w:r>
    </w:p>
    <w:p w14:paraId="3C0A0AB3" w14:textId="71B1F90A" w:rsidR="00FB4D29" w:rsidRDefault="00F10E0A" w:rsidP="00F10E0A">
      <w:pPr>
        <w:autoSpaceDE w:val="0"/>
        <w:autoSpaceDN w:val="0"/>
        <w:adjustRightInd w:val="0"/>
        <w:snapToGrid w:val="0"/>
        <w:spacing w:line="360" w:lineRule="auto"/>
        <w:ind w:firstLineChars="200" w:firstLine="480"/>
        <w:jc w:val="left"/>
        <w:rPr>
          <w:rFonts w:ascii="宋体" w:hAnsi="宋体"/>
          <w:szCs w:val="24"/>
        </w:rPr>
      </w:pPr>
      <w:r w:rsidRPr="00F10E0A">
        <w:rPr>
          <w:rFonts w:ascii="宋体" w:hAnsi="宋体" w:hint="eastAsia"/>
          <w:sz w:val="24"/>
        </w:rPr>
        <w:t>9、</w:t>
      </w:r>
      <w:r w:rsidR="00CF4592">
        <w:rPr>
          <w:rFonts w:ascii="宋体" w:hAnsi="宋体"/>
          <w:sz w:val="24"/>
        </w:rPr>
        <w:t>当前一估值日基金资产净值50%以上的资产出现无可参考的活跃市场价格且采用估值技术仍导致公允价值存在重大不确定性时，经与基金托管人协商确认后，基金管理人应当暂停接受申购申请。</w:t>
      </w:r>
    </w:p>
    <w:p w14:paraId="68494B45" w14:textId="0D6EF01B" w:rsidR="00FB4D29" w:rsidRDefault="00F10E0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00CF4592">
        <w:rPr>
          <w:rFonts w:ascii="宋体" w:hAnsi="宋体"/>
          <w:sz w:val="24"/>
        </w:rPr>
        <w:t>、基金合同约定、法律法规规定或中国证监会认定的其他情形。</w:t>
      </w:r>
    </w:p>
    <w:p w14:paraId="5ED97287" w14:textId="73FDFCC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w:t>
      </w:r>
      <w:r w:rsidR="00F10E0A">
        <w:rPr>
          <w:rFonts w:ascii="宋体" w:hAnsi="宋体" w:hint="eastAsia"/>
          <w:sz w:val="24"/>
        </w:rPr>
        <w:t>、1</w:t>
      </w:r>
      <w:r w:rsidR="00F10E0A">
        <w:rPr>
          <w:rFonts w:ascii="宋体" w:hAnsi="宋体"/>
          <w:sz w:val="24"/>
        </w:rPr>
        <w:t>0</w:t>
      </w:r>
      <w:r>
        <w:rPr>
          <w:rFonts w:ascii="宋体" w:hAnsi="宋体"/>
          <w:sz w:val="24"/>
        </w:rPr>
        <w:t>项暂停申购情形之一且基金管理人决定暂停接受投资人的申购申请时，基金管理人应当根据有关规定在</w:t>
      </w:r>
      <w:r w:rsidR="003246BF">
        <w:rPr>
          <w:rFonts w:ascii="宋体" w:hAnsi="宋体"/>
          <w:sz w:val="24"/>
        </w:rPr>
        <w:t>规定媒介</w:t>
      </w:r>
      <w:r>
        <w:rPr>
          <w:rFonts w:ascii="宋体" w:hAnsi="宋体"/>
          <w:sz w:val="24"/>
        </w:rPr>
        <w:t>上刊登暂停申购公告。如果投资人的申购申请被拒绝，被拒绝的申购款项将退还给投资人。在暂停申购的情况消除时，基金管理人应及时恢复申购业务的办理并依法公告。</w:t>
      </w:r>
    </w:p>
    <w:p w14:paraId="570B846D"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（九）暂停赎回或延缓支付赎回款项的情形</w:t>
      </w:r>
    </w:p>
    <w:p w14:paraId="6FE42C3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w:t>
      </w:r>
      <w:r>
        <w:rPr>
          <w:rFonts w:ascii="宋体" w:hAnsi="宋体"/>
          <w:sz w:val="24"/>
        </w:rPr>
        <w:lastRenderedPageBreak/>
        <w:t>项：</w:t>
      </w:r>
    </w:p>
    <w:p w14:paraId="1F80A23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24DC751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3884F462" w14:textId="1A45CF3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w:t>
      </w:r>
      <w:r w:rsidR="00976AD8" w:rsidRPr="00DF1676">
        <w:rPr>
          <w:rFonts w:hint="eastAsia"/>
          <w:bCs/>
          <w:sz w:val="24"/>
        </w:rPr>
        <w:t>或港股通临时停市</w:t>
      </w:r>
      <w:r>
        <w:rPr>
          <w:rFonts w:ascii="宋体" w:hAnsi="宋体"/>
          <w:sz w:val="24"/>
        </w:rPr>
        <w:t>，导致基金管理人无法计算当日基金资产净值。</w:t>
      </w:r>
    </w:p>
    <w:p w14:paraId="5FA0253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1DBFE7F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5、发生继续接受赎回申请将损害现有基金份额持有人利益的情形时，可暂停接受投资人的赎回申请。</w:t>
      </w:r>
    </w:p>
    <w:p w14:paraId="6632279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2D26F08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7、基金合同约定、法律法规规定或中国证监会认定的其他情形。</w:t>
      </w:r>
    </w:p>
    <w:p w14:paraId="49E5545D" w14:textId="71D6FDE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w:t>
      </w:r>
      <w:r w:rsidR="00976AD8">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7DE242E8"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（十）巨额赎回的情形及处理方式</w:t>
      </w:r>
    </w:p>
    <w:p w14:paraId="6C2DB7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30DD79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B7FD2A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31C20A5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7C12AC9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73746E5A" w14:textId="768556D1"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8C4112" w:rsidRPr="00F65CDF">
        <w:rPr>
          <w:rFonts w:hint="eastAsia"/>
          <w:bCs/>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54BA6DCD" w14:textId="73ED145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如基金份额持有人在当日选择取消赎回，则其当日未获受理的部分赎回申请将被撤销。</w:t>
      </w:r>
    </w:p>
    <w:p w14:paraId="0F133C19" w14:textId="69322A5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w:t>
      </w:r>
      <w:r w:rsidR="003246BF">
        <w:rPr>
          <w:rFonts w:ascii="宋体" w:hAnsi="宋体"/>
          <w:sz w:val="24"/>
        </w:rPr>
        <w:t>规定媒介</w:t>
      </w:r>
      <w:r>
        <w:rPr>
          <w:rFonts w:ascii="宋体" w:hAnsi="宋体"/>
          <w:sz w:val="24"/>
        </w:rPr>
        <w:t>上进行公告。</w:t>
      </w:r>
    </w:p>
    <w:p w14:paraId="6FF550C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31284632" w14:textId="44902D31"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w:t>
      </w:r>
      <w:r w:rsidR="003246BF">
        <w:rPr>
          <w:rFonts w:ascii="宋体" w:hAnsi="宋体"/>
          <w:sz w:val="24"/>
        </w:rPr>
        <w:t>规定媒介</w:t>
      </w:r>
      <w:r>
        <w:rPr>
          <w:rFonts w:ascii="宋体" w:hAnsi="宋体"/>
          <w:sz w:val="24"/>
        </w:rPr>
        <w:t>上刊登公告。</w:t>
      </w:r>
    </w:p>
    <w:p w14:paraId="7119C1A8"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（十一）暂停申购或赎回的公告和重新开放申购或赎回的公告</w:t>
      </w:r>
    </w:p>
    <w:p w14:paraId="04272D8A" w14:textId="6A2290D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3246BF">
        <w:rPr>
          <w:rFonts w:ascii="宋体" w:hAnsi="宋体"/>
          <w:sz w:val="24"/>
        </w:rPr>
        <w:t>规定媒介</w:t>
      </w:r>
      <w:r>
        <w:rPr>
          <w:rFonts w:ascii="宋体" w:hAnsi="宋体"/>
          <w:sz w:val="24"/>
        </w:rPr>
        <w:t>上刊登暂停公告。</w:t>
      </w:r>
    </w:p>
    <w:p w14:paraId="6E0AC2FF" w14:textId="4B1C1C8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w:t>
      </w:r>
      <w:r w:rsidR="003246BF">
        <w:rPr>
          <w:rFonts w:ascii="宋体" w:hAnsi="宋体"/>
          <w:sz w:val="24"/>
        </w:rPr>
        <w:t>规定媒介</w:t>
      </w:r>
      <w:r>
        <w:rPr>
          <w:rFonts w:ascii="宋体" w:hAnsi="宋体"/>
          <w:sz w:val="24"/>
        </w:rPr>
        <w:t>上刊登基金重新开放申购或赎回公告，并公布最近一个开放日</w:t>
      </w:r>
      <w:r w:rsidR="005B2C26" w:rsidRPr="005B2C26">
        <w:rPr>
          <w:rFonts w:ascii="宋体" w:hAnsi="宋体" w:hint="eastAsia"/>
          <w:sz w:val="24"/>
        </w:rPr>
        <w:t>各类基金份额</w:t>
      </w:r>
      <w:r>
        <w:rPr>
          <w:rFonts w:ascii="宋体" w:hAnsi="宋体"/>
          <w:sz w:val="24"/>
        </w:rPr>
        <w:t>的基金份额净值。</w:t>
      </w:r>
    </w:p>
    <w:p w14:paraId="2DE7B5DC" w14:textId="73A9F4B6"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（十二）基金的非交易过户</w:t>
      </w:r>
    </w:p>
    <w:p w14:paraId="2D38914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w:t>
      </w:r>
      <w:r>
        <w:rPr>
          <w:rFonts w:ascii="宋体" w:hAnsi="宋体"/>
          <w:sz w:val="24"/>
        </w:rPr>
        <w:lastRenderedPageBreak/>
        <w:t>产生的非交易过户以及登记机构认可、符合法律法规的其它非交易过户。无论在上述何种情况下，接受划转的主体必须是依法可以持有本基金基金份额的投资人。</w:t>
      </w:r>
    </w:p>
    <w:p w14:paraId="6E29971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C96792A" w14:textId="79AE62A3"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（十三）基金的转托管</w:t>
      </w:r>
    </w:p>
    <w:p w14:paraId="43B32D6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4BE2A163" w14:textId="3A3E8C7C"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（十四）定期定额投资计划</w:t>
      </w:r>
    </w:p>
    <w:p w14:paraId="5056374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941A68" w14:textId="3229EA5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本基金2018年3月2日刊登公告自2018年3月5日起开通</w:t>
      </w:r>
      <w:r w:rsidR="005B2C26" w:rsidRPr="005B2C26">
        <w:rPr>
          <w:rFonts w:ascii="宋体" w:hAnsi="宋体" w:hint="eastAsia"/>
          <w:sz w:val="24"/>
        </w:rPr>
        <w:t>A类基金份额的</w:t>
      </w:r>
      <w:r>
        <w:rPr>
          <w:rFonts w:ascii="宋体" w:hAnsi="宋体"/>
          <w:sz w:val="24"/>
        </w:rPr>
        <w:t>定期定额投资计划业务，</w:t>
      </w:r>
      <w:r w:rsidR="005B2C26" w:rsidRPr="005B2C26">
        <w:rPr>
          <w:rFonts w:ascii="宋体" w:hAnsi="宋体" w:hint="eastAsia"/>
          <w:sz w:val="24"/>
        </w:rPr>
        <w:t>本基金</w:t>
      </w:r>
      <w:r w:rsidR="00105925" w:rsidRPr="005B2C26">
        <w:rPr>
          <w:rFonts w:ascii="宋体" w:hAnsi="宋体" w:hint="eastAsia"/>
          <w:sz w:val="24"/>
        </w:rPr>
        <w:t>202</w:t>
      </w:r>
      <w:r w:rsidR="00105925">
        <w:rPr>
          <w:rFonts w:ascii="宋体" w:hAnsi="宋体"/>
          <w:sz w:val="24"/>
        </w:rPr>
        <w:t>3</w:t>
      </w:r>
      <w:r w:rsidR="005B2C26" w:rsidRPr="005B2C26">
        <w:rPr>
          <w:rFonts w:ascii="宋体" w:hAnsi="宋体" w:hint="eastAsia"/>
          <w:sz w:val="24"/>
        </w:rPr>
        <w:t>年</w:t>
      </w:r>
      <w:r w:rsidR="00105925">
        <w:rPr>
          <w:rFonts w:ascii="宋体" w:hAnsi="宋体"/>
          <w:sz w:val="24"/>
        </w:rPr>
        <w:t>3</w:t>
      </w:r>
      <w:r w:rsidR="005B2C26" w:rsidRPr="005B2C26">
        <w:rPr>
          <w:rFonts w:ascii="宋体" w:hAnsi="宋体" w:hint="eastAsia"/>
          <w:sz w:val="24"/>
        </w:rPr>
        <w:t>月</w:t>
      </w:r>
      <w:r w:rsidR="00105925">
        <w:rPr>
          <w:rFonts w:ascii="宋体" w:hAnsi="宋体"/>
          <w:sz w:val="24"/>
        </w:rPr>
        <w:t>29</w:t>
      </w:r>
      <w:r w:rsidR="005B2C26" w:rsidRPr="005B2C26">
        <w:rPr>
          <w:rFonts w:ascii="宋体" w:hAnsi="宋体" w:hint="eastAsia"/>
          <w:sz w:val="24"/>
        </w:rPr>
        <w:t>日刊登公告自</w:t>
      </w:r>
      <w:r w:rsidR="00105925" w:rsidRPr="005B2C26">
        <w:rPr>
          <w:rFonts w:ascii="宋体" w:hAnsi="宋体" w:hint="eastAsia"/>
          <w:sz w:val="24"/>
        </w:rPr>
        <w:t>202</w:t>
      </w:r>
      <w:r w:rsidR="00105925">
        <w:rPr>
          <w:rFonts w:ascii="宋体" w:hAnsi="宋体"/>
          <w:sz w:val="24"/>
        </w:rPr>
        <w:t>3</w:t>
      </w:r>
      <w:r w:rsidR="005B2C26" w:rsidRPr="005B2C26">
        <w:rPr>
          <w:rFonts w:ascii="宋体" w:hAnsi="宋体" w:hint="eastAsia"/>
          <w:sz w:val="24"/>
        </w:rPr>
        <w:t>年</w:t>
      </w:r>
      <w:r w:rsidR="00105925">
        <w:rPr>
          <w:rFonts w:ascii="宋体" w:hAnsi="宋体"/>
          <w:sz w:val="24"/>
        </w:rPr>
        <w:t>3</w:t>
      </w:r>
      <w:r w:rsidR="005B2C26" w:rsidRPr="005B2C26">
        <w:rPr>
          <w:rFonts w:ascii="宋体" w:hAnsi="宋体" w:hint="eastAsia"/>
          <w:sz w:val="24"/>
        </w:rPr>
        <w:t>月</w:t>
      </w:r>
      <w:r w:rsidR="00105925">
        <w:rPr>
          <w:rFonts w:ascii="宋体" w:hAnsi="宋体"/>
          <w:sz w:val="24"/>
        </w:rPr>
        <w:t>29</w:t>
      </w:r>
      <w:r w:rsidR="005B2C26" w:rsidRPr="005B2C26">
        <w:rPr>
          <w:rFonts w:ascii="宋体" w:hAnsi="宋体" w:hint="eastAsia"/>
          <w:sz w:val="24"/>
        </w:rPr>
        <w:t>日起增设C类基金份额并开通C类基金份额的定期定额投资计划业务，</w:t>
      </w:r>
      <w:r>
        <w:rPr>
          <w:rFonts w:ascii="宋体" w:hAnsi="宋体"/>
          <w:sz w:val="24"/>
        </w:rPr>
        <w:t>具体开通销售机构名单和业务规则参见相关公告。</w:t>
      </w:r>
    </w:p>
    <w:p w14:paraId="4AC5B94F" w14:textId="547B9A43"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（十五）基金份额的冻结和解冻</w:t>
      </w:r>
    </w:p>
    <w:p w14:paraId="1E62E80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536B8C89" w14:textId="5546CE69"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（十六）基金份额的转让</w:t>
      </w:r>
    </w:p>
    <w:p w14:paraId="5FFB4E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54EA81E" w14:textId="62C3E0D3" w:rsidR="00AF23D8" w:rsidRPr="006F43FF" w:rsidRDefault="00CF4592" w:rsidP="00AF23D8">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（十七）</w:t>
      </w:r>
      <w:r w:rsidR="00AF23D8" w:rsidRPr="006F43FF">
        <w:rPr>
          <w:rFonts w:ascii="宋体" w:hAnsi="宋体" w:hint="eastAsia"/>
          <w:b/>
          <w:szCs w:val="24"/>
        </w:rPr>
        <w:t>实施侧袋机制期间本基金的申购与赎回</w:t>
      </w:r>
    </w:p>
    <w:p w14:paraId="35943D99" w14:textId="77777777" w:rsidR="00AF23D8" w:rsidRPr="004C032A" w:rsidRDefault="00AF23D8" w:rsidP="00AF23D8">
      <w:pPr>
        <w:autoSpaceDE w:val="0"/>
        <w:autoSpaceDN w:val="0"/>
        <w:adjustRightInd w:val="0"/>
        <w:snapToGrid w:val="0"/>
        <w:spacing w:line="360" w:lineRule="auto"/>
        <w:ind w:firstLineChars="200" w:firstLine="480"/>
        <w:jc w:val="left"/>
        <w:rPr>
          <w:rFonts w:ascii="宋体" w:hAnsi="宋体"/>
          <w:sz w:val="24"/>
          <w:szCs w:val="24"/>
        </w:rPr>
      </w:pPr>
      <w:r w:rsidRPr="006F43FF">
        <w:rPr>
          <w:rFonts w:ascii="宋体" w:hAnsi="宋体" w:hint="eastAsia"/>
          <w:sz w:val="24"/>
          <w:szCs w:val="24"/>
        </w:rPr>
        <w:t>本基金实施侧袋机制的，本基金的申购和赎回安排详见本招募说明书“侧袋机制”部分的规定或相关公告。</w:t>
      </w:r>
    </w:p>
    <w:p w14:paraId="4703DDFD" w14:textId="20C50B78" w:rsidR="00FB4D29" w:rsidRDefault="00AF23D8" w:rsidP="00AF23D8">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w:t>
      </w:r>
      <w:r>
        <w:rPr>
          <w:rFonts w:ascii="宋体" w:hAnsi="宋体" w:hint="eastAsia"/>
          <w:b/>
          <w:szCs w:val="24"/>
        </w:rPr>
        <w:t>十八</w:t>
      </w:r>
      <w:r w:rsidRPr="00BB248E">
        <w:rPr>
          <w:rFonts w:ascii="宋体" w:hAnsi="宋体" w:hint="eastAsia"/>
          <w:b/>
          <w:szCs w:val="24"/>
        </w:rPr>
        <w:t>）</w:t>
      </w:r>
      <w:r w:rsidR="00CF4592" w:rsidRPr="00BB248E">
        <w:rPr>
          <w:rFonts w:ascii="宋体" w:hAnsi="宋体" w:hint="eastAsia"/>
          <w:b/>
          <w:szCs w:val="24"/>
        </w:rPr>
        <w:t>其他业务</w:t>
      </w:r>
    </w:p>
    <w:p w14:paraId="7A67FD8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B6FE2E4"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145A57E6" w14:textId="107ED091" w:rsidR="00FB4D29" w:rsidRDefault="00CF4592">
      <w:pPr>
        <w:pStyle w:val="1"/>
        <w:snapToGrid w:val="0"/>
        <w:spacing w:beforeLines="0" w:before="240" w:after="240"/>
        <w:rPr>
          <w:rFonts w:ascii="宋体" w:hAnsi="宋体"/>
          <w:szCs w:val="30"/>
        </w:rPr>
      </w:pPr>
      <w:r>
        <w:rPr>
          <w:rFonts w:ascii="宋体" w:hAnsi="宋体"/>
          <w:sz w:val="24"/>
        </w:rPr>
        <w:br w:type="page"/>
      </w:r>
      <w:bookmarkStart w:id="12" w:name="_Toc107476028"/>
      <w:r>
        <w:rPr>
          <w:rFonts w:ascii="Times New Roman" w:hAnsi="Times New Roman"/>
          <w:sz w:val="30"/>
        </w:rPr>
        <w:lastRenderedPageBreak/>
        <w:t>九、基金的转换</w:t>
      </w:r>
      <w:bookmarkEnd w:id="12"/>
    </w:p>
    <w:p w14:paraId="68EAC20F"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（一）基金转换</w:t>
      </w:r>
    </w:p>
    <w:p w14:paraId="1123B07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21347D40"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（二）转换业务办理时间</w:t>
      </w:r>
    </w:p>
    <w:p w14:paraId="1746DB02" w14:textId="1E081E19" w:rsidR="00BA1257" w:rsidRDefault="00CF4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本基金2018年5月15日刊登公告自2018年5月17日起开放</w:t>
      </w:r>
      <w:r w:rsidR="007F5718">
        <w:rPr>
          <w:rFonts w:ascii="宋体" w:hAnsi="宋体"/>
          <w:sz w:val="24"/>
        </w:rPr>
        <w:t>A</w:t>
      </w:r>
      <w:r w:rsidR="007F5718" w:rsidRPr="00BA1257">
        <w:rPr>
          <w:rFonts w:ascii="宋体" w:hAnsi="宋体" w:hint="eastAsia"/>
          <w:sz w:val="24"/>
        </w:rPr>
        <w:t>类基金份额</w:t>
      </w:r>
      <w:r w:rsidR="00754FB4">
        <w:rPr>
          <w:rFonts w:ascii="宋体" w:hAnsi="宋体" w:hint="eastAsia"/>
          <w:sz w:val="24"/>
        </w:rPr>
        <w:t>的</w:t>
      </w:r>
      <w:r>
        <w:rPr>
          <w:rFonts w:ascii="宋体" w:hAnsi="宋体"/>
          <w:sz w:val="24"/>
        </w:rPr>
        <w:t>日常转换业务。</w:t>
      </w:r>
      <w:r w:rsidR="00BA1257" w:rsidRPr="00BA1257">
        <w:rPr>
          <w:rFonts w:ascii="宋体" w:hAnsi="宋体" w:hint="eastAsia"/>
          <w:sz w:val="24"/>
        </w:rPr>
        <w:t>本基金</w:t>
      </w:r>
      <w:r w:rsidR="00305CD4" w:rsidRPr="00BA1257">
        <w:rPr>
          <w:rFonts w:ascii="宋体" w:hAnsi="宋体" w:hint="eastAsia"/>
          <w:sz w:val="24"/>
        </w:rPr>
        <w:t>202</w:t>
      </w:r>
      <w:r w:rsidR="00305CD4">
        <w:rPr>
          <w:rFonts w:ascii="宋体" w:hAnsi="宋体"/>
          <w:sz w:val="24"/>
        </w:rPr>
        <w:t>3</w:t>
      </w:r>
      <w:r w:rsidR="00BA1257" w:rsidRPr="00BA1257">
        <w:rPr>
          <w:rFonts w:ascii="宋体" w:hAnsi="宋体" w:hint="eastAsia"/>
          <w:sz w:val="24"/>
        </w:rPr>
        <w:t>年</w:t>
      </w:r>
      <w:r w:rsidR="00305CD4">
        <w:rPr>
          <w:rFonts w:ascii="宋体" w:hAnsi="宋体"/>
          <w:sz w:val="24"/>
        </w:rPr>
        <w:t>3</w:t>
      </w:r>
      <w:r w:rsidR="00BA1257" w:rsidRPr="00BA1257">
        <w:rPr>
          <w:rFonts w:ascii="宋体" w:hAnsi="宋体" w:hint="eastAsia"/>
          <w:sz w:val="24"/>
        </w:rPr>
        <w:t>月</w:t>
      </w:r>
      <w:r w:rsidR="00305CD4">
        <w:rPr>
          <w:rFonts w:ascii="宋体" w:hAnsi="宋体"/>
          <w:sz w:val="24"/>
        </w:rPr>
        <w:t>29</w:t>
      </w:r>
      <w:r w:rsidR="00BA1257" w:rsidRPr="00BA1257">
        <w:rPr>
          <w:rFonts w:ascii="宋体" w:hAnsi="宋体" w:hint="eastAsia"/>
          <w:sz w:val="24"/>
        </w:rPr>
        <w:t>日刊登公告自</w:t>
      </w:r>
      <w:r w:rsidR="00305CD4" w:rsidRPr="00BA1257">
        <w:rPr>
          <w:rFonts w:ascii="宋体" w:hAnsi="宋体" w:hint="eastAsia"/>
          <w:sz w:val="24"/>
        </w:rPr>
        <w:t>202</w:t>
      </w:r>
      <w:r w:rsidR="00305CD4">
        <w:rPr>
          <w:rFonts w:ascii="宋体" w:hAnsi="宋体"/>
          <w:sz w:val="24"/>
        </w:rPr>
        <w:t>3</w:t>
      </w:r>
      <w:r w:rsidR="00BA1257" w:rsidRPr="00BA1257">
        <w:rPr>
          <w:rFonts w:ascii="宋体" w:hAnsi="宋体" w:hint="eastAsia"/>
          <w:sz w:val="24"/>
        </w:rPr>
        <w:t>年</w:t>
      </w:r>
      <w:r w:rsidR="00305CD4">
        <w:rPr>
          <w:rFonts w:ascii="宋体" w:hAnsi="宋体"/>
          <w:sz w:val="24"/>
        </w:rPr>
        <w:t>3</w:t>
      </w:r>
      <w:r w:rsidR="00BA1257" w:rsidRPr="00BA1257">
        <w:rPr>
          <w:rFonts w:ascii="宋体" w:hAnsi="宋体" w:hint="eastAsia"/>
          <w:sz w:val="24"/>
        </w:rPr>
        <w:t>月</w:t>
      </w:r>
      <w:r w:rsidR="00305CD4">
        <w:rPr>
          <w:rFonts w:ascii="宋体" w:hAnsi="宋体"/>
          <w:sz w:val="24"/>
        </w:rPr>
        <w:t>29</w:t>
      </w:r>
      <w:r w:rsidR="00BA1257" w:rsidRPr="00BA1257">
        <w:rPr>
          <w:rFonts w:ascii="宋体" w:hAnsi="宋体" w:hint="eastAsia"/>
          <w:sz w:val="24"/>
        </w:rPr>
        <w:t>日起增设C类基金份额并开通C类基金份额的日常转换业务。</w:t>
      </w:r>
    </w:p>
    <w:p w14:paraId="75B5BB71" w14:textId="19BA578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w:t>
      </w:r>
      <w:r w:rsidR="005E1652">
        <w:rPr>
          <w:rFonts w:ascii="宋体" w:hAnsi="宋体" w:hint="eastAsia"/>
          <w:bCs/>
          <w:sz w:val="24"/>
        </w:rPr>
        <w:t>（若该工作日为非港股通交易日，则本基金可不办理</w:t>
      </w:r>
      <w:r w:rsidR="00754FB4" w:rsidRPr="00754FB4">
        <w:rPr>
          <w:rFonts w:ascii="宋体" w:hAnsi="宋体" w:hint="eastAsia"/>
          <w:bCs/>
          <w:sz w:val="24"/>
        </w:rPr>
        <w:t>）</w:t>
      </w:r>
      <w:r>
        <w:rPr>
          <w:rFonts w:ascii="宋体" w:hAnsi="宋体"/>
          <w:sz w:val="24"/>
        </w:rPr>
        <w:t>。若出现新的证券交易市场或交易所交易时间更改或其它原因，基金管理人将视情况进行相应的调整并公告。</w:t>
      </w:r>
    </w:p>
    <w:p w14:paraId="57E4CAE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F4996B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452832FD"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（三）基金转换的程序</w:t>
      </w:r>
    </w:p>
    <w:p w14:paraId="3238F07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4D6D2B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7034DCA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370327A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0F14F1B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18A7863"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（四）基金转换的数额限制</w:t>
      </w:r>
    </w:p>
    <w:p w14:paraId="283945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基金转换以份额为单位进行申请，申请转换份额精确到小数点后两位，小数点后两位以后的部分四舍五入，误差部分归基金财产。</w:t>
      </w:r>
    </w:p>
    <w:p w14:paraId="382E3F6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61429AE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533D2C8A"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（五）基金转换费用</w:t>
      </w:r>
    </w:p>
    <w:p w14:paraId="6CE292C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4B26DF8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2D59E6B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6CF55F9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1C61CF0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补差，若遇固定费用，则按实际产生补差费用收取。</w:t>
      </w:r>
    </w:p>
    <w:p w14:paraId="6F50BE1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0798BA0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w:t>
      </w:r>
      <w:r>
        <w:rPr>
          <w:rFonts w:ascii="宋体" w:hAnsi="宋体"/>
          <w:sz w:val="24"/>
        </w:rPr>
        <w:lastRenderedPageBreak/>
        <w:t>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925008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6B90E83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1289AC2" w14:textId="6D59FCF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w:t>
      </w:r>
      <w:r w:rsidR="003246BF">
        <w:rPr>
          <w:rFonts w:ascii="宋体" w:hAnsi="宋体"/>
          <w:sz w:val="24"/>
        </w:rPr>
        <w:t>规定媒介</w:t>
      </w:r>
      <w:r>
        <w:rPr>
          <w:rFonts w:ascii="宋体" w:hAnsi="宋体"/>
          <w:sz w:val="24"/>
        </w:rPr>
        <w:t>上公告。</w:t>
      </w:r>
    </w:p>
    <w:p w14:paraId="7DC5E129"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（六）基金转换份额的计算公式</w:t>
      </w:r>
    </w:p>
    <w:p w14:paraId="2B5BD62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7D349F5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66D0C2E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71D15DF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80FF02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667DE7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0738744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1BD18C3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50FC7A8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00F4C2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48D059C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w:t>
      </w:r>
      <w:r>
        <w:rPr>
          <w:rFonts w:ascii="宋体" w:hAnsi="宋体"/>
          <w:sz w:val="24"/>
        </w:rPr>
        <w:lastRenderedPageBreak/>
        <w:t>五入，误差部分归基金财产。</w:t>
      </w:r>
    </w:p>
    <w:p w14:paraId="7C10D66C" w14:textId="447D7A3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w:t>
      </w:r>
      <w:r w:rsidR="00A125FB">
        <w:rPr>
          <w:rFonts w:ascii="宋体" w:hAnsi="宋体" w:hint="eastAsia"/>
          <w:sz w:val="24"/>
        </w:rPr>
        <w:t>A类</w:t>
      </w:r>
      <w:r>
        <w:rPr>
          <w:rFonts w:ascii="宋体" w:hAnsi="宋体"/>
          <w:sz w:val="24"/>
        </w:rPr>
        <w:t>基金份额净值为2.2700元。若该投资者将100,000份交银趋势前端A类基金份额转换为交银成长前端</w:t>
      </w:r>
      <w:r w:rsidR="00A125FB">
        <w:rPr>
          <w:rFonts w:ascii="宋体" w:hAnsi="宋体" w:hint="eastAsia"/>
          <w:sz w:val="24"/>
        </w:rPr>
        <w:t>A类</w:t>
      </w:r>
      <w:r>
        <w:rPr>
          <w:rFonts w:ascii="宋体" w:hAnsi="宋体"/>
          <w:sz w:val="24"/>
        </w:rPr>
        <w:t>基金份额，则转入交银成长确认的基金份额为：</w:t>
      </w:r>
    </w:p>
    <w:p w14:paraId="2CFEDC34" w14:textId="4DDE3E0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4852912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229866D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4BADBA0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62C7087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089CC09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0094D79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691E9B6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563DCF4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1C46004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44859F0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553387D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34EF464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5A68FA3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0853448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7D78CC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1E40B1F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32F7BD7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w:t>
      </w:r>
      <w:r>
        <w:rPr>
          <w:rFonts w:ascii="宋体" w:hAnsi="宋体"/>
          <w:sz w:val="24"/>
        </w:rPr>
        <w:lastRenderedPageBreak/>
        <w:t>元，交银货币的基金份额净值为1.00元。若该投资者将100,000份交银货币A级基金份额转换为交银增利A类基金份额，则转入确认的交银增利A类基金份额为：</w:t>
      </w:r>
    </w:p>
    <w:p w14:paraId="652CB10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7E8F82B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6295F93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2E86E4A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07FE0E6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387AEF9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5F4739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A6FC09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3C3CD9C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57B1DC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5F3232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3C88F8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037E46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5B41DE2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08F4EB8B" w14:textId="3EE9D08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36FCF7C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21B9932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674F62E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6B9173E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461781A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0ED530A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w:t>
      </w:r>
      <w:r>
        <w:rPr>
          <w:rFonts w:ascii="宋体" w:hAnsi="宋体"/>
          <w:sz w:val="24"/>
        </w:rPr>
        <w:lastRenderedPageBreak/>
        <w:t>一年半，转换申请当日交银先锋的A类基金份额净值为1.2500元，交银货币的基金份额净值为1.00元。若该投资者将100,000份交银先锋后端A类基金份额转换为交银货币，则转入交银货币的基金份额为：</w:t>
      </w:r>
    </w:p>
    <w:p w14:paraId="23B7E90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6173AF7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2E2081F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3025B61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31C886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74D307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5ED5EF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50570F4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36F16F6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674AC79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3AD890A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213310F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3F1FB97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3F19DD5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5E4E5DA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7F6AB4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3B95590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6B8633D8"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（七）业务规则</w:t>
      </w:r>
    </w:p>
    <w:p w14:paraId="167FC36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w:t>
      </w:r>
      <w:r>
        <w:rPr>
          <w:rFonts w:ascii="宋体" w:hAnsi="宋体"/>
          <w:sz w:val="24"/>
        </w:rPr>
        <w:lastRenderedPageBreak/>
        <w:t>申购状态。</w:t>
      </w:r>
    </w:p>
    <w:p w14:paraId="3E79246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487694A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0830BF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511F2CE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340A23BC"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（八）暂停基金转换</w:t>
      </w:r>
    </w:p>
    <w:p w14:paraId="0409B5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037BE6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10DA42F8"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33AD5FFF" w14:textId="2AF10C41" w:rsidR="00FB4D29" w:rsidRDefault="00CF4592">
      <w:pPr>
        <w:pStyle w:val="1"/>
        <w:snapToGrid w:val="0"/>
        <w:spacing w:beforeLines="0" w:before="240" w:after="240"/>
        <w:rPr>
          <w:rFonts w:ascii="宋体" w:hAnsi="宋体"/>
          <w:szCs w:val="30"/>
        </w:rPr>
      </w:pPr>
      <w:r>
        <w:rPr>
          <w:rFonts w:ascii="宋体" w:hAnsi="宋体"/>
          <w:sz w:val="24"/>
        </w:rPr>
        <w:br w:type="page"/>
      </w:r>
      <w:bookmarkStart w:id="13" w:name="_Toc107476029"/>
      <w:r>
        <w:rPr>
          <w:rFonts w:ascii="Times New Roman" w:hAnsi="Times New Roman"/>
          <w:sz w:val="30"/>
        </w:rPr>
        <w:lastRenderedPageBreak/>
        <w:t>十、基金的投资</w:t>
      </w:r>
      <w:bookmarkEnd w:id="13"/>
    </w:p>
    <w:p w14:paraId="1D487788"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（一）投资目标</w:t>
      </w:r>
    </w:p>
    <w:p w14:paraId="001E513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本基金在有效控制组合风险并保持良好流动性的前提下，把握市场发展趋势，通过专业化研究分析，重点投资具备充分成长空间和拥有持续成长性的上市公司，力争实现基金资产的长期稳定增值。</w:t>
      </w:r>
    </w:p>
    <w:p w14:paraId="261F2073"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（二）投资范围</w:t>
      </w:r>
    </w:p>
    <w:p w14:paraId="132C915B" w14:textId="6040486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本基金的投资范围为具有良好流动性的金融工具，包括国内依法发行上市的股票（含创业板及其他经中国证监会核准</w:t>
      </w:r>
      <w:r w:rsidR="00123221">
        <w:rPr>
          <w:rFonts w:ascii="宋体" w:hAnsi="宋体" w:hint="eastAsia"/>
          <w:sz w:val="24"/>
        </w:rPr>
        <w:t>或注册</w:t>
      </w:r>
      <w:r>
        <w:rPr>
          <w:rFonts w:ascii="宋体" w:hAnsi="宋体"/>
          <w:sz w:val="24"/>
        </w:rPr>
        <w:t>上市的股票、存托凭证）、</w:t>
      </w:r>
      <w:r w:rsidR="00123221">
        <w:rPr>
          <w:rFonts w:ascii="宋体" w:hAnsi="宋体" w:hint="eastAsia"/>
          <w:sz w:val="24"/>
        </w:rPr>
        <w:t>港股通标的股票、</w:t>
      </w:r>
      <w:r>
        <w:rPr>
          <w:rFonts w:ascii="宋体" w:hAnsi="宋体"/>
          <w:sz w:val="24"/>
        </w:rPr>
        <w:t>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相关规定）。</w:t>
      </w:r>
    </w:p>
    <w:p w14:paraId="2FD10D0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01EE8005" w14:textId="574DA37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w:t>
      </w:r>
      <w:r w:rsidR="00DC21E1">
        <w:rPr>
          <w:rFonts w:ascii="宋体" w:hAnsi="宋体"/>
          <w:sz w:val="24"/>
        </w:rPr>
        <w:t>6</w:t>
      </w:r>
      <w:r>
        <w:rPr>
          <w:rFonts w:ascii="宋体" w:hAnsi="宋体"/>
          <w:sz w:val="24"/>
        </w:rPr>
        <w:t>0%-95%</w:t>
      </w:r>
      <w:r w:rsidR="00400284" w:rsidRPr="00400284">
        <w:rPr>
          <w:rFonts w:ascii="宋体" w:hAnsi="宋体" w:hint="eastAsia"/>
          <w:sz w:val="24"/>
        </w:rPr>
        <w:t>，其中投资于港股通标的股票的比例占股票资产的0%-50%</w:t>
      </w:r>
      <w:r>
        <w:rPr>
          <w:rFonts w:ascii="宋体" w:hAnsi="宋体"/>
          <w:sz w:val="24"/>
        </w:rPr>
        <w:t>；本基金投资于持续成长主题相关</w:t>
      </w:r>
      <w:r w:rsidR="00DE701B">
        <w:rPr>
          <w:rFonts w:hAnsi="宋体" w:hint="eastAsia"/>
          <w:bCs/>
          <w:sz w:val="24"/>
          <w:szCs w:val="24"/>
        </w:rPr>
        <w:t>股票</w:t>
      </w:r>
      <w:r>
        <w:rPr>
          <w:rFonts w:ascii="宋体" w:hAnsi="宋体"/>
          <w:sz w:val="24"/>
        </w:rPr>
        <w:t>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35B2008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08CC1F09"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（三）投资策略</w:t>
      </w:r>
    </w:p>
    <w:p w14:paraId="19CF3F6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w:t>
      </w:r>
      <w:r>
        <w:rPr>
          <w:rFonts w:ascii="宋体" w:hAnsi="宋体"/>
          <w:sz w:val="24"/>
        </w:rPr>
        <w:lastRenderedPageBreak/>
        <w:t>续成长性进行综合评价，精选个股，力争实现基金资产的长期稳定增值。</w:t>
      </w:r>
    </w:p>
    <w:p w14:paraId="3EC0804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14:paraId="7A0500AC" w14:textId="1D25870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本基金利用经交银施罗德研究团队修正后的投资时钟分析框架，通过“自上而下”的定性分析和定量分析相结合形成对不同资产市场表现的预测和判断，确定基金资产在</w:t>
      </w:r>
      <w:r w:rsidR="00400284" w:rsidRPr="00400284">
        <w:rPr>
          <w:rFonts w:ascii="宋体" w:hAnsi="宋体" w:hint="eastAsia"/>
          <w:sz w:val="24"/>
        </w:rPr>
        <w:t>沪深A股、港股</w:t>
      </w:r>
      <w:r>
        <w:rPr>
          <w:rFonts w:ascii="宋体" w:hAnsi="宋体"/>
          <w:sz w:val="24"/>
        </w:rPr>
        <w:t>、债券及货币市场工具等各类别资产间的分配比例，并随着各类证券风险收益特征的相对变化，在基金合同约定的范围内动态调整组合中各类资产的比例，以规避或控制市场风险，提高基金收益率。</w:t>
      </w:r>
    </w:p>
    <w:p w14:paraId="2CF7B62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w:t>
      </w:r>
    </w:p>
    <w:p w14:paraId="3612DC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对象为具备充分成长空间和拥有持续成长性的公司。本基金将充分发挥研究团队自下而上的选股能力，基于对个股深入的基本面研究和细致的实地调研，精选股票构建投资组合。具体分以下两个层次。</w:t>
      </w:r>
    </w:p>
    <w:p w14:paraId="0C9BD2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定量与定性相结合的评价方法，评估其行业地位和业绩持续成长性。本基金将结合中长期中国经济结构调整优化的方向，通过消费者需求变化趋势、产业结构变迁、全球技术创新和商业模式演化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等方面评估持续成长性行业。</w:t>
      </w:r>
    </w:p>
    <w:p w14:paraId="50F9340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在行业的持续成长性评估之外，本基金将基于对相关个股深入的基本面研究和细致的实地调研，结合交银施罗德企业成长性评价体系对企业的持续成长性进行综合评价。</w:t>
      </w:r>
    </w:p>
    <w:p w14:paraId="4A72B750" w14:textId="43BA16EC" w:rsidR="00400284" w:rsidRPr="00400284" w:rsidRDefault="00CF4592" w:rsidP="0040028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本基金投资存托凭证的策略依照境内上市交易的股票投资策略执行。</w:t>
      </w:r>
    </w:p>
    <w:p w14:paraId="2DEF4205" w14:textId="77777777" w:rsidR="00400284" w:rsidRPr="00400284" w:rsidRDefault="00400284" w:rsidP="00400284">
      <w:pPr>
        <w:autoSpaceDE w:val="0"/>
        <w:autoSpaceDN w:val="0"/>
        <w:adjustRightInd w:val="0"/>
        <w:snapToGrid w:val="0"/>
        <w:spacing w:line="360" w:lineRule="auto"/>
        <w:ind w:firstLineChars="200" w:firstLine="480"/>
        <w:jc w:val="left"/>
        <w:rPr>
          <w:rFonts w:ascii="宋体" w:hAnsi="宋体"/>
          <w:sz w:val="24"/>
        </w:rPr>
      </w:pPr>
      <w:r w:rsidRPr="00400284">
        <w:rPr>
          <w:rFonts w:ascii="宋体" w:hAnsi="宋体" w:hint="eastAsia"/>
          <w:sz w:val="24"/>
        </w:rPr>
        <w:t>本基金可通过内地与香港股票市场交易互联互通机制投资于香港股票市场。本基金优先将基本面健康、业绩向上弹性较大、具有估值优势的港股纳入本基金的股票投资组合。</w:t>
      </w:r>
    </w:p>
    <w:p w14:paraId="49FE81DB" w14:textId="77777777" w:rsidR="00400284" w:rsidRDefault="00400284" w:rsidP="00400284">
      <w:pPr>
        <w:autoSpaceDE w:val="0"/>
        <w:autoSpaceDN w:val="0"/>
        <w:adjustRightInd w:val="0"/>
        <w:snapToGrid w:val="0"/>
        <w:spacing w:line="360" w:lineRule="auto"/>
        <w:ind w:firstLineChars="200" w:firstLine="480"/>
        <w:jc w:val="left"/>
        <w:rPr>
          <w:rFonts w:ascii="宋体" w:hAnsi="宋体"/>
          <w:sz w:val="24"/>
        </w:rPr>
      </w:pPr>
      <w:r w:rsidRPr="00400284">
        <w:rPr>
          <w:rFonts w:ascii="宋体" w:hAnsi="宋体" w:hint="eastAsia"/>
          <w:sz w:val="24"/>
        </w:rPr>
        <w:t>本基金可根据投资策略需要或不同配置地市场环境的变化，选择将部分基金资产投资于港股或选择不将基金资产投资于港股，基金资产并非必然投资港股。</w:t>
      </w:r>
    </w:p>
    <w:p w14:paraId="3D42125B" w14:textId="09E24F07" w:rsidR="00FB4D29" w:rsidRDefault="00CF4592" w:rsidP="0040028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本基金所指持续成长主题型公司为：</w:t>
      </w:r>
    </w:p>
    <w:p w14:paraId="2AC7131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公司业务发展方向在技术上或商业模式上具有竞争优势，符合需求变化特征，契合消费需求变化趋势；</w:t>
      </w:r>
    </w:p>
    <w:p w14:paraId="3235192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 公司拥有难以被竞争对手模仿的竞争优势，如在资源、技术、人才、资金、经营许可证、销售网络等方面的优势；</w:t>
      </w:r>
    </w:p>
    <w:p w14:paraId="3A12A9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公司治理结构完善、拥有良好管理团队，具备清晰的公司发展战略，企业经营具备持续成长潜力。</w:t>
      </w:r>
    </w:p>
    <w:p w14:paraId="790E1B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w:t>
      </w:r>
    </w:p>
    <w:p w14:paraId="2D44C9D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14:paraId="4301200A" w14:textId="1ACC4ED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管理策略、类属配置策略、收益率曲线配置策略、杠杆放大策略及信用债券、可转换债券投资等多种策略，</w:t>
      </w:r>
      <w:r w:rsidR="00400284">
        <w:rPr>
          <w:rFonts w:ascii="宋体" w:hAnsi="宋体" w:hint="eastAsia"/>
          <w:sz w:val="24"/>
        </w:rPr>
        <w:t>以期</w:t>
      </w:r>
      <w:r>
        <w:rPr>
          <w:rFonts w:ascii="宋体" w:hAnsi="宋体"/>
          <w:sz w:val="24"/>
        </w:rPr>
        <w:t>获取债券市场的长期稳定收益。</w:t>
      </w:r>
    </w:p>
    <w:p w14:paraId="1D370A0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14:paraId="6388AC0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0D3D2BB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（2）类属配置策略</w:t>
      </w:r>
    </w:p>
    <w:p w14:paraId="7EC2DFC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150F960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（3）收益率曲线配置策略</w:t>
      </w:r>
    </w:p>
    <w:p w14:paraId="11FB88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本基金将通过预期收益率曲线形态变化来调整投资组合的头寸。在考察收益率曲线的基础上，将确定采用子弹策略、哑铃策略或梯形策略等，以从收益率曲线的形变中获利。</w:t>
      </w:r>
    </w:p>
    <w:p w14:paraId="79AA973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（4）杠杆放大策略</w:t>
      </w:r>
    </w:p>
    <w:p w14:paraId="207743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当回购利率低于债券收益率时，本基金将通过正回购融入资金并投资于信用债券等可投资标的，从而获取收益率超出回购资金成本（即回购利率）的套利价值。</w:t>
      </w:r>
    </w:p>
    <w:p w14:paraId="1A5F22E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（5）信用债券投资策略</w:t>
      </w:r>
    </w:p>
    <w:p w14:paraId="4ECB61B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6B6FB8B6" w14:textId="4CE1E5E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（6）可转换债券</w:t>
      </w:r>
      <w:r w:rsidR="00943A96" w:rsidRPr="00143DCA">
        <w:rPr>
          <w:rFonts w:ascii="Times New Roman" w:hAnsi="Times New Roman" w:hint="eastAsia"/>
          <w:bCs/>
          <w:sz w:val="24"/>
        </w:rPr>
        <w:t>与可交换公司债券</w:t>
      </w:r>
      <w:r>
        <w:rPr>
          <w:rFonts w:ascii="宋体" w:hAnsi="宋体"/>
          <w:sz w:val="24"/>
        </w:rPr>
        <w:t>投资策略</w:t>
      </w:r>
    </w:p>
    <w:p w14:paraId="380E1029" w14:textId="2A1E9F4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本基金对于可转换债券</w:t>
      </w:r>
      <w:r w:rsidR="00943A96" w:rsidRPr="00143DCA">
        <w:rPr>
          <w:rFonts w:ascii="Times New Roman" w:hAnsi="Times New Roman" w:hint="eastAsia"/>
          <w:bCs/>
          <w:sz w:val="24"/>
        </w:rPr>
        <w:t>与可交换公司债券</w:t>
      </w:r>
      <w:r>
        <w:rPr>
          <w:rFonts w:ascii="宋体" w:hAnsi="宋体"/>
          <w:sz w:val="24"/>
        </w:rPr>
        <w:t>股性的研究将完全依托于公司投研团队对标的股票的研究，在此基础上利用可转换债券</w:t>
      </w:r>
      <w:r w:rsidR="00943A96" w:rsidRPr="00143DCA">
        <w:rPr>
          <w:rFonts w:ascii="Times New Roman" w:hAnsi="Times New Roman" w:hint="eastAsia"/>
          <w:bCs/>
          <w:sz w:val="24"/>
        </w:rPr>
        <w:t>与可交换公司债券</w:t>
      </w:r>
      <w:r>
        <w:rPr>
          <w:rFonts w:ascii="宋体" w:hAnsi="宋体"/>
          <w:sz w:val="24"/>
        </w:rPr>
        <w:t>定价模型，充分考虑转债发行后目标转债标的股票股价波动率可能出现的变化，对目标转债的股性进行合理定价。通过对标的转债股性与债性的合理定价，力求寻找出被市场低估的品种，构建本基金可转换债券</w:t>
      </w:r>
      <w:r w:rsidR="00943A96" w:rsidRPr="00143DCA">
        <w:rPr>
          <w:rFonts w:ascii="Times New Roman" w:hAnsi="Times New Roman" w:hint="eastAsia"/>
          <w:bCs/>
          <w:sz w:val="24"/>
        </w:rPr>
        <w:t>与可交换公司债券</w:t>
      </w:r>
      <w:r>
        <w:rPr>
          <w:rFonts w:ascii="宋体" w:hAnsi="宋体"/>
          <w:sz w:val="24"/>
        </w:rPr>
        <w:t>的投资组合。</w:t>
      </w:r>
    </w:p>
    <w:p w14:paraId="38EF80A9" w14:textId="3CA14833" w:rsidR="00FB4D29" w:rsidRDefault="00CF4592" w:rsidP="0040028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4、资产支持证券投资</w:t>
      </w:r>
    </w:p>
    <w:p w14:paraId="5727AD4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8308857" w14:textId="125BA2EC" w:rsidR="00FB4D29" w:rsidRDefault="0040028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CF4592">
        <w:rPr>
          <w:rFonts w:ascii="宋体" w:hAnsi="宋体"/>
          <w:sz w:val="24"/>
        </w:rPr>
        <w:t>、股指期货投资</w:t>
      </w:r>
    </w:p>
    <w:p w14:paraId="68EB46D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250ACDF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A8CB80E"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（四）投资限制</w:t>
      </w:r>
    </w:p>
    <w:p w14:paraId="737DA87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36B4734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43B69467" w14:textId="620F8E0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（1）股票资产（含存托凭证）占基金资产的</w:t>
      </w:r>
      <w:r w:rsidR="00DC21E1">
        <w:rPr>
          <w:rFonts w:ascii="宋体" w:hAnsi="宋体"/>
          <w:sz w:val="24"/>
        </w:rPr>
        <w:t>60</w:t>
      </w:r>
      <w:r>
        <w:rPr>
          <w:rFonts w:ascii="宋体" w:hAnsi="宋体"/>
          <w:sz w:val="24"/>
        </w:rPr>
        <w:t>%-95%</w:t>
      </w:r>
      <w:r w:rsidR="00400284" w:rsidRPr="00400284">
        <w:rPr>
          <w:rFonts w:ascii="宋体" w:hAnsi="宋体" w:hint="eastAsia"/>
          <w:sz w:val="24"/>
        </w:rPr>
        <w:t>，其中投资于港股通标的股票的比例占股票资产的0%-50%</w:t>
      </w:r>
      <w:r>
        <w:rPr>
          <w:rFonts w:ascii="宋体" w:hAnsi="宋体"/>
          <w:sz w:val="24"/>
        </w:rPr>
        <w:t>；本基金投资于持续成长主题相关</w:t>
      </w:r>
      <w:r w:rsidR="00DE701B">
        <w:rPr>
          <w:rFonts w:hAnsi="宋体" w:hint="eastAsia"/>
          <w:bCs/>
          <w:sz w:val="24"/>
          <w:szCs w:val="24"/>
        </w:rPr>
        <w:t>股票</w:t>
      </w:r>
      <w:r>
        <w:rPr>
          <w:rFonts w:ascii="宋体" w:hAnsi="宋体"/>
          <w:sz w:val="24"/>
        </w:rPr>
        <w:t>的比例不低于非现金基金资产的80%；</w:t>
      </w:r>
    </w:p>
    <w:p w14:paraId="4E67FCB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（2）每个交易日日终在扣除股指期货合约需缴纳的交易保证金后，保持不低于基金资产净值5%的现金或者到期日在一年以内的政府债券，其中现金不包括结算备付金、存出保证金、应收申购款等；</w:t>
      </w:r>
    </w:p>
    <w:p w14:paraId="06562B3C" w14:textId="0B55C7F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w:t>
      </w:r>
      <w:r w:rsidR="00400284" w:rsidRPr="00DA3E3E">
        <w:rPr>
          <w:rFonts w:hint="eastAsia"/>
          <w:bCs/>
          <w:sz w:val="24"/>
        </w:rPr>
        <w:t>（同一家公司在内地和香港同时上市的</w:t>
      </w:r>
      <w:r w:rsidR="00400284" w:rsidRPr="00F82365">
        <w:rPr>
          <w:rFonts w:ascii="宋体" w:hAnsi="宋体"/>
          <w:sz w:val="24"/>
        </w:rPr>
        <w:t>A+H</w:t>
      </w:r>
      <w:r w:rsidR="00400284" w:rsidRPr="00F82365">
        <w:rPr>
          <w:rFonts w:ascii="宋体" w:hAnsi="宋体" w:hint="eastAsia"/>
          <w:sz w:val="24"/>
        </w:rPr>
        <w:t>股合计计算）</w:t>
      </w:r>
      <w:r>
        <w:rPr>
          <w:rFonts w:ascii="宋体" w:hAnsi="宋体"/>
          <w:sz w:val="24"/>
        </w:rPr>
        <w:t>，其市值不超过基金资产净值的10%；</w:t>
      </w:r>
    </w:p>
    <w:p w14:paraId="32C545DC" w14:textId="0A5E846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w:t>
      </w:r>
      <w:r w:rsidR="00400284" w:rsidRPr="00400284">
        <w:rPr>
          <w:rFonts w:ascii="宋体" w:hAnsi="宋体" w:hint="eastAsia"/>
          <w:sz w:val="24"/>
        </w:rPr>
        <w:t>（同一家公司在内地和香港同时上市的A+H股合计计算）</w:t>
      </w:r>
      <w:r>
        <w:rPr>
          <w:rFonts w:ascii="宋体" w:hAnsi="宋体"/>
          <w:sz w:val="24"/>
        </w:rPr>
        <w:t>，不超过该证券的10%</w:t>
      </w:r>
      <w:r w:rsidR="00D4701B" w:rsidRPr="00DA3E3E">
        <w:rPr>
          <w:rFonts w:hint="eastAsia"/>
          <w:bCs/>
          <w:sz w:val="24"/>
        </w:rPr>
        <w:t>，完全按照有关指数的构成比例进行证券投资的基金品种可以不受此条款规定的比例限制</w:t>
      </w:r>
      <w:r>
        <w:rPr>
          <w:rFonts w:ascii="宋体" w:hAnsi="宋体"/>
          <w:sz w:val="24"/>
        </w:rPr>
        <w:t>；</w:t>
      </w:r>
    </w:p>
    <w:p w14:paraId="1922118F" w14:textId="0578131B" w:rsidR="00FB4D29" w:rsidRDefault="00CF4592" w:rsidP="00D4701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r w:rsidR="00CC5849" w:rsidRPr="00CC5849">
        <w:rPr>
          <w:rFonts w:ascii="宋体" w:hAnsi="宋体" w:hint="eastAsia"/>
          <w:bCs/>
          <w:sz w:val="24"/>
        </w:rPr>
        <w:t>完全按照有关指数的构成比例进行证券投资的开放式基金以及中国证监会认定的特殊投资组合可不受前述比例限制</w:t>
      </w:r>
      <w:r w:rsidR="00CC5849">
        <w:rPr>
          <w:rFonts w:ascii="宋体" w:hAnsi="宋体" w:hint="eastAsia"/>
          <w:bCs/>
          <w:sz w:val="24"/>
        </w:rPr>
        <w:t>；</w:t>
      </w:r>
    </w:p>
    <w:p w14:paraId="4B0859D0" w14:textId="6A81AB4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sz w:val="24"/>
        </w:rPr>
        <w:t>6</w:t>
      </w:r>
      <w:r>
        <w:rPr>
          <w:rFonts w:ascii="宋体" w:hAnsi="宋体"/>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1A6A699D" w14:textId="0B95A78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hint="eastAsia"/>
          <w:sz w:val="24"/>
        </w:rPr>
        <w:t>7</w:t>
      </w:r>
      <w:r>
        <w:rPr>
          <w:rFonts w:ascii="宋体" w:hAnsi="宋体"/>
          <w:sz w:val="24"/>
        </w:rPr>
        <w:t>）本基金与私募类证券资管产品及中国证监会认定的其他主体为交易对手开展逆回购交易的，可接受质押品的资质要求应当与基金合同约定的投资范围保持一致；</w:t>
      </w:r>
    </w:p>
    <w:p w14:paraId="7F6278D5" w14:textId="0748B7D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sz w:val="24"/>
        </w:rPr>
        <w:t>8</w:t>
      </w:r>
      <w:r>
        <w:rPr>
          <w:rFonts w:ascii="宋体" w:hAnsi="宋体"/>
          <w:sz w:val="24"/>
        </w:rPr>
        <w:t>）本基金投资于同一原始权益人的各类资产支持证券的比例，不得超过基金资产净值的10%；</w:t>
      </w:r>
    </w:p>
    <w:p w14:paraId="7FC28A8C" w14:textId="0BC2809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sz w:val="24"/>
        </w:rPr>
        <w:t>9</w:t>
      </w:r>
      <w:r>
        <w:rPr>
          <w:rFonts w:ascii="宋体" w:hAnsi="宋体"/>
          <w:sz w:val="24"/>
        </w:rPr>
        <w:t>）本基金持有的全部资产支持证券，其市值不得超过基金资产净值的20%；</w:t>
      </w:r>
    </w:p>
    <w:p w14:paraId="654A10C6" w14:textId="3FCCCD0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D4701B">
        <w:rPr>
          <w:rFonts w:ascii="宋体" w:hAnsi="宋体"/>
          <w:sz w:val="24"/>
        </w:rPr>
        <w:t>0</w:t>
      </w:r>
      <w:r>
        <w:rPr>
          <w:rFonts w:ascii="宋体" w:hAnsi="宋体"/>
          <w:sz w:val="24"/>
        </w:rPr>
        <w:t>）本基金持有的同一（指同一信用级别）资产支持证券的比例，不得超过该资产支持证券规模的10%；</w:t>
      </w:r>
    </w:p>
    <w:p w14:paraId="657255C4" w14:textId="2EE2055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D4701B">
        <w:rPr>
          <w:rFonts w:ascii="宋体" w:hAnsi="宋体"/>
          <w:sz w:val="24"/>
        </w:rPr>
        <w:t>1</w:t>
      </w:r>
      <w:r>
        <w:rPr>
          <w:rFonts w:ascii="宋体" w:hAnsi="宋体"/>
          <w:sz w:val="24"/>
        </w:rPr>
        <w:t>）本基金管理人管理的全部基金投资于同一原始权益人的各类资产支持证券，不得超过其各类资产支持证券合计规模的10%；</w:t>
      </w:r>
    </w:p>
    <w:p w14:paraId="6E51383C" w14:textId="2FF2DFB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w:t>
      </w:r>
      <w:r w:rsidR="00D4701B">
        <w:rPr>
          <w:rFonts w:ascii="宋体" w:hAnsi="宋体"/>
          <w:sz w:val="24"/>
        </w:rPr>
        <w:t>2</w:t>
      </w:r>
      <w:r>
        <w:rPr>
          <w:rFonts w:ascii="宋体" w:hAnsi="宋体"/>
          <w:sz w:val="24"/>
        </w:rPr>
        <w:t>）本基金应投资于信用级别评级为BBB以上（含BBB）的资产支持证券。基金持有资产支持证券期间，如果其信用等级下降、不再符合投资标准，应在评级报告发布之日起3个月内予以全部卖出；</w:t>
      </w:r>
    </w:p>
    <w:p w14:paraId="3CE7558D" w14:textId="137D9A3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sz w:val="24"/>
        </w:rPr>
        <w:t>13</w:t>
      </w:r>
      <w:r>
        <w:rPr>
          <w:rFonts w:ascii="宋体" w:hAnsi="宋体"/>
          <w:sz w:val="24"/>
        </w:rPr>
        <w:t>）基金财产参与股票发行申购，本基金所申报的金额不超过本基金的总资产，本基金所申报的股票数量不超过拟发行股票公司本次发行股票的总量；</w:t>
      </w:r>
    </w:p>
    <w:p w14:paraId="11C9D087" w14:textId="549314C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sz w:val="24"/>
        </w:rPr>
        <w:t>14</w:t>
      </w:r>
      <w:r>
        <w:rPr>
          <w:rFonts w:ascii="宋体" w:hAnsi="宋体"/>
          <w:sz w:val="24"/>
        </w:rPr>
        <w:t>）本基金进入全国银行间同业市场进行债券回购的资金余额不得超过基金资产净值的40%，本基金在全国银行间同业市场中的债券回购最长期限为1年，债券回购到期后不得展期；</w:t>
      </w:r>
    </w:p>
    <w:p w14:paraId="06517768" w14:textId="2991622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sz w:val="24"/>
        </w:rPr>
        <w:t>15</w:t>
      </w:r>
      <w:r>
        <w:rPr>
          <w:rFonts w:ascii="宋体" w:hAnsi="宋体"/>
          <w:sz w:val="24"/>
        </w:rPr>
        <w:t>）本基金若投资股指期货，则遵循以下投资比例限制：</w:t>
      </w:r>
    </w:p>
    <w:p w14:paraId="7E5E724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14:paraId="0852C8B1" w14:textId="4970153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期货合约价值与有价证券市值之和，不得超过基金资产净值的95%。其中，有价证券指股票、债券（不含到期日在一年以内的政府债券）、资产支持证券、买入返售金融资产（不含质押式回购）等；</w:t>
      </w:r>
    </w:p>
    <w:p w14:paraId="6AE9D9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3）本基金在任何交易日日终，持有的卖出期货合约价值不得超过基金持有的股票总市值的20%；</w:t>
      </w:r>
    </w:p>
    <w:p w14:paraId="2839EF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14:paraId="51B7C1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14:paraId="119884B6" w14:textId="6BE9BF2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sz w:val="24"/>
        </w:rPr>
        <w:t>16</w:t>
      </w:r>
      <w:r>
        <w:rPr>
          <w:rFonts w:ascii="宋体" w:hAnsi="宋体"/>
          <w:sz w:val="24"/>
        </w:rPr>
        <w:t>）本基金的基金资产总值不得超过基金资产净值的140%；</w:t>
      </w:r>
    </w:p>
    <w:p w14:paraId="2327F024" w14:textId="015750E1"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sz w:val="24"/>
        </w:rPr>
        <w:t>17</w:t>
      </w:r>
      <w:r>
        <w:rPr>
          <w:rFonts w:ascii="宋体" w:hAnsi="宋体"/>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E346D7E" w14:textId="0DC6783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sz w:val="24"/>
        </w:rPr>
        <w:t>18</w:t>
      </w:r>
      <w:r>
        <w:rPr>
          <w:rFonts w:ascii="宋体" w:hAnsi="宋体"/>
          <w:sz w:val="24"/>
        </w:rPr>
        <w:t>）本基金投资存托凭证的比例限制依照境内上市交易的股票执行；</w:t>
      </w:r>
    </w:p>
    <w:p w14:paraId="4C596180" w14:textId="11FEC3D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D4701B">
        <w:rPr>
          <w:rFonts w:ascii="宋体" w:hAnsi="宋体"/>
          <w:sz w:val="24"/>
        </w:rPr>
        <w:t>19</w:t>
      </w:r>
      <w:r>
        <w:rPr>
          <w:rFonts w:ascii="宋体" w:hAnsi="宋体"/>
          <w:sz w:val="24"/>
        </w:rPr>
        <w:t>）法律法规及中国证监会规定的和《基金合同》约定的其他投资限制。</w:t>
      </w:r>
    </w:p>
    <w:p w14:paraId="1BFE4677" w14:textId="7B68DF1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除上述第（2）项、第（</w:t>
      </w:r>
      <w:r w:rsidR="00D4701B">
        <w:rPr>
          <w:rFonts w:ascii="宋体" w:hAnsi="宋体" w:hint="eastAsia"/>
          <w:sz w:val="24"/>
        </w:rPr>
        <w:t>6</w:t>
      </w:r>
      <w:r>
        <w:rPr>
          <w:rFonts w:ascii="宋体" w:hAnsi="宋体"/>
          <w:sz w:val="24"/>
        </w:rPr>
        <w:t>）项、第（</w:t>
      </w:r>
      <w:r w:rsidR="00D4701B">
        <w:rPr>
          <w:rFonts w:ascii="宋体" w:hAnsi="宋体"/>
          <w:sz w:val="24"/>
        </w:rPr>
        <w:t>7</w:t>
      </w:r>
      <w:r>
        <w:rPr>
          <w:rFonts w:ascii="宋体" w:hAnsi="宋体"/>
          <w:sz w:val="24"/>
        </w:rPr>
        <w:t>）项、第（1</w:t>
      </w:r>
      <w:r w:rsidR="00D4701B">
        <w:rPr>
          <w:rFonts w:ascii="宋体" w:hAnsi="宋体"/>
          <w:sz w:val="24"/>
        </w:rPr>
        <w:t>2</w:t>
      </w:r>
      <w:r>
        <w:rPr>
          <w:rFonts w:ascii="宋体" w:hAnsi="宋体"/>
          <w:sz w:val="24"/>
        </w:rPr>
        <w:t>）项以外，因证券、期货市场波动、证券发行人合并或基金规模变动等基金管理人之外的因素致使基金投资</w:t>
      </w:r>
      <w:r>
        <w:rPr>
          <w:rFonts w:ascii="宋体" w:hAnsi="宋体"/>
          <w:sz w:val="24"/>
        </w:rPr>
        <w:lastRenderedPageBreak/>
        <w:t>比例不符合上述规定投资比例的，基金管理人应当在10个交易日内进行调整，但中国证监会规定的特殊情形除外。法律法规另有规定的，从其规定。</w:t>
      </w:r>
    </w:p>
    <w:p w14:paraId="04E20A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EB36D8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747E41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2A9D8A5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78D0D61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EB209D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F2F92A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2F19267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72E6A1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14C394F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2E36CDC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0781236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00104FDE" w14:textId="77777777" w:rsidR="00745075" w:rsidRPr="00745075" w:rsidRDefault="00CF4592" w:rsidP="0074507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383E01" w14:textId="0CD4964C" w:rsidR="00FB4D29" w:rsidRDefault="00745075" w:rsidP="00745075">
      <w:pPr>
        <w:autoSpaceDE w:val="0"/>
        <w:autoSpaceDN w:val="0"/>
        <w:adjustRightInd w:val="0"/>
        <w:snapToGrid w:val="0"/>
        <w:spacing w:line="360" w:lineRule="auto"/>
        <w:ind w:firstLineChars="200" w:firstLine="480"/>
        <w:jc w:val="left"/>
        <w:rPr>
          <w:rFonts w:ascii="宋体" w:hAnsi="宋体"/>
          <w:szCs w:val="24"/>
        </w:rPr>
      </w:pPr>
      <w:r w:rsidRPr="00745075">
        <w:rPr>
          <w:rFonts w:ascii="宋体" w:hAnsi="宋体" w:hint="eastAsia"/>
          <w:sz w:val="24"/>
        </w:rPr>
        <w:t>如法律、行政法规或监管部门取消上述规定，如适用于本基金，基金管理人在履行适当程序后，本基金可不受上述规定的限制。</w:t>
      </w:r>
    </w:p>
    <w:p w14:paraId="08AF4B16"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（五）业绩比较基准</w:t>
      </w:r>
    </w:p>
    <w:p w14:paraId="47E0509A" w14:textId="6764BACB" w:rsidR="00FB4D29" w:rsidRDefault="0074507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w:t>
      </w:r>
      <w:r w:rsidR="00CF4592">
        <w:rPr>
          <w:rFonts w:ascii="宋体" w:hAnsi="宋体"/>
          <w:sz w:val="24"/>
        </w:rPr>
        <w:t>%×沪深300指数收益率</w:t>
      </w:r>
      <w:r w:rsidRPr="00745075">
        <w:rPr>
          <w:rFonts w:ascii="宋体" w:hAnsi="宋体" w:hint="eastAsia"/>
          <w:sz w:val="24"/>
        </w:rPr>
        <w:t>+</w:t>
      </w:r>
      <w:r w:rsidR="00DF2A8D">
        <w:rPr>
          <w:rFonts w:ascii="宋体" w:hAnsi="宋体"/>
          <w:sz w:val="24"/>
        </w:rPr>
        <w:t>10</w:t>
      </w:r>
      <w:r w:rsidRPr="00745075">
        <w:rPr>
          <w:rFonts w:ascii="宋体" w:hAnsi="宋体" w:hint="eastAsia"/>
          <w:sz w:val="24"/>
        </w:rPr>
        <w:t>%×恒生指数收益率</w:t>
      </w:r>
      <w:r w:rsidR="00CF4592">
        <w:rPr>
          <w:rFonts w:ascii="宋体" w:hAnsi="宋体"/>
          <w:sz w:val="24"/>
        </w:rPr>
        <w:t>+2</w:t>
      </w:r>
      <w:r w:rsidR="00DF2A8D">
        <w:rPr>
          <w:rFonts w:ascii="宋体" w:hAnsi="宋体"/>
          <w:sz w:val="24"/>
        </w:rPr>
        <w:t>0</w:t>
      </w:r>
      <w:r w:rsidR="00CF4592">
        <w:rPr>
          <w:rFonts w:ascii="宋体" w:hAnsi="宋体"/>
          <w:sz w:val="24"/>
        </w:rPr>
        <w:t>%×中证综合债券指数收益</w:t>
      </w:r>
      <w:r w:rsidR="00CF4592">
        <w:rPr>
          <w:rFonts w:ascii="宋体" w:hAnsi="宋体"/>
          <w:sz w:val="24"/>
        </w:rPr>
        <w:lastRenderedPageBreak/>
        <w:t>率</w:t>
      </w:r>
    </w:p>
    <w:p w14:paraId="03810259" w14:textId="153B128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w:t>
      </w:r>
      <w:r w:rsidR="00F264C9" w:rsidRPr="00F264C9">
        <w:rPr>
          <w:rFonts w:ascii="宋体" w:hAnsi="宋体" w:hint="eastAsia"/>
          <w:sz w:val="24"/>
        </w:rPr>
        <w:t>A股资产</w:t>
      </w:r>
      <w:r>
        <w:rPr>
          <w:rFonts w:ascii="宋体" w:hAnsi="宋体"/>
          <w:sz w:val="24"/>
        </w:rPr>
        <w:t>投资的业绩比较基准。</w:t>
      </w:r>
    </w:p>
    <w:p w14:paraId="3F48688D" w14:textId="77777777" w:rsidR="00296AB6" w:rsidRDefault="00296AB6" w:rsidP="00296AB6">
      <w:pPr>
        <w:spacing w:line="360" w:lineRule="auto"/>
        <w:ind w:firstLineChars="200" w:firstLine="480"/>
        <w:rPr>
          <w:sz w:val="24"/>
        </w:rPr>
      </w:pPr>
      <w:r>
        <w:rPr>
          <w:rFonts w:hint="eastAsia"/>
          <w:sz w:val="24"/>
        </w:rPr>
        <w:t>恒生指数是由恒生指数服务有限公司编制，以香港股票市场中的</w:t>
      </w:r>
      <w:r>
        <w:rPr>
          <w:rFonts w:hint="eastAsia"/>
          <w:sz w:val="24"/>
        </w:rPr>
        <w:t>50</w:t>
      </w:r>
      <w:r>
        <w:rPr>
          <w:rFonts w:hint="eastAsia"/>
          <w:sz w:val="24"/>
        </w:rPr>
        <w:t>家上市股票为成份股样本，以其发行量为权数的加权平均股价指数，是反映香港股市价幅趋势最有影响的一种股价指数。</w:t>
      </w:r>
    </w:p>
    <w:p w14:paraId="0743D5C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506D8ED5" w14:textId="126B5E5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w:t>
      </w:r>
      <w:r w:rsidR="00296AB6" w:rsidRPr="00035652">
        <w:rPr>
          <w:rFonts w:hint="eastAsia"/>
          <w:bCs/>
          <w:sz w:val="24"/>
        </w:rPr>
        <w:t>并按照监管部门要求履行适当程序</w:t>
      </w:r>
      <w:r>
        <w:rPr>
          <w:rFonts w:ascii="宋体" w:hAnsi="宋体"/>
          <w:sz w:val="24"/>
        </w:rPr>
        <w:t>后，调整或变更本基金的业绩比较基准并及时公告，无需召开基金份额持有人大会。</w:t>
      </w:r>
    </w:p>
    <w:p w14:paraId="160D632A"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（六）风险收益特征</w:t>
      </w:r>
    </w:p>
    <w:p w14:paraId="111D5FF7" w14:textId="1642833D" w:rsidR="00296AB6" w:rsidRPr="00F82365" w:rsidRDefault="00CF4592" w:rsidP="00F823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本基金是一只混合型基金，其</w:t>
      </w:r>
      <w:r w:rsidR="00B41CD1">
        <w:rPr>
          <w:rFonts w:ascii="宋体" w:hAnsi="宋体" w:hint="eastAsia"/>
          <w:sz w:val="24"/>
        </w:rPr>
        <w:t>预期</w:t>
      </w:r>
      <w:r>
        <w:rPr>
          <w:rFonts w:ascii="宋体" w:hAnsi="宋体"/>
          <w:sz w:val="24"/>
        </w:rPr>
        <w:t>风险和预期收益</w:t>
      </w:r>
      <w:r w:rsidR="00F264C9">
        <w:rPr>
          <w:rFonts w:ascii="宋体" w:hAnsi="宋体" w:hint="eastAsia"/>
          <w:sz w:val="24"/>
        </w:rPr>
        <w:t>理论上</w:t>
      </w:r>
      <w:r>
        <w:rPr>
          <w:rFonts w:ascii="宋体" w:hAnsi="宋体"/>
          <w:sz w:val="24"/>
        </w:rPr>
        <w:t>高于债券型基金和货币市场基金，低于股票型基金。</w:t>
      </w:r>
    </w:p>
    <w:p w14:paraId="524BC955" w14:textId="77777777" w:rsidR="00296AB6" w:rsidRDefault="00296AB6" w:rsidP="00296AB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本基金可投资港股通标的股票，会面临港股通机制下因投资环境、投资标的、市场制度以及交易规则等差异带来的特有风险。</w:t>
      </w:r>
    </w:p>
    <w:p w14:paraId="52995C41"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（七）基金管理人代表基金行使股东及债权人权利的处理原则及方法</w:t>
      </w:r>
    </w:p>
    <w:p w14:paraId="6074F92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14:paraId="02887C8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491E3BE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27EE01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4、不通过关联交易为自身、雇员、授权代理人或任何存在利害关系的第三人牟取任何不当利益。</w:t>
      </w:r>
    </w:p>
    <w:p w14:paraId="70ACA1D9"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（八）投资决策依据和投资流程</w:t>
      </w:r>
    </w:p>
    <w:p w14:paraId="29CA018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45A8C5D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76BAE5B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7B0B1C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744BB38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17337EF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2D9993E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7CAFEA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4197ECF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7C6A7E4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1C7BF6C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5AB75A7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4716016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240065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w:t>
      </w:r>
      <w:r>
        <w:rPr>
          <w:rFonts w:ascii="宋体" w:hAnsi="宋体"/>
          <w:sz w:val="24"/>
        </w:rPr>
        <w:lastRenderedPageBreak/>
        <w:t>控制的要求，在权限范围内制定具体的投资组合方案；</w:t>
      </w:r>
    </w:p>
    <w:p w14:paraId="5D40D7A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1B9D1E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75957A2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027D4B2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1BB89DD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02A1D075" w14:textId="77777777" w:rsidR="005F25D8" w:rsidRPr="00F82365" w:rsidRDefault="00CF4592" w:rsidP="005F25D8">
      <w:pPr>
        <w:pStyle w:val="af5"/>
        <w:ind w:rightChars="-85" w:right="-178" w:firstLineChars="200" w:firstLine="422"/>
        <w:rPr>
          <w:rFonts w:ascii="宋体" w:hAnsi="宋体"/>
          <w:b/>
        </w:rPr>
      </w:pPr>
      <w:r w:rsidRPr="00BB248E">
        <w:rPr>
          <w:rFonts w:ascii="宋体" w:hAnsi="宋体" w:hint="eastAsia"/>
          <w:b/>
        </w:rPr>
        <w:t>（九）</w:t>
      </w:r>
      <w:r w:rsidR="005F25D8" w:rsidRPr="00F82365">
        <w:rPr>
          <w:rFonts w:ascii="宋体" w:hAnsi="宋体" w:hint="eastAsia"/>
          <w:b/>
        </w:rPr>
        <w:t>侧袋机制的实施和投资运作安排</w:t>
      </w:r>
    </w:p>
    <w:p w14:paraId="14C6CC6F" w14:textId="77777777" w:rsidR="005F25D8" w:rsidRPr="00512E00" w:rsidRDefault="005F25D8" w:rsidP="005F25D8">
      <w:pPr>
        <w:pStyle w:val="af5"/>
        <w:ind w:rightChars="-85" w:right="-178" w:firstLineChars="200" w:firstLine="480"/>
        <w:rPr>
          <w:rFonts w:ascii="宋体" w:hAnsi="宋体"/>
          <w:sz w:val="24"/>
          <w:szCs w:val="21"/>
        </w:rPr>
      </w:pPr>
      <w:r w:rsidRPr="00512E00">
        <w:rPr>
          <w:rFonts w:ascii="宋体" w:hAnsi="宋体" w:hint="eastAsia"/>
          <w:sz w:val="24"/>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99D6D15" w14:textId="77777777" w:rsidR="005F25D8" w:rsidRPr="00512E00" w:rsidRDefault="005F25D8" w:rsidP="005F25D8">
      <w:pPr>
        <w:pStyle w:val="af5"/>
        <w:ind w:rightChars="-85" w:right="-178" w:firstLineChars="200" w:firstLine="480"/>
        <w:rPr>
          <w:rFonts w:ascii="宋体" w:hAnsi="宋体"/>
          <w:sz w:val="24"/>
          <w:szCs w:val="21"/>
        </w:rPr>
      </w:pPr>
      <w:r w:rsidRPr="00512E00">
        <w:rPr>
          <w:rFonts w:ascii="宋体" w:hAnsi="宋体" w:hint="eastAsia"/>
          <w:sz w:val="24"/>
          <w:szCs w:val="21"/>
        </w:rPr>
        <w:t>侧袋机制实施期间，本部分约定的投资组合比例、投资策略、组合限制、业绩比较基准、风险收益特征等约定仅适用于主袋账户。</w:t>
      </w:r>
    </w:p>
    <w:p w14:paraId="176E964C" w14:textId="77777777" w:rsidR="005F25D8" w:rsidRPr="00512E00" w:rsidRDefault="005F25D8" w:rsidP="005F25D8">
      <w:pPr>
        <w:pStyle w:val="af5"/>
        <w:ind w:rightChars="-85" w:right="-178" w:firstLineChars="200" w:firstLine="480"/>
        <w:rPr>
          <w:rFonts w:ascii="宋体" w:hAnsi="宋体"/>
          <w:sz w:val="24"/>
          <w:szCs w:val="21"/>
        </w:rPr>
      </w:pPr>
      <w:r w:rsidRPr="00512E00">
        <w:rPr>
          <w:rFonts w:ascii="宋体" w:hAnsi="宋体" w:hint="eastAsia"/>
          <w:sz w:val="24"/>
          <w:szCs w:val="21"/>
        </w:rPr>
        <w:t>侧袋账户的实施条件、实施程序、运作安排、投资安排、特定资产的处置变现和支付等对投资者权益有重大影响的事项详见招募说明书</w:t>
      </w:r>
      <w:r w:rsidRPr="00AE04F7">
        <w:rPr>
          <w:rFonts w:hAnsi="宋体" w:hint="eastAsia"/>
          <w:sz w:val="24"/>
        </w:rPr>
        <w:t>“侧袋机制”部分</w:t>
      </w:r>
      <w:r w:rsidRPr="00512E00">
        <w:rPr>
          <w:rFonts w:ascii="宋体" w:hAnsi="宋体" w:hint="eastAsia"/>
          <w:sz w:val="24"/>
          <w:szCs w:val="21"/>
        </w:rPr>
        <w:t>的规定。</w:t>
      </w:r>
    </w:p>
    <w:p w14:paraId="148BFAF5" w14:textId="6C2274CA" w:rsidR="00FB4D29" w:rsidRDefault="005F25D8" w:rsidP="005F25D8">
      <w:pPr>
        <w:autoSpaceDE w:val="0"/>
        <w:autoSpaceDN w:val="0"/>
        <w:adjustRightInd w:val="0"/>
        <w:snapToGrid w:val="0"/>
        <w:spacing w:line="360" w:lineRule="auto"/>
        <w:ind w:firstLineChars="200" w:firstLine="422"/>
        <w:jc w:val="left"/>
        <w:rPr>
          <w:rFonts w:ascii="宋体" w:hAnsi="宋体"/>
          <w:szCs w:val="24"/>
        </w:rPr>
      </w:pPr>
      <w:r w:rsidRPr="00F82365">
        <w:rPr>
          <w:rFonts w:ascii="宋体" w:hAnsi="宋体" w:hint="eastAsia"/>
          <w:b/>
          <w:szCs w:val="24"/>
        </w:rPr>
        <w:t>（十）</w:t>
      </w:r>
      <w:r w:rsidR="00CF4592" w:rsidRPr="00BB248E">
        <w:rPr>
          <w:rFonts w:ascii="宋体" w:hAnsi="宋体" w:hint="eastAsia"/>
          <w:b/>
          <w:szCs w:val="24"/>
        </w:rPr>
        <w:t>基金投资组合报告</w:t>
      </w:r>
    </w:p>
    <w:p w14:paraId="592735C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14:paraId="504837DD" w14:textId="45A6022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本基金托管人中国工商银行股份有限公司根据基金合同规定，于2022年04月20日复核了本报告中的财务指标、净值表现和投资组合报告等内容，保证复核内容不存在虚假记载、误导性陈述或者重大遗漏。</w:t>
      </w:r>
    </w:p>
    <w:p w14:paraId="7D9408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本报告期为2022年01月01日起至03月31日。本报告财务资料未经审计师审计。</w:t>
      </w:r>
    </w:p>
    <w:p w14:paraId="330A9FF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B4D29" w14:paraId="14D789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9A74C5A"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228E412"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5C27C6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12B4A8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B4D29" w14:paraId="4106A5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B51155"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C66A8E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696A29D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2,595,059,742.58</w:t>
            </w:r>
          </w:p>
        </w:tc>
        <w:tc>
          <w:tcPr>
            <w:tcW w:w="400" w:type="pct"/>
            <w:tcBorders>
              <w:top w:val="single" w:sz="4" w:space="0" w:color="auto"/>
              <w:left w:val="single" w:sz="4" w:space="0" w:color="auto"/>
              <w:bottom w:val="single" w:sz="4" w:space="0" w:color="auto"/>
              <w:right w:val="single" w:sz="4" w:space="0" w:color="auto"/>
            </w:tcBorders>
            <w:vAlign w:val="center"/>
          </w:tcPr>
          <w:p w14:paraId="28D2FB7D"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91.34</w:t>
            </w:r>
          </w:p>
        </w:tc>
      </w:tr>
      <w:tr w:rsidR="00FB4D29" w14:paraId="00DDBF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0BF1D1"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048B5D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6074EDEB"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2,595,059,742.58</w:t>
            </w:r>
          </w:p>
        </w:tc>
        <w:tc>
          <w:tcPr>
            <w:tcW w:w="400" w:type="pct"/>
            <w:tcBorders>
              <w:top w:val="single" w:sz="4" w:space="0" w:color="auto"/>
              <w:left w:val="single" w:sz="4" w:space="0" w:color="auto"/>
              <w:bottom w:val="single" w:sz="4" w:space="0" w:color="auto"/>
              <w:right w:val="single" w:sz="4" w:space="0" w:color="auto"/>
            </w:tcBorders>
            <w:vAlign w:val="center"/>
          </w:tcPr>
          <w:p w14:paraId="00D83108"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91.34</w:t>
            </w:r>
          </w:p>
        </w:tc>
      </w:tr>
      <w:tr w:rsidR="00FB4D29" w14:paraId="4C9DA53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09335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A02CC9B"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1870328C"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34FEF57"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04F5781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D7E2D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3</w:t>
            </w:r>
          </w:p>
        </w:tc>
        <w:tc>
          <w:tcPr>
            <w:tcW w:w="750" w:type="pct"/>
            <w:tcBorders>
              <w:top w:val="single" w:sz="4" w:space="0" w:color="auto"/>
              <w:left w:val="single" w:sz="4" w:space="0" w:color="auto"/>
              <w:bottom w:val="single" w:sz="4" w:space="0" w:color="auto"/>
              <w:right w:val="single" w:sz="4" w:space="0" w:color="auto"/>
            </w:tcBorders>
            <w:vAlign w:val="center"/>
          </w:tcPr>
          <w:p w14:paraId="3325D38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D30CD3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91,728,317.98</w:t>
            </w:r>
          </w:p>
        </w:tc>
        <w:tc>
          <w:tcPr>
            <w:tcW w:w="400" w:type="pct"/>
            <w:tcBorders>
              <w:top w:val="single" w:sz="4" w:space="0" w:color="auto"/>
              <w:left w:val="single" w:sz="4" w:space="0" w:color="auto"/>
              <w:bottom w:val="single" w:sz="4" w:space="0" w:color="auto"/>
              <w:right w:val="single" w:sz="4" w:space="0" w:color="auto"/>
            </w:tcBorders>
            <w:vAlign w:val="center"/>
          </w:tcPr>
          <w:p w14:paraId="643CA0E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3.23</w:t>
            </w:r>
          </w:p>
        </w:tc>
      </w:tr>
      <w:tr w:rsidR="00FB4D29" w14:paraId="170F5E2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0BD5DA"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917F671"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07563C9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91,728,317.98</w:t>
            </w:r>
          </w:p>
        </w:tc>
        <w:tc>
          <w:tcPr>
            <w:tcW w:w="400" w:type="pct"/>
            <w:tcBorders>
              <w:top w:val="single" w:sz="4" w:space="0" w:color="auto"/>
              <w:left w:val="single" w:sz="4" w:space="0" w:color="auto"/>
              <w:bottom w:val="single" w:sz="4" w:space="0" w:color="auto"/>
              <w:right w:val="single" w:sz="4" w:space="0" w:color="auto"/>
            </w:tcBorders>
            <w:vAlign w:val="center"/>
          </w:tcPr>
          <w:p w14:paraId="1260650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3.23</w:t>
            </w:r>
          </w:p>
        </w:tc>
      </w:tr>
      <w:tr w:rsidR="00FB4D29" w14:paraId="07C39D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9CF8D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803C3D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437D30F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4CBC14E"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6FEA1A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89EB2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41053E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216E7E2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6E9BC5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10AA67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02185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26C57B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116DAB0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745ED39"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49B363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5E52F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1A26A02"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EC9AE4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A2F0A8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39198E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F99DD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029341E"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7C15C2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FF8712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5692F2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8654B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06B9DDB"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4B93C40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120,656,777.57</w:t>
            </w:r>
          </w:p>
        </w:tc>
        <w:tc>
          <w:tcPr>
            <w:tcW w:w="400" w:type="pct"/>
            <w:tcBorders>
              <w:top w:val="single" w:sz="4" w:space="0" w:color="auto"/>
              <w:left w:val="single" w:sz="4" w:space="0" w:color="auto"/>
              <w:bottom w:val="single" w:sz="4" w:space="0" w:color="auto"/>
              <w:right w:val="single" w:sz="4" w:space="0" w:color="auto"/>
            </w:tcBorders>
            <w:vAlign w:val="center"/>
          </w:tcPr>
          <w:p w14:paraId="7ED543B2"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4.25</w:t>
            </w:r>
          </w:p>
        </w:tc>
      </w:tr>
      <w:tr w:rsidR="00FB4D29" w14:paraId="7FCA2F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5EEC1E"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A9533D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48F252A9"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33,540,322.07</w:t>
            </w:r>
          </w:p>
        </w:tc>
        <w:tc>
          <w:tcPr>
            <w:tcW w:w="400" w:type="pct"/>
            <w:tcBorders>
              <w:top w:val="single" w:sz="4" w:space="0" w:color="auto"/>
              <w:left w:val="single" w:sz="4" w:space="0" w:color="auto"/>
              <w:bottom w:val="single" w:sz="4" w:space="0" w:color="auto"/>
              <w:right w:val="single" w:sz="4" w:space="0" w:color="auto"/>
            </w:tcBorders>
            <w:vAlign w:val="center"/>
          </w:tcPr>
          <w:p w14:paraId="135A06F9"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1.18</w:t>
            </w:r>
          </w:p>
        </w:tc>
      </w:tr>
      <w:tr w:rsidR="00FB4D29" w14:paraId="64FADD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85D407"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B23BA6D"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34B3D60B"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2,840,985,160.20</w:t>
            </w:r>
          </w:p>
        </w:tc>
        <w:tc>
          <w:tcPr>
            <w:tcW w:w="400" w:type="pct"/>
            <w:tcBorders>
              <w:top w:val="single" w:sz="4" w:space="0" w:color="auto"/>
              <w:left w:val="single" w:sz="4" w:space="0" w:color="auto"/>
              <w:bottom w:val="single" w:sz="4" w:space="0" w:color="auto"/>
              <w:right w:val="single" w:sz="4" w:space="0" w:color="auto"/>
            </w:tcBorders>
            <w:vAlign w:val="center"/>
          </w:tcPr>
          <w:p w14:paraId="722733CB"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0719AA8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7EB0A59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B4D29" w14:paraId="00F73F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9CE28F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50656B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F3A3D51"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84F3028"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B4D29" w14:paraId="5A496A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4745B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5149DF9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1A1350A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208E51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081515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86193E"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2C833A5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4161D4C7"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12CA078"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1604FB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D57E6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385FC1E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4C9DF45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1,670,365,761.45</w:t>
            </w:r>
          </w:p>
        </w:tc>
        <w:tc>
          <w:tcPr>
            <w:tcW w:w="400" w:type="pct"/>
            <w:tcBorders>
              <w:top w:val="single" w:sz="4" w:space="0" w:color="auto"/>
              <w:left w:val="single" w:sz="4" w:space="0" w:color="auto"/>
              <w:bottom w:val="single" w:sz="4" w:space="0" w:color="auto"/>
              <w:right w:val="single" w:sz="4" w:space="0" w:color="auto"/>
            </w:tcBorders>
            <w:vAlign w:val="center"/>
          </w:tcPr>
          <w:p w14:paraId="62B35D09"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59.29</w:t>
            </w:r>
          </w:p>
        </w:tc>
      </w:tr>
      <w:tr w:rsidR="00FB4D29" w14:paraId="43C10A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28F14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35BC9E1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200895EB"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46C248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25688A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CE2547"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0279118D"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79A3124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50,165,392.97</w:t>
            </w:r>
          </w:p>
        </w:tc>
        <w:tc>
          <w:tcPr>
            <w:tcW w:w="400" w:type="pct"/>
            <w:tcBorders>
              <w:top w:val="single" w:sz="4" w:space="0" w:color="auto"/>
              <w:left w:val="single" w:sz="4" w:space="0" w:color="auto"/>
              <w:bottom w:val="single" w:sz="4" w:space="0" w:color="auto"/>
              <w:right w:val="single" w:sz="4" w:space="0" w:color="auto"/>
            </w:tcBorders>
            <w:vAlign w:val="center"/>
          </w:tcPr>
          <w:p w14:paraId="0000452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1.78</w:t>
            </w:r>
          </w:p>
        </w:tc>
      </w:tr>
      <w:tr w:rsidR="00FB4D29" w14:paraId="2459B7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8CD135"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5342AD9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400AD47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62,243.28</w:t>
            </w:r>
          </w:p>
        </w:tc>
        <w:tc>
          <w:tcPr>
            <w:tcW w:w="400" w:type="pct"/>
            <w:tcBorders>
              <w:top w:val="single" w:sz="4" w:space="0" w:color="auto"/>
              <w:left w:val="single" w:sz="4" w:space="0" w:color="auto"/>
              <w:bottom w:val="single" w:sz="4" w:space="0" w:color="auto"/>
              <w:right w:val="single" w:sz="4" w:space="0" w:color="auto"/>
            </w:tcBorders>
            <w:vAlign w:val="center"/>
          </w:tcPr>
          <w:p w14:paraId="7A86E70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FB4D29" w14:paraId="2BDF1F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E87AA2"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11B56C5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78096CF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16,541.00</w:t>
            </w:r>
          </w:p>
        </w:tc>
        <w:tc>
          <w:tcPr>
            <w:tcW w:w="400" w:type="pct"/>
            <w:tcBorders>
              <w:top w:val="single" w:sz="4" w:space="0" w:color="auto"/>
              <w:left w:val="single" w:sz="4" w:space="0" w:color="auto"/>
              <w:bottom w:val="single" w:sz="4" w:space="0" w:color="auto"/>
              <w:right w:val="single" w:sz="4" w:space="0" w:color="auto"/>
            </w:tcBorders>
            <w:vAlign w:val="center"/>
          </w:tcPr>
          <w:p w14:paraId="1CA61E25"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FB4D29" w14:paraId="619DF0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D4A5D7"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5DEAE7D2"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17CC3E68"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82CA77"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2D8B54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3088B2"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77F8CAE9"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1E8D39F8"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23,016.42</w:t>
            </w:r>
          </w:p>
        </w:tc>
        <w:tc>
          <w:tcPr>
            <w:tcW w:w="400" w:type="pct"/>
            <w:tcBorders>
              <w:top w:val="single" w:sz="4" w:space="0" w:color="auto"/>
              <w:left w:val="single" w:sz="4" w:space="0" w:color="auto"/>
              <w:bottom w:val="single" w:sz="4" w:space="0" w:color="auto"/>
              <w:right w:val="single" w:sz="4" w:space="0" w:color="auto"/>
            </w:tcBorders>
            <w:vAlign w:val="center"/>
          </w:tcPr>
          <w:p w14:paraId="2AF5AA19"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FB4D29" w14:paraId="5A32A9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264D2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396B881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6D51DFC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901EECA"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1999CD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8A5B4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2ADDDEA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1CB2CD2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357,827,954.84</w:t>
            </w:r>
          </w:p>
        </w:tc>
        <w:tc>
          <w:tcPr>
            <w:tcW w:w="400" w:type="pct"/>
            <w:tcBorders>
              <w:top w:val="single" w:sz="4" w:space="0" w:color="auto"/>
              <w:left w:val="single" w:sz="4" w:space="0" w:color="auto"/>
              <w:bottom w:val="single" w:sz="4" w:space="0" w:color="auto"/>
              <w:right w:val="single" w:sz="4" w:space="0" w:color="auto"/>
            </w:tcBorders>
            <w:vAlign w:val="center"/>
          </w:tcPr>
          <w:p w14:paraId="12747ADB"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12.70</w:t>
            </w:r>
          </w:p>
        </w:tc>
      </w:tr>
      <w:tr w:rsidR="00FB4D29" w14:paraId="48AF305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6B567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7CE215E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08705CD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199,467.84</w:t>
            </w:r>
          </w:p>
        </w:tc>
        <w:tc>
          <w:tcPr>
            <w:tcW w:w="400" w:type="pct"/>
            <w:tcBorders>
              <w:top w:val="single" w:sz="4" w:space="0" w:color="auto"/>
              <w:left w:val="single" w:sz="4" w:space="0" w:color="auto"/>
              <w:bottom w:val="single" w:sz="4" w:space="0" w:color="auto"/>
              <w:right w:val="single" w:sz="4" w:space="0" w:color="auto"/>
            </w:tcBorders>
            <w:vAlign w:val="center"/>
          </w:tcPr>
          <w:p w14:paraId="59A5CCD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FB4D29" w14:paraId="668587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DD445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5A9421F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7FE8B2F5"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184,003,768.16</w:t>
            </w:r>
          </w:p>
        </w:tc>
        <w:tc>
          <w:tcPr>
            <w:tcW w:w="400" w:type="pct"/>
            <w:tcBorders>
              <w:top w:val="single" w:sz="4" w:space="0" w:color="auto"/>
              <w:left w:val="single" w:sz="4" w:space="0" w:color="auto"/>
              <w:bottom w:val="single" w:sz="4" w:space="0" w:color="auto"/>
              <w:right w:val="single" w:sz="4" w:space="0" w:color="auto"/>
            </w:tcBorders>
            <w:vAlign w:val="center"/>
          </w:tcPr>
          <w:p w14:paraId="1D266F38"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6.53</w:t>
            </w:r>
          </w:p>
        </w:tc>
      </w:tr>
      <w:tr w:rsidR="00FB4D29" w14:paraId="690B79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BB19C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43D8F35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74FBF05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10,171,059.00</w:t>
            </w:r>
          </w:p>
        </w:tc>
        <w:tc>
          <w:tcPr>
            <w:tcW w:w="400" w:type="pct"/>
            <w:tcBorders>
              <w:top w:val="single" w:sz="4" w:space="0" w:color="auto"/>
              <w:left w:val="single" w:sz="4" w:space="0" w:color="auto"/>
              <w:bottom w:val="single" w:sz="4" w:space="0" w:color="auto"/>
              <w:right w:val="single" w:sz="4" w:space="0" w:color="auto"/>
            </w:tcBorders>
            <w:vAlign w:val="center"/>
          </w:tcPr>
          <w:p w14:paraId="00416D5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0.36</w:t>
            </w:r>
          </w:p>
        </w:tc>
      </w:tr>
      <w:tr w:rsidR="00FB4D29" w14:paraId="322D2B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35328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2BE14D1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7D56A37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FCB37EB"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73F06F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DA901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20D64C19"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5832261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6EBED04"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4EDC3A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FE9C0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67B5E475"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480A43C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322,224,537.62</w:t>
            </w:r>
          </w:p>
        </w:tc>
        <w:tc>
          <w:tcPr>
            <w:tcW w:w="400" w:type="pct"/>
            <w:tcBorders>
              <w:top w:val="single" w:sz="4" w:space="0" w:color="auto"/>
              <w:left w:val="single" w:sz="4" w:space="0" w:color="auto"/>
              <w:bottom w:val="single" w:sz="4" w:space="0" w:color="auto"/>
              <w:right w:val="single" w:sz="4" w:space="0" w:color="auto"/>
            </w:tcBorders>
            <w:vAlign w:val="center"/>
          </w:tcPr>
          <w:p w14:paraId="4CD6287E"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11.44</w:t>
            </w:r>
          </w:p>
        </w:tc>
      </w:tr>
      <w:tr w:rsidR="00FB4D29" w14:paraId="060E87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B91F9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65FEAB9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7609ACE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C39F23A"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5DCED4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7C3FC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S</w:t>
            </w:r>
          </w:p>
        </w:tc>
        <w:tc>
          <w:tcPr>
            <w:tcW w:w="750" w:type="pct"/>
            <w:tcBorders>
              <w:top w:val="single" w:sz="4" w:space="0" w:color="auto"/>
              <w:left w:val="single" w:sz="4" w:space="0" w:color="auto"/>
              <w:bottom w:val="single" w:sz="4" w:space="0" w:color="auto"/>
              <w:right w:val="single" w:sz="4" w:space="0" w:color="auto"/>
            </w:tcBorders>
            <w:vAlign w:val="center"/>
          </w:tcPr>
          <w:p w14:paraId="17A8792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353BE94A"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67190DA"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5B6938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B2CD3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078530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3164AC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2,595,059,742.58</w:t>
            </w:r>
          </w:p>
        </w:tc>
        <w:tc>
          <w:tcPr>
            <w:tcW w:w="400" w:type="pct"/>
            <w:tcBorders>
              <w:top w:val="single" w:sz="4" w:space="0" w:color="auto"/>
              <w:left w:val="single" w:sz="4" w:space="0" w:color="auto"/>
              <w:bottom w:val="single" w:sz="4" w:space="0" w:color="auto"/>
              <w:right w:val="single" w:sz="4" w:space="0" w:color="auto"/>
            </w:tcBorders>
            <w:vAlign w:val="center"/>
          </w:tcPr>
          <w:p w14:paraId="293E705C"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92.11</w:t>
            </w:r>
          </w:p>
        </w:tc>
      </w:tr>
    </w:tbl>
    <w:p w14:paraId="6EB3E0B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05C12B2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EA1E42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03BB0D6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FB4D29" w14:paraId="3ACD15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9FE02B5"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0BAAED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4D3880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216B81A"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CA1C0F1"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473D55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B4D29" w14:paraId="278DF6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B8B28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0A5AB8E"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sz="4" w:space="0" w:color="auto"/>
              <w:left w:val="single" w:sz="4" w:space="0" w:color="auto"/>
              <w:bottom w:val="single" w:sz="4" w:space="0" w:color="auto"/>
              <w:right w:val="single" w:sz="4" w:space="0" w:color="auto"/>
            </w:tcBorders>
            <w:vAlign w:val="center"/>
          </w:tcPr>
          <w:p w14:paraId="3EB3172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保利发展</w:t>
            </w:r>
          </w:p>
        </w:tc>
        <w:tc>
          <w:tcPr>
            <w:tcW w:w="750" w:type="pct"/>
            <w:tcBorders>
              <w:top w:val="single" w:sz="4" w:space="0" w:color="auto"/>
              <w:left w:val="single" w:sz="4" w:space="0" w:color="auto"/>
              <w:bottom w:val="single" w:sz="4" w:space="0" w:color="auto"/>
              <w:right w:val="single" w:sz="4" w:space="0" w:color="auto"/>
            </w:tcBorders>
            <w:vAlign w:val="center"/>
          </w:tcPr>
          <w:p w14:paraId="778B8E8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12,326,778</w:t>
            </w:r>
          </w:p>
        </w:tc>
        <w:tc>
          <w:tcPr>
            <w:tcW w:w="750" w:type="pct"/>
            <w:tcBorders>
              <w:top w:val="single" w:sz="4" w:space="0" w:color="auto"/>
              <w:left w:val="single" w:sz="4" w:space="0" w:color="auto"/>
              <w:bottom w:val="single" w:sz="4" w:space="0" w:color="auto"/>
              <w:right w:val="single" w:sz="4" w:space="0" w:color="auto"/>
            </w:tcBorders>
            <w:vAlign w:val="center"/>
          </w:tcPr>
          <w:p w14:paraId="3FE7B1B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218,183,970.60</w:t>
            </w:r>
          </w:p>
        </w:tc>
        <w:tc>
          <w:tcPr>
            <w:tcW w:w="750" w:type="pct"/>
            <w:tcBorders>
              <w:top w:val="single" w:sz="4" w:space="0" w:color="auto"/>
              <w:left w:val="single" w:sz="4" w:space="0" w:color="auto"/>
              <w:bottom w:val="single" w:sz="4" w:space="0" w:color="auto"/>
              <w:right w:val="single" w:sz="4" w:space="0" w:color="auto"/>
            </w:tcBorders>
            <w:vAlign w:val="center"/>
          </w:tcPr>
          <w:p w14:paraId="36990628"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7.74</w:t>
            </w:r>
          </w:p>
        </w:tc>
      </w:tr>
      <w:tr w:rsidR="00FB4D29" w14:paraId="0F5143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27784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13CEE3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300896</w:t>
            </w:r>
          </w:p>
        </w:tc>
        <w:tc>
          <w:tcPr>
            <w:tcW w:w="750" w:type="pct"/>
            <w:tcBorders>
              <w:top w:val="single" w:sz="4" w:space="0" w:color="auto"/>
              <w:left w:val="single" w:sz="4" w:space="0" w:color="auto"/>
              <w:bottom w:val="single" w:sz="4" w:space="0" w:color="auto"/>
              <w:right w:val="single" w:sz="4" w:space="0" w:color="auto"/>
            </w:tcBorders>
            <w:vAlign w:val="center"/>
          </w:tcPr>
          <w:p w14:paraId="798A977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爱美客</w:t>
            </w:r>
          </w:p>
        </w:tc>
        <w:tc>
          <w:tcPr>
            <w:tcW w:w="750" w:type="pct"/>
            <w:tcBorders>
              <w:top w:val="single" w:sz="4" w:space="0" w:color="auto"/>
              <w:left w:val="single" w:sz="4" w:space="0" w:color="auto"/>
              <w:bottom w:val="single" w:sz="4" w:space="0" w:color="auto"/>
              <w:right w:val="single" w:sz="4" w:space="0" w:color="auto"/>
            </w:tcBorders>
            <w:vAlign w:val="center"/>
          </w:tcPr>
          <w:p w14:paraId="54E12C2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426,506</w:t>
            </w:r>
          </w:p>
        </w:tc>
        <w:tc>
          <w:tcPr>
            <w:tcW w:w="750" w:type="pct"/>
            <w:tcBorders>
              <w:top w:val="single" w:sz="4" w:space="0" w:color="auto"/>
              <w:left w:val="single" w:sz="4" w:space="0" w:color="auto"/>
              <w:bottom w:val="single" w:sz="4" w:space="0" w:color="auto"/>
              <w:right w:val="single" w:sz="4" w:space="0" w:color="auto"/>
            </w:tcBorders>
            <w:vAlign w:val="center"/>
          </w:tcPr>
          <w:p w14:paraId="5D68E868"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202,590,350.00</w:t>
            </w:r>
          </w:p>
        </w:tc>
        <w:tc>
          <w:tcPr>
            <w:tcW w:w="750" w:type="pct"/>
            <w:tcBorders>
              <w:top w:val="single" w:sz="4" w:space="0" w:color="auto"/>
              <w:left w:val="single" w:sz="4" w:space="0" w:color="auto"/>
              <w:bottom w:val="single" w:sz="4" w:space="0" w:color="auto"/>
              <w:right w:val="single" w:sz="4" w:space="0" w:color="auto"/>
            </w:tcBorders>
            <w:vAlign w:val="center"/>
          </w:tcPr>
          <w:p w14:paraId="1CA8B5C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7.19</w:t>
            </w:r>
          </w:p>
        </w:tc>
      </w:tr>
      <w:tr w:rsidR="00FB4D29" w14:paraId="738F60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9DC47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E8634A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14:paraId="6D9E2847"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14:paraId="677C2E8A"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390,306</w:t>
            </w:r>
          </w:p>
        </w:tc>
        <w:tc>
          <w:tcPr>
            <w:tcW w:w="750" w:type="pct"/>
            <w:tcBorders>
              <w:top w:val="single" w:sz="4" w:space="0" w:color="auto"/>
              <w:left w:val="single" w:sz="4" w:space="0" w:color="auto"/>
              <w:bottom w:val="single" w:sz="4" w:space="0" w:color="auto"/>
              <w:right w:val="single" w:sz="4" w:space="0" w:color="auto"/>
            </w:tcBorders>
            <w:vAlign w:val="center"/>
          </w:tcPr>
          <w:p w14:paraId="221262FD"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199,953,763.80</w:t>
            </w:r>
          </w:p>
        </w:tc>
        <w:tc>
          <w:tcPr>
            <w:tcW w:w="750" w:type="pct"/>
            <w:tcBorders>
              <w:top w:val="single" w:sz="4" w:space="0" w:color="auto"/>
              <w:left w:val="single" w:sz="4" w:space="0" w:color="auto"/>
              <w:bottom w:val="single" w:sz="4" w:space="0" w:color="auto"/>
              <w:right w:val="single" w:sz="4" w:space="0" w:color="auto"/>
            </w:tcBorders>
            <w:vAlign w:val="center"/>
          </w:tcPr>
          <w:p w14:paraId="366C4B3E"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7.10</w:t>
            </w:r>
          </w:p>
        </w:tc>
      </w:tr>
      <w:tr w:rsidR="00FB4D29" w14:paraId="7E3687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70BDA1"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627AE6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14:paraId="5B5B0C0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sz="4" w:space="0" w:color="auto"/>
              <w:left w:val="single" w:sz="4" w:space="0" w:color="auto"/>
              <w:bottom w:val="single" w:sz="4" w:space="0" w:color="auto"/>
              <w:right w:val="single" w:sz="4" w:space="0" w:color="auto"/>
            </w:tcBorders>
            <w:vAlign w:val="center"/>
          </w:tcPr>
          <w:p w14:paraId="4EEA05A5"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1,636,923</w:t>
            </w:r>
          </w:p>
        </w:tc>
        <w:tc>
          <w:tcPr>
            <w:tcW w:w="750" w:type="pct"/>
            <w:tcBorders>
              <w:top w:val="single" w:sz="4" w:space="0" w:color="auto"/>
              <w:left w:val="single" w:sz="4" w:space="0" w:color="auto"/>
              <w:bottom w:val="single" w:sz="4" w:space="0" w:color="auto"/>
              <w:right w:val="single" w:sz="4" w:space="0" w:color="auto"/>
            </w:tcBorders>
            <w:vAlign w:val="center"/>
          </w:tcPr>
          <w:p w14:paraId="02E76A4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183,957,406.74</w:t>
            </w:r>
          </w:p>
        </w:tc>
        <w:tc>
          <w:tcPr>
            <w:tcW w:w="750" w:type="pct"/>
            <w:tcBorders>
              <w:top w:val="single" w:sz="4" w:space="0" w:color="auto"/>
              <w:left w:val="single" w:sz="4" w:space="0" w:color="auto"/>
              <w:bottom w:val="single" w:sz="4" w:space="0" w:color="auto"/>
              <w:right w:val="single" w:sz="4" w:space="0" w:color="auto"/>
            </w:tcBorders>
            <w:vAlign w:val="center"/>
          </w:tcPr>
          <w:p w14:paraId="02E3F4E4"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6.53</w:t>
            </w:r>
          </w:p>
        </w:tc>
      </w:tr>
      <w:tr w:rsidR="00FB4D29" w14:paraId="2EA115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09694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D19C25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300015</w:t>
            </w:r>
          </w:p>
        </w:tc>
        <w:tc>
          <w:tcPr>
            <w:tcW w:w="750" w:type="pct"/>
            <w:tcBorders>
              <w:top w:val="single" w:sz="4" w:space="0" w:color="auto"/>
              <w:left w:val="single" w:sz="4" w:space="0" w:color="auto"/>
              <w:bottom w:val="single" w:sz="4" w:space="0" w:color="auto"/>
              <w:right w:val="single" w:sz="4" w:space="0" w:color="auto"/>
            </w:tcBorders>
            <w:vAlign w:val="center"/>
          </w:tcPr>
          <w:p w14:paraId="204201EA"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爱尔眼科</w:t>
            </w:r>
          </w:p>
        </w:tc>
        <w:tc>
          <w:tcPr>
            <w:tcW w:w="750" w:type="pct"/>
            <w:tcBorders>
              <w:top w:val="single" w:sz="4" w:space="0" w:color="auto"/>
              <w:left w:val="single" w:sz="4" w:space="0" w:color="auto"/>
              <w:bottom w:val="single" w:sz="4" w:space="0" w:color="auto"/>
              <w:right w:val="single" w:sz="4" w:space="0" w:color="auto"/>
            </w:tcBorders>
            <w:vAlign w:val="center"/>
          </w:tcPr>
          <w:p w14:paraId="1F503438"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5,326,824</w:t>
            </w:r>
          </w:p>
        </w:tc>
        <w:tc>
          <w:tcPr>
            <w:tcW w:w="750" w:type="pct"/>
            <w:tcBorders>
              <w:top w:val="single" w:sz="4" w:space="0" w:color="auto"/>
              <w:left w:val="single" w:sz="4" w:space="0" w:color="auto"/>
              <w:bottom w:val="single" w:sz="4" w:space="0" w:color="auto"/>
              <w:right w:val="single" w:sz="4" w:space="0" w:color="auto"/>
            </w:tcBorders>
            <w:vAlign w:val="center"/>
          </w:tcPr>
          <w:p w14:paraId="62F0036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168,061,297.20</w:t>
            </w:r>
          </w:p>
        </w:tc>
        <w:tc>
          <w:tcPr>
            <w:tcW w:w="750" w:type="pct"/>
            <w:tcBorders>
              <w:top w:val="single" w:sz="4" w:space="0" w:color="auto"/>
              <w:left w:val="single" w:sz="4" w:space="0" w:color="auto"/>
              <w:bottom w:val="single" w:sz="4" w:space="0" w:color="auto"/>
              <w:right w:val="single" w:sz="4" w:space="0" w:color="auto"/>
            </w:tcBorders>
            <w:vAlign w:val="center"/>
          </w:tcPr>
          <w:p w14:paraId="2CBECBE7"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5.96</w:t>
            </w:r>
          </w:p>
        </w:tc>
      </w:tr>
      <w:tr w:rsidR="00FB4D29" w14:paraId="120EA6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CADB2E"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5475B6A"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002812</w:t>
            </w:r>
          </w:p>
        </w:tc>
        <w:tc>
          <w:tcPr>
            <w:tcW w:w="750" w:type="pct"/>
            <w:tcBorders>
              <w:top w:val="single" w:sz="4" w:space="0" w:color="auto"/>
              <w:left w:val="single" w:sz="4" w:space="0" w:color="auto"/>
              <w:bottom w:val="single" w:sz="4" w:space="0" w:color="auto"/>
              <w:right w:val="single" w:sz="4" w:space="0" w:color="auto"/>
            </w:tcBorders>
            <w:vAlign w:val="center"/>
          </w:tcPr>
          <w:p w14:paraId="3D8AB3F8"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恩捷股份</w:t>
            </w:r>
          </w:p>
        </w:tc>
        <w:tc>
          <w:tcPr>
            <w:tcW w:w="750" w:type="pct"/>
            <w:tcBorders>
              <w:top w:val="single" w:sz="4" w:space="0" w:color="auto"/>
              <w:left w:val="single" w:sz="4" w:space="0" w:color="auto"/>
              <w:bottom w:val="single" w:sz="4" w:space="0" w:color="auto"/>
              <w:right w:val="single" w:sz="4" w:space="0" w:color="auto"/>
            </w:tcBorders>
            <w:vAlign w:val="center"/>
          </w:tcPr>
          <w:p w14:paraId="0D270F5B"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669,513</w:t>
            </w:r>
          </w:p>
        </w:tc>
        <w:tc>
          <w:tcPr>
            <w:tcW w:w="750" w:type="pct"/>
            <w:tcBorders>
              <w:top w:val="single" w:sz="4" w:space="0" w:color="auto"/>
              <w:left w:val="single" w:sz="4" w:space="0" w:color="auto"/>
              <w:bottom w:val="single" w:sz="4" w:space="0" w:color="auto"/>
              <w:right w:val="single" w:sz="4" w:space="0" w:color="auto"/>
            </w:tcBorders>
            <w:vAlign w:val="center"/>
          </w:tcPr>
          <w:p w14:paraId="2E84DCDE"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147,292,860.00</w:t>
            </w:r>
          </w:p>
        </w:tc>
        <w:tc>
          <w:tcPr>
            <w:tcW w:w="750" w:type="pct"/>
            <w:tcBorders>
              <w:top w:val="single" w:sz="4" w:space="0" w:color="auto"/>
              <w:left w:val="single" w:sz="4" w:space="0" w:color="auto"/>
              <w:bottom w:val="single" w:sz="4" w:space="0" w:color="auto"/>
              <w:right w:val="single" w:sz="4" w:space="0" w:color="auto"/>
            </w:tcBorders>
            <w:vAlign w:val="center"/>
          </w:tcPr>
          <w:p w14:paraId="3A19FD1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5.23</w:t>
            </w:r>
          </w:p>
        </w:tc>
      </w:tr>
      <w:tr w:rsidR="00FB4D29" w14:paraId="30C527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0C0797"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038C03C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001979</w:t>
            </w:r>
          </w:p>
        </w:tc>
        <w:tc>
          <w:tcPr>
            <w:tcW w:w="750" w:type="pct"/>
            <w:tcBorders>
              <w:top w:val="single" w:sz="4" w:space="0" w:color="auto"/>
              <w:left w:val="single" w:sz="4" w:space="0" w:color="auto"/>
              <w:bottom w:val="single" w:sz="4" w:space="0" w:color="auto"/>
              <w:right w:val="single" w:sz="4" w:space="0" w:color="auto"/>
            </w:tcBorders>
            <w:vAlign w:val="center"/>
          </w:tcPr>
          <w:p w14:paraId="2D7892B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招商蛇口</w:t>
            </w:r>
          </w:p>
        </w:tc>
        <w:tc>
          <w:tcPr>
            <w:tcW w:w="750" w:type="pct"/>
            <w:tcBorders>
              <w:top w:val="single" w:sz="4" w:space="0" w:color="auto"/>
              <w:left w:val="single" w:sz="4" w:space="0" w:color="auto"/>
              <w:bottom w:val="single" w:sz="4" w:space="0" w:color="auto"/>
              <w:right w:val="single" w:sz="4" w:space="0" w:color="auto"/>
            </w:tcBorders>
            <w:vAlign w:val="center"/>
          </w:tcPr>
          <w:p w14:paraId="05A0AE7A"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8,391,714</w:t>
            </w:r>
          </w:p>
        </w:tc>
        <w:tc>
          <w:tcPr>
            <w:tcW w:w="750" w:type="pct"/>
            <w:tcBorders>
              <w:top w:val="single" w:sz="4" w:space="0" w:color="auto"/>
              <w:left w:val="single" w:sz="4" w:space="0" w:color="auto"/>
              <w:bottom w:val="single" w:sz="4" w:space="0" w:color="auto"/>
              <w:right w:val="single" w:sz="4" w:space="0" w:color="auto"/>
            </w:tcBorders>
            <w:vAlign w:val="center"/>
          </w:tcPr>
          <w:p w14:paraId="005242C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127,218,384.24</w:t>
            </w:r>
          </w:p>
        </w:tc>
        <w:tc>
          <w:tcPr>
            <w:tcW w:w="750" w:type="pct"/>
            <w:tcBorders>
              <w:top w:val="single" w:sz="4" w:space="0" w:color="auto"/>
              <w:left w:val="single" w:sz="4" w:space="0" w:color="auto"/>
              <w:bottom w:val="single" w:sz="4" w:space="0" w:color="auto"/>
              <w:right w:val="single" w:sz="4" w:space="0" w:color="auto"/>
            </w:tcBorders>
            <w:vAlign w:val="center"/>
          </w:tcPr>
          <w:p w14:paraId="6ED9B36C"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4.52</w:t>
            </w:r>
          </w:p>
        </w:tc>
      </w:tr>
      <w:tr w:rsidR="00FB4D29" w14:paraId="280C32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7EC10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7BEEA2E"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000661</w:t>
            </w:r>
          </w:p>
        </w:tc>
        <w:tc>
          <w:tcPr>
            <w:tcW w:w="750" w:type="pct"/>
            <w:tcBorders>
              <w:top w:val="single" w:sz="4" w:space="0" w:color="auto"/>
              <w:left w:val="single" w:sz="4" w:space="0" w:color="auto"/>
              <w:bottom w:val="single" w:sz="4" w:space="0" w:color="auto"/>
              <w:right w:val="single" w:sz="4" w:space="0" w:color="auto"/>
            </w:tcBorders>
            <w:vAlign w:val="center"/>
          </w:tcPr>
          <w:p w14:paraId="122A9DA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长春高新</w:t>
            </w:r>
          </w:p>
        </w:tc>
        <w:tc>
          <w:tcPr>
            <w:tcW w:w="750" w:type="pct"/>
            <w:tcBorders>
              <w:top w:val="single" w:sz="4" w:space="0" w:color="auto"/>
              <w:left w:val="single" w:sz="4" w:space="0" w:color="auto"/>
              <w:bottom w:val="single" w:sz="4" w:space="0" w:color="auto"/>
              <w:right w:val="single" w:sz="4" w:space="0" w:color="auto"/>
            </w:tcBorders>
            <w:vAlign w:val="center"/>
          </w:tcPr>
          <w:p w14:paraId="07EE2F2A"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731,669</w:t>
            </w:r>
          </w:p>
        </w:tc>
        <w:tc>
          <w:tcPr>
            <w:tcW w:w="750" w:type="pct"/>
            <w:tcBorders>
              <w:top w:val="single" w:sz="4" w:space="0" w:color="auto"/>
              <w:left w:val="single" w:sz="4" w:space="0" w:color="auto"/>
              <w:bottom w:val="single" w:sz="4" w:space="0" w:color="auto"/>
              <w:right w:val="single" w:sz="4" w:space="0" w:color="auto"/>
            </w:tcBorders>
            <w:vAlign w:val="center"/>
          </w:tcPr>
          <w:p w14:paraId="57941388"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122,810,641.65</w:t>
            </w:r>
          </w:p>
        </w:tc>
        <w:tc>
          <w:tcPr>
            <w:tcW w:w="750" w:type="pct"/>
            <w:tcBorders>
              <w:top w:val="single" w:sz="4" w:space="0" w:color="auto"/>
              <w:left w:val="single" w:sz="4" w:space="0" w:color="auto"/>
              <w:bottom w:val="single" w:sz="4" w:space="0" w:color="auto"/>
              <w:right w:val="single" w:sz="4" w:space="0" w:color="auto"/>
            </w:tcBorders>
            <w:vAlign w:val="center"/>
          </w:tcPr>
          <w:p w14:paraId="66BE27DD"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4.36</w:t>
            </w:r>
          </w:p>
        </w:tc>
      </w:tr>
      <w:tr w:rsidR="00FB4D29" w14:paraId="2B42A0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07F92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07ED9E0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688357</w:t>
            </w:r>
          </w:p>
        </w:tc>
        <w:tc>
          <w:tcPr>
            <w:tcW w:w="750" w:type="pct"/>
            <w:tcBorders>
              <w:top w:val="single" w:sz="4" w:space="0" w:color="auto"/>
              <w:left w:val="single" w:sz="4" w:space="0" w:color="auto"/>
              <w:bottom w:val="single" w:sz="4" w:space="0" w:color="auto"/>
              <w:right w:val="single" w:sz="4" w:space="0" w:color="auto"/>
            </w:tcBorders>
            <w:vAlign w:val="center"/>
          </w:tcPr>
          <w:p w14:paraId="41D4B5E2"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建龙微纳</w:t>
            </w:r>
          </w:p>
        </w:tc>
        <w:tc>
          <w:tcPr>
            <w:tcW w:w="750" w:type="pct"/>
            <w:tcBorders>
              <w:top w:val="single" w:sz="4" w:space="0" w:color="auto"/>
              <w:left w:val="single" w:sz="4" w:space="0" w:color="auto"/>
              <w:bottom w:val="single" w:sz="4" w:space="0" w:color="auto"/>
              <w:right w:val="single" w:sz="4" w:space="0" w:color="auto"/>
            </w:tcBorders>
            <w:vAlign w:val="center"/>
          </w:tcPr>
          <w:p w14:paraId="1852672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815,649</w:t>
            </w:r>
          </w:p>
        </w:tc>
        <w:tc>
          <w:tcPr>
            <w:tcW w:w="750" w:type="pct"/>
            <w:tcBorders>
              <w:top w:val="single" w:sz="4" w:space="0" w:color="auto"/>
              <w:left w:val="single" w:sz="4" w:space="0" w:color="auto"/>
              <w:bottom w:val="single" w:sz="4" w:space="0" w:color="auto"/>
              <w:right w:val="single" w:sz="4" w:space="0" w:color="auto"/>
            </w:tcBorders>
            <w:vAlign w:val="center"/>
          </w:tcPr>
          <w:p w14:paraId="2C4D45E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100,406,391.90</w:t>
            </w:r>
          </w:p>
        </w:tc>
        <w:tc>
          <w:tcPr>
            <w:tcW w:w="750" w:type="pct"/>
            <w:tcBorders>
              <w:top w:val="single" w:sz="4" w:space="0" w:color="auto"/>
              <w:left w:val="single" w:sz="4" w:space="0" w:color="auto"/>
              <w:bottom w:val="single" w:sz="4" w:space="0" w:color="auto"/>
              <w:right w:val="single" w:sz="4" w:space="0" w:color="auto"/>
            </w:tcBorders>
            <w:vAlign w:val="center"/>
          </w:tcPr>
          <w:p w14:paraId="2B7E670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3.56</w:t>
            </w:r>
          </w:p>
        </w:tc>
      </w:tr>
      <w:tr w:rsidR="00FB4D29" w14:paraId="5918AC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0AA00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0A8F74A"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002050</w:t>
            </w:r>
          </w:p>
        </w:tc>
        <w:tc>
          <w:tcPr>
            <w:tcW w:w="750" w:type="pct"/>
            <w:tcBorders>
              <w:top w:val="single" w:sz="4" w:space="0" w:color="auto"/>
              <w:left w:val="single" w:sz="4" w:space="0" w:color="auto"/>
              <w:bottom w:val="single" w:sz="4" w:space="0" w:color="auto"/>
              <w:right w:val="single" w:sz="4" w:space="0" w:color="auto"/>
            </w:tcBorders>
            <w:vAlign w:val="center"/>
          </w:tcPr>
          <w:p w14:paraId="7D23C32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三花智控</w:t>
            </w:r>
          </w:p>
        </w:tc>
        <w:tc>
          <w:tcPr>
            <w:tcW w:w="750" w:type="pct"/>
            <w:tcBorders>
              <w:top w:val="single" w:sz="4" w:space="0" w:color="auto"/>
              <w:left w:val="single" w:sz="4" w:space="0" w:color="auto"/>
              <w:bottom w:val="single" w:sz="4" w:space="0" w:color="auto"/>
              <w:right w:val="single" w:sz="4" w:space="0" w:color="auto"/>
            </w:tcBorders>
            <w:vAlign w:val="center"/>
          </w:tcPr>
          <w:p w14:paraId="6003616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5,815,147</w:t>
            </w:r>
          </w:p>
        </w:tc>
        <w:tc>
          <w:tcPr>
            <w:tcW w:w="750" w:type="pct"/>
            <w:tcBorders>
              <w:top w:val="single" w:sz="4" w:space="0" w:color="auto"/>
              <w:left w:val="single" w:sz="4" w:space="0" w:color="auto"/>
              <w:bottom w:val="single" w:sz="4" w:space="0" w:color="auto"/>
              <w:right w:val="single" w:sz="4" w:space="0" w:color="auto"/>
            </w:tcBorders>
            <w:vAlign w:val="center"/>
          </w:tcPr>
          <w:p w14:paraId="7CBC6DFA"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96,647,743.14</w:t>
            </w:r>
          </w:p>
        </w:tc>
        <w:tc>
          <w:tcPr>
            <w:tcW w:w="750" w:type="pct"/>
            <w:tcBorders>
              <w:top w:val="single" w:sz="4" w:space="0" w:color="auto"/>
              <w:left w:val="single" w:sz="4" w:space="0" w:color="auto"/>
              <w:bottom w:val="single" w:sz="4" w:space="0" w:color="auto"/>
              <w:right w:val="single" w:sz="4" w:space="0" w:color="auto"/>
            </w:tcBorders>
            <w:vAlign w:val="center"/>
          </w:tcPr>
          <w:p w14:paraId="63D40D8C"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3.43</w:t>
            </w:r>
          </w:p>
        </w:tc>
      </w:tr>
    </w:tbl>
    <w:p w14:paraId="2295A8F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B4D29" w14:paraId="3D6B8D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27EB8CE"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284AAD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69A416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6CB398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B4D29" w14:paraId="034BC0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29A2B7"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254278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217CAF0C"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542CE9"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4466CF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2146DA"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3A7D05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07F0A4D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5EF9D0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77469A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41E47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5E7BC5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56315E8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90,945,290.40</w:t>
            </w:r>
          </w:p>
        </w:tc>
        <w:tc>
          <w:tcPr>
            <w:tcW w:w="400" w:type="pct"/>
            <w:tcBorders>
              <w:top w:val="single" w:sz="4" w:space="0" w:color="auto"/>
              <w:left w:val="single" w:sz="4" w:space="0" w:color="auto"/>
              <w:bottom w:val="single" w:sz="4" w:space="0" w:color="auto"/>
              <w:right w:val="single" w:sz="4" w:space="0" w:color="auto"/>
            </w:tcBorders>
            <w:vAlign w:val="center"/>
          </w:tcPr>
          <w:p w14:paraId="3F0328F2"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3.23</w:t>
            </w:r>
          </w:p>
        </w:tc>
      </w:tr>
      <w:tr w:rsidR="00FB4D29" w14:paraId="357283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A5620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5AF8CC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1AB87208"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90,945,290.40</w:t>
            </w:r>
          </w:p>
        </w:tc>
        <w:tc>
          <w:tcPr>
            <w:tcW w:w="400" w:type="pct"/>
            <w:tcBorders>
              <w:top w:val="single" w:sz="4" w:space="0" w:color="auto"/>
              <w:left w:val="single" w:sz="4" w:space="0" w:color="auto"/>
              <w:bottom w:val="single" w:sz="4" w:space="0" w:color="auto"/>
              <w:right w:val="single" w:sz="4" w:space="0" w:color="auto"/>
            </w:tcBorders>
            <w:vAlign w:val="center"/>
          </w:tcPr>
          <w:p w14:paraId="30FB582D"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3.23</w:t>
            </w:r>
          </w:p>
        </w:tc>
      </w:tr>
      <w:tr w:rsidR="00FB4D29" w14:paraId="010591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38087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1A8F29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596FDB14"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334860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17FDC9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BA4372"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DBA5D0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718FE16E"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7C83DF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738174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30C9B8"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0B7A04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0F8D07E2"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0742A24"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138A8F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4D1F4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1B61F5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52DD350E"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783,027.58</w:t>
            </w:r>
          </w:p>
        </w:tc>
        <w:tc>
          <w:tcPr>
            <w:tcW w:w="400" w:type="pct"/>
            <w:tcBorders>
              <w:top w:val="single" w:sz="4" w:space="0" w:color="auto"/>
              <w:left w:val="single" w:sz="4" w:space="0" w:color="auto"/>
              <w:bottom w:val="single" w:sz="4" w:space="0" w:color="auto"/>
              <w:right w:val="single" w:sz="4" w:space="0" w:color="auto"/>
            </w:tcBorders>
            <w:vAlign w:val="center"/>
          </w:tcPr>
          <w:p w14:paraId="0B493BD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FB4D29" w14:paraId="0CE23A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9F235E"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51C9CB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35B53B4D"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4B0C78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793347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F52CB2"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1C08B0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72A311CA"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4EE68B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3FC46E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438907"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CEC979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3B80C26B"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91,728,317.98</w:t>
            </w:r>
          </w:p>
        </w:tc>
        <w:tc>
          <w:tcPr>
            <w:tcW w:w="400" w:type="pct"/>
            <w:tcBorders>
              <w:top w:val="single" w:sz="4" w:space="0" w:color="auto"/>
              <w:left w:val="single" w:sz="4" w:space="0" w:color="auto"/>
              <w:bottom w:val="single" w:sz="4" w:space="0" w:color="auto"/>
              <w:right w:val="single" w:sz="4" w:space="0" w:color="auto"/>
            </w:tcBorders>
            <w:vAlign w:val="center"/>
          </w:tcPr>
          <w:p w14:paraId="55AF43A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3.26</w:t>
            </w:r>
          </w:p>
        </w:tc>
      </w:tr>
    </w:tbl>
    <w:p w14:paraId="6DE28E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FB4D29" w14:paraId="7CC2C8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779976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EB33C3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D18E67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F4F165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819B62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D6E5515"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FB4D29" w14:paraId="032EC1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9AF64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EE643D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210308</w:t>
            </w:r>
          </w:p>
        </w:tc>
        <w:tc>
          <w:tcPr>
            <w:tcW w:w="750" w:type="pct"/>
            <w:tcBorders>
              <w:top w:val="single" w:sz="4" w:space="0" w:color="auto"/>
              <w:left w:val="single" w:sz="4" w:space="0" w:color="auto"/>
              <w:bottom w:val="single" w:sz="4" w:space="0" w:color="auto"/>
              <w:right w:val="single" w:sz="4" w:space="0" w:color="auto"/>
            </w:tcBorders>
            <w:vAlign w:val="center"/>
          </w:tcPr>
          <w:p w14:paraId="12C4ED8A"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进出</w:t>
            </w:r>
            <w:r>
              <w:rPr>
                <w:rFonts w:ascii="Times New Roman" w:hAnsi="Times New Roman"/>
                <w:color w:val="000000"/>
                <w:kern w:val="0"/>
                <w:sz w:val="25"/>
                <w:szCs w:val="24"/>
              </w:rPr>
              <w:t>08</w:t>
            </w:r>
          </w:p>
        </w:tc>
        <w:tc>
          <w:tcPr>
            <w:tcW w:w="750" w:type="pct"/>
            <w:tcBorders>
              <w:top w:val="single" w:sz="4" w:space="0" w:color="auto"/>
              <w:left w:val="single" w:sz="4" w:space="0" w:color="auto"/>
              <w:bottom w:val="single" w:sz="4" w:space="0" w:color="auto"/>
              <w:right w:val="single" w:sz="4" w:space="0" w:color="auto"/>
            </w:tcBorders>
            <w:vAlign w:val="center"/>
          </w:tcPr>
          <w:p w14:paraId="27D9929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14:paraId="60D95AF5"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50,259,164.38</w:t>
            </w:r>
          </w:p>
        </w:tc>
        <w:tc>
          <w:tcPr>
            <w:tcW w:w="750" w:type="pct"/>
            <w:tcBorders>
              <w:top w:val="single" w:sz="4" w:space="0" w:color="auto"/>
              <w:left w:val="single" w:sz="4" w:space="0" w:color="auto"/>
              <w:bottom w:val="single" w:sz="4" w:space="0" w:color="auto"/>
              <w:right w:val="single" w:sz="4" w:space="0" w:color="auto"/>
            </w:tcBorders>
            <w:vAlign w:val="center"/>
          </w:tcPr>
          <w:p w14:paraId="0D835A60"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1.78</w:t>
            </w:r>
          </w:p>
        </w:tc>
      </w:tr>
      <w:tr w:rsidR="00FB4D29" w14:paraId="67EA311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C3622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14:paraId="6998A97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210304</w:t>
            </w:r>
          </w:p>
        </w:tc>
        <w:tc>
          <w:tcPr>
            <w:tcW w:w="750" w:type="pct"/>
            <w:tcBorders>
              <w:top w:val="single" w:sz="4" w:space="0" w:color="auto"/>
              <w:left w:val="single" w:sz="4" w:space="0" w:color="auto"/>
              <w:bottom w:val="single" w:sz="4" w:space="0" w:color="auto"/>
              <w:right w:val="single" w:sz="4" w:space="0" w:color="auto"/>
            </w:tcBorders>
            <w:vAlign w:val="center"/>
          </w:tcPr>
          <w:p w14:paraId="20AB09E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进出</w:t>
            </w:r>
            <w:r>
              <w:rPr>
                <w:rFonts w:ascii="Times New Roman" w:hAnsi="Times New Roman"/>
                <w:color w:val="000000"/>
                <w:kern w:val="0"/>
                <w:sz w:val="25"/>
                <w:szCs w:val="24"/>
              </w:rPr>
              <w:t>04</w:t>
            </w:r>
          </w:p>
        </w:tc>
        <w:tc>
          <w:tcPr>
            <w:tcW w:w="750" w:type="pct"/>
            <w:tcBorders>
              <w:top w:val="single" w:sz="4" w:space="0" w:color="auto"/>
              <w:left w:val="single" w:sz="4" w:space="0" w:color="auto"/>
              <w:bottom w:val="single" w:sz="4" w:space="0" w:color="auto"/>
              <w:right w:val="single" w:sz="4" w:space="0" w:color="auto"/>
            </w:tcBorders>
            <w:vAlign w:val="center"/>
          </w:tcPr>
          <w:p w14:paraId="5CA7FFE4"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14:paraId="3410BC4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20,409,753.42</w:t>
            </w:r>
          </w:p>
        </w:tc>
        <w:tc>
          <w:tcPr>
            <w:tcW w:w="750" w:type="pct"/>
            <w:tcBorders>
              <w:top w:val="single" w:sz="4" w:space="0" w:color="auto"/>
              <w:left w:val="single" w:sz="4" w:space="0" w:color="auto"/>
              <w:bottom w:val="single" w:sz="4" w:space="0" w:color="auto"/>
              <w:right w:val="single" w:sz="4" w:space="0" w:color="auto"/>
            </w:tcBorders>
            <w:vAlign w:val="center"/>
          </w:tcPr>
          <w:p w14:paraId="0113993C"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0.72</w:t>
            </w:r>
          </w:p>
        </w:tc>
      </w:tr>
      <w:tr w:rsidR="00FB4D29" w14:paraId="3DE7C8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6941B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70A643E"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210211</w:t>
            </w:r>
          </w:p>
        </w:tc>
        <w:tc>
          <w:tcPr>
            <w:tcW w:w="750" w:type="pct"/>
            <w:tcBorders>
              <w:top w:val="single" w:sz="4" w:space="0" w:color="auto"/>
              <w:left w:val="single" w:sz="4" w:space="0" w:color="auto"/>
              <w:bottom w:val="single" w:sz="4" w:space="0" w:color="auto"/>
              <w:right w:val="single" w:sz="4" w:space="0" w:color="auto"/>
            </w:tcBorders>
            <w:vAlign w:val="center"/>
          </w:tcPr>
          <w:p w14:paraId="74B46DC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国开</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48E50BB1"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14:paraId="15FE646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20,276,372.60</w:t>
            </w:r>
          </w:p>
        </w:tc>
        <w:tc>
          <w:tcPr>
            <w:tcW w:w="750" w:type="pct"/>
            <w:tcBorders>
              <w:top w:val="single" w:sz="4" w:space="0" w:color="auto"/>
              <w:left w:val="single" w:sz="4" w:space="0" w:color="auto"/>
              <w:bottom w:val="single" w:sz="4" w:space="0" w:color="auto"/>
              <w:right w:val="single" w:sz="4" w:space="0" w:color="auto"/>
            </w:tcBorders>
            <w:vAlign w:val="center"/>
          </w:tcPr>
          <w:p w14:paraId="5B5DF0B2"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0.72</w:t>
            </w:r>
          </w:p>
        </w:tc>
      </w:tr>
      <w:tr w:rsidR="00FB4D29" w14:paraId="57F74F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03258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3C25AE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113641</w:t>
            </w:r>
          </w:p>
        </w:tc>
        <w:tc>
          <w:tcPr>
            <w:tcW w:w="750" w:type="pct"/>
            <w:tcBorders>
              <w:top w:val="single" w:sz="4" w:space="0" w:color="auto"/>
              <w:left w:val="single" w:sz="4" w:space="0" w:color="auto"/>
              <w:bottom w:val="single" w:sz="4" w:space="0" w:color="auto"/>
              <w:right w:val="single" w:sz="4" w:space="0" w:color="auto"/>
            </w:tcBorders>
            <w:vAlign w:val="center"/>
          </w:tcPr>
          <w:p w14:paraId="2226C4CA"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华友转债</w:t>
            </w:r>
          </w:p>
        </w:tc>
        <w:tc>
          <w:tcPr>
            <w:tcW w:w="750" w:type="pct"/>
            <w:tcBorders>
              <w:top w:val="single" w:sz="4" w:space="0" w:color="auto"/>
              <w:left w:val="single" w:sz="4" w:space="0" w:color="auto"/>
              <w:bottom w:val="single" w:sz="4" w:space="0" w:color="auto"/>
              <w:right w:val="single" w:sz="4" w:space="0" w:color="auto"/>
            </w:tcBorders>
            <w:vAlign w:val="center"/>
          </w:tcPr>
          <w:p w14:paraId="44582B6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6,500</w:t>
            </w:r>
          </w:p>
        </w:tc>
        <w:tc>
          <w:tcPr>
            <w:tcW w:w="750" w:type="pct"/>
            <w:tcBorders>
              <w:top w:val="single" w:sz="4" w:space="0" w:color="auto"/>
              <w:left w:val="single" w:sz="4" w:space="0" w:color="auto"/>
              <w:bottom w:val="single" w:sz="4" w:space="0" w:color="auto"/>
              <w:right w:val="single" w:sz="4" w:space="0" w:color="auto"/>
            </w:tcBorders>
            <w:vAlign w:val="center"/>
          </w:tcPr>
          <w:p w14:paraId="0585B81F"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783,027.58</w:t>
            </w:r>
          </w:p>
        </w:tc>
        <w:tc>
          <w:tcPr>
            <w:tcW w:w="750" w:type="pct"/>
            <w:tcBorders>
              <w:top w:val="single" w:sz="4" w:space="0" w:color="auto"/>
              <w:left w:val="single" w:sz="4" w:space="0" w:color="auto"/>
              <w:bottom w:val="single" w:sz="4" w:space="0" w:color="auto"/>
              <w:right w:val="single" w:sz="4" w:space="0" w:color="auto"/>
            </w:tcBorders>
            <w:vAlign w:val="center"/>
          </w:tcPr>
          <w:p w14:paraId="75F520C6"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bl>
    <w:p w14:paraId="45C03F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7B55FB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CB05C4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04D185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4EF310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17394C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C28C0C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14:paraId="12789B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14:paraId="380033A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ACA09E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14:paraId="33EB79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B9E2A9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14:paraId="2DD463C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14:paraId="4803C3D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37D226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14:paraId="029E1A6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6675F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14:paraId="46B523D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E2D354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14:paraId="1761E69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14:paraId="21D7399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58C94BC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14:paraId="3D6D80D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2CF486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FB4D29" w14:paraId="3918CA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BDDB61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3A0586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96BD6B5"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FB4D29" w14:paraId="3B5532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1F532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7C6918E"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77CAD4DE"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885,174.49</w:t>
            </w:r>
          </w:p>
        </w:tc>
      </w:tr>
      <w:tr w:rsidR="00FB4D29" w14:paraId="012595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71AC0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9E25D2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7C1D0A6B"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31,465,549.76</w:t>
            </w:r>
          </w:p>
        </w:tc>
      </w:tr>
      <w:tr w:rsidR="00FB4D29" w14:paraId="23A1EC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F62E1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454208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7A6F872E"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556033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FAEB9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62D4B82"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22B6AEE4"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48AF15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A6701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A26908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548335AD"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1,185,886.70</w:t>
            </w:r>
          </w:p>
        </w:tc>
      </w:tr>
      <w:tr w:rsidR="00FB4D29" w14:paraId="610F6A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CF053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4076445"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6A9E96E3"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3,711.12</w:t>
            </w:r>
          </w:p>
        </w:tc>
      </w:tr>
      <w:tr w:rsidR="00FB4D29" w14:paraId="194619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8574C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5DE44C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7B0210A9"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FB4D29" w14:paraId="0D0F4C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46A81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EAC89B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3C2C5D97" w14:textId="77777777" w:rsidR="00FB4D29" w:rsidRDefault="00CF4592">
            <w:pPr>
              <w:widowControl/>
              <w:snapToGrid w:val="0"/>
              <w:jc w:val="right"/>
              <w:rPr>
                <w:rFonts w:ascii="宋体" w:hAnsi="宋体"/>
                <w:color w:val="000000"/>
                <w:kern w:val="0"/>
                <w:sz w:val="25"/>
                <w:szCs w:val="24"/>
              </w:rPr>
            </w:pPr>
            <w:r>
              <w:rPr>
                <w:rFonts w:ascii="Times New Roman" w:hAnsi="Times New Roman"/>
                <w:color w:val="000000"/>
                <w:kern w:val="0"/>
                <w:sz w:val="25"/>
                <w:szCs w:val="24"/>
              </w:rPr>
              <w:t>33,540,322.07</w:t>
            </w:r>
          </w:p>
        </w:tc>
      </w:tr>
    </w:tbl>
    <w:p w14:paraId="1EF8061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14:paraId="2C0DECB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D3F960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14:paraId="7B6A768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E532FC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14:paraId="185BD6D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164E5DF0" w14:textId="77777777" w:rsidR="00FB4D29" w:rsidRDefault="00FB4D29">
      <w:pPr>
        <w:autoSpaceDE w:val="0"/>
        <w:autoSpaceDN w:val="0"/>
        <w:adjustRightInd w:val="0"/>
        <w:snapToGrid w:val="0"/>
        <w:spacing w:line="360" w:lineRule="auto"/>
        <w:ind w:firstLineChars="200" w:firstLine="420"/>
        <w:jc w:val="left"/>
        <w:rPr>
          <w:rFonts w:ascii="宋体" w:hAnsi="宋体"/>
          <w:szCs w:val="24"/>
        </w:rPr>
      </w:pPr>
    </w:p>
    <w:p w14:paraId="6E7D6734"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763A52AF" w14:textId="0CADFD12" w:rsidR="00FB4D29" w:rsidRDefault="00CF4592">
      <w:pPr>
        <w:pStyle w:val="1"/>
        <w:snapToGrid w:val="0"/>
        <w:spacing w:beforeLines="0" w:before="240" w:after="240"/>
        <w:rPr>
          <w:rFonts w:ascii="宋体" w:hAnsi="宋体"/>
          <w:szCs w:val="30"/>
        </w:rPr>
      </w:pPr>
      <w:r>
        <w:rPr>
          <w:rFonts w:ascii="宋体" w:hAnsi="宋体"/>
          <w:sz w:val="24"/>
        </w:rPr>
        <w:br w:type="page"/>
      </w:r>
      <w:bookmarkStart w:id="14" w:name="_Toc107476030"/>
      <w:r>
        <w:rPr>
          <w:rFonts w:ascii="Times New Roman" w:hAnsi="Times New Roman"/>
          <w:sz w:val="30"/>
        </w:rPr>
        <w:lastRenderedPageBreak/>
        <w:t>十一、基金的业绩</w:t>
      </w:r>
      <w:bookmarkEnd w:id="14"/>
    </w:p>
    <w:p w14:paraId="36830B9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基金业绩截止日为2022年03月31日，所载财务数据未经审计师审计。</w:t>
      </w:r>
    </w:p>
    <w:p w14:paraId="5C5FAD9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D93539E" w14:textId="26C4688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D43F60">
        <w:rPr>
          <w:rFonts w:ascii="宋体" w:hAnsi="宋体" w:hint="eastAsia"/>
          <w:sz w:val="24"/>
        </w:rPr>
        <w:t>A类</w:t>
      </w:r>
      <w:r>
        <w:rPr>
          <w:rFonts w:ascii="宋体" w:hAnsi="宋体"/>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FB4D29" w14:paraId="24D5B19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7FBC57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10D343B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13DA9DE1"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44E769A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7CCCE5E2"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B9C147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0DCA4C1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FB4D29" w14:paraId="1A8AA78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50A161E"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5EFF3BD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-13.82%</w:t>
            </w:r>
          </w:p>
        </w:tc>
        <w:tc>
          <w:tcPr>
            <w:tcW w:w="750" w:type="pct"/>
            <w:tcBorders>
              <w:top w:val="single" w:sz="4" w:space="0" w:color="auto"/>
              <w:left w:val="single" w:sz="4" w:space="0" w:color="auto"/>
              <w:bottom w:val="single" w:sz="4" w:space="0" w:color="auto"/>
              <w:right w:val="single" w:sz="4" w:space="0" w:color="auto"/>
            </w:tcBorders>
            <w:vAlign w:val="center"/>
          </w:tcPr>
          <w:p w14:paraId="00A770C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14:paraId="329DB185"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-10.83%</w:t>
            </w:r>
          </w:p>
        </w:tc>
        <w:tc>
          <w:tcPr>
            <w:tcW w:w="750" w:type="pct"/>
            <w:tcBorders>
              <w:top w:val="single" w:sz="4" w:space="0" w:color="auto"/>
              <w:left w:val="single" w:sz="4" w:space="0" w:color="auto"/>
              <w:bottom w:val="single" w:sz="4" w:space="0" w:color="auto"/>
              <w:right w:val="single" w:sz="4" w:space="0" w:color="auto"/>
            </w:tcBorders>
            <w:vAlign w:val="center"/>
          </w:tcPr>
          <w:p w14:paraId="66B01C7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14:paraId="0D423009"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-2.99%</w:t>
            </w:r>
          </w:p>
        </w:tc>
        <w:tc>
          <w:tcPr>
            <w:tcW w:w="750" w:type="pct"/>
            <w:tcBorders>
              <w:top w:val="single" w:sz="4" w:space="0" w:color="auto"/>
              <w:left w:val="single" w:sz="4" w:space="0" w:color="auto"/>
              <w:bottom w:val="single" w:sz="4" w:space="0" w:color="auto"/>
              <w:right w:val="single" w:sz="4" w:space="0" w:color="auto"/>
            </w:tcBorders>
            <w:vAlign w:val="center"/>
          </w:tcPr>
          <w:p w14:paraId="3F3976AD"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r>
      <w:tr w:rsidR="00FB4D29" w14:paraId="492AF39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44A00B2"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60982E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23.00%</w:t>
            </w:r>
          </w:p>
        </w:tc>
        <w:tc>
          <w:tcPr>
            <w:tcW w:w="750" w:type="pct"/>
            <w:tcBorders>
              <w:top w:val="single" w:sz="4" w:space="0" w:color="auto"/>
              <w:left w:val="single" w:sz="4" w:space="0" w:color="auto"/>
              <w:bottom w:val="single" w:sz="4" w:space="0" w:color="auto"/>
              <w:right w:val="single" w:sz="4" w:space="0" w:color="auto"/>
            </w:tcBorders>
            <w:vAlign w:val="center"/>
          </w:tcPr>
          <w:p w14:paraId="25EFDAB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14:paraId="7DA78A6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-2.39%</w:t>
            </w:r>
          </w:p>
        </w:tc>
        <w:tc>
          <w:tcPr>
            <w:tcW w:w="750" w:type="pct"/>
            <w:tcBorders>
              <w:top w:val="single" w:sz="4" w:space="0" w:color="auto"/>
              <w:left w:val="single" w:sz="4" w:space="0" w:color="auto"/>
              <w:bottom w:val="single" w:sz="4" w:space="0" w:color="auto"/>
              <w:right w:val="single" w:sz="4" w:space="0" w:color="auto"/>
            </w:tcBorders>
            <w:vAlign w:val="center"/>
          </w:tcPr>
          <w:p w14:paraId="1F759A6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0.88%</w:t>
            </w:r>
          </w:p>
        </w:tc>
        <w:tc>
          <w:tcPr>
            <w:tcW w:w="750" w:type="pct"/>
            <w:tcBorders>
              <w:top w:val="single" w:sz="4" w:space="0" w:color="auto"/>
              <w:left w:val="single" w:sz="4" w:space="0" w:color="auto"/>
              <w:bottom w:val="single" w:sz="4" w:space="0" w:color="auto"/>
              <w:right w:val="single" w:sz="4" w:space="0" w:color="auto"/>
            </w:tcBorders>
            <w:vAlign w:val="center"/>
          </w:tcPr>
          <w:p w14:paraId="7DB0A34D"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25.39%</w:t>
            </w:r>
          </w:p>
        </w:tc>
        <w:tc>
          <w:tcPr>
            <w:tcW w:w="750" w:type="pct"/>
            <w:tcBorders>
              <w:top w:val="single" w:sz="4" w:space="0" w:color="auto"/>
              <w:left w:val="single" w:sz="4" w:space="0" w:color="auto"/>
              <w:bottom w:val="single" w:sz="4" w:space="0" w:color="auto"/>
              <w:right w:val="single" w:sz="4" w:space="0" w:color="auto"/>
            </w:tcBorders>
            <w:vAlign w:val="center"/>
          </w:tcPr>
          <w:p w14:paraId="7C75AAEB"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r>
      <w:tr w:rsidR="00FB4D29" w14:paraId="73C89EF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FCF588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082D0E9"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40.43%</w:t>
            </w:r>
          </w:p>
        </w:tc>
        <w:tc>
          <w:tcPr>
            <w:tcW w:w="750" w:type="pct"/>
            <w:tcBorders>
              <w:top w:val="single" w:sz="4" w:space="0" w:color="auto"/>
              <w:left w:val="single" w:sz="4" w:space="0" w:color="auto"/>
              <w:bottom w:val="single" w:sz="4" w:space="0" w:color="auto"/>
              <w:right w:val="single" w:sz="4" w:space="0" w:color="auto"/>
            </w:tcBorders>
            <w:vAlign w:val="center"/>
          </w:tcPr>
          <w:p w14:paraId="55954D2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14:paraId="5BBD376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21.26%</w:t>
            </w:r>
          </w:p>
        </w:tc>
        <w:tc>
          <w:tcPr>
            <w:tcW w:w="750" w:type="pct"/>
            <w:tcBorders>
              <w:top w:val="single" w:sz="4" w:space="0" w:color="auto"/>
              <w:left w:val="single" w:sz="4" w:space="0" w:color="auto"/>
              <w:bottom w:val="single" w:sz="4" w:space="0" w:color="auto"/>
              <w:right w:val="single" w:sz="4" w:space="0" w:color="auto"/>
            </w:tcBorders>
            <w:vAlign w:val="center"/>
          </w:tcPr>
          <w:p w14:paraId="0502E4F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14:paraId="5B160E2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19.17%</w:t>
            </w:r>
          </w:p>
        </w:tc>
        <w:tc>
          <w:tcPr>
            <w:tcW w:w="750" w:type="pct"/>
            <w:tcBorders>
              <w:top w:val="single" w:sz="4" w:space="0" w:color="auto"/>
              <w:left w:val="single" w:sz="4" w:space="0" w:color="auto"/>
              <w:bottom w:val="single" w:sz="4" w:space="0" w:color="auto"/>
              <w:right w:val="single" w:sz="4" w:space="0" w:color="auto"/>
            </w:tcBorders>
            <w:vAlign w:val="center"/>
          </w:tcPr>
          <w:p w14:paraId="7829B9C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FB4D29" w14:paraId="497EB82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87793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2422D3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50.61%</w:t>
            </w:r>
          </w:p>
        </w:tc>
        <w:tc>
          <w:tcPr>
            <w:tcW w:w="750" w:type="pct"/>
            <w:tcBorders>
              <w:top w:val="single" w:sz="4" w:space="0" w:color="auto"/>
              <w:left w:val="single" w:sz="4" w:space="0" w:color="auto"/>
              <w:bottom w:val="single" w:sz="4" w:space="0" w:color="auto"/>
              <w:right w:val="single" w:sz="4" w:space="0" w:color="auto"/>
            </w:tcBorders>
            <w:vAlign w:val="center"/>
          </w:tcPr>
          <w:p w14:paraId="4FCC6E2B"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1.34%</w:t>
            </w:r>
          </w:p>
        </w:tc>
        <w:tc>
          <w:tcPr>
            <w:tcW w:w="750" w:type="pct"/>
            <w:tcBorders>
              <w:top w:val="single" w:sz="4" w:space="0" w:color="auto"/>
              <w:left w:val="single" w:sz="4" w:space="0" w:color="auto"/>
              <w:bottom w:val="single" w:sz="4" w:space="0" w:color="auto"/>
              <w:right w:val="single" w:sz="4" w:space="0" w:color="auto"/>
            </w:tcBorders>
            <w:vAlign w:val="center"/>
          </w:tcPr>
          <w:p w14:paraId="70AB386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27.90%</w:t>
            </w:r>
          </w:p>
        </w:tc>
        <w:tc>
          <w:tcPr>
            <w:tcW w:w="750" w:type="pct"/>
            <w:tcBorders>
              <w:top w:val="single" w:sz="4" w:space="0" w:color="auto"/>
              <w:left w:val="single" w:sz="4" w:space="0" w:color="auto"/>
              <w:bottom w:val="single" w:sz="4" w:space="0" w:color="auto"/>
              <w:right w:val="single" w:sz="4" w:space="0" w:color="auto"/>
            </w:tcBorders>
            <w:vAlign w:val="center"/>
          </w:tcPr>
          <w:p w14:paraId="739F4D2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sz="4" w:space="0" w:color="auto"/>
              <w:left w:val="single" w:sz="4" w:space="0" w:color="auto"/>
              <w:bottom w:val="single" w:sz="4" w:space="0" w:color="auto"/>
              <w:right w:val="single" w:sz="4" w:space="0" w:color="auto"/>
            </w:tcBorders>
            <w:vAlign w:val="center"/>
          </w:tcPr>
          <w:p w14:paraId="416103D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22.71%</w:t>
            </w:r>
          </w:p>
        </w:tc>
        <w:tc>
          <w:tcPr>
            <w:tcW w:w="750" w:type="pct"/>
            <w:tcBorders>
              <w:top w:val="single" w:sz="4" w:space="0" w:color="auto"/>
              <w:left w:val="single" w:sz="4" w:space="0" w:color="auto"/>
              <w:bottom w:val="single" w:sz="4" w:space="0" w:color="auto"/>
              <w:right w:val="single" w:sz="4" w:space="0" w:color="auto"/>
            </w:tcBorders>
            <w:vAlign w:val="center"/>
          </w:tcPr>
          <w:p w14:paraId="41DCAA51"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r>
      <w:tr w:rsidR="00FB4D29" w14:paraId="484D276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D6B51A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928A1A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-3.49%</w:t>
            </w:r>
          </w:p>
        </w:tc>
        <w:tc>
          <w:tcPr>
            <w:tcW w:w="750" w:type="pct"/>
            <w:tcBorders>
              <w:top w:val="single" w:sz="4" w:space="0" w:color="auto"/>
              <w:left w:val="single" w:sz="4" w:space="0" w:color="auto"/>
              <w:bottom w:val="single" w:sz="4" w:space="0" w:color="auto"/>
              <w:right w:val="single" w:sz="4" w:space="0" w:color="auto"/>
            </w:tcBorders>
            <w:vAlign w:val="center"/>
          </w:tcPr>
          <w:p w14:paraId="66CE54A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14:paraId="1492E529"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-20.32%</w:t>
            </w:r>
          </w:p>
        </w:tc>
        <w:tc>
          <w:tcPr>
            <w:tcW w:w="750" w:type="pct"/>
            <w:tcBorders>
              <w:top w:val="single" w:sz="4" w:space="0" w:color="auto"/>
              <w:left w:val="single" w:sz="4" w:space="0" w:color="auto"/>
              <w:bottom w:val="single" w:sz="4" w:space="0" w:color="auto"/>
              <w:right w:val="single" w:sz="4" w:space="0" w:color="auto"/>
            </w:tcBorders>
            <w:vAlign w:val="center"/>
          </w:tcPr>
          <w:p w14:paraId="626E22D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14:paraId="363BA73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16.83%</w:t>
            </w:r>
          </w:p>
        </w:tc>
        <w:tc>
          <w:tcPr>
            <w:tcW w:w="750" w:type="pct"/>
            <w:tcBorders>
              <w:top w:val="single" w:sz="4" w:space="0" w:color="auto"/>
              <w:left w:val="single" w:sz="4" w:space="0" w:color="auto"/>
              <w:bottom w:val="single" w:sz="4" w:space="0" w:color="auto"/>
              <w:right w:val="single" w:sz="4" w:space="0" w:color="auto"/>
            </w:tcBorders>
            <w:vAlign w:val="center"/>
          </w:tcPr>
          <w:p w14:paraId="298AAE4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0.27%</w:t>
            </w:r>
          </w:p>
        </w:tc>
      </w:tr>
    </w:tbl>
    <w:p w14:paraId="52ED37B7" w14:textId="36FAAB4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w:t>
      </w:r>
      <w:r w:rsidR="00D43F60">
        <w:rPr>
          <w:rFonts w:ascii="宋体" w:hAnsi="宋体" w:hint="eastAsia"/>
          <w:sz w:val="24"/>
        </w:rPr>
        <w:t>A类</w:t>
      </w:r>
      <w:r>
        <w:rPr>
          <w:rFonts w:ascii="宋体" w:hAnsi="宋体"/>
          <w:sz w:val="24"/>
        </w:rPr>
        <w:t>基金份额累计净值增长率变动及其与同期业绩比较基准收益率变动的比较</w:t>
      </w:r>
    </w:p>
    <w:p w14:paraId="717F4224" w14:textId="77777777" w:rsidR="00FB4D29" w:rsidRDefault="00CF4592">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交银施罗德持续成长主题混合型证券投资基金</w:t>
      </w:r>
    </w:p>
    <w:p w14:paraId="3A19570A" w14:textId="375A9344" w:rsidR="00FB4D29" w:rsidRDefault="00D43F60">
      <w:pPr>
        <w:autoSpaceDE w:val="0"/>
        <w:autoSpaceDN w:val="0"/>
        <w:adjustRightInd w:val="0"/>
        <w:snapToGrid w:val="0"/>
        <w:spacing w:line="360" w:lineRule="auto"/>
        <w:ind w:firstLineChars="200" w:firstLine="480"/>
        <w:jc w:val="center"/>
        <w:rPr>
          <w:rFonts w:ascii="宋体" w:hAnsi="宋体"/>
          <w:szCs w:val="24"/>
        </w:rPr>
      </w:pPr>
      <w:r>
        <w:rPr>
          <w:rFonts w:ascii="宋体" w:hAnsi="宋体" w:hint="eastAsia"/>
          <w:sz w:val="24"/>
        </w:rPr>
        <w:t>A类基金</w:t>
      </w:r>
      <w:r w:rsidR="00CF4592">
        <w:rPr>
          <w:rFonts w:ascii="宋体" w:hAnsi="宋体"/>
          <w:sz w:val="24"/>
        </w:rPr>
        <w:t>份额累计净值增长率与业绩比较基准收益率历史走势对比图</w:t>
      </w:r>
    </w:p>
    <w:p w14:paraId="792CED20" w14:textId="77777777" w:rsidR="00FB4D29" w:rsidRDefault="00CF4592">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（2018年1月12日至2022年03月31日）</w:t>
      </w:r>
    </w:p>
    <w:p w14:paraId="4B91E44D" w14:textId="009F6421" w:rsidR="00FB4D29" w:rsidRDefault="00B97145">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1DD13216" wp14:editId="7B3D7ADD">
            <wp:extent cx="5584190" cy="3422650"/>
            <wp:effectExtent l="0" t="0" r="0" b="635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4190" cy="3422650"/>
                    </a:xfrm>
                    <a:prstGeom prst="rect">
                      <a:avLst/>
                    </a:prstGeom>
                    <a:noFill/>
                    <a:ln>
                      <a:noFill/>
                    </a:ln>
                  </pic:spPr>
                </pic:pic>
              </a:graphicData>
            </a:graphic>
          </wp:inline>
        </w:drawing>
      </w:r>
    </w:p>
    <w:p w14:paraId="36F04B9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635464FC"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3E722252" w14:textId="43793A47" w:rsidR="00FB4D29" w:rsidRDefault="00CF4592">
      <w:pPr>
        <w:pStyle w:val="1"/>
        <w:snapToGrid w:val="0"/>
        <w:spacing w:beforeLines="0" w:before="240" w:after="240"/>
        <w:rPr>
          <w:rFonts w:ascii="宋体" w:hAnsi="宋体"/>
          <w:szCs w:val="30"/>
        </w:rPr>
      </w:pPr>
      <w:r>
        <w:rPr>
          <w:rFonts w:ascii="宋体" w:hAnsi="宋体"/>
          <w:sz w:val="24"/>
        </w:rPr>
        <w:br w:type="page"/>
      </w:r>
      <w:bookmarkStart w:id="15" w:name="_Toc107476031"/>
      <w:r>
        <w:rPr>
          <w:rFonts w:ascii="Times New Roman" w:hAnsi="Times New Roman"/>
          <w:sz w:val="30"/>
        </w:rPr>
        <w:lastRenderedPageBreak/>
        <w:t>十二、基金的财产</w:t>
      </w:r>
      <w:bookmarkEnd w:id="15"/>
    </w:p>
    <w:p w14:paraId="3B9B8832"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（一）基金资产总值</w:t>
      </w:r>
    </w:p>
    <w:p w14:paraId="58C4A8ED" w14:textId="3952D80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w:t>
      </w:r>
      <w:r w:rsidR="00750621" w:rsidRPr="00750621">
        <w:rPr>
          <w:rFonts w:ascii="宋体" w:hAnsi="宋体" w:hint="eastAsia"/>
          <w:sz w:val="24"/>
        </w:rPr>
        <w:t>款项</w:t>
      </w:r>
      <w:r>
        <w:rPr>
          <w:rFonts w:ascii="宋体" w:hAnsi="宋体"/>
          <w:sz w:val="24"/>
        </w:rPr>
        <w:t>及其他资产的价值总和。</w:t>
      </w:r>
    </w:p>
    <w:p w14:paraId="0B915FDF"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（二）基金资产净值</w:t>
      </w:r>
    </w:p>
    <w:p w14:paraId="6317A45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1D08452C"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（三）基金财产的账户</w:t>
      </w:r>
    </w:p>
    <w:p w14:paraId="615258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协助开立股指期货业务相关账户及交易编码。开立的基金专用账户与基金管理人、基金托管人、基金销售机构和基金登记机构自有的财产账户以及其他基金财产账户相独立。</w:t>
      </w:r>
    </w:p>
    <w:p w14:paraId="2F27F2BF"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（四）基金财产的保管和处分</w:t>
      </w:r>
    </w:p>
    <w:p w14:paraId="2A9868C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3F8302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2B7FDB0"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2D89AABD" w14:textId="3A358F35" w:rsidR="00FB4D29" w:rsidRDefault="00CF4592">
      <w:pPr>
        <w:pStyle w:val="1"/>
        <w:snapToGrid w:val="0"/>
        <w:spacing w:beforeLines="0" w:before="240" w:after="240"/>
        <w:rPr>
          <w:rFonts w:ascii="宋体" w:hAnsi="宋体"/>
          <w:szCs w:val="30"/>
        </w:rPr>
      </w:pPr>
      <w:r>
        <w:rPr>
          <w:rFonts w:ascii="宋体" w:hAnsi="宋体"/>
          <w:sz w:val="24"/>
        </w:rPr>
        <w:br w:type="page"/>
      </w:r>
      <w:bookmarkStart w:id="16" w:name="_Toc107476032"/>
      <w:r>
        <w:rPr>
          <w:rFonts w:ascii="Times New Roman" w:hAnsi="Times New Roman"/>
          <w:sz w:val="30"/>
        </w:rPr>
        <w:lastRenderedPageBreak/>
        <w:t>十三、基金资产的估值</w:t>
      </w:r>
      <w:bookmarkEnd w:id="16"/>
    </w:p>
    <w:p w14:paraId="1567E85C"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（一）估值日</w:t>
      </w:r>
    </w:p>
    <w:p w14:paraId="4E49C0C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7E756456"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（二）估值对象</w:t>
      </w:r>
    </w:p>
    <w:p w14:paraId="7897337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14:paraId="3FB43AD0" w14:textId="77777777" w:rsidR="00750621" w:rsidRPr="00F82365" w:rsidRDefault="00CF4592" w:rsidP="00750621">
      <w:pPr>
        <w:spacing w:line="360" w:lineRule="auto"/>
        <w:ind w:firstLineChars="200" w:firstLine="422"/>
        <w:rPr>
          <w:rFonts w:ascii="宋体" w:hAnsi="宋体"/>
          <w:b/>
          <w:szCs w:val="24"/>
        </w:rPr>
      </w:pPr>
      <w:r w:rsidRPr="00BB248E">
        <w:rPr>
          <w:rFonts w:ascii="宋体" w:hAnsi="宋体" w:hint="eastAsia"/>
          <w:b/>
          <w:szCs w:val="24"/>
        </w:rPr>
        <w:t>（三）</w:t>
      </w:r>
      <w:r w:rsidR="00750621" w:rsidRPr="00F82365">
        <w:rPr>
          <w:rFonts w:ascii="宋体" w:hAnsi="宋体" w:hint="eastAsia"/>
          <w:b/>
          <w:szCs w:val="24"/>
        </w:rPr>
        <w:t>估值原则</w:t>
      </w:r>
    </w:p>
    <w:p w14:paraId="00410799" w14:textId="77777777" w:rsidR="00750621" w:rsidRPr="0069261E" w:rsidRDefault="00750621" w:rsidP="00750621">
      <w:pPr>
        <w:spacing w:line="360" w:lineRule="auto"/>
        <w:ind w:firstLineChars="200" w:firstLine="480"/>
        <w:rPr>
          <w:bCs/>
          <w:sz w:val="24"/>
        </w:rPr>
      </w:pPr>
      <w:r w:rsidRPr="0069261E">
        <w:rPr>
          <w:rFonts w:hint="eastAsia"/>
          <w:bCs/>
          <w:sz w:val="24"/>
        </w:rPr>
        <w:t>基金管理人在确定相关金融资产和金融负债的公允价值时，应符合《企业会计准则》、监管部门有关规定。</w:t>
      </w:r>
    </w:p>
    <w:p w14:paraId="59CD1760" w14:textId="5C9B605D" w:rsidR="00750621" w:rsidRPr="0069261E" w:rsidRDefault="00750621" w:rsidP="00750621">
      <w:pPr>
        <w:spacing w:line="360" w:lineRule="auto"/>
        <w:ind w:firstLineChars="200" w:firstLine="480"/>
        <w:rPr>
          <w:bCs/>
          <w:sz w:val="24"/>
        </w:rPr>
      </w:pPr>
      <w:r>
        <w:rPr>
          <w:bCs/>
          <w:sz w:val="24"/>
        </w:rPr>
        <w:t>1</w:t>
      </w:r>
      <w:r>
        <w:rPr>
          <w:rFonts w:hint="eastAsia"/>
          <w:bCs/>
          <w:sz w:val="24"/>
        </w:rPr>
        <w:t>、</w:t>
      </w:r>
      <w:r w:rsidRPr="0069261E">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06B0D1" w14:textId="77777777" w:rsidR="00750621" w:rsidRPr="0069261E" w:rsidRDefault="00750621" w:rsidP="00750621">
      <w:pPr>
        <w:spacing w:line="360" w:lineRule="auto"/>
        <w:ind w:firstLineChars="200" w:firstLine="480"/>
        <w:rPr>
          <w:bCs/>
          <w:sz w:val="24"/>
        </w:rPr>
      </w:pPr>
      <w:r w:rsidRPr="0069261E">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7BA1C38" w14:textId="2B80605B" w:rsidR="00750621" w:rsidRPr="0069261E" w:rsidRDefault="00750621" w:rsidP="00750621">
      <w:pPr>
        <w:spacing w:line="360" w:lineRule="auto"/>
        <w:ind w:firstLineChars="200" w:firstLine="480"/>
        <w:rPr>
          <w:bCs/>
          <w:sz w:val="24"/>
        </w:rPr>
      </w:pPr>
      <w:r>
        <w:rPr>
          <w:rFonts w:hint="eastAsia"/>
          <w:bCs/>
          <w:sz w:val="24"/>
        </w:rPr>
        <w:t>2</w:t>
      </w:r>
      <w:r>
        <w:rPr>
          <w:rFonts w:hint="eastAsia"/>
          <w:bCs/>
          <w:sz w:val="24"/>
        </w:rPr>
        <w:t>、</w:t>
      </w:r>
      <w:r w:rsidRPr="0069261E">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9D93F19" w14:textId="7995B097" w:rsidR="00750621" w:rsidRPr="0069261E" w:rsidRDefault="00750621" w:rsidP="00750621">
      <w:pPr>
        <w:spacing w:line="360" w:lineRule="auto"/>
        <w:ind w:firstLineChars="200" w:firstLine="480"/>
        <w:rPr>
          <w:bCs/>
          <w:sz w:val="24"/>
        </w:rPr>
      </w:pPr>
      <w:r>
        <w:rPr>
          <w:rFonts w:hint="eastAsia"/>
          <w:bCs/>
          <w:sz w:val="24"/>
        </w:rPr>
        <w:t>3</w:t>
      </w:r>
      <w:r>
        <w:rPr>
          <w:rFonts w:hint="eastAsia"/>
          <w:bCs/>
          <w:sz w:val="24"/>
        </w:rPr>
        <w:t>、</w:t>
      </w:r>
      <w:r w:rsidRPr="0069261E">
        <w:rPr>
          <w:rFonts w:hint="eastAsia"/>
          <w:bCs/>
          <w:sz w:val="24"/>
        </w:rPr>
        <w:t>如经济环境发生重大变化或证券发行人发生影响证券价格的重大事件，使潜在估值调整对前一估值日的基金资产净值的影响在</w:t>
      </w:r>
      <w:r w:rsidRPr="0069261E">
        <w:rPr>
          <w:rFonts w:hint="eastAsia"/>
          <w:bCs/>
          <w:sz w:val="24"/>
        </w:rPr>
        <w:t>0.25%</w:t>
      </w:r>
      <w:r w:rsidRPr="0069261E">
        <w:rPr>
          <w:rFonts w:hint="eastAsia"/>
          <w:bCs/>
          <w:sz w:val="24"/>
        </w:rPr>
        <w:t>以上的，应对估值进行调整并确定公允价值。</w:t>
      </w:r>
    </w:p>
    <w:p w14:paraId="5B9E8917" w14:textId="11E90B89" w:rsidR="00FB4D29" w:rsidRPr="00F82365" w:rsidRDefault="00D5329B" w:rsidP="00750621">
      <w:pPr>
        <w:autoSpaceDE w:val="0"/>
        <w:autoSpaceDN w:val="0"/>
        <w:adjustRightInd w:val="0"/>
        <w:snapToGrid w:val="0"/>
        <w:spacing w:line="360" w:lineRule="auto"/>
        <w:ind w:firstLineChars="200" w:firstLine="422"/>
        <w:jc w:val="left"/>
        <w:rPr>
          <w:rFonts w:ascii="宋体" w:hAnsi="宋体"/>
          <w:b/>
          <w:szCs w:val="24"/>
        </w:rPr>
      </w:pPr>
      <w:r>
        <w:rPr>
          <w:rFonts w:ascii="宋体" w:hAnsi="宋体" w:hint="eastAsia"/>
          <w:b/>
          <w:szCs w:val="24"/>
        </w:rPr>
        <w:t>（四</w:t>
      </w:r>
      <w:r w:rsidRPr="00BB248E">
        <w:rPr>
          <w:rFonts w:ascii="宋体" w:hAnsi="宋体" w:hint="eastAsia"/>
          <w:b/>
          <w:szCs w:val="24"/>
        </w:rPr>
        <w:t>）</w:t>
      </w:r>
      <w:r w:rsidR="00CF4592" w:rsidRPr="00BB248E">
        <w:rPr>
          <w:rFonts w:ascii="宋体" w:hAnsi="宋体" w:hint="eastAsia"/>
          <w:b/>
          <w:szCs w:val="24"/>
        </w:rPr>
        <w:t>估值方法</w:t>
      </w:r>
    </w:p>
    <w:p w14:paraId="6BFE12F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0D2B79BC" w14:textId="7B33A86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w:t>
      </w:r>
      <w:r w:rsidR="005D04FD">
        <w:rPr>
          <w:rFonts w:ascii="宋体" w:hAnsi="宋体" w:hint="eastAsia"/>
          <w:sz w:val="24"/>
        </w:rPr>
        <w:t>等</w:t>
      </w:r>
      <w:r>
        <w:rPr>
          <w:rFonts w:ascii="宋体" w:hAnsi="宋体"/>
          <w:sz w:val="24"/>
        </w:rPr>
        <w:t>），以其估值日在证券交易所挂牌的</w:t>
      </w:r>
      <w:r>
        <w:rPr>
          <w:rFonts w:ascii="宋体" w:hAnsi="宋体"/>
          <w:sz w:val="24"/>
        </w:rPr>
        <w:lastRenderedPageBreak/>
        <w:t>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E9E4A8" w14:textId="4557143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w:t>
      </w:r>
      <w:r w:rsidR="00922FF4">
        <w:rPr>
          <w:rFonts w:hint="eastAsia"/>
          <w:bCs/>
          <w:sz w:val="24"/>
          <w:szCs w:val="24"/>
        </w:rPr>
        <w:t>估值日</w:t>
      </w:r>
      <w:r>
        <w:rPr>
          <w:rFonts w:ascii="宋体" w:hAnsi="宋体"/>
          <w:sz w:val="24"/>
        </w:rPr>
        <w:t>第三方估值机构提供的相应品种当日的估值净价进行估值；</w:t>
      </w:r>
    </w:p>
    <w:p w14:paraId="42F5E62F" w14:textId="5B0248D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（3）交易所市场上市交易的可转换债券，按估值日收盘价减去可转换债券收盘价中所含债券</w:t>
      </w:r>
      <w:r w:rsidR="00922FF4">
        <w:rPr>
          <w:rFonts w:hint="eastAsia"/>
          <w:bCs/>
          <w:sz w:val="24"/>
        </w:rPr>
        <w:t>（税后）</w:t>
      </w:r>
      <w:r>
        <w:rPr>
          <w:rFonts w:ascii="宋体" w:hAnsi="宋体"/>
          <w:sz w:val="24"/>
        </w:rPr>
        <w:t>应收利息后得到的净价进行估值；</w:t>
      </w:r>
      <w:r w:rsidR="00922FF4">
        <w:rPr>
          <w:rFonts w:hint="eastAsia"/>
          <w:bCs/>
          <w:sz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3924D466" w14:textId="16F07AFB" w:rsidR="00922FF4" w:rsidRPr="00922FF4" w:rsidRDefault="00CF4592" w:rsidP="00922FF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（4）交易所</w:t>
      </w:r>
      <w:r w:rsidR="00922FF4" w:rsidRPr="00922FF4">
        <w:rPr>
          <w:rFonts w:ascii="宋体" w:hAnsi="宋体" w:hint="eastAsia"/>
          <w:sz w:val="24"/>
        </w:rPr>
        <w:t>上市实行全价交易的债券（可转债除外），选取第三方估值机构提供的估值全价减去估值全价中所含的债券（税后）应收利息得到的净价进行估值；</w:t>
      </w:r>
    </w:p>
    <w:p w14:paraId="54F51463" w14:textId="77777777" w:rsidR="00922FF4" w:rsidRPr="00922FF4" w:rsidRDefault="00922FF4" w:rsidP="00922FF4">
      <w:pPr>
        <w:autoSpaceDE w:val="0"/>
        <w:autoSpaceDN w:val="0"/>
        <w:adjustRightInd w:val="0"/>
        <w:snapToGrid w:val="0"/>
        <w:spacing w:line="360" w:lineRule="auto"/>
        <w:ind w:firstLineChars="200" w:firstLine="480"/>
        <w:jc w:val="left"/>
        <w:rPr>
          <w:rFonts w:ascii="宋体" w:hAnsi="宋体"/>
          <w:sz w:val="24"/>
        </w:rPr>
      </w:pPr>
      <w:r w:rsidRPr="00922FF4">
        <w:rPr>
          <w:rFonts w:ascii="宋体" w:hAnsi="宋体" w:hint="eastAsia"/>
          <w:sz w:val="24"/>
        </w:rPr>
        <w:t>（5）交易所上市不存在活跃市场的有价证券，采用估值技术确定公允价值。交易所市场挂牌转让的资产支持证券，采用估值技术确定公允价值；</w:t>
      </w:r>
    </w:p>
    <w:p w14:paraId="6FF5B64F" w14:textId="77777777" w:rsidR="00922FF4" w:rsidRDefault="00922FF4">
      <w:pPr>
        <w:autoSpaceDE w:val="0"/>
        <w:autoSpaceDN w:val="0"/>
        <w:adjustRightInd w:val="0"/>
        <w:snapToGrid w:val="0"/>
        <w:spacing w:line="360" w:lineRule="auto"/>
        <w:ind w:firstLineChars="200" w:firstLine="480"/>
        <w:jc w:val="left"/>
        <w:rPr>
          <w:rFonts w:ascii="宋体" w:hAnsi="宋体"/>
          <w:sz w:val="24"/>
        </w:rPr>
      </w:pPr>
      <w:r w:rsidRPr="00922FF4">
        <w:rPr>
          <w:rFonts w:ascii="宋体" w:hAnsi="宋体"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E5D7E7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2、证券交易所发行未上市期间的有价证券应区分如下情况处理：</w:t>
      </w:r>
    </w:p>
    <w:p w14:paraId="03C90894" w14:textId="5D0E4D1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r w:rsidR="00922FF4">
        <w:rPr>
          <w:bCs/>
          <w:sz w:val="24"/>
        </w:rPr>
        <w:t>该日无交易的，以最近一日的市价（收盘价）估值；</w:t>
      </w:r>
    </w:p>
    <w:p w14:paraId="525AC079" w14:textId="0633715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（2）首次公开发行未上市的股票和</w:t>
      </w:r>
      <w:r w:rsidR="00922FF4">
        <w:rPr>
          <w:rFonts w:hint="eastAsia"/>
          <w:bCs/>
          <w:sz w:val="24"/>
          <w:szCs w:val="24"/>
        </w:rPr>
        <w:t>债券</w:t>
      </w:r>
      <w:r>
        <w:rPr>
          <w:rFonts w:ascii="宋体" w:hAnsi="宋体"/>
          <w:sz w:val="24"/>
        </w:rPr>
        <w:t>，采用估值技术确定公允价值</w:t>
      </w:r>
      <w:r w:rsidR="00922FF4" w:rsidRPr="00922FF4">
        <w:rPr>
          <w:rFonts w:ascii="宋体" w:hAnsi="宋体" w:hint="eastAsia"/>
          <w:sz w:val="24"/>
        </w:rPr>
        <w:t>，在估值技术难以可靠计量公允价值的情况下，按成本估值</w:t>
      </w:r>
      <w:r>
        <w:rPr>
          <w:rFonts w:ascii="宋体" w:hAnsi="宋体"/>
          <w:sz w:val="24"/>
        </w:rPr>
        <w:t>；</w:t>
      </w:r>
    </w:p>
    <w:p w14:paraId="141665E6" w14:textId="77777777" w:rsidR="00922FF4" w:rsidRDefault="00CF4592" w:rsidP="00922FF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922FF4" w:rsidRPr="00922FF4">
        <w:rPr>
          <w:rFonts w:ascii="宋体" w:hAnsi="宋体"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w:t>
      </w:r>
      <w:r w:rsidR="00922FF4" w:rsidRPr="00922FF4">
        <w:rPr>
          <w:rFonts w:ascii="宋体" w:hAnsi="宋体" w:hint="eastAsia"/>
          <w:sz w:val="24"/>
        </w:rPr>
        <w:lastRenderedPageBreak/>
        <w:t>构或行业协会有关规定确定公允价值。</w:t>
      </w:r>
    </w:p>
    <w:p w14:paraId="2364F217" w14:textId="34F02032" w:rsidR="00FB4D29" w:rsidRDefault="00CF4592" w:rsidP="00922FF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922FF4" w:rsidRPr="00922FF4">
        <w:rPr>
          <w:rFonts w:ascii="宋体" w:hAnsi="宋体"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2A81E3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14:paraId="1DCB6B35" w14:textId="77777777" w:rsidR="00922FF4" w:rsidRPr="00922FF4" w:rsidRDefault="00CF4592" w:rsidP="00922FF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922FF4" w:rsidRPr="00922FF4">
        <w:rPr>
          <w:rFonts w:ascii="宋体" w:hAnsi="宋体" w:hint="eastAsia"/>
          <w:sz w:val="24"/>
        </w:rPr>
        <w:t>同一证券同时在两个或两个以上市场交易的，按证券所处的市场分别估值。</w:t>
      </w:r>
    </w:p>
    <w:p w14:paraId="1FDC9950" w14:textId="77777777" w:rsidR="00922FF4" w:rsidRPr="00922FF4" w:rsidRDefault="00922FF4" w:rsidP="00922FF4">
      <w:pPr>
        <w:autoSpaceDE w:val="0"/>
        <w:autoSpaceDN w:val="0"/>
        <w:adjustRightInd w:val="0"/>
        <w:snapToGrid w:val="0"/>
        <w:spacing w:line="360" w:lineRule="auto"/>
        <w:ind w:firstLineChars="200" w:firstLine="480"/>
        <w:jc w:val="left"/>
        <w:rPr>
          <w:rFonts w:ascii="宋体" w:hAnsi="宋体"/>
          <w:sz w:val="24"/>
        </w:rPr>
      </w:pPr>
      <w:r w:rsidRPr="00922FF4">
        <w:rPr>
          <w:rFonts w:ascii="宋体" w:hAnsi="宋体" w:hint="eastAsia"/>
          <w:sz w:val="24"/>
        </w:rPr>
        <w:t>估值计算中涉及港币对人民币汇率的，将依据下列信息提供机构所提供的汇率为基准：当日中国人民银行或其授权机构公布的人民币汇率中间价。</w:t>
      </w:r>
    </w:p>
    <w:p w14:paraId="6CF2495B" w14:textId="77777777" w:rsidR="00922FF4" w:rsidRPr="00922FF4" w:rsidRDefault="00922FF4" w:rsidP="00922FF4">
      <w:pPr>
        <w:autoSpaceDE w:val="0"/>
        <w:autoSpaceDN w:val="0"/>
        <w:adjustRightInd w:val="0"/>
        <w:snapToGrid w:val="0"/>
        <w:spacing w:line="360" w:lineRule="auto"/>
        <w:ind w:firstLineChars="200" w:firstLine="480"/>
        <w:jc w:val="left"/>
        <w:rPr>
          <w:rFonts w:ascii="宋体" w:hAnsi="宋体"/>
          <w:sz w:val="24"/>
        </w:rPr>
      </w:pPr>
      <w:r w:rsidRPr="00922FF4">
        <w:rPr>
          <w:rFonts w:ascii="宋体" w:hAnsi="宋体"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D33A746" w14:textId="0937F1BE" w:rsidR="00FB4D29" w:rsidRDefault="00922FF4" w:rsidP="000E2B98">
      <w:pPr>
        <w:autoSpaceDE w:val="0"/>
        <w:autoSpaceDN w:val="0"/>
        <w:adjustRightInd w:val="0"/>
        <w:snapToGrid w:val="0"/>
        <w:spacing w:line="360" w:lineRule="auto"/>
        <w:ind w:firstLineChars="200" w:firstLine="480"/>
        <w:jc w:val="left"/>
        <w:rPr>
          <w:rFonts w:ascii="宋体" w:hAnsi="宋体"/>
          <w:szCs w:val="24"/>
        </w:rPr>
      </w:pPr>
      <w:r w:rsidRPr="00922FF4">
        <w:rPr>
          <w:rFonts w:ascii="宋体" w:hAnsi="宋体" w:hint="eastAsia"/>
          <w:sz w:val="24"/>
        </w:rPr>
        <w:t>6、</w:t>
      </w:r>
      <w:r w:rsidR="00CF4592">
        <w:rPr>
          <w:rFonts w:ascii="宋体" w:hAnsi="宋体"/>
          <w:sz w:val="24"/>
        </w:rPr>
        <w:t>摆动定价机制：</w:t>
      </w:r>
      <w:r>
        <w:rPr>
          <w:rFonts w:ascii="宋体" w:hAnsi="宋体" w:hint="eastAsia"/>
          <w:sz w:val="24"/>
        </w:rPr>
        <w:t>当</w:t>
      </w:r>
      <w:r w:rsidR="00CF4592">
        <w:rPr>
          <w:rFonts w:ascii="宋体" w:hAnsi="宋体"/>
          <w:sz w:val="24"/>
        </w:rPr>
        <w:t>发生大额申购或赎回情形时，基金管理人可以对本基金采用摆动定价机制，以确保基金估值的公平性。</w:t>
      </w:r>
    </w:p>
    <w:p w14:paraId="61A4D96E" w14:textId="4241C08B" w:rsidR="00FB4D29" w:rsidRDefault="000E2B9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CF4592">
        <w:rPr>
          <w:rFonts w:ascii="宋体" w:hAnsi="宋体"/>
          <w:sz w:val="24"/>
        </w:rPr>
        <w:t>、本基金投资存托凭证的估值核算依照境内上市交易的股票执行。</w:t>
      </w:r>
    </w:p>
    <w:p w14:paraId="34C18A58" w14:textId="529683C1" w:rsidR="000E2B98" w:rsidRPr="000E2B98" w:rsidRDefault="000E2B98" w:rsidP="000E2B98">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0E2B98">
        <w:rPr>
          <w:rFonts w:ascii="宋体" w:hAnsi="宋体" w:hint="eastAsia"/>
          <w:sz w:val="24"/>
        </w:rPr>
        <w:t>如有确凿证据表明按上述方法进行估值不能客观反映其公允价值的，基金管理人可根据具体情况与基金托管人商定后，按最能反映公允价值的方法估值。</w:t>
      </w:r>
    </w:p>
    <w:p w14:paraId="0C364939" w14:textId="45BD9419" w:rsidR="00FB4D29" w:rsidRDefault="00922FF4" w:rsidP="000E2B9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F4592">
        <w:rPr>
          <w:rFonts w:ascii="宋体" w:hAnsi="宋体"/>
          <w:sz w:val="24"/>
        </w:rPr>
        <w:t>、相关法律法规以及监管部门有强制规定的，从其规定。如有新增事项，按</w:t>
      </w:r>
      <w:r w:rsidRPr="00922FF4">
        <w:rPr>
          <w:rFonts w:ascii="宋体" w:hAnsi="宋体" w:hint="eastAsia"/>
          <w:sz w:val="24"/>
        </w:rPr>
        <w:t>国家</w:t>
      </w:r>
      <w:r w:rsidR="00CF4592">
        <w:rPr>
          <w:rFonts w:ascii="宋体" w:hAnsi="宋体"/>
          <w:sz w:val="24"/>
        </w:rPr>
        <w:t>最新规定估值。</w:t>
      </w:r>
    </w:p>
    <w:p w14:paraId="19A3D7A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D947071" w14:textId="14E74E3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w:t>
      </w:r>
      <w:r>
        <w:rPr>
          <w:rFonts w:ascii="宋体" w:hAnsi="宋体"/>
          <w:sz w:val="24"/>
        </w:rPr>
        <w:lastRenderedPageBreak/>
        <w:t>担。本基金的基金会计责任方由基金管理人担任，因此，就与本基金有关的会计问题，如经相关各方在平等基础上充分讨论后，仍无法达成一致的意见，按照基金管理人对基金净值</w:t>
      </w:r>
      <w:r w:rsidR="00827B93">
        <w:rPr>
          <w:rFonts w:ascii="宋体" w:hAnsi="宋体" w:hint="eastAsia"/>
          <w:sz w:val="24"/>
        </w:rPr>
        <w:t>信息</w:t>
      </w:r>
      <w:r>
        <w:rPr>
          <w:rFonts w:ascii="宋体" w:hAnsi="宋体"/>
          <w:sz w:val="24"/>
        </w:rPr>
        <w:t>的计算结果对外予以公布。</w:t>
      </w:r>
    </w:p>
    <w:p w14:paraId="02AA6BEE" w14:textId="08B134C2"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922FF4">
        <w:rPr>
          <w:rFonts w:ascii="宋体" w:hAnsi="宋体" w:hint="eastAsia"/>
          <w:b/>
          <w:szCs w:val="24"/>
        </w:rPr>
        <w:t>五</w:t>
      </w:r>
      <w:r w:rsidRPr="00BB248E">
        <w:rPr>
          <w:rFonts w:ascii="宋体" w:hAnsi="宋体" w:hint="eastAsia"/>
          <w:b/>
          <w:szCs w:val="24"/>
        </w:rPr>
        <w:t>）估值程序</w:t>
      </w:r>
    </w:p>
    <w:p w14:paraId="5EFB4ADF" w14:textId="36C07A2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922FF4">
        <w:rPr>
          <w:rFonts w:hint="eastAsia"/>
          <w:bCs/>
          <w:sz w:val="24"/>
        </w:rPr>
        <w:t>各类</w:t>
      </w:r>
      <w:r w:rsidR="00922FF4" w:rsidRPr="00035652">
        <w:rPr>
          <w:bCs/>
          <w:sz w:val="24"/>
        </w:rPr>
        <w:t>基金份额</w:t>
      </w:r>
      <w:r w:rsidR="00922FF4">
        <w:rPr>
          <w:rFonts w:hint="eastAsia"/>
          <w:bCs/>
          <w:sz w:val="24"/>
        </w:rPr>
        <w:t>的</w:t>
      </w:r>
      <w:r>
        <w:rPr>
          <w:rFonts w:ascii="宋体" w:hAnsi="宋体"/>
          <w:sz w:val="24"/>
        </w:rPr>
        <w:t>基金份额净值是按照每个工作日闭市后，</w:t>
      </w:r>
      <w:r w:rsidR="00922FF4">
        <w:rPr>
          <w:rFonts w:hint="eastAsia"/>
          <w:bCs/>
          <w:sz w:val="24"/>
        </w:rPr>
        <w:t>该类基金份额的</w:t>
      </w:r>
      <w:r>
        <w:rPr>
          <w:rFonts w:ascii="宋体" w:hAnsi="宋体"/>
          <w:sz w:val="24"/>
        </w:rPr>
        <w:t>基金资产净值除以当日</w:t>
      </w:r>
      <w:r w:rsidR="00922FF4">
        <w:rPr>
          <w:rFonts w:hint="eastAsia"/>
          <w:bCs/>
          <w:sz w:val="24"/>
        </w:rPr>
        <w:t>该类</w:t>
      </w:r>
      <w:r>
        <w:rPr>
          <w:rFonts w:ascii="宋体" w:hAnsi="宋体"/>
          <w:sz w:val="24"/>
        </w:rPr>
        <w:t>基金份额的余额数量计算，精确到0.0001元，小数点后第五位四舍五入。</w:t>
      </w:r>
      <w:r w:rsidR="00922FF4" w:rsidRPr="0081623D">
        <w:rPr>
          <w:rFonts w:hint="eastAsia"/>
          <w:bCs/>
          <w:sz w:val="24"/>
        </w:rPr>
        <w:t>基金管理人可以设立大额赎回情形下的净值精度应急调整机制，具体可参见相关公告。</w:t>
      </w:r>
      <w:r>
        <w:rPr>
          <w:rFonts w:ascii="宋体" w:hAnsi="宋体"/>
          <w:sz w:val="24"/>
        </w:rPr>
        <w:t>国家另有规定的，从其规定。</w:t>
      </w:r>
    </w:p>
    <w:p w14:paraId="69743CCE" w14:textId="1141AB9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w:t>
      </w:r>
      <w:r w:rsidR="00922FF4">
        <w:rPr>
          <w:rFonts w:hint="eastAsia"/>
          <w:bCs/>
          <w:sz w:val="24"/>
        </w:rPr>
        <w:t>各类基金份额的</w:t>
      </w:r>
      <w:r>
        <w:rPr>
          <w:rFonts w:ascii="宋体" w:hAnsi="宋体"/>
          <w:sz w:val="24"/>
        </w:rPr>
        <w:t>基金资产净值及基金份额净值，并按规定公告。如遇特殊情况，经</w:t>
      </w:r>
      <w:r w:rsidR="00827B93">
        <w:rPr>
          <w:rFonts w:hint="eastAsia"/>
          <w:bCs/>
          <w:sz w:val="24"/>
        </w:rPr>
        <w:t>履行适当</w:t>
      </w:r>
      <w:r w:rsidR="00827B93">
        <w:rPr>
          <w:bCs/>
          <w:sz w:val="24"/>
        </w:rPr>
        <w:t>程序</w:t>
      </w:r>
      <w:r>
        <w:rPr>
          <w:rFonts w:ascii="宋体" w:hAnsi="宋体"/>
          <w:sz w:val="24"/>
        </w:rPr>
        <w:t>，可以适当延迟计算或公告。</w:t>
      </w:r>
    </w:p>
    <w:p w14:paraId="2B4D9BFB" w14:textId="4CCACEB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022220">
        <w:rPr>
          <w:rFonts w:ascii="宋体" w:hAnsi="宋体" w:hint="eastAsia"/>
          <w:sz w:val="24"/>
        </w:rPr>
        <w:t>各类</w:t>
      </w:r>
      <w:r>
        <w:rPr>
          <w:rFonts w:ascii="宋体" w:hAnsi="宋体"/>
          <w:sz w:val="24"/>
        </w:rPr>
        <w:t>基金份额净值结果发送基金托管人，经基金托管人复核无误后，由基金管理人依据基金合同的约定和相关法律法规的规定对外公布。</w:t>
      </w:r>
    </w:p>
    <w:p w14:paraId="5B65AA4C" w14:textId="1F610478"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922FF4">
        <w:rPr>
          <w:rFonts w:ascii="宋体" w:hAnsi="宋体" w:hint="eastAsia"/>
          <w:b/>
          <w:szCs w:val="24"/>
        </w:rPr>
        <w:t>六</w:t>
      </w:r>
      <w:r w:rsidRPr="00BB248E">
        <w:rPr>
          <w:rFonts w:ascii="宋体" w:hAnsi="宋体" w:hint="eastAsia"/>
          <w:b/>
          <w:szCs w:val="24"/>
        </w:rPr>
        <w:t>）估值错误的处理</w:t>
      </w:r>
    </w:p>
    <w:p w14:paraId="664315B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36A46A0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5C84DEB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0601D1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3247FD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0EC885B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3DBD58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对于因技术原因引起的差错，若系同行业现有技术水平无法预见、无法避免、无法抗拒，则属不可抗力。</w:t>
      </w:r>
    </w:p>
    <w:p w14:paraId="23F33D0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5780DB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29B2910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727CD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3D2BAF3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FED1DB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569A5F7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7B4DD5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7409B3E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33471E6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4A66108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48953DA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w:t>
      </w:r>
      <w:r>
        <w:rPr>
          <w:rFonts w:ascii="宋体" w:hAnsi="宋体"/>
          <w:sz w:val="24"/>
        </w:rPr>
        <w:lastRenderedPageBreak/>
        <w:t>正和赔偿损失；</w:t>
      </w:r>
    </w:p>
    <w:p w14:paraId="206BCA8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624544C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166B844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35BF057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7C41865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78CC7958" w14:textId="67F53B0B"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922FF4">
        <w:rPr>
          <w:rFonts w:ascii="宋体" w:hAnsi="宋体" w:hint="eastAsia"/>
          <w:b/>
          <w:szCs w:val="24"/>
        </w:rPr>
        <w:t>七</w:t>
      </w:r>
      <w:r w:rsidRPr="00BB248E">
        <w:rPr>
          <w:rFonts w:ascii="宋体" w:hAnsi="宋体" w:hint="eastAsia"/>
          <w:b/>
          <w:szCs w:val="24"/>
        </w:rPr>
        <w:t>）暂停估值的情形</w:t>
      </w:r>
    </w:p>
    <w:p w14:paraId="575823F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14:paraId="6B68DCC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30EB7A0B" w14:textId="45E711D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w:t>
      </w:r>
      <w:r w:rsidR="00922FF4">
        <w:rPr>
          <w:rFonts w:hint="eastAsia"/>
          <w:bCs/>
          <w:sz w:val="24"/>
        </w:rPr>
        <w:t>特定资产占</w:t>
      </w:r>
      <w:r>
        <w:rPr>
          <w:rFonts w:ascii="宋体" w:hAnsi="宋体"/>
          <w:sz w:val="24"/>
        </w:rPr>
        <w:t>前一估值日基金资产净值50%以上的，经与基金托管人协商一致的，基金</w:t>
      </w:r>
      <w:r w:rsidR="00922FF4">
        <w:rPr>
          <w:rFonts w:ascii="宋体" w:hAnsi="宋体" w:hint="eastAsia"/>
          <w:sz w:val="24"/>
        </w:rPr>
        <w:t>管理人</w:t>
      </w:r>
      <w:r>
        <w:rPr>
          <w:rFonts w:ascii="宋体" w:hAnsi="宋体"/>
          <w:sz w:val="24"/>
        </w:rPr>
        <w:t>应当暂停估值；</w:t>
      </w:r>
    </w:p>
    <w:p w14:paraId="54B5BC41" w14:textId="04DF647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w:t>
      </w:r>
      <w:r w:rsidR="00922FF4">
        <w:rPr>
          <w:rFonts w:ascii="宋体" w:hAnsi="宋体" w:hint="eastAsia"/>
          <w:sz w:val="24"/>
        </w:rPr>
        <w:t>、</w:t>
      </w:r>
      <w:r>
        <w:rPr>
          <w:rFonts w:ascii="宋体" w:hAnsi="宋体"/>
          <w:sz w:val="24"/>
        </w:rPr>
        <w:t>中国证监会和基金合同</w:t>
      </w:r>
      <w:r w:rsidR="00922FF4">
        <w:rPr>
          <w:rFonts w:ascii="宋体" w:hAnsi="宋体" w:hint="eastAsia"/>
          <w:sz w:val="24"/>
        </w:rPr>
        <w:t>认</w:t>
      </w:r>
      <w:r>
        <w:rPr>
          <w:rFonts w:ascii="宋体" w:hAnsi="宋体"/>
          <w:sz w:val="24"/>
        </w:rPr>
        <w:t>定的其它情形。</w:t>
      </w:r>
    </w:p>
    <w:p w14:paraId="5B03F5A9" w14:textId="091E46BC"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922FF4">
        <w:rPr>
          <w:rFonts w:ascii="宋体" w:hAnsi="宋体" w:hint="eastAsia"/>
          <w:b/>
          <w:szCs w:val="24"/>
        </w:rPr>
        <w:t>八</w:t>
      </w:r>
      <w:r w:rsidRPr="00BB248E">
        <w:rPr>
          <w:rFonts w:ascii="宋体" w:hAnsi="宋体" w:hint="eastAsia"/>
          <w:b/>
          <w:szCs w:val="24"/>
        </w:rPr>
        <w:t>）基金净值的确认</w:t>
      </w:r>
    </w:p>
    <w:p w14:paraId="41F42B63" w14:textId="698C466D" w:rsidR="00FB4D29" w:rsidRDefault="001401E3">
      <w:pPr>
        <w:autoSpaceDE w:val="0"/>
        <w:autoSpaceDN w:val="0"/>
        <w:adjustRightInd w:val="0"/>
        <w:snapToGrid w:val="0"/>
        <w:spacing w:line="360" w:lineRule="auto"/>
        <w:ind w:firstLineChars="200" w:firstLine="480"/>
        <w:jc w:val="left"/>
        <w:rPr>
          <w:rFonts w:ascii="宋体" w:hAnsi="宋体"/>
          <w:szCs w:val="24"/>
        </w:rPr>
      </w:pPr>
      <w:r w:rsidRPr="001401E3">
        <w:rPr>
          <w:rFonts w:ascii="宋体" w:hAnsi="宋体" w:hint="eastAsia"/>
          <w:sz w:val="24"/>
        </w:rPr>
        <w:t>各类基金份额的</w:t>
      </w:r>
      <w:r w:rsidR="00CF4592">
        <w:rPr>
          <w:rFonts w:ascii="宋体" w:hAnsi="宋体"/>
          <w:sz w:val="24"/>
        </w:rPr>
        <w:t>基金资产净值和基金份额净值由基金管理人负责计算，基金托管人负责进行复核。基金管理人应于每个开放日交易结束后计算当日</w:t>
      </w:r>
      <w:r>
        <w:rPr>
          <w:rFonts w:hint="eastAsia"/>
          <w:bCs/>
          <w:sz w:val="24"/>
        </w:rPr>
        <w:t>各类基金份额</w:t>
      </w:r>
      <w:r w:rsidR="00CF4592">
        <w:rPr>
          <w:rFonts w:ascii="宋体" w:hAnsi="宋体"/>
          <w:sz w:val="24"/>
        </w:rPr>
        <w:t>的基金资产净值和基金份额净值并发送给基金托管人。基金托管人对净值计算结果复核确认后发送给基金管理人，由基金管理人依据基金合同和相关法律法规的规定对基金净值予以公布。</w:t>
      </w:r>
    </w:p>
    <w:p w14:paraId="4F314A62" w14:textId="4576C34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1401E3">
        <w:rPr>
          <w:rFonts w:ascii="宋体" w:hAnsi="宋体" w:hint="eastAsia"/>
          <w:b/>
          <w:szCs w:val="24"/>
        </w:rPr>
        <w:t>九</w:t>
      </w:r>
      <w:r w:rsidRPr="00BB248E">
        <w:rPr>
          <w:rFonts w:ascii="宋体" w:hAnsi="宋体" w:hint="eastAsia"/>
          <w:b/>
          <w:szCs w:val="24"/>
        </w:rPr>
        <w:t>）特殊情形的处理</w:t>
      </w:r>
    </w:p>
    <w:p w14:paraId="30FF6E24" w14:textId="782E420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w:t>
      </w:r>
      <w:r w:rsidR="000E2B98">
        <w:rPr>
          <w:rFonts w:ascii="宋体" w:hAnsi="宋体"/>
          <w:sz w:val="24"/>
        </w:rPr>
        <w:t>8</w:t>
      </w:r>
      <w:r>
        <w:rPr>
          <w:rFonts w:ascii="宋体" w:hAnsi="宋体"/>
          <w:sz w:val="24"/>
        </w:rPr>
        <w:t>项进行估值时，所造成的误差不作为基金资产估值错误处理。</w:t>
      </w:r>
    </w:p>
    <w:p w14:paraId="52311B11" w14:textId="3D19D8E6" w:rsidR="00FB4D29" w:rsidRDefault="00CF4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w:t>
      </w:r>
      <w:r>
        <w:rPr>
          <w:rFonts w:ascii="宋体" w:hAnsi="宋体"/>
          <w:sz w:val="24"/>
        </w:rPr>
        <w:lastRenderedPageBreak/>
        <w:t>的措施减轻或消除由此造成的影响。</w:t>
      </w:r>
    </w:p>
    <w:p w14:paraId="36F27745" w14:textId="2B42A4C8" w:rsidR="001401E3" w:rsidRPr="00F82365" w:rsidRDefault="001401E3" w:rsidP="001401E3">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w:t>
      </w:r>
      <w:r>
        <w:rPr>
          <w:rFonts w:ascii="宋体" w:hAnsi="宋体" w:hint="eastAsia"/>
          <w:b/>
          <w:szCs w:val="24"/>
        </w:rPr>
        <w:t>十</w:t>
      </w:r>
      <w:r w:rsidRPr="00BB248E">
        <w:rPr>
          <w:rFonts w:ascii="宋体" w:hAnsi="宋体" w:hint="eastAsia"/>
          <w:b/>
          <w:szCs w:val="24"/>
        </w:rPr>
        <w:t>）</w:t>
      </w:r>
      <w:r w:rsidRPr="00F82365">
        <w:rPr>
          <w:rFonts w:ascii="宋体" w:hAnsi="宋体" w:hint="eastAsia"/>
          <w:b/>
          <w:szCs w:val="24"/>
        </w:rPr>
        <w:t>实施侧袋机制期间的基金资产估值</w:t>
      </w:r>
    </w:p>
    <w:p w14:paraId="23A2BDD1" w14:textId="0ED662D8" w:rsidR="001401E3" w:rsidRPr="00F82365" w:rsidRDefault="001401E3" w:rsidP="001401E3">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本基金实施侧袋机制的，应根据本部分的约定对主袋账户资产进行估值并披露主袋账户的基金净值信息，暂停披露侧袋账户份额净值。</w:t>
      </w:r>
    </w:p>
    <w:p w14:paraId="5A36BA30"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27F8E41C" w14:textId="21A8BC99" w:rsidR="00FB4D29" w:rsidRDefault="00CF4592">
      <w:pPr>
        <w:pStyle w:val="1"/>
        <w:snapToGrid w:val="0"/>
        <w:spacing w:beforeLines="0" w:before="240" w:after="240"/>
        <w:rPr>
          <w:rFonts w:ascii="宋体" w:hAnsi="宋体"/>
          <w:szCs w:val="30"/>
        </w:rPr>
      </w:pPr>
      <w:r>
        <w:rPr>
          <w:rFonts w:ascii="宋体" w:hAnsi="宋体"/>
          <w:sz w:val="24"/>
        </w:rPr>
        <w:br w:type="page"/>
      </w:r>
      <w:bookmarkStart w:id="17" w:name="_Toc107476033"/>
      <w:r>
        <w:rPr>
          <w:rFonts w:ascii="Times New Roman" w:hAnsi="Times New Roman"/>
          <w:sz w:val="30"/>
        </w:rPr>
        <w:lastRenderedPageBreak/>
        <w:t>十四、基金收益与分配</w:t>
      </w:r>
      <w:bookmarkEnd w:id="17"/>
    </w:p>
    <w:p w14:paraId="1253C63D"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（一）基金利润的构成</w:t>
      </w:r>
    </w:p>
    <w:p w14:paraId="32E8D1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28B05BD8"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（二）基金可供分配利润</w:t>
      </w:r>
    </w:p>
    <w:p w14:paraId="10C02DE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37ADFF37"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（三）基金收益分配原则</w:t>
      </w:r>
    </w:p>
    <w:p w14:paraId="2924A3F8" w14:textId="64AD9E8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0E4EEC" w:rsidRPr="00D9352C">
        <w:rPr>
          <w:rFonts w:hint="eastAsia"/>
          <w:bCs/>
          <w:sz w:val="24"/>
        </w:rPr>
        <w:t>在符合有关基金分红条件的前提下，本基金管理人可以根据实际情况进行收益分配，具体分配方案以公告为准，</w:t>
      </w:r>
      <w:r>
        <w:rPr>
          <w:rFonts w:ascii="宋体" w:hAnsi="宋体"/>
          <w:sz w:val="24"/>
        </w:rPr>
        <w:t>若《基金合同》生效不满3个月可不进行收益分配；</w:t>
      </w:r>
    </w:p>
    <w:p w14:paraId="7DB32367" w14:textId="53A0541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w:t>
      </w:r>
      <w:r w:rsidR="000E4EEC">
        <w:rPr>
          <w:rFonts w:hint="eastAsia"/>
          <w:bCs/>
          <w:sz w:val="24"/>
        </w:rPr>
        <w:t>相应类别的</w:t>
      </w:r>
      <w:r>
        <w:rPr>
          <w:rFonts w:ascii="宋体" w:hAnsi="宋体"/>
          <w:sz w:val="24"/>
        </w:rPr>
        <w:t>基金份额进行再投资；若投资者不选择，本基金默认的收益分配方式是现金分红；</w:t>
      </w:r>
      <w:r w:rsidR="000E4EEC" w:rsidRPr="000E4EEC">
        <w:rPr>
          <w:rFonts w:ascii="宋体" w:hAnsi="宋体" w:hint="eastAsia"/>
          <w:sz w:val="24"/>
        </w:rPr>
        <w:t>基金份额持有人可对其持有的A类基金份额和C类基金份额分别选择不同的收益分配方式；</w:t>
      </w:r>
    </w:p>
    <w:p w14:paraId="5C621D1A" w14:textId="7F13FE1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w:t>
      </w:r>
      <w:r w:rsidR="000E4EEC">
        <w:rPr>
          <w:rFonts w:hint="eastAsia"/>
          <w:bCs/>
          <w:sz w:val="24"/>
        </w:rPr>
        <w:t>任一类</w:t>
      </w:r>
      <w:r>
        <w:rPr>
          <w:rFonts w:ascii="宋体" w:hAnsi="宋体"/>
          <w:sz w:val="24"/>
        </w:rPr>
        <w:t>基金份额净值不能低于面值，即基金收益分配基准日的</w:t>
      </w:r>
      <w:r w:rsidR="000E4EEC">
        <w:rPr>
          <w:rFonts w:hint="eastAsia"/>
          <w:bCs/>
          <w:sz w:val="24"/>
        </w:rPr>
        <w:t>任一类</w:t>
      </w:r>
      <w:r>
        <w:rPr>
          <w:rFonts w:ascii="宋体" w:hAnsi="宋体"/>
          <w:sz w:val="24"/>
        </w:rPr>
        <w:t>基金份额净值减去每单位</w:t>
      </w:r>
      <w:r w:rsidR="000E4EEC">
        <w:rPr>
          <w:rFonts w:hint="eastAsia"/>
          <w:bCs/>
          <w:sz w:val="24"/>
        </w:rPr>
        <w:t>该类</w:t>
      </w:r>
      <w:r>
        <w:rPr>
          <w:rFonts w:ascii="宋体" w:hAnsi="宋体"/>
          <w:sz w:val="24"/>
        </w:rPr>
        <w:t>基金份额收益分配金额后不能低于面值；</w:t>
      </w:r>
    </w:p>
    <w:p w14:paraId="3B0363DC" w14:textId="4FC9BCD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0E4EEC" w:rsidRPr="000E4EEC">
        <w:rPr>
          <w:rFonts w:ascii="宋体" w:hAnsi="宋体" w:hint="eastAsia"/>
          <w:sz w:val="24"/>
        </w:rPr>
        <w:t>由于本基金A类基金份额不收取销售服务费，C类基金份额收取销售服务费，各基金份额类别对应的可供分配利润将有所不同；本基金同一基金份额类别的</w:t>
      </w:r>
      <w:r>
        <w:rPr>
          <w:rFonts w:ascii="宋体" w:hAnsi="宋体"/>
          <w:sz w:val="24"/>
        </w:rPr>
        <w:t>每一基金份额享有同等分配权；</w:t>
      </w:r>
    </w:p>
    <w:p w14:paraId="0C1ABA9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78756AF3"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（四）收益分配方案</w:t>
      </w:r>
    </w:p>
    <w:p w14:paraId="4B94F7A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2CED4916"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（五）收益分配方案的确定、公告与实施</w:t>
      </w:r>
    </w:p>
    <w:p w14:paraId="2619AA29" w14:textId="66AADB7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w:t>
      </w:r>
      <w:r w:rsidR="003246BF">
        <w:rPr>
          <w:rFonts w:ascii="宋体" w:hAnsi="宋体"/>
          <w:sz w:val="24"/>
        </w:rPr>
        <w:t>规定媒介</w:t>
      </w:r>
      <w:r>
        <w:rPr>
          <w:rFonts w:ascii="宋体" w:hAnsi="宋体"/>
          <w:sz w:val="24"/>
        </w:rPr>
        <w:t>公告。</w:t>
      </w:r>
    </w:p>
    <w:p w14:paraId="41A1A03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708C361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4E0427EF"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（六）基金收益分配中发生的费用</w:t>
      </w:r>
    </w:p>
    <w:p w14:paraId="107CE759" w14:textId="3F9E5EE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w:t>
      </w:r>
      <w:r w:rsidR="000E4EEC">
        <w:rPr>
          <w:rFonts w:ascii="宋体" w:hAnsi="宋体" w:hint="eastAsia"/>
          <w:sz w:val="24"/>
        </w:rPr>
        <w:t>相应类别的</w:t>
      </w:r>
      <w:r>
        <w:rPr>
          <w:rFonts w:ascii="宋体" w:hAnsi="宋体"/>
          <w:sz w:val="24"/>
        </w:rPr>
        <w:t>基金份额。红利再投资的计算方法，依照《业务规则》执行。</w:t>
      </w:r>
    </w:p>
    <w:p w14:paraId="22C40DE9"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（七）收益分配方式的修改</w:t>
      </w:r>
    </w:p>
    <w:p w14:paraId="56566F8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197147D5" w14:textId="77777777" w:rsidR="001A7545" w:rsidRDefault="00CF4592" w:rsidP="001A754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投资人同一日多次申报收益分配方式变更的，按照《业务规则》执行，最终确认的收益分配方式以登记机构记录为准。</w:t>
      </w:r>
    </w:p>
    <w:p w14:paraId="4FE33D21" w14:textId="7F953077" w:rsidR="001A7545" w:rsidRPr="00F82365" w:rsidRDefault="001A7545" w:rsidP="001A7545">
      <w:pPr>
        <w:autoSpaceDE w:val="0"/>
        <w:autoSpaceDN w:val="0"/>
        <w:adjustRightInd w:val="0"/>
        <w:snapToGrid w:val="0"/>
        <w:spacing w:line="360" w:lineRule="auto"/>
        <w:ind w:firstLineChars="200" w:firstLine="422"/>
        <w:jc w:val="left"/>
        <w:rPr>
          <w:rFonts w:ascii="宋体" w:hAnsi="宋体"/>
          <w:b/>
          <w:szCs w:val="24"/>
        </w:rPr>
      </w:pPr>
      <w:r w:rsidRPr="00F82365">
        <w:rPr>
          <w:rFonts w:ascii="宋体" w:hAnsi="宋体" w:hint="eastAsia"/>
          <w:b/>
          <w:szCs w:val="24"/>
        </w:rPr>
        <w:t>（八）实施侧袋机制期间的收益分配</w:t>
      </w:r>
    </w:p>
    <w:p w14:paraId="4D0227C6" w14:textId="5BAD09A8" w:rsidR="00FB4D29" w:rsidRPr="001A7545" w:rsidRDefault="001A7545" w:rsidP="001A7545">
      <w:pPr>
        <w:autoSpaceDE w:val="0"/>
        <w:autoSpaceDN w:val="0"/>
        <w:adjustRightInd w:val="0"/>
        <w:snapToGrid w:val="0"/>
        <w:spacing w:line="360" w:lineRule="auto"/>
        <w:ind w:firstLineChars="200" w:firstLine="480"/>
        <w:jc w:val="left"/>
        <w:rPr>
          <w:rFonts w:ascii="宋体" w:hAnsi="宋体"/>
          <w:sz w:val="24"/>
        </w:rPr>
      </w:pPr>
      <w:r w:rsidRPr="001A7545">
        <w:rPr>
          <w:rFonts w:ascii="宋体" w:hAnsi="宋体" w:hint="eastAsia"/>
          <w:sz w:val="24"/>
        </w:rPr>
        <w:t>本基金实施侧袋机制的，侧袋账户不进行收益分配。</w:t>
      </w:r>
    </w:p>
    <w:p w14:paraId="6C1523C6" w14:textId="77777777" w:rsidR="000E4EEC" w:rsidRPr="000E4EEC" w:rsidRDefault="000E4EEC">
      <w:pPr>
        <w:autoSpaceDE w:val="0"/>
        <w:autoSpaceDN w:val="0"/>
        <w:adjustRightInd w:val="0"/>
        <w:snapToGrid w:val="0"/>
        <w:spacing w:line="360" w:lineRule="auto"/>
        <w:ind w:firstLineChars="200" w:firstLine="420"/>
        <w:jc w:val="left"/>
        <w:rPr>
          <w:rFonts w:ascii="宋体" w:hAnsi="宋体"/>
          <w:szCs w:val="24"/>
        </w:rPr>
      </w:pPr>
    </w:p>
    <w:p w14:paraId="1C21B2B0"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6FA8494E" w14:textId="43B22D23" w:rsidR="00FB4D29" w:rsidRDefault="00CF4592">
      <w:pPr>
        <w:pStyle w:val="1"/>
        <w:snapToGrid w:val="0"/>
        <w:spacing w:beforeLines="0" w:before="240" w:after="240"/>
        <w:rPr>
          <w:rFonts w:ascii="宋体" w:hAnsi="宋体"/>
          <w:szCs w:val="30"/>
        </w:rPr>
      </w:pPr>
      <w:r>
        <w:rPr>
          <w:rFonts w:ascii="宋体" w:hAnsi="宋体"/>
          <w:sz w:val="24"/>
        </w:rPr>
        <w:br w:type="page"/>
      </w:r>
      <w:bookmarkStart w:id="18" w:name="_Toc107476034"/>
      <w:r>
        <w:rPr>
          <w:rFonts w:ascii="Times New Roman" w:hAnsi="Times New Roman"/>
          <w:sz w:val="30"/>
        </w:rPr>
        <w:lastRenderedPageBreak/>
        <w:t>十五、基金的费用与税收</w:t>
      </w:r>
      <w:bookmarkEnd w:id="18"/>
    </w:p>
    <w:p w14:paraId="26112A4D"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（一）基金费用的种类</w:t>
      </w:r>
    </w:p>
    <w:p w14:paraId="7B9094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74954C7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1EA482C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2839A94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4720610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03778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14:paraId="2B10E59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4245BED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38F58D67" w14:textId="77777777" w:rsidR="000301A0" w:rsidRPr="000301A0" w:rsidRDefault="00CF4592" w:rsidP="000301A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0301A0" w:rsidRPr="000301A0">
        <w:rPr>
          <w:rFonts w:ascii="宋体" w:hAnsi="宋体" w:hint="eastAsia"/>
          <w:sz w:val="24"/>
        </w:rPr>
        <w:t>因投资港股通标的股票而产生的各项合理费用；</w:t>
      </w:r>
    </w:p>
    <w:p w14:paraId="3F3E74D8" w14:textId="77777777" w:rsidR="000301A0" w:rsidRPr="000301A0" w:rsidRDefault="000301A0" w:rsidP="000301A0">
      <w:pPr>
        <w:autoSpaceDE w:val="0"/>
        <w:autoSpaceDN w:val="0"/>
        <w:adjustRightInd w:val="0"/>
        <w:snapToGrid w:val="0"/>
        <w:spacing w:line="360" w:lineRule="auto"/>
        <w:ind w:firstLineChars="200" w:firstLine="480"/>
        <w:jc w:val="left"/>
        <w:rPr>
          <w:rFonts w:ascii="宋体" w:hAnsi="宋体"/>
          <w:sz w:val="24"/>
        </w:rPr>
      </w:pPr>
      <w:r w:rsidRPr="000301A0">
        <w:rPr>
          <w:rFonts w:ascii="宋体" w:hAnsi="宋体" w:hint="eastAsia"/>
          <w:sz w:val="24"/>
        </w:rPr>
        <w:t>10、本基金从C类基金份额的基金财产中计提的销售服务费；</w:t>
      </w:r>
    </w:p>
    <w:p w14:paraId="08B6C274" w14:textId="5A1566CC" w:rsidR="00FB4D29" w:rsidRDefault="000301A0" w:rsidP="000301A0">
      <w:pPr>
        <w:autoSpaceDE w:val="0"/>
        <w:autoSpaceDN w:val="0"/>
        <w:adjustRightInd w:val="0"/>
        <w:snapToGrid w:val="0"/>
        <w:spacing w:line="360" w:lineRule="auto"/>
        <w:ind w:firstLineChars="200" w:firstLine="480"/>
        <w:jc w:val="left"/>
        <w:rPr>
          <w:rFonts w:ascii="宋体" w:hAnsi="宋体"/>
          <w:szCs w:val="24"/>
        </w:rPr>
      </w:pPr>
      <w:r w:rsidRPr="000301A0">
        <w:rPr>
          <w:rFonts w:ascii="宋体" w:hAnsi="宋体" w:hint="eastAsia"/>
          <w:sz w:val="24"/>
        </w:rPr>
        <w:t>11、</w:t>
      </w:r>
      <w:r w:rsidR="00CF4592">
        <w:rPr>
          <w:rFonts w:ascii="宋体" w:hAnsi="宋体"/>
          <w:sz w:val="24"/>
        </w:rPr>
        <w:t>按照国家有关规定和《基金合同》约定，可以在基金财产中列支的其他费用。</w:t>
      </w:r>
    </w:p>
    <w:p w14:paraId="664EA425"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（二）基金费用计提方法、计提标准和支付方式</w:t>
      </w:r>
    </w:p>
    <w:p w14:paraId="71FC0E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6DCA4B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04D1515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基金管理费按基金资产净值的1.5%年费率计提。</w:t>
      </w:r>
    </w:p>
    <w:p w14:paraId="6D2983B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在通常情况下，基金管理费按前一日基金资产净值1.5%年费率计提。计算方法如下：</w:t>
      </w:r>
    </w:p>
    <w:p w14:paraId="6CAFD8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H＝E×1.5%÷当年天数</w:t>
      </w:r>
    </w:p>
    <w:p w14:paraId="310DD33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7A6DB3A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5D93295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基金管理费每日计提，按月支付。由基金管理人向基金托管人发送基金管理费划付指令，经基金托管人复核后于次月首日起3个工作日内从基金资产中一次性支付给基金管理人。</w:t>
      </w:r>
    </w:p>
    <w:p w14:paraId="71A52C9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68AC9C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0ECBB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基金托管费按基金资产净值的 0.25%年费率计提。</w:t>
      </w:r>
    </w:p>
    <w:p w14:paraId="54F34FD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在通常情况下，基金托管费按前一日基金资产净值的0.25%年费率计提。计算方法如下：</w:t>
      </w:r>
    </w:p>
    <w:p w14:paraId="1549C60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H＝E×0.25%÷当年天数</w:t>
      </w:r>
    </w:p>
    <w:p w14:paraId="4A3F418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77C2A8D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1D4528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基金托管费每日计提，按月支付。由基金管理人向基金托管人发送基金托管费划付指令，经基金托管人复核后于次月首日起3个工作日内从基金资产中一次性支付给基金托管人。</w:t>
      </w:r>
    </w:p>
    <w:p w14:paraId="496E691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1017CD0B" w14:textId="77777777" w:rsidR="000301A0" w:rsidRPr="000301A0" w:rsidRDefault="00CF4592" w:rsidP="000301A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0301A0" w:rsidRPr="000301A0">
        <w:rPr>
          <w:rFonts w:ascii="宋体" w:hAnsi="宋体" w:hint="eastAsia"/>
          <w:sz w:val="24"/>
        </w:rPr>
        <w:t>C类基金份额的销售服务费</w:t>
      </w:r>
    </w:p>
    <w:p w14:paraId="7C21E640" w14:textId="77777777" w:rsidR="000301A0" w:rsidRPr="000301A0" w:rsidRDefault="000301A0" w:rsidP="000301A0">
      <w:pPr>
        <w:autoSpaceDE w:val="0"/>
        <w:autoSpaceDN w:val="0"/>
        <w:adjustRightInd w:val="0"/>
        <w:snapToGrid w:val="0"/>
        <w:spacing w:line="360" w:lineRule="auto"/>
        <w:ind w:firstLineChars="200" w:firstLine="480"/>
        <w:jc w:val="left"/>
        <w:rPr>
          <w:rFonts w:ascii="宋体" w:hAnsi="宋体"/>
          <w:sz w:val="24"/>
        </w:rPr>
      </w:pPr>
      <w:r w:rsidRPr="000301A0">
        <w:rPr>
          <w:rFonts w:ascii="宋体" w:hAnsi="宋体" w:hint="eastAsia"/>
          <w:sz w:val="24"/>
        </w:rPr>
        <w:t>本基金A类基金份额不收取销售服务费，C类基金份额的销售服务费按前一日C类基金资产净值的0.6%年费率计提。计算方法如下：</w:t>
      </w:r>
    </w:p>
    <w:p w14:paraId="3B8B1B7D" w14:textId="77777777" w:rsidR="000301A0" w:rsidRPr="000301A0" w:rsidRDefault="000301A0" w:rsidP="000301A0">
      <w:pPr>
        <w:autoSpaceDE w:val="0"/>
        <w:autoSpaceDN w:val="0"/>
        <w:adjustRightInd w:val="0"/>
        <w:snapToGrid w:val="0"/>
        <w:spacing w:line="360" w:lineRule="auto"/>
        <w:ind w:firstLineChars="200" w:firstLine="480"/>
        <w:jc w:val="left"/>
        <w:rPr>
          <w:rFonts w:ascii="宋体" w:hAnsi="宋体"/>
          <w:sz w:val="24"/>
        </w:rPr>
      </w:pPr>
      <w:r w:rsidRPr="000301A0">
        <w:rPr>
          <w:rFonts w:ascii="宋体" w:hAnsi="宋体" w:hint="eastAsia"/>
          <w:sz w:val="24"/>
        </w:rPr>
        <w:t>H＝E×0.6%÷当年天数</w:t>
      </w:r>
    </w:p>
    <w:p w14:paraId="62AA5629" w14:textId="77777777" w:rsidR="000301A0" w:rsidRPr="000301A0" w:rsidRDefault="000301A0" w:rsidP="000301A0">
      <w:pPr>
        <w:autoSpaceDE w:val="0"/>
        <w:autoSpaceDN w:val="0"/>
        <w:adjustRightInd w:val="0"/>
        <w:snapToGrid w:val="0"/>
        <w:spacing w:line="360" w:lineRule="auto"/>
        <w:ind w:firstLineChars="200" w:firstLine="480"/>
        <w:jc w:val="left"/>
        <w:rPr>
          <w:rFonts w:ascii="宋体" w:hAnsi="宋体"/>
          <w:sz w:val="24"/>
        </w:rPr>
      </w:pPr>
      <w:r w:rsidRPr="000301A0">
        <w:rPr>
          <w:rFonts w:ascii="宋体" w:hAnsi="宋体" w:hint="eastAsia"/>
          <w:sz w:val="24"/>
        </w:rPr>
        <w:t>H为C类基金份额每日应计提的销售服务费</w:t>
      </w:r>
    </w:p>
    <w:p w14:paraId="3BB8553C" w14:textId="77777777" w:rsidR="000301A0" w:rsidRPr="000301A0" w:rsidRDefault="000301A0" w:rsidP="000301A0">
      <w:pPr>
        <w:autoSpaceDE w:val="0"/>
        <w:autoSpaceDN w:val="0"/>
        <w:adjustRightInd w:val="0"/>
        <w:snapToGrid w:val="0"/>
        <w:spacing w:line="360" w:lineRule="auto"/>
        <w:ind w:firstLineChars="200" w:firstLine="480"/>
        <w:jc w:val="left"/>
        <w:rPr>
          <w:rFonts w:ascii="宋体" w:hAnsi="宋体"/>
          <w:sz w:val="24"/>
        </w:rPr>
      </w:pPr>
      <w:r w:rsidRPr="000301A0">
        <w:rPr>
          <w:rFonts w:ascii="宋体" w:hAnsi="宋体" w:hint="eastAsia"/>
          <w:sz w:val="24"/>
        </w:rPr>
        <w:t>E为C类基金份额前一日基金资产净值</w:t>
      </w:r>
    </w:p>
    <w:p w14:paraId="29AABFAE" w14:textId="260AFAE3" w:rsidR="000301A0" w:rsidRPr="000301A0" w:rsidRDefault="000301A0" w:rsidP="000301A0">
      <w:pPr>
        <w:autoSpaceDE w:val="0"/>
        <w:autoSpaceDN w:val="0"/>
        <w:adjustRightInd w:val="0"/>
        <w:snapToGrid w:val="0"/>
        <w:spacing w:line="360" w:lineRule="auto"/>
        <w:ind w:firstLineChars="200" w:firstLine="480"/>
        <w:jc w:val="left"/>
        <w:rPr>
          <w:rFonts w:ascii="宋体" w:hAnsi="宋体"/>
          <w:sz w:val="24"/>
        </w:rPr>
      </w:pPr>
      <w:r w:rsidRPr="000301A0">
        <w:rPr>
          <w:rFonts w:ascii="宋体" w:hAnsi="宋体" w:hint="eastAsia"/>
          <w:sz w:val="24"/>
        </w:rPr>
        <w:t>C类基金份额销售服务费每日计提，按月支付。由基金管理人向基金托管人发送基金托管费划付指令，经基金托管人复核后于次月首日起3个工作日内从基金财产中一次性支付给基金管理人，由基金管理人代付给销售机构</w:t>
      </w:r>
      <w:r w:rsidR="000E2B98">
        <w:rPr>
          <w:rFonts w:ascii="宋体" w:hAnsi="宋体" w:hint="eastAsia"/>
          <w:sz w:val="24"/>
        </w:rPr>
        <w:t>。</w:t>
      </w:r>
      <w:r w:rsidRPr="000301A0">
        <w:rPr>
          <w:rFonts w:ascii="宋体" w:hAnsi="宋体" w:hint="eastAsia"/>
          <w:sz w:val="24"/>
        </w:rPr>
        <w:t>若遇法定节假日、休息日或不可抗力致使无法按时支付的，顺延至最近可支付日支付。</w:t>
      </w:r>
    </w:p>
    <w:p w14:paraId="16884ABC" w14:textId="77777777" w:rsidR="000301A0" w:rsidRPr="000301A0" w:rsidRDefault="000301A0" w:rsidP="000301A0">
      <w:pPr>
        <w:autoSpaceDE w:val="0"/>
        <w:autoSpaceDN w:val="0"/>
        <w:adjustRightInd w:val="0"/>
        <w:snapToGrid w:val="0"/>
        <w:spacing w:line="360" w:lineRule="auto"/>
        <w:ind w:firstLineChars="200" w:firstLine="480"/>
        <w:jc w:val="left"/>
        <w:rPr>
          <w:rFonts w:ascii="宋体" w:hAnsi="宋体"/>
          <w:sz w:val="24"/>
        </w:rPr>
      </w:pPr>
      <w:r w:rsidRPr="000301A0">
        <w:rPr>
          <w:rFonts w:ascii="宋体" w:hAnsi="宋体" w:hint="eastAsia"/>
          <w:sz w:val="24"/>
        </w:rPr>
        <w:t>C类基金份额的销售服务费将专门用于本基金的市场推广、销售与基金份额持有人服务。</w:t>
      </w:r>
    </w:p>
    <w:p w14:paraId="2BC2A114" w14:textId="0805F91A" w:rsidR="00FB4D29" w:rsidRDefault="000301A0" w:rsidP="000301A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CF4592">
        <w:rPr>
          <w:rFonts w:ascii="宋体" w:hAnsi="宋体"/>
          <w:sz w:val="24"/>
        </w:rPr>
        <w:t>上述“（一）基金费用的种类”中第3－9项</w:t>
      </w:r>
      <w:r w:rsidRPr="000301A0">
        <w:rPr>
          <w:rFonts w:ascii="宋体" w:hAnsi="宋体" w:hint="eastAsia"/>
          <w:sz w:val="24"/>
        </w:rPr>
        <w:t>、第11项</w:t>
      </w:r>
      <w:r w:rsidR="00CF4592">
        <w:rPr>
          <w:rFonts w:ascii="宋体" w:hAnsi="宋体"/>
          <w:sz w:val="24"/>
        </w:rPr>
        <w:t>费用，根据有关法规及相应协议规定，按费用实际支出金额列入当期费用，由基金托管人从基金财产中支付。</w:t>
      </w:r>
    </w:p>
    <w:p w14:paraId="64AA413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2941F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78BAF9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04DB99B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7A47F8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本基金赎回费的费率水平、计算公式和收取方式详见“基金份额的申购与赎回”一章。</w:t>
      </w:r>
    </w:p>
    <w:p w14:paraId="7CBD68E2"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（三）不列入基金费用的项目</w:t>
      </w:r>
    </w:p>
    <w:p w14:paraId="096D96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4C2AABC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1C0C116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1603C9A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2A5ABD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14B96301" w14:textId="77777777" w:rsidR="000301A0" w:rsidRPr="000301A0" w:rsidRDefault="00CF4592" w:rsidP="000301A0">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（四）</w:t>
      </w:r>
      <w:r w:rsidR="000301A0" w:rsidRPr="000301A0">
        <w:rPr>
          <w:rFonts w:ascii="宋体" w:hAnsi="宋体" w:hint="eastAsia"/>
          <w:b/>
          <w:szCs w:val="24"/>
        </w:rPr>
        <w:t>实施侧袋机制期间的基金费用</w:t>
      </w:r>
    </w:p>
    <w:p w14:paraId="2717E17A" w14:textId="77777777" w:rsidR="000301A0" w:rsidRPr="00F82365" w:rsidRDefault="000301A0" w:rsidP="00F82365">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本基金实施侧袋机制的，与侧袋账户有关的费用可以从侧袋账户中列支，但应待侧袋账户资产变现后方可列支，有关费用可酌情收取或减免，但不得收取管理费，详见招募说明书“侧袋机制”部分的规定。</w:t>
      </w:r>
    </w:p>
    <w:p w14:paraId="223B47B8" w14:textId="40951F9D" w:rsidR="00FB4D29" w:rsidRDefault="000301A0" w:rsidP="00D20D4F">
      <w:pPr>
        <w:autoSpaceDE w:val="0"/>
        <w:autoSpaceDN w:val="0"/>
        <w:adjustRightInd w:val="0"/>
        <w:snapToGrid w:val="0"/>
        <w:spacing w:line="360" w:lineRule="auto"/>
        <w:ind w:firstLineChars="200" w:firstLine="422"/>
        <w:jc w:val="left"/>
        <w:rPr>
          <w:rFonts w:ascii="宋体" w:hAnsi="宋体"/>
          <w:szCs w:val="24"/>
        </w:rPr>
      </w:pPr>
      <w:r w:rsidRPr="000301A0">
        <w:rPr>
          <w:rFonts w:ascii="宋体" w:hAnsi="宋体" w:hint="eastAsia"/>
          <w:b/>
          <w:szCs w:val="24"/>
        </w:rPr>
        <w:t>（五）</w:t>
      </w:r>
      <w:r w:rsidR="00CF4592" w:rsidRPr="00BB248E">
        <w:rPr>
          <w:rFonts w:ascii="宋体" w:hAnsi="宋体" w:hint="eastAsia"/>
          <w:b/>
          <w:szCs w:val="24"/>
        </w:rPr>
        <w:t>基金税收</w:t>
      </w:r>
    </w:p>
    <w:p w14:paraId="573B166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28668D9A"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3FE0D0D2" w14:textId="33EA9B2F" w:rsidR="00FB4D29" w:rsidRDefault="00CF4592">
      <w:pPr>
        <w:pStyle w:val="1"/>
        <w:snapToGrid w:val="0"/>
        <w:spacing w:beforeLines="0" w:before="240" w:after="240"/>
        <w:rPr>
          <w:rFonts w:ascii="宋体" w:hAnsi="宋体"/>
          <w:szCs w:val="30"/>
        </w:rPr>
      </w:pPr>
      <w:r>
        <w:rPr>
          <w:rFonts w:ascii="宋体" w:hAnsi="宋体"/>
          <w:sz w:val="24"/>
        </w:rPr>
        <w:br w:type="page"/>
      </w:r>
      <w:bookmarkStart w:id="19" w:name="_Toc107476035"/>
      <w:r>
        <w:rPr>
          <w:rFonts w:ascii="Times New Roman" w:hAnsi="Times New Roman"/>
          <w:sz w:val="30"/>
        </w:rPr>
        <w:lastRenderedPageBreak/>
        <w:t>十六、基金的会计与审计</w:t>
      </w:r>
      <w:bookmarkEnd w:id="19"/>
    </w:p>
    <w:p w14:paraId="2EB7EFFE"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（一）基金会计政策</w:t>
      </w:r>
    </w:p>
    <w:p w14:paraId="617EA5B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52A8FB8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37C763C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774AD5E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0CFCE3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5CA6CA1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05A4BFC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1C5D4DAB"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（二）基金的年度审计</w:t>
      </w:r>
    </w:p>
    <w:p w14:paraId="42796AF1" w14:textId="16E4DAA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BB2993">
        <w:rPr>
          <w:rFonts w:ascii="宋体" w:hAnsi="宋体" w:hint="eastAsia"/>
          <w:sz w:val="24"/>
        </w:rPr>
        <w:t>符合《中华人民共和国证券法》规定</w:t>
      </w:r>
      <w:r>
        <w:rPr>
          <w:rFonts w:ascii="宋体" w:hAnsi="宋体"/>
          <w:sz w:val="24"/>
        </w:rPr>
        <w:t>的会计师事务所及其注册会计师对本基金的年度财务报表进行审计。</w:t>
      </w:r>
    </w:p>
    <w:p w14:paraId="470886E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2D2B2BB9" w14:textId="64A638C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w:t>
      </w:r>
      <w:r w:rsidR="003246BF">
        <w:rPr>
          <w:rFonts w:ascii="宋体" w:hAnsi="宋体"/>
          <w:sz w:val="24"/>
        </w:rPr>
        <w:t>规定媒介</w:t>
      </w:r>
      <w:r>
        <w:rPr>
          <w:rFonts w:ascii="宋体" w:hAnsi="宋体"/>
          <w:sz w:val="24"/>
        </w:rPr>
        <w:t>公告。</w:t>
      </w:r>
    </w:p>
    <w:p w14:paraId="5555E43C"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67421F0D" w14:textId="57DBFB09" w:rsidR="00FB4D29" w:rsidRDefault="00CF4592">
      <w:pPr>
        <w:pStyle w:val="1"/>
        <w:snapToGrid w:val="0"/>
        <w:spacing w:beforeLines="0" w:before="240" w:after="240"/>
        <w:rPr>
          <w:rFonts w:ascii="宋体" w:hAnsi="宋体"/>
          <w:szCs w:val="30"/>
        </w:rPr>
      </w:pPr>
      <w:r>
        <w:rPr>
          <w:rFonts w:ascii="宋体" w:hAnsi="宋体"/>
          <w:sz w:val="24"/>
        </w:rPr>
        <w:br w:type="page"/>
      </w:r>
      <w:bookmarkStart w:id="20" w:name="_Toc107476036"/>
      <w:r>
        <w:rPr>
          <w:rFonts w:ascii="Times New Roman" w:hAnsi="Times New Roman"/>
          <w:sz w:val="30"/>
        </w:rPr>
        <w:lastRenderedPageBreak/>
        <w:t>十七、基金的信息披露</w:t>
      </w:r>
      <w:bookmarkEnd w:id="20"/>
    </w:p>
    <w:p w14:paraId="6EAE13C1"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（一）本基金的信息披露应符合《基金法》、《运作办法》、《信息披露办法》、《流动性规定》、《基金合同》及其他有关规定。</w:t>
      </w:r>
    </w:p>
    <w:p w14:paraId="2738D1BE"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（二）信息披露义务人</w:t>
      </w:r>
    </w:p>
    <w:p w14:paraId="49D33EF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482354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0E6DE3B5" w14:textId="46FA7DC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BB2993">
        <w:rPr>
          <w:rFonts w:ascii="宋体" w:hAnsi="宋体" w:hint="eastAsia"/>
          <w:sz w:val="24"/>
        </w:rPr>
        <w:t>符合</w:t>
      </w:r>
      <w:r>
        <w:rPr>
          <w:rFonts w:ascii="宋体" w:hAnsi="宋体"/>
          <w:sz w:val="24"/>
        </w:rPr>
        <w:t>中国证监会</w:t>
      </w:r>
      <w:r w:rsidR="00BB2993">
        <w:rPr>
          <w:rFonts w:ascii="宋体" w:hAnsi="宋体" w:hint="eastAsia"/>
          <w:sz w:val="24"/>
        </w:rPr>
        <w:t>规定条件</w:t>
      </w:r>
      <w:r>
        <w:rPr>
          <w:rFonts w:ascii="宋体" w:hAnsi="宋体"/>
          <w:sz w:val="24"/>
        </w:rPr>
        <w:t>的全国性报刊（以下简称“</w:t>
      </w:r>
      <w:r w:rsidR="003246BF">
        <w:rPr>
          <w:rFonts w:ascii="宋体" w:hAnsi="宋体"/>
          <w:sz w:val="24"/>
        </w:rPr>
        <w:t>规定报刊</w:t>
      </w:r>
      <w:r>
        <w:rPr>
          <w:rFonts w:ascii="宋体" w:hAnsi="宋体"/>
          <w:sz w:val="24"/>
        </w:rPr>
        <w:t>”）及</w:t>
      </w:r>
      <w:r w:rsidR="00BB2993" w:rsidRPr="00BB2993">
        <w:rPr>
          <w:rFonts w:ascii="宋体" w:hAnsi="宋体" w:hint="eastAsia"/>
          <w:sz w:val="24"/>
        </w:rPr>
        <w:t>《信息披露办法》规定的</w:t>
      </w:r>
      <w:r>
        <w:rPr>
          <w:rFonts w:ascii="宋体" w:hAnsi="宋体"/>
          <w:sz w:val="24"/>
        </w:rPr>
        <w:t>互联网网站（以下简称“</w:t>
      </w:r>
      <w:r w:rsidR="003246BF">
        <w:rPr>
          <w:rFonts w:ascii="宋体" w:hAnsi="宋体"/>
          <w:sz w:val="24"/>
        </w:rPr>
        <w:t>规定网站</w:t>
      </w:r>
      <w:r>
        <w:rPr>
          <w:rFonts w:ascii="宋体" w:hAnsi="宋体"/>
          <w:sz w:val="24"/>
        </w:rPr>
        <w:t>”）等媒介披露，并保证基金投资者能够按照《基金合同》约定的时间和方式查阅或者复制公开披露的信息资料。</w:t>
      </w:r>
    </w:p>
    <w:p w14:paraId="28C5607C"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（三）本基金信息披露义务人承诺公开披露的基金信息，不得有下列行为：</w:t>
      </w:r>
    </w:p>
    <w:p w14:paraId="371344B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793F3DB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0A2FD2F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67BD828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6C4580B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41678FC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3D0367B0"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46AD8CB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0AFC817B"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（五）公开披露的基金信息</w:t>
      </w:r>
    </w:p>
    <w:p w14:paraId="1400113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61A15A6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0615D8B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w:t>
      </w:r>
      <w:r>
        <w:rPr>
          <w:rFonts w:ascii="宋体" w:hAnsi="宋体"/>
          <w:sz w:val="24"/>
        </w:rPr>
        <w:lastRenderedPageBreak/>
        <w:t>重大利益的事项的法律文件。</w:t>
      </w:r>
    </w:p>
    <w:p w14:paraId="0F27C045" w14:textId="12B7C59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3246BF">
        <w:rPr>
          <w:rFonts w:ascii="宋体" w:hAnsi="宋体"/>
          <w:sz w:val="24"/>
        </w:rPr>
        <w:t>规定网站</w:t>
      </w:r>
      <w:r>
        <w:rPr>
          <w:rFonts w:ascii="宋体" w:hAnsi="宋体"/>
          <w:sz w:val="24"/>
        </w:rPr>
        <w:t>上；基金招募说明书其他信息发生变更的，基金管理人至少每年更新一次。基金终止运作的，基金管理人不再更新基金招募说明书。</w:t>
      </w:r>
    </w:p>
    <w:p w14:paraId="0307DE1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5FE0466A" w14:textId="2F22D45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246BF">
        <w:rPr>
          <w:rFonts w:ascii="宋体" w:hAnsi="宋体"/>
          <w:sz w:val="24"/>
        </w:rPr>
        <w:t>规定网站</w:t>
      </w:r>
      <w:r>
        <w:rPr>
          <w:rFonts w:ascii="宋体" w:hAnsi="宋体"/>
          <w:sz w:val="24"/>
        </w:rPr>
        <w:t>及基金销售机构网站或营业网点；基金产品资料概要其他信息发生变更的，基金管理人至少每年更新一次。基金终止运作的，基金管理人不再更新基金产品资料概要。</w:t>
      </w:r>
    </w:p>
    <w:p w14:paraId="39FA287A" w14:textId="51880AD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基金经中国证监会</w:t>
      </w:r>
      <w:r w:rsidR="00436F9A">
        <w:rPr>
          <w:rFonts w:hint="eastAsia"/>
          <w:bCs/>
          <w:sz w:val="24"/>
        </w:rPr>
        <w:t>准予变更</w:t>
      </w:r>
      <w:r>
        <w:rPr>
          <w:rFonts w:ascii="宋体" w:hAnsi="宋体"/>
          <w:sz w:val="24"/>
        </w:rPr>
        <w:t>注册后，基金管理人</w:t>
      </w:r>
      <w:r w:rsidR="00436F9A">
        <w:rPr>
          <w:rFonts w:hint="eastAsia"/>
          <w:bCs/>
          <w:sz w:val="24"/>
        </w:rPr>
        <w:t>按照《信息披露办法》的规定</w:t>
      </w:r>
      <w:r>
        <w:rPr>
          <w:rFonts w:ascii="宋体" w:hAnsi="宋体"/>
          <w:sz w:val="24"/>
        </w:rPr>
        <w:t>，将基金招募说明书</w:t>
      </w:r>
      <w:r w:rsidR="00436F9A" w:rsidRPr="00436F9A">
        <w:rPr>
          <w:rFonts w:ascii="宋体" w:hAnsi="宋体" w:hint="eastAsia"/>
          <w:sz w:val="24"/>
        </w:rPr>
        <w:t>、基金产品资料概要</w:t>
      </w:r>
      <w:r>
        <w:rPr>
          <w:rFonts w:ascii="宋体" w:hAnsi="宋体"/>
          <w:sz w:val="24"/>
        </w:rPr>
        <w:t>、《基金合同》</w:t>
      </w:r>
      <w:r w:rsidR="00436F9A" w:rsidRPr="003F5B17">
        <w:rPr>
          <w:rFonts w:hint="eastAsia"/>
          <w:bCs/>
          <w:sz w:val="24"/>
        </w:rPr>
        <w:t>和基金托管协议</w:t>
      </w:r>
      <w:r>
        <w:rPr>
          <w:rFonts w:ascii="宋体" w:hAnsi="宋体"/>
          <w:sz w:val="24"/>
        </w:rPr>
        <w:t>登载在</w:t>
      </w:r>
      <w:r w:rsidR="003246BF">
        <w:rPr>
          <w:rFonts w:ascii="宋体" w:hAnsi="宋体"/>
          <w:sz w:val="24"/>
        </w:rPr>
        <w:t>规定媒介</w:t>
      </w:r>
      <w:r>
        <w:rPr>
          <w:rFonts w:ascii="宋体" w:hAnsi="宋体"/>
          <w:sz w:val="24"/>
        </w:rPr>
        <w:t>上；基金管理人、基金托管人应当将《基金合同》、基金托管协议登载在网站上。</w:t>
      </w:r>
    </w:p>
    <w:p w14:paraId="03724306" w14:textId="2CA8C99F" w:rsidR="00FB4D29" w:rsidRDefault="00CF4592" w:rsidP="00BB299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5181F35A" w14:textId="624BA01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w:t>
      </w:r>
      <w:r w:rsidR="003246BF">
        <w:rPr>
          <w:rFonts w:ascii="宋体" w:hAnsi="宋体"/>
          <w:sz w:val="24"/>
        </w:rPr>
        <w:t>规定网站</w:t>
      </w:r>
      <w:r w:rsidR="00BB2993">
        <w:rPr>
          <w:rFonts w:ascii="宋体" w:hAnsi="宋体" w:hint="eastAsia"/>
          <w:sz w:val="24"/>
        </w:rPr>
        <w:t>分别</w:t>
      </w:r>
      <w:r>
        <w:rPr>
          <w:rFonts w:ascii="宋体" w:hAnsi="宋体"/>
          <w:sz w:val="24"/>
        </w:rPr>
        <w:t>披露一次</w:t>
      </w:r>
      <w:r w:rsidR="00BB2993" w:rsidRPr="00BB2993">
        <w:rPr>
          <w:rFonts w:ascii="宋体" w:hAnsi="宋体" w:hint="eastAsia"/>
          <w:sz w:val="24"/>
        </w:rPr>
        <w:t>A类基金份额和C类基金份额所对应的</w:t>
      </w:r>
      <w:r>
        <w:rPr>
          <w:rFonts w:ascii="宋体" w:hAnsi="宋体"/>
          <w:sz w:val="24"/>
        </w:rPr>
        <w:t>基金份额净值和基金份额累计净值。</w:t>
      </w:r>
    </w:p>
    <w:p w14:paraId="0161AA0D" w14:textId="0A498F9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3246BF">
        <w:rPr>
          <w:rFonts w:ascii="宋体" w:hAnsi="宋体"/>
          <w:sz w:val="24"/>
        </w:rPr>
        <w:t>规定网站</w:t>
      </w:r>
      <w:r>
        <w:rPr>
          <w:rFonts w:ascii="宋体" w:hAnsi="宋体"/>
          <w:sz w:val="24"/>
        </w:rPr>
        <w:t>、基金销售机构网站或者营业网点</w:t>
      </w:r>
      <w:r w:rsidR="007F19E0" w:rsidRPr="007F19E0">
        <w:rPr>
          <w:rFonts w:ascii="宋体" w:hAnsi="宋体" w:hint="eastAsia"/>
          <w:sz w:val="24"/>
        </w:rPr>
        <w:t>分别</w:t>
      </w:r>
      <w:r>
        <w:rPr>
          <w:rFonts w:ascii="宋体" w:hAnsi="宋体"/>
          <w:sz w:val="24"/>
        </w:rPr>
        <w:t>披露开放日的</w:t>
      </w:r>
      <w:r w:rsidR="00BB2993" w:rsidRPr="00BB2993">
        <w:rPr>
          <w:rFonts w:ascii="宋体" w:hAnsi="宋体" w:hint="eastAsia"/>
          <w:sz w:val="24"/>
        </w:rPr>
        <w:t>A类基金份额和C类基金份额所对应的</w:t>
      </w:r>
      <w:r>
        <w:rPr>
          <w:rFonts w:ascii="宋体" w:hAnsi="宋体"/>
          <w:sz w:val="24"/>
        </w:rPr>
        <w:t>基金份额净值和基金份额累计净值。</w:t>
      </w:r>
    </w:p>
    <w:p w14:paraId="1AC56CD9" w14:textId="43154EC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3246BF">
        <w:rPr>
          <w:rFonts w:ascii="宋体" w:hAnsi="宋体"/>
          <w:sz w:val="24"/>
        </w:rPr>
        <w:t>规定网站</w:t>
      </w:r>
      <w:r>
        <w:rPr>
          <w:rFonts w:ascii="宋体" w:hAnsi="宋体"/>
          <w:sz w:val="24"/>
        </w:rPr>
        <w:t>披露半年度和年度最后一日</w:t>
      </w:r>
      <w:r w:rsidR="00BB2993" w:rsidRPr="00BB2993">
        <w:rPr>
          <w:rFonts w:ascii="宋体" w:hAnsi="宋体" w:hint="eastAsia"/>
          <w:sz w:val="24"/>
        </w:rPr>
        <w:t>A类基金份额和C类基金份额所对应</w:t>
      </w:r>
      <w:r>
        <w:rPr>
          <w:rFonts w:ascii="宋体" w:hAnsi="宋体"/>
          <w:sz w:val="24"/>
        </w:rPr>
        <w:t>的基金份额净值和基金份额累计净值。</w:t>
      </w:r>
    </w:p>
    <w:p w14:paraId="22ED762F" w14:textId="237CA687" w:rsidR="00FB4D29" w:rsidRDefault="00BB299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F4592">
        <w:rPr>
          <w:rFonts w:ascii="宋体" w:hAnsi="宋体"/>
          <w:sz w:val="24"/>
        </w:rPr>
        <w:t>、基金份额申购、赎回价格</w:t>
      </w:r>
    </w:p>
    <w:p w14:paraId="0ADBB4A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9ADC551" w14:textId="000D4849" w:rsidR="00FB4D29" w:rsidRDefault="00BB299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CF4592">
        <w:rPr>
          <w:rFonts w:ascii="宋体" w:hAnsi="宋体"/>
          <w:sz w:val="24"/>
        </w:rPr>
        <w:t>、基金定期报告，包括基金年度报告、基金中期报告和基金季度报告</w:t>
      </w:r>
    </w:p>
    <w:p w14:paraId="0A778C6F" w14:textId="51238FB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3246BF">
        <w:rPr>
          <w:rFonts w:ascii="宋体" w:hAnsi="宋体"/>
          <w:sz w:val="24"/>
        </w:rPr>
        <w:t>规定网站</w:t>
      </w:r>
      <w:r>
        <w:rPr>
          <w:rFonts w:ascii="宋体" w:hAnsi="宋体"/>
          <w:sz w:val="24"/>
        </w:rPr>
        <w:t>上，并将年度报告提示性公告登载在</w:t>
      </w:r>
      <w:r w:rsidR="003246BF">
        <w:rPr>
          <w:rFonts w:ascii="宋体" w:hAnsi="宋体"/>
          <w:sz w:val="24"/>
        </w:rPr>
        <w:t>规定报刊</w:t>
      </w:r>
      <w:r>
        <w:rPr>
          <w:rFonts w:ascii="宋体" w:hAnsi="宋体"/>
          <w:sz w:val="24"/>
        </w:rPr>
        <w:t>上。基金年度报告中的财务会计报告应当经过</w:t>
      </w:r>
      <w:r w:rsidR="00BB2993" w:rsidRPr="00880201">
        <w:rPr>
          <w:rFonts w:hint="eastAsia"/>
          <w:bCs/>
          <w:sz w:val="24"/>
        </w:rPr>
        <w:t>符合《中华人民共和国证券法》规定</w:t>
      </w:r>
      <w:r>
        <w:rPr>
          <w:rFonts w:ascii="宋体" w:hAnsi="宋体"/>
          <w:sz w:val="24"/>
        </w:rPr>
        <w:t>的会计师事务所审计。</w:t>
      </w:r>
    </w:p>
    <w:p w14:paraId="27532B8C" w14:textId="71CC92F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3246BF">
        <w:rPr>
          <w:rFonts w:ascii="宋体" w:hAnsi="宋体"/>
          <w:sz w:val="24"/>
        </w:rPr>
        <w:t>规定网站</w:t>
      </w:r>
      <w:r>
        <w:rPr>
          <w:rFonts w:ascii="宋体" w:hAnsi="宋体"/>
          <w:sz w:val="24"/>
        </w:rPr>
        <w:t>上，并将中期报告提示性公告登载在</w:t>
      </w:r>
      <w:r w:rsidR="003246BF">
        <w:rPr>
          <w:rFonts w:ascii="宋体" w:hAnsi="宋体"/>
          <w:sz w:val="24"/>
        </w:rPr>
        <w:t>规定报刊</w:t>
      </w:r>
      <w:r>
        <w:rPr>
          <w:rFonts w:ascii="宋体" w:hAnsi="宋体"/>
          <w:sz w:val="24"/>
        </w:rPr>
        <w:t>上。</w:t>
      </w:r>
    </w:p>
    <w:p w14:paraId="3CBA51F2" w14:textId="653FF4E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3246BF">
        <w:rPr>
          <w:rFonts w:ascii="宋体" w:hAnsi="宋体"/>
          <w:sz w:val="24"/>
        </w:rPr>
        <w:t>规定网站</w:t>
      </w:r>
      <w:r>
        <w:rPr>
          <w:rFonts w:ascii="宋体" w:hAnsi="宋体"/>
          <w:sz w:val="24"/>
        </w:rPr>
        <w:t>上，并将季度报告提示性公告登载在</w:t>
      </w:r>
      <w:r w:rsidR="003246BF">
        <w:rPr>
          <w:rFonts w:ascii="宋体" w:hAnsi="宋体"/>
          <w:sz w:val="24"/>
        </w:rPr>
        <w:t>规定报刊</w:t>
      </w:r>
      <w:r>
        <w:rPr>
          <w:rFonts w:ascii="宋体" w:hAnsi="宋体"/>
          <w:sz w:val="24"/>
        </w:rPr>
        <w:t>上。</w:t>
      </w:r>
    </w:p>
    <w:p w14:paraId="6E4833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运作期间，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2F1C2D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6FCB943B" w14:textId="361557BD" w:rsidR="00FB4D29" w:rsidRDefault="00053F8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CF4592">
        <w:rPr>
          <w:rFonts w:ascii="宋体" w:hAnsi="宋体"/>
          <w:sz w:val="24"/>
        </w:rPr>
        <w:t>、临时报告</w:t>
      </w:r>
    </w:p>
    <w:p w14:paraId="70028022" w14:textId="365CEDE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w:t>
      </w:r>
      <w:r w:rsidR="003246BF">
        <w:rPr>
          <w:rFonts w:ascii="宋体" w:hAnsi="宋体"/>
          <w:sz w:val="24"/>
        </w:rPr>
        <w:t>规定报刊</w:t>
      </w:r>
      <w:r>
        <w:rPr>
          <w:rFonts w:ascii="宋体" w:hAnsi="宋体"/>
          <w:sz w:val="24"/>
        </w:rPr>
        <w:t>和</w:t>
      </w:r>
      <w:r w:rsidR="003246BF">
        <w:rPr>
          <w:rFonts w:ascii="宋体" w:hAnsi="宋体"/>
          <w:sz w:val="24"/>
        </w:rPr>
        <w:t>规定网站</w:t>
      </w:r>
      <w:r>
        <w:rPr>
          <w:rFonts w:ascii="宋体" w:hAnsi="宋体"/>
          <w:sz w:val="24"/>
        </w:rPr>
        <w:t>上。</w:t>
      </w:r>
    </w:p>
    <w:p w14:paraId="2AFA9D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6B73490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40C6833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1AA59D6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E93E4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6AA5DDA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w:t>
      </w:r>
      <w:r>
        <w:rPr>
          <w:rFonts w:ascii="宋体" w:hAnsi="宋体"/>
          <w:sz w:val="24"/>
        </w:rPr>
        <w:lastRenderedPageBreak/>
        <w:t>事项，基金托管人委托基金服务机构代为办理基金的核算、估值、复核等事项；</w:t>
      </w:r>
    </w:p>
    <w:p w14:paraId="78343B4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06D42D0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14D02B9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1125866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67A277A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5ED652F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F3A62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5DD99B6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02CB00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4D6A4ABF" w14:textId="4A4A9FE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w:t>
      </w:r>
      <w:r w:rsidR="00BB2993">
        <w:rPr>
          <w:rFonts w:ascii="宋体" w:hAnsi="宋体" w:hint="eastAsia"/>
          <w:sz w:val="24"/>
        </w:rPr>
        <w:t>销售服务费、</w:t>
      </w:r>
      <w:r>
        <w:rPr>
          <w:rFonts w:ascii="宋体" w:hAnsi="宋体"/>
          <w:sz w:val="24"/>
        </w:rPr>
        <w:t>申购费、赎回费等费用计提标准、计提方式和费率发生变更；</w:t>
      </w:r>
    </w:p>
    <w:p w14:paraId="01C25670" w14:textId="2748557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sidR="00BB2993">
        <w:rPr>
          <w:rFonts w:hint="eastAsia"/>
          <w:bCs/>
          <w:sz w:val="24"/>
        </w:rPr>
        <w:t>任一类</w:t>
      </w:r>
      <w:r>
        <w:rPr>
          <w:rFonts w:ascii="宋体" w:hAnsi="宋体"/>
          <w:sz w:val="24"/>
        </w:rPr>
        <w:t>基金份额净值计价错误达</w:t>
      </w:r>
      <w:r w:rsidR="00BB2993">
        <w:rPr>
          <w:rFonts w:hint="eastAsia"/>
          <w:bCs/>
          <w:sz w:val="24"/>
        </w:rPr>
        <w:t>该类</w:t>
      </w:r>
      <w:r>
        <w:rPr>
          <w:rFonts w:ascii="宋体" w:hAnsi="宋体"/>
          <w:sz w:val="24"/>
        </w:rPr>
        <w:t>基金份额净值百分之零点五；</w:t>
      </w:r>
    </w:p>
    <w:p w14:paraId="177AA86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579B6D9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00C7C8C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0B6DE6A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1236CAF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5B156EC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4AB26DFF" w14:textId="77777777" w:rsidR="00BB2993" w:rsidRPr="00BB2993" w:rsidRDefault="00CF4592" w:rsidP="00BB299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（23）</w:t>
      </w:r>
      <w:r w:rsidR="00BB2993" w:rsidRPr="00BB2993">
        <w:rPr>
          <w:rFonts w:ascii="宋体" w:hAnsi="宋体" w:hint="eastAsia"/>
          <w:sz w:val="24"/>
        </w:rPr>
        <w:t>本基金增加或调整基金份额类别；</w:t>
      </w:r>
    </w:p>
    <w:p w14:paraId="3A32BA1C" w14:textId="4ADC419D" w:rsidR="00BB2993" w:rsidRPr="00BB2993" w:rsidRDefault="00BB2993" w:rsidP="00BB299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w:t>
      </w:r>
      <w:r w:rsidRPr="00BB2993">
        <w:rPr>
          <w:rFonts w:ascii="宋体" w:hAnsi="宋体" w:hint="eastAsia"/>
          <w:sz w:val="24"/>
        </w:rPr>
        <w:t>本基金推出新业务或服务；</w:t>
      </w:r>
    </w:p>
    <w:p w14:paraId="471AA248" w14:textId="4F8D50E9" w:rsidR="00BB2993" w:rsidRPr="00BB2993" w:rsidRDefault="00BB2993" w:rsidP="00BB299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（2</w:t>
      </w:r>
      <w:r>
        <w:rPr>
          <w:rFonts w:ascii="宋体" w:hAnsi="宋体"/>
          <w:sz w:val="24"/>
        </w:rPr>
        <w:t>5</w:t>
      </w:r>
      <w:r>
        <w:rPr>
          <w:rFonts w:ascii="宋体" w:hAnsi="宋体" w:hint="eastAsia"/>
          <w:sz w:val="24"/>
        </w:rPr>
        <w:t>）</w:t>
      </w:r>
      <w:r w:rsidRPr="00BB2993">
        <w:rPr>
          <w:rFonts w:ascii="宋体" w:hAnsi="宋体" w:hint="eastAsia"/>
          <w:sz w:val="24"/>
        </w:rPr>
        <w:t>本基金连续30个工作日、40个工作日、45个工作日出现基金份额持有人数量不满200人或者基金资产净值低于5000万元情形的；</w:t>
      </w:r>
    </w:p>
    <w:p w14:paraId="6048F42B" w14:textId="31C52CB2" w:rsidR="00FB4D29" w:rsidRDefault="00BB2993" w:rsidP="00BB2993">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Pr>
          <w:rFonts w:ascii="宋体" w:hAnsi="宋体"/>
          <w:sz w:val="24"/>
        </w:rPr>
        <w:t>6</w:t>
      </w:r>
      <w:r>
        <w:rPr>
          <w:rFonts w:ascii="宋体" w:hAnsi="宋体" w:hint="eastAsia"/>
          <w:sz w:val="24"/>
        </w:rPr>
        <w:t>）</w:t>
      </w:r>
      <w:r w:rsidR="00CF4592">
        <w:rPr>
          <w:rFonts w:ascii="宋体" w:hAnsi="宋体"/>
          <w:sz w:val="24"/>
        </w:rPr>
        <w:t>基金信息披露义务人认为可能对基金份额持有人权益或者基金份额的价格产生重大影响的其他事项或中国证监会规定的其他事项。</w:t>
      </w:r>
    </w:p>
    <w:p w14:paraId="69CC0C9B" w14:textId="261F00BF" w:rsidR="00FB4D29" w:rsidRDefault="00053F8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CF4592">
        <w:rPr>
          <w:rFonts w:ascii="宋体" w:hAnsi="宋体"/>
          <w:sz w:val="24"/>
        </w:rPr>
        <w:t>、澄清公告</w:t>
      </w:r>
    </w:p>
    <w:p w14:paraId="540C813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EC695FD" w14:textId="0E6C6CB7" w:rsidR="00FB4D29" w:rsidRDefault="00053F8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CF4592">
        <w:rPr>
          <w:rFonts w:ascii="宋体" w:hAnsi="宋体"/>
          <w:sz w:val="24"/>
        </w:rPr>
        <w:t>、基金份额持有人大会决议</w:t>
      </w:r>
    </w:p>
    <w:p w14:paraId="2374F7C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59528AA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12C03E89" w14:textId="70936D56" w:rsidR="00053F81" w:rsidRPr="00053F81" w:rsidRDefault="00053F81" w:rsidP="00053F8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w:t>
      </w:r>
      <w:r w:rsidR="00CF4592">
        <w:rPr>
          <w:rFonts w:ascii="宋体" w:hAnsi="宋体"/>
          <w:sz w:val="24"/>
        </w:rPr>
        <w:t>、</w:t>
      </w:r>
      <w:r w:rsidRPr="00053F81">
        <w:rPr>
          <w:rFonts w:ascii="宋体" w:hAnsi="宋体" w:hint="eastAsia"/>
          <w:sz w:val="24"/>
        </w:rPr>
        <w:t>实施侧袋机制期间的信息披露</w:t>
      </w:r>
    </w:p>
    <w:p w14:paraId="6E64B750" w14:textId="77777777" w:rsidR="00053F81" w:rsidRDefault="00053F81" w:rsidP="00053F81">
      <w:pPr>
        <w:autoSpaceDE w:val="0"/>
        <w:autoSpaceDN w:val="0"/>
        <w:adjustRightInd w:val="0"/>
        <w:snapToGrid w:val="0"/>
        <w:spacing w:line="360" w:lineRule="auto"/>
        <w:ind w:firstLineChars="200" w:firstLine="480"/>
        <w:jc w:val="left"/>
        <w:rPr>
          <w:rFonts w:ascii="宋体" w:hAnsi="宋体"/>
          <w:sz w:val="24"/>
        </w:rPr>
      </w:pPr>
      <w:r w:rsidRPr="00053F81">
        <w:rPr>
          <w:rFonts w:ascii="宋体" w:hAnsi="宋体" w:hint="eastAsia"/>
          <w:sz w:val="24"/>
        </w:rPr>
        <w:t>本基金实施侧袋机制的，相关信息披露义务人应当根据法律法规、基金合同和招募说明书的规定进行信息披露，详见招募说明书“侧袋机制”部分的规定。</w:t>
      </w:r>
    </w:p>
    <w:p w14:paraId="4E9DD7B9" w14:textId="5D46562C" w:rsidR="00FB4D29" w:rsidRDefault="00053F81" w:rsidP="00053F8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hint="eastAsia"/>
          <w:sz w:val="24"/>
        </w:rPr>
        <w:t>、</w:t>
      </w:r>
      <w:r w:rsidR="00CF4592">
        <w:rPr>
          <w:rFonts w:ascii="宋体" w:hAnsi="宋体"/>
          <w:sz w:val="24"/>
        </w:rPr>
        <w:t>清算报告</w:t>
      </w:r>
    </w:p>
    <w:p w14:paraId="1869B0BF" w14:textId="6D02DE2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w:t>
      </w:r>
      <w:r w:rsidR="00053F81">
        <w:rPr>
          <w:rFonts w:ascii="宋体" w:hAnsi="宋体" w:hint="eastAsia"/>
          <w:sz w:val="24"/>
        </w:rPr>
        <w:t>小</w:t>
      </w:r>
      <w:r>
        <w:rPr>
          <w:rFonts w:ascii="宋体" w:hAnsi="宋体"/>
          <w:sz w:val="24"/>
        </w:rPr>
        <w:t>组对基金财产进行清算并作出清算报告。清算报告应当经过</w:t>
      </w:r>
      <w:r w:rsidR="00053F81">
        <w:rPr>
          <w:rFonts w:hint="eastAsia"/>
          <w:bCs/>
          <w:sz w:val="24"/>
        </w:rPr>
        <w:t>符合《中华人民共和国证券法》规定</w:t>
      </w:r>
      <w:r>
        <w:rPr>
          <w:rFonts w:ascii="宋体" w:hAnsi="宋体"/>
          <w:sz w:val="24"/>
        </w:rPr>
        <w:t>的会计师事务所审计，并由律师事务所出具法律意见书。清算</w:t>
      </w:r>
      <w:r w:rsidR="00053F81">
        <w:rPr>
          <w:rFonts w:ascii="宋体" w:hAnsi="宋体" w:hint="eastAsia"/>
          <w:sz w:val="24"/>
        </w:rPr>
        <w:t>小</w:t>
      </w:r>
      <w:r>
        <w:rPr>
          <w:rFonts w:ascii="宋体" w:hAnsi="宋体"/>
          <w:sz w:val="24"/>
        </w:rPr>
        <w:t>组应当将清算报告登载在</w:t>
      </w:r>
      <w:r w:rsidR="003246BF">
        <w:rPr>
          <w:rFonts w:ascii="宋体" w:hAnsi="宋体"/>
          <w:sz w:val="24"/>
        </w:rPr>
        <w:t>规定网站</w:t>
      </w:r>
      <w:r>
        <w:rPr>
          <w:rFonts w:ascii="宋体" w:hAnsi="宋体"/>
          <w:sz w:val="24"/>
        </w:rPr>
        <w:t>上，并将清算报告提示性公告登载在</w:t>
      </w:r>
      <w:r w:rsidR="003246BF">
        <w:rPr>
          <w:rFonts w:ascii="宋体" w:hAnsi="宋体"/>
          <w:sz w:val="24"/>
        </w:rPr>
        <w:t>规定报刊</w:t>
      </w:r>
      <w:r>
        <w:rPr>
          <w:rFonts w:ascii="宋体" w:hAnsi="宋体"/>
          <w:sz w:val="24"/>
        </w:rPr>
        <w:t>上。</w:t>
      </w:r>
    </w:p>
    <w:p w14:paraId="18845E57" w14:textId="2211F61C" w:rsidR="004E4436" w:rsidRDefault="00053F81" w:rsidP="004E4436">
      <w:pPr>
        <w:spacing w:line="360" w:lineRule="auto"/>
        <w:ind w:firstLineChars="200" w:firstLine="480"/>
        <w:rPr>
          <w:bCs/>
          <w:sz w:val="24"/>
        </w:rPr>
      </w:pPr>
      <w:r>
        <w:rPr>
          <w:rFonts w:ascii="宋体" w:hAnsi="宋体"/>
          <w:sz w:val="24"/>
        </w:rPr>
        <w:t>10</w:t>
      </w:r>
      <w:r w:rsidR="00CF4592">
        <w:rPr>
          <w:rFonts w:ascii="宋体" w:hAnsi="宋体"/>
          <w:sz w:val="24"/>
        </w:rPr>
        <w:t>、</w:t>
      </w:r>
      <w:r w:rsidR="004E4436" w:rsidRPr="00035652">
        <w:rPr>
          <w:rFonts w:hint="eastAsia"/>
          <w:bCs/>
          <w:sz w:val="24"/>
        </w:rPr>
        <w:t>基金投资股指期货情况</w:t>
      </w:r>
    </w:p>
    <w:p w14:paraId="29AE4F61" w14:textId="49D9953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0B800A3" w14:textId="261B4599" w:rsidR="004E4436" w:rsidRDefault="00053F81">
      <w:pPr>
        <w:autoSpaceDE w:val="0"/>
        <w:autoSpaceDN w:val="0"/>
        <w:adjustRightInd w:val="0"/>
        <w:snapToGrid w:val="0"/>
        <w:spacing w:line="360" w:lineRule="auto"/>
        <w:ind w:firstLineChars="200" w:firstLine="480"/>
        <w:jc w:val="left"/>
        <w:rPr>
          <w:bCs/>
          <w:sz w:val="24"/>
        </w:rPr>
      </w:pPr>
      <w:r>
        <w:rPr>
          <w:rFonts w:ascii="宋体" w:hAnsi="宋体"/>
          <w:sz w:val="24"/>
        </w:rPr>
        <w:t>1</w:t>
      </w:r>
      <w:r w:rsidR="004E4436">
        <w:rPr>
          <w:rFonts w:ascii="宋体" w:hAnsi="宋体"/>
          <w:sz w:val="24"/>
        </w:rPr>
        <w:t>1</w:t>
      </w:r>
      <w:r w:rsidR="00CF4592">
        <w:rPr>
          <w:rFonts w:ascii="宋体" w:hAnsi="宋体"/>
          <w:sz w:val="24"/>
        </w:rPr>
        <w:t>、</w:t>
      </w:r>
      <w:r w:rsidR="004E4436" w:rsidRPr="00035652">
        <w:rPr>
          <w:rFonts w:hint="eastAsia"/>
          <w:bCs/>
          <w:sz w:val="24"/>
        </w:rPr>
        <w:t>基金投资资产支持证券情况</w:t>
      </w:r>
    </w:p>
    <w:p w14:paraId="1F27F45D" w14:textId="5D7A87C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本基金投资资产支持证券，基金管理人应在基金年度报告及中期报告中披露其持有的资产支持证券总额、资产支持证券市值占基金净资产的比例和报告期末所有</w:t>
      </w:r>
      <w:r>
        <w:rPr>
          <w:rFonts w:ascii="宋体" w:hAnsi="宋体"/>
          <w:sz w:val="24"/>
        </w:rPr>
        <w:lastRenderedPageBreak/>
        <w:t>的资产支持证券明细。基金管理人应在基金季度报告中披露其持有的资产支持证券总额、资产支持证券市值占基金净资产的比例和报告期末按市值占基金净资产比例大小排序的前10名资产支持证券明细。</w:t>
      </w:r>
    </w:p>
    <w:p w14:paraId="0E45DC80" w14:textId="7F49C59C" w:rsidR="004E4436" w:rsidRPr="000F062A" w:rsidRDefault="004E4436" w:rsidP="004E4436">
      <w:pPr>
        <w:spacing w:line="360" w:lineRule="auto"/>
        <w:ind w:firstLineChars="200" w:firstLine="480"/>
        <w:rPr>
          <w:bCs/>
          <w:sz w:val="24"/>
        </w:rPr>
      </w:pPr>
      <w:r>
        <w:rPr>
          <w:rFonts w:ascii="宋体" w:hAnsi="宋体"/>
          <w:sz w:val="24"/>
        </w:rPr>
        <w:t>12</w:t>
      </w:r>
      <w:r w:rsidR="00CF4592">
        <w:rPr>
          <w:rFonts w:ascii="宋体" w:hAnsi="宋体"/>
          <w:sz w:val="24"/>
        </w:rPr>
        <w:t>、</w:t>
      </w:r>
      <w:r w:rsidRPr="000F062A">
        <w:rPr>
          <w:rFonts w:hint="eastAsia"/>
          <w:bCs/>
          <w:sz w:val="24"/>
        </w:rPr>
        <w:t>基金投资港股通标的股票情况</w:t>
      </w:r>
    </w:p>
    <w:p w14:paraId="2928D40C" w14:textId="77777777" w:rsidR="004E4436" w:rsidRDefault="004E4436" w:rsidP="004E4436">
      <w:pPr>
        <w:spacing w:line="360" w:lineRule="auto"/>
        <w:ind w:firstLineChars="200" w:firstLine="480"/>
        <w:rPr>
          <w:bCs/>
          <w:sz w:val="24"/>
        </w:rPr>
      </w:pPr>
      <w:r w:rsidRPr="000F062A">
        <w:rPr>
          <w:rFonts w:hint="eastAsia"/>
          <w:bCs/>
          <w:sz w:val="24"/>
        </w:rPr>
        <w:t>基金应当在季度报告、中期报告、年度报告等定期报告和招募说明书（更新）等文件中披露港股通标的股票的投资情况。法律法规或中国证监会另有规定的，从其规定。</w:t>
      </w:r>
    </w:p>
    <w:p w14:paraId="7C924C11" w14:textId="45A08427" w:rsidR="00BD6AAF" w:rsidRPr="00F82365" w:rsidRDefault="004E4436">
      <w:pPr>
        <w:autoSpaceDE w:val="0"/>
        <w:autoSpaceDN w:val="0"/>
        <w:adjustRightInd w:val="0"/>
        <w:snapToGrid w:val="0"/>
        <w:spacing w:line="360" w:lineRule="auto"/>
        <w:ind w:firstLineChars="200" w:firstLine="480"/>
        <w:jc w:val="left"/>
        <w:rPr>
          <w:rFonts w:ascii="宋体" w:hAnsi="宋体"/>
          <w:sz w:val="24"/>
          <w:lang w:val="x-none"/>
        </w:rPr>
      </w:pPr>
      <w:r>
        <w:rPr>
          <w:rFonts w:ascii="宋体" w:hAnsi="宋体"/>
          <w:sz w:val="24"/>
        </w:rPr>
        <w:t>13</w:t>
      </w:r>
      <w:r>
        <w:rPr>
          <w:rFonts w:ascii="宋体" w:hAnsi="宋体" w:hint="eastAsia"/>
          <w:sz w:val="24"/>
        </w:rPr>
        <w:t>、</w:t>
      </w:r>
      <w:r w:rsidR="00BD6AAF" w:rsidRPr="00BD6AAF">
        <w:rPr>
          <w:rFonts w:ascii="宋体" w:hAnsi="宋体" w:hint="eastAsia"/>
          <w:sz w:val="24"/>
        </w:rPr>
        <w:t>基金投资非公开发行股票情况</w:t>
      </w:r>
    </w:p>
    <w:p w14:paraId="5AD64922" w14:textId="4C2EF95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基金管理人在本基金投资非公开发行股票后2个交易日内，在中国证监会</w:t>
      </w:r>
      <w:r w:rsidR="003246BF">
        <w:rPr>
          <w:rFonts w:ascii="宋体" w:hAnsi="宋体"/>
          <w:sz w:val="24"/>
        </w:rPr>
        <w:t>规定媒介</w:t>
      </w:r>
      <w:r>
        <w:rPr>
          <w:rFonts w:ascii="宋体" w:hAnsi="宋体"/>
          <w:sz w:val="24"/>
        </w:rPr>
        <w:t>披露所投资非公开发行股票的名称、数量、总成本、账面价值，以及总成本和账面价值占基金资产净值的比例、锁定期等信息。</w:t>
      </w:r>
    </w:p>
    <w:p w14:paraId="69C083C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14:paraId="198C4EC0"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（六）信息披露事务管理</w:t>
      </w:r>
    </w:p>
    <w:p w14:paraId="36B5CCF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7785799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5697AAB1" w14:textId="4F72C7A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BC10BF" w:rsidRPr="00E72BE8">
        <w:rPr>
          <w:rFonts w:hint="eastAsia"/>
          <w:bCs/>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137C31BA" w14:textId="41216330"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3246BF">
        <w:rPr>
          <w:rFonts w:ascii="宋体" w:hAnsi="宋体"/>
          <w:sz w:val="24"/>
        </w:rPr>
        <w:t>规定报刊</w:t>
      </w:r>
      <w:r>
        <w:rPr>
          <w:rFonts w:ascii="宋体" w:hAnsi="宋体"/>
          <w:sz w:val="24"/>
        </w:rPr>
        <w:t>中选择一家报刊披露本基金信息。基金管理人、基金托管人应当向中国证监会基金电子披露网站报送拟披露的基金信息，并保证相关报送信息的真实、准确、完整、及时。</w:t>
      </w:r>
    </w:p>
    <w:p w14:paraId="1E8C75DA" w14:textId="13C4B32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3246BF">
        <w:rPr>
          <w:rFonts w:ascii="宋体" w:hAnsi="宋体"/>
          <w:sz w:val="24"/>
        </w:rPr>
        <w:t>规定媒介</w:t>
      </w:r>
      <w:r>
        <w:rPr>
          <w:rFonts w:ascii="宋体" w:hAnsi="宋体"/>
          <w:sz w:val="24"/>
        </w:rPr>
        <w:t>上披露信息外，还可以根据需要在其他公共媒介披露信息，但是其他公共媒介不得早于</w:t>
      </w:r>
      <w:r w:rsidR="003246BF">
        <w:rPr>
          <w:rFonts w:ascii="宋体" w:hAnsi="宋体"/>
          <w:sz w:val="24"/>
        </w:rPr>
        <w:t>规定媒介</w:t>
      </w:r>
      <w:r>
        <w:rPr>
          <w:rFonts w:ascii="宋体" w:hAnsi="宋体"/>
          <w:sz w:val="24"/>
        </w:rPr>
        <w:t>披露信息，并且在不同媒介上披露同一信息的内容应当一致。</w:t>
      </w:r>
    </w:p>
    <w:p w14:paraId="0D91F8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33F3307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w:t>
      </w:r>
      <w:r>
        <w:rPr>
          <w:rFonts w:ascii="宋体" w:hAnsi="宋体"/>
          <w:sz w:val="24"/>
        </w:rPr>
        <w:lastRenderedPageBreak/>
        <w:t>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397A6D8"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（七）信息披露文件的存放与查阅</w:t>
      </w:r>
    </w:p>
    <w:p w14:paraId="3BE85CDF" w14:textId="7C1957A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w:t>
      </w:r>
      <w:r w:rsidR="00DA48E8">
        <w:rPr>
          <w:rFonts w:ascii="宋体" w:hAnsi="宋体" w:hint="eastAsia"/>
          <w:sz w:val="24"/>
        </w:rPr>
        <w:t>办公场所</w:t>
      </w:r>
      <w:r>
        <w:rPr>
          <w:rFonts w:ascii="宋体" w:hAnsi="宋体"/>
          <w:sz w:val="24"/>
        </w:rPr>
        <w:t>，供社会公众查阅、复制。</w:t>
      </w:r>
    </w:p>
    <w:p w14:paraId="5C3FBDE3"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（八）本基金信息披露事项以法律法规规定及本章节约定的内容为准。</w:t>
      </w:r>
    </w:p>
    <w:p w14:paraId="708B626E"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53AF163A" w14:textId="73455B64" w:rsidR="00404F1D" w:rsidRDefault="00CF4592">
      <w:pPr>
        <w:pStyle w:val="1"/>
        <w:snapToGrid w:val="0"/>
        <w:spacing w:beforeLines="0" w:before="240" w:after="240"/>
        <w:rPr>
          <w:rFonts w:ascii="Times New Roman" w:hAnsi="Times New Roman"/>
          <w:sz w:val="30"/>
        </w:rPr>
      </w:pPr>
      <w:r>
        <w:rPr>
          <w:rFonts w:ascii="宋体" w:hAnsi="宋体"/>
          <w:sz w:val="24"/>
        </w:rPr>
        <w:br w:type="page"/>
      </w:r>
      <w:bookmarkStart w:id="21" w:name="_Toc107476037"/>
      <w:r>
        <w:rPr>
          <w:rFonts w:ascii="Times New Roman" w:hAnsi="Times New Roman"/>
          <w:sz w:val="30"/>
        </w:rPr>
        <w:lastRenderedPageBreak/>
        <w:t>十八、</w:t>
      </w:r>
      <w:r w:rsidR="00404F1D">
        <w:rPr>
          <w:rFonts w:ascii="Times New Roman" w:hAnsi="Times New Roman" w:hint="eastAsia"/>
          <w:sz w:val="30"/>
        </w:rPr>
        <w:t>侧袋机制</w:t>
      </w:r>
      <w:bookmarkEnd w:id="21"/>
    </w:p>
    <w:p w14:paraId="6E96A797" w14:textId="77777777" w:rsidR="00404F1D" w:rsidRPr="00404F1D" w:rsidRDefault="00404F1D" w:rsidP="00404F1D">
      <w:pPr>
        <w:adjustRightInd w:val="0"/>
        <w:snapToGrid w:val="0"/>
        <w:spacing w:line="360" w:lineRule="auto"/>
        <w:ind w:firstLineChars="200" w:firstLine="482"/>
        <w:contextualSpacing/>
        <w:rPr>
          <w:rFonts w:ascii="Times New Roman" w:hAnsi="宋体"/>
          <w:b/>
          <w:bCs/>
          <w:sz w:val="24"/>
          <w:szCs w:val="24"/>
        </w:rPr>
      </w:pPr>
      <w:r w:rsidRPr="00404F1D">
        <w:rPr>
          <w:rFonts w:ascii="Times New Roman" w:hAnsi="宋体" w:hint="eastAsia"/>
          <w:b/>
          <w:bCs/>
          <w:sz w:val="24"/>
          <w:szCs w:val="24"/>
        </w:rPr>
        <w:t>（一）侧袋机制的实施条件</w:t>
      </w:r>
    </w:p>
    <w:p w14:paraId="24A8361B"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4307329"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基金管理人应当在启用侧袋机制后及时发布临时公告，</w:t>
      </w:r>
      <w:bookmarkStart w:id="22" w:name="_Hlk45746268"/>
      <w:r w:rsidRPr="00404F1D">
        <w:rPr>
          <w:rFonts w:ascii="Times New Roman" w:hAnsi="宋体" w:hint="eastAsia"/>
          <w:bCs/>
          <w:sz w:val="24"/>
          <w:szCs w:val="24"/>
        </w:rPr>
        <w:t>并在</w:t>
      </w:r>
      <w:bookmarkStart w:id="23" w:name="_Hlk45746204"/>
      <w:r w:rsidRPr="00404F1D">
        <w:rPr>
          <w:rFonts w:ascii="Times New Roman" w:hAnsi="宋体" w:hint="eastAsia"/>
          <w:bCs/>
          <w:sz w:val="24"/>
          <w:szCs w:val="24"/>
        </w:rPr>
        <w:t>五个工作日内</w:t>
      </w:r>
      <w:bookmarkEnd w:id="22"/>
      <w:bookmarkEnd w:id="23"/>
      <w:r w:rsidRPr="00404F1D">
        <w:rPr>
          <w:rFonts w:ascii="Times New Roman" w:hAnsi="宋体" w:hint="eastAsia"/>
          <w:bCs/>
          <w:sz w:val="24"/>
          <w:szCs w:val="24"/>
        </w:rPr>
        <w:t>聘请</w:t>
      </w:r>
      <w:bookmarkStart w:id="24" w:name="_Hlk45746277"/>
      <w:r w:rsidRPr="00404F1D">
        <w:rPr>
          <w:rFonts w:ascii="Times New Roman" w:hAnsi="宋体" w:hint="eastAsia"/>
          <w:bCs/>
          <w:sz w:val="24"/>
          <w:szCs w:val="24"/>
        </w:rPr>
        <w:t>侧袋机制启用日发表意见且</w:t>
      </w:r>
      <w:bookmarkEnd w:id="24"/>
      <w:r w:rsidRPr="00404F1D">
        <w:rPr>
          <w:rFonts w:ascii="Times New Roman" w:hAnsi="宋体" w:hint="eastAsia"/>
          <w:bCs/>
          <w:sz w:val="24"/>
          <w:szCs w:val="24"/>
        </w:rPr>
        <w:t>符合《中华人民共和国证券法》规定的会计师事务所</w:t>
      </w:r>
      <w:bookmarkStart w:id="25" w:name="_Hlk45746299"/>
      <w:r w:rsidRPr="00404F1D">
        <w:rPr>
          <w:rFonts w:ascii="Times New Roman" w:hAnsi="宋体" w:hint="eastAsia"/>
          <w:bCs/>
          <w:sz w:val="24"/>
          <w:szCs w:val="24"/>
        </w:rPr>
        <w:t>进行审计并披露</w:t>
      </w:r>
      <w:bookmarkEnd w:id="25"/>
      <w:r w:rsidRPr="00404F1D">
        <w:rPr>
          <w:rFonts w:ascii="Times New Roman" w:hAnsi="宋体" w:hint="eastAsia"/>
          <w:bCs/>
          <w:sz w:val="24"/>
          <w:szCs w:val="24"/>
        </w:rPr>
        <w:t>专项审计意见。</w:t>
      </w:r>
    </w:p>
    <w:p w14:paraId="31BEE56E" w14:textId="77777777" w:rsidR="00404F1D" w:rsidRPr="00404F1D" w:rsidRDefault="00404F1D" w:rsidP="00404F1D">
      <w:pPr>
        <w:adjustRightInd w:val="0"/>
        <w:snapToGrid w:val="0"/>
        <w:spacing w:line="360" w:lineRule="auto"/>
        <w:ind w:firstLineChars="200" w:firstLine="482"/>
        <w:contextualSpacing/>
        <w:rPr>
          <w:rFonts w:ascii="Times New Roman" w:hAnsi="宋体"/>
          <w:b/>
          <w:bCs/>
          <w:sz w:val="24"/>
          <w:szCs w:val="24"/>
        </w:rPr>
      </w:pPr>
      <w:r w:rsidRPr="00404F1D">
        <w:rPr>
          <w:rFonts w:ascii="Times New Roman" w:hAnsi="宋体" w:hint="eastAsia"/>
          <w:b/>
          <w:bCs/>
          <w:sz w:val="24"/>
          <w:szCs w:val="24"/>
        </w:rPr>
        <w:t>（二）实施侧袋机制期间基金份额的申购与赎回</w:t>
      </w:r>
    </w:p>
    <w:p w14:paraId="03747845"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1</w:t>
      </w:r>
      <w:r w:rsidRPr="00404F1D">
        <w:rPr>
          <w:rFonts w:ascii="Times New Roman"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636913C"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bCs/>
          <w:sz w:val="24"/>
          <w:szCs w:val="24"/>
        </w:rPr>
        <w:t>2</w:t>
      </w:r>
      <w:r w:rsidRPr="00404F1D">
        <w:rPr>
          <w:rFonts w:ascii="Times New Roman"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166E7E0C"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bCs/>
          <w:sz w:val="24"/>
          <w:szCs w:val="24"/>
        </w:rPr>
        <w:t>3</w:t>
      </w:r>
      <w:r w:rsidRPr="00404F1D">
        <w:rPr>
          <w:rFonts w:ascii="Times New Roman"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404F1D">
        <w:rPr>
          <w:rFonts w:ascii="Times New Roman" w:hAnsi="宋体"/>
          <w:bCs/>
          <w:sz w:val="24"/>
          <w:szCs w:val="24"/>
        </w:rPr>
        <w:t>10</w:t>
      </w:r>
      <w:r w:rsidRPr="00404F1D">
        <w:rPr>
          <w:rFonts w:ascii="Times New Roman" w:hAnsi="宋体" w:hint="eastAsia"/>
          <w:bCs/>
          <w:sz w:val="24"/>
          <w:szCs w:val="24"/>
        </w:rPr>
        <w:t>%</w:t>
      </w:r>
      <w:r w:rsidRPr="00404F1D">
        <w:rPr>
          <w:rFonts w:ascii="Times New Roman" w:hAnsi="宋体" w:hint="eastAsia"/>
          <w:bCs/>
          <w:sz w:val="24"/>
          <w:szCs w:val="24"/>
        </w:rPr>
        <w:t>认定。</w:t>
      </w:r>
    </w:p>
    <w:p w14:paraId="27E63E45" w14:textId="77777777" w:rsidR="00404F1D" w:rsidRPr="00404F1D" w:rsidRDefault="00404F1D" w:rsidP="00404F1D">
      <w:pPr>
        <w:adjustRightInd w:val="0"/>
        <w:snapToGrid w:val="0"/>
        <w:spacing w:line="360" w:lineRule="auto"/>
        <w:ind w:firstLineChars="200" w:firstLine="482"/>
        <w:contextualSpacing/>
        <w:rPr>
          <w:rFonts w:ascii="Times New Roman" w:hAnsi="宋体"/>
          <w:b/>
          <w:bCs/>
          <w:sz w:val="24"/>
          <w:szCs w:val="24"/>
        </w:rPr>
      </w:pPr>
      <w:r w:rsidRPr="00404F1D">
        <w:rPr>
          <w:rFonts w:ascii="Times New Roman" w:hAnsi="宋体" w:hint="eastAsia"/>
          <w:b/>
          <w:bCs/>
          <w:sz w:val="24"/>
          <w:szCs w:val="24"/>
        </w:rPr>
        <w:t>（三）实施侧袋机制期间的基金投资</w:t>
      </w:r>
    </w:p>
    <w:p w14:paraId="46EFA17A"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侧袋机制实施期间，招募说明书“基金的投资”部分约定的</w:t>
      </w:r>
      <w:r w:rsidRPr="00404F1D">
        <w:rPr>
          <w:rFonts w:ascii="Times New Roman" w:hAnsi="宋体"/>
          <w:bCs/>
          <w:sz w:val="24"/>
          <w:szCs w:val="24"/>
        </w:rPr>
        <w:t>投资组合比例</w:t>
      </w:r>
      <w:r w:rsidRPr="00404F1D">
        <w:rPr>
          <w:rFonts w:ascii="Times New Roman" w:hAnsi="宋体" w:hint="eastAsia"/>
          <w:bCs/>
          <w:sz w:val="24"/>
          <w:szCs w:val="24"/>
        </w:rPr>
        <w:t>、投资策略、</w:t>
      </w:r>
      <w:r w:rsidRPr="00404F1D">
        <w:rPr>
          <w:rFonts w:ascii="Times New Roman" w:hAnsi="宋体"/>
          <w:bCs/>
          <w:sz w:val="24"/>
          <w:szCs w:val="24"/>
        </w:rPr>
        <w:t>组合限制</w:t>
      </w:r>
      <w:r w:rsidRPr="00404F1D">
        <w:rPr>
          <w:rFonts w:ascii="Times New Roman" w:hAnsi="宋体" w:hint="eastAsia"/>
          <w:bCs/>
          <w:sz w:val="24"/>
          <w:szCs w:val="24"/>
        </w:rPr>
        <w:t>、业绩比较基准、风险收益特征等约定仅适用于主袋账户。基金管理人计算各项投资运作指标和基金业绩指标时仅需考虑主袋账户资产。</w:t>
      </w:r>
    </w:p>
    <w:p w14:paraId="721298F0"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基金管理人原则上应当在侧袋</w:t>
      </w:r>
      <w:r w:rsidRPr="00404F1D">
        <w:rPr>
          <w:rFonts w:ascii="Times New Roman" w:hAnsi="宋体"/>
          <w:bCs/>
          <w:sz w:val="24"/>
          <w:szCs w:val="24"/>
        </w:rPr>
        <w:t>机制启用后</w:t>
      </w:r>
      <w:r w:rsidRPr="00404F1D">
        <w:rPr>
          <w:rFonts w:ascii="Times New Roman" w:hAnsi="宋体"/>
          <w:bCs/>
          <w:sz w:val="24"/>
          <w:szCs w:val="24"/>
        </w:rPr>
        <w:t>20</w:t>
      </w:r>
      <w:r w:rsidRPr="00404F1D">
        <w:rPr>
          <w:rFonts w:ascii="Times New Roman" w:hAnsi="宋体"/>
          <w:bCs/>
          <w:sz w:val="24"/>
          <w:szCs w:val="24"/>
        </w:rPr>
        <w:t>个交易日内完成对主袋账户投资组合的调整，</w:t>
      </w:r>
      <w:r w:rsidRPr="00404F1D">
        <w:rPr>
          <w:rFonts w:ascii="Times New Roman" w:hAnsi="宋体" w:hint="eastAsia"/>
          <w:bCs/>
          <w:sz w:val="24"/>
          <w:szCs w:val="24"/>
        </w:rPr>
        <w:t>因资产流动性受限等中国证监会规定的情形除外。</w:t>
      </w:r>
    </w:p>
    <w:p w14:paraId="4E82244D"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基金管理人不得在侧袋账户中进行除特定资产处置变现以外的其他投资操作。</w:t>
      </w:r>
    </w:p>
    <w:p w14:paraId="71B77436" w14:textId="77777777" w:rsidR="00404F1D" w:rsidRPr="00404F1D" w:rsidRDefault="00404F1D" w:rsidP="00404F1D">
      <w:pPr>
        <w:adjustRightInd w:val="0"/>
        <w:snapToGrid w:val="0"/>
        <w:spacing w:line="360" w:lineRule="auto"/>
        <w:ind w:firstLineChars="200" w:firstLine="482"/>
        <w:contextualSpacing/>
        <w:rPr>
          <w:rFonts w:ascii="Times New Roman" w:hAnsi="宋体"/>
          <w:b/>
          <w:bCs/>
          <w:sz w:val="24"/>
          <w:szCs w:val="24"/>
        </w:rPr>
      </w:pPr>
      <w:r w:rsidRPr="00404F1D">
        <w:rPr>
          <w:rFonts w:ascii="Times New Roman" w:hAnsi="宋体" w:hint="eastAsia"/>
          <w:b/>
          <w:bCs/>
          <w:sz w:val="24"/>
          <w:szCs w:val="24"/>
        </w:rPr>
        <w:t>（四）实施侧袋机制期间的基金估值</w:t>
      </w:r>
    </w:p>
    <w:p w14:paraId="25F23E72"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本基金实施侧袋机制的，基金管理人和基金托管人应对主袋账户资产进行估值</w:t>
      </w:r>
      <w:r w:rsidRPr="00404F1D">
        <w:rPr>
          <w:rFonts w:ascii="Times New Roman" w:hAnsi="宋体" w:hint="eastAsia"/>
          <w:bCs/>
          <w:sz w:val="24"/>
          <w:szCs w:val="24"/>
        </w:rPr>
        <w:lastRenderedPageBreak/>
        <w:t>并披露主袋账户的基金净值信息，暂停披露侧袋账户份额净值。侧袋账户的会计核算应符合《企业会计准则》的相关要求。</w:t>
      </w:r>
    </w:p>
    <w:p w14:paraId="59525495" w14:textId="77777777" w:rsidR="00404F1D" w:rsidRPr="00404F1D" w:rsidRDefault="00404F1D" w:rsidP="00404F1D">
      <w:pPr>
        <w:adjustRightInd w:val="0"/>
        <w:snapToGrid w:val="0"/>
        <w:spacing w:line="360" w:lineRule="auto"/>
        <w:ind w:firstLineChars="200" w:firstLine="482"/>
        <w:contextualSpacing/>
        <w:rPr>
          <w:rFonts w:ascii="Times New Roman" w:hAnsi="宋体"/>
          <w:b/>
          <w:bCs/>
          <w:sz w:val="24"/>
          <w:szCs w:val="24"/>
        </w:rPr>
      </w:pPr>
      <w:r w:rsidRPr="00404F1D">
        <w:rPr>
          <w:rFonts w:ascii="Times New Roman" w:hAnsi="宋体" w:hint="eastAsia"/>
          <w:b/>
          <w:bCs/>
          <w:sz w:val="24"/>
          <w:szCs w:val="24"/>
        </w:rPr>
        <w:t>（五）实施侧袋账户期间的基金费用</w:t>
      </w:r>
    </w:p>
    <w:p w14:paraId="4683C8AC" w14:textId="32AD466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1</w:t>
      </w:r>
      <w:r w:rsidRPr="00404F1D">
        <w:rPr>
          <w:rFonts w:ascii="Times New Roman" w:hAnsi="宋体" w:hint="eastAsia"/>
          <w:bCs/>
          <w:sz w:val="24"/>
          <w:szCs w:val="24"/>
        </w:rPr>
        <w:t>、本基金实施侧袋机制的，管理费和托管费</w:t>
      </w:r>
      <w:r w:rsidR="004832C3">
        <w:rPr>
          <w:rFonts w:ascii="Times New Roman" w:hAnsi="宋体" w:hint="eastAsia"/>
          <w:bCs/>
          <w:sz w:val="24"/>
          <w:szCs w:val="24"/>
        </w:rPr>
        <w:t>等</w:t>
      </w:r>
      <w:r w:rsidRPr="00404F1D">
        <w:rPr>
          <w:rFonts w:ascii="Times New Roman" w:hAnsi="宋体" w:hint="eastAsia"/>
          <w:bCs/>
          <w:sz w:val="24"/>
          <w:szCs w:val="24"/>
        </w:rPr>
        <w:t>按主袋账户基金资产净值作为基数计提。</w:t>
      </w:r>
    </w:p>
    <w:p w14:paraId="48B64194"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bCs/>
          <w:sz w:val="24"/>
          <w:szCs w:val="24"/>
        </w:rPr>
        <w:t>2</w:t>
      </w:r>
      <w:r w:rsidRPr="00404F1D">
        <w:rPr>
          <w:rFonts w:ascii="Times New Roman" w:hAnsi="宋体" w:hint="eastAsia"/>
          <w:bCs/>
          <w:sz w:val="24"/>
          <w:szCs w:val="24"/>
        </w:rPr>
        <w:t>、与侧袋账户有关的费用可从侧袋账户中列支，但应待侧袋账户资产变现后方可列支，有关费用可酌情收取或减免，但不得收取管理费。</w:t>
      </w:r>
    </w:p>
    <w:p w14:paraId="12FEB577" w14:textId="77777777" w:rsidR="00404F1D" w:rsidRPr="00404F1D" w:rsidRDefault="00404F1D" w:rsidP="00404F1D">
      <w:pPr>
        <w:adjustRightInd w:val="0"/>
        <w:snapToGrid w:val="0"/>
        <w:spacing w:line="360" w:lineRule="auto"/>
        <w:ind w:firstLineChars="200" w:firstLine="482"/>
        <w:contextualSpacing/>
        <w:rPr>
          <w:rFonts w:ascii="Times New Roman" w:hAnsi="宋体"/>
          <w:b/>
          <w:bCs/>
          <w:sz w:val="24"/>
          <w:szCs w:val="24"/>
        </w:rPr>
      </w:pPr>
      <w:r w:rsidRPr="00404F1D">
        <w:rPr>
          <w:rFonts w:ascii="Times New Roman" w:hAnsi="宋体" w:hint="eastAsia"/>
          <w:b/>
          <w:bCs/>
          <w:sz w:val="24"/>
          <w:szCs w:val="24"/>
        </w:rPr>
        <w:t>（六）侧袋账户中特定资产的处置变现和支付</w:t>
      </w:r>
    </w:p>
    <w:p w14:paraId="508462E2"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1D24AFA"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B93083F"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侧袋账户资产全部完成变现并终止侧袋机制后，基金管理人应及时聘请符合《中华人民共和国证券法》规定的会计师事务所进行审计并披露专项审计意见。</w:t>
      </w:r>
    </w:p>
    <w:p w14:paraId="52B05844" w14:textId="77777777" w:rsidR="00404F1D" w:rsidRPr="00404F1D" w:rsidRDefault="00404F1D" w:rsidP="00404F1D">
      <w:pPr>
        <w:adjustRightInd w:val="0"/>
        <w:snapToGrid w:val="0"/>
        <w:spacing w:line="360" w:lineRule="auto"/>
        <w:ind w:firstLineChars="200" w:firstLine="482"/>
        <w:contextualSpacing/>
        <w:rPr>
          <w:rFonts w:ascii="Times New Roman" w:hAnsi="宋体"/>
          <w:b/>
          <w:bCs/>
          <w:sz w:val="24"/>
          <w:szCs w:val="24"/>
        </w:rPr>
      </w:pPr>
      <w:r w:rsidRPr="00404F1D">
        <w:rPr>
          <w:rFonts w:ascii="Times New Roman" w:hAnsi="宋体" w:hint="eastAsia"/>
          <w:b/>
          <w:bCs/>
          <w:sz w:val="24"/>
          <w:szCs w:val="24"/>
        </w:rPr>
        <w:t>（七）侧袋机制的信息披露</w:t>
      </w:r>
    </w:p>
    <w:p w14:paraId="52371187"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1</w:t>
      </w:r>
      <w:r w:rsidRPr="00404F1D">
        <w:rPr>
          <w:rFonts w:ascii="Times New Roman" w:hAnsi="宋体" w:hint="eastAsia"/>
          <w:bCs/>
          <w:sz w:val="24"/>
          <w:szCs w:val="24"/>
        </w:rPr>
        <w:t>、临时公告</w:t>
      </w:r>
    </w:p>
    <w:p w14:paraId="25A8464E"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在启用侧袋机制、处置特定资产、终止侧袋机制以及发生其他可能对投资者利益产生重大影响的事项后基金管理人应及时发布临时公告。</w:t>
      </w:r>
    </w:p>
    <w:p w14:paraId="439DE525"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2</w:t>
      </w:r>
      <w:r w:rsidRPr="00404F1D">
        <w:rPr>
          <w:rFonts w:ascii="Times New Roman" w:hAnsi="宋体" w:hint="eastAsia"/>
          <w:bCs/>
          <w:sz w:val="24"/>
          <w:szCs w:val="24"/>
        </w:rPr>
        <w:t>、基金净值信息</w:t>
      </w:r>
    </w:p>
    <w:p w14:paraId="1B6C88DF"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2DCB90FB" w14:textId="77777777" w:rsidR="00404F1D" w:rsidRPr="00404F1D" w:rsidRDefault="00404F1D" w:rsidP="00404F1D">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3</w:t>
      </w:r>
      <w:r w:rsidRPr="00404F1D">
        <w:rPr>
          <w:rFonts w:ascii="Times New Roman" w:hAnsi="宋体" w:hint="eastAsia"/>
          <w:bCs/>
          <w:sz w:val="24"/>
          <w:szCs w:val="24"/>
        </w:rPr>
        <w:t>、定期报告</w:t>
      </w:r>
    </w:p>
    <w:p w14:paraId="0A5414DB" w14:textId="5AD77633" w:rsidR="00404F1D" w:rsidRPr="00F82365" w:rsidRDefault="00404F1D" w:rsidP="00F82365">
      <w:pPr>
        <w:adjustRightInd w:val="0"/>
        <w:snapToGrid w:val="0"/>
        <w:spacing w:line="360" w:lineRule="auto"/>
        <w:ind w:firstLineChars="200" w:firstLine="480"/>
        <w:contextualSpacing/>
        <w:rPr>
          <w:rFonts w:ascii="Times New Roman" w:hAnsi="宋体"/>
          <w:bCs/>
          <w:sz w:val="24"/>
          <w:szCs w:val="24"/>
        </w:rPr>
      </w:pPr>
      <w:r w:rsidRPr="00404F1D">
        <w:rPr>
          <w:rFonts w:ascii="Times New Roman" w:hAnsi="宋体" w:hint="eastAsia"/>
          <w:bCs/>
          <w:sz w:val="24"/>
          <w:szCs w:val="24"/>
        </w:rPr>
        <w:t>侧袋机制实施期间，基金管理人应当在基金定期报告中披露报告期内侧袋账户相关信息，基金定期报告中的基金会计报表仅需针对主袋账户进行编制。</w:t>
      </w:r>
      <w:bookmarkStart w:id="26" w:name="_Hlk45747214"/>
      <w:r w:rsidRPr="00404F1D">
        <w:rPr>
          <w:rFonts w:ascii="Times New Roman" w:hAnsi="宋体" w:hint="eastAsia"/>
          <w:bCs/>
          <w:sz w:val="24"/>
          <w:szCs w:val="24"/>
        </w:rPr>
        <w:t>会计师事务所对基金年度报告进行审计时，应对报告期内基金侧袋机制运行相关的会计核算和年度报告披露等发表审计意见。</w:t>
      </w:r>
      <w:bookmarkEnd w:id="26"/>
    </w:p>
    <w:p w14:paraId="71E95303" w14:textId="3C555697" w:rsidR="00FB4D29" w:rsidRDefault="00AF2A34">
      <w:pPr>
        <w:pStyle w:val="1"/>
        <w:snapToGrid w:val="0"/>
        <w:spacing w:beforeLines="0" w:before="240" w:after="240"/>
        <w:rPr>
          <w:rFonts w:ascii="宋体" w:hAnsi="宋体"/>
          <w:szCs w:val="30"/>
        </w:rPr>
      </w:pPr>
      <w:r>
        <w:rPr>
          <w:rFonts w:ascii="Times New Roman" w:hAnsi="Times New Roman"/>
          <w:sz w:val="30"/>
        </w:rPr>
        <w:br w:type="page"/>
      </w:r>
      <w:bookmarkStart w:id="27" w:name="_Toc107476038"/>
      <w:r w:rsidR="00404F1D">
        <w:rPr>
          <w:rFonts w:ascii="Times New Roman" w:hAnsi="Times New Roman" w:hint="eastAsia"/>
          <w:sz w:val="30"/>
        </w:rPr>
        <w:lastRenderedPageBreak/>
        <w:t>十九、</w:t>
      </w:r>
      <w:r w:rsidR="00CF4592">
        <w:rPr>
          <w:rFonts w:ascii="Times New Roman" w:hAnsi="Times New Roman"/>
          <w:sz w:val="30"/>
        </w:rPr>
        <w:t>风险揭示</w:t>
      </w:r>
      <w:bookmarkEnd w:id="27"/>
    </w:p>
    <w:p w14:paraId="1F2283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A0DC90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4DE6004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0BA5DC3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74FD1E5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D80CD1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41489FB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1A24A18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0A5479CE"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（一）市场风险</w:t>
      </w:r>
    </w:p>
    <w:p w14:paraId="65D1803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312FC6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10CC8F1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12999CE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A250AF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6A2225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3B16F063"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（二）管理风险</w:t>
      </w:r>
    </w:p>
    <w:p w14:paraId="7A10CB4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715316F1"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（三）流动性风险</w:t>
      </w:r>
    </w:p>
    <w:p w14:paraId="1BA4059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w:t>
      </w:r>
      <w:r>
        <w:rPr>
          <w:rFonts w:ascii="宋体" w:hAnsi="宋体"/>
          <w:sz w:val="24"/>
        </w:rPr>
        <w:lastRenderedPageBreak/>
        <w:t>不利的影响，都会影响基金运作和收益水平。尤其是在发生巨额赎回时，如果基金资产变现能力差，可能会产生基金仓位调整的困难，导致流动性风险，可能影响基金份额净值。</w:t>
      </w:r>
    </w:p>
    <w:p w14:paraId="7E76B32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AC344A5" w14:textId="6999E31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w:t>
      </w:r>
      <w:r w:rsidR="0021033E" w:rsidRPr="0021033E">
        <w:rPr>
          <w:rFonts w:ascii="宋体" w:hAnsi="宋体" w:hint="eastAsia"/>
          <w:sz w:val="24"/>
        </w:rPr>
        <w:t>（若该工作日为非港股通交易日，则本基金可不开放）</w:t>
      </w:r>
      <w:r>
        <w:rPr>
          <w:rFonts w:ascii="宋体" w:hAnsi="宋体"/>
          <w:sz w:val="24"/>
        </w:rPr>
        <w:t>，但基金管理人根据法律法规、中国证监会的要求或基金合同的规定公告暂停申购、赎回时除外。</w:t>
      </w:r>
    </w:p>
    <w:p w14:paraId="202D3C6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0272A8FD" w14:textId="7764AB6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本基金的投资市场主要为证券交易所、全国银行间债券市场等流动性较好的规范型交易场所，主要投资对象为具有良好流动性的金融工具（包括国内依法发行上市的股票、</w:t>
      </w:r>
      <w:r w:rsidR="0021033E" w:rsidRPr="0021033E">
        <w:rPr>
          <w:rFonts w:ascii="宋体" w:hAnsi="宋体" w:hint="eastAsia"/>
          <w:sz w:val="24"/>
        </w:rPr>
        <w:t>港股通标的股票、</w:t>
      </w:r>
      <w:r>
        <w:rPr>
          <w:rFonts w:ascii="宋体" w:hAnsi="宋体"/>
          <w:sz w:val="24"/>
        </w:rPr>
        <w:t>债券和货币市场工具等），同时本基金基于分散投资的原则在行业和个券方面未有高集中度的特征，综合评估在正常市场环境下本基金的流动性风险适中。</w:t>
      </w:r>
    </w:p>
    <w:p w14:paraId="03C9B18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6BAC43B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4AAD97E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00A8ABD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1D44E49" w14:textId="26EDF2C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w:t>
      </w:r>
      <w:r>
        <w:rPr>
          <w:rFonts w:ascii="宋体" w:hAnsi="宋体"/>
          <w:sz w:val="24"/>
        </w:rPr>
        <w:lastRenderedPageBreak/>
        <w:t>以下一开放日的</w:t>
      </w:r>
      <w:r w:rsidR="009E30C1">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28CC2CCD" w14:textId="4B9EB1F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如基金份额持有人在当日选择取消赎回，则其当日未获受理的部分赎回申请将被撤销。</w:t>
      </w:r>
    </w:p>
    <w:p w14:paraId="3BDF7117" w14:textId="221ED14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w:t>
      </w:r>
      <w:r w:rsidR="003246BF">
        <w:rPr>
          <w:rFonts w:ascii="宋体" w:hAnsi="宋体"/>
          <w:sz w:val="24"/>
        </w:rPr>
        <w:t>规定媒介</w:t>
      </w:r>
      <w:r>
        <w:rPr>
          <w:rFonts w:ascii="宋体" w:hAnsi="宋体"/>
          <w:sz w:val="24"/>
        </w:rPr>
        <w:t>上进行公告。</w:t>
      </w:r>
    </w:p>
    <w:p w14:paraId="060257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22D7085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2E675416" w14:textId="3A3FF516" w:rsidR="00FB4D29" w:rsidRDefault="00CF4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如果出现流动性风险，基金管理人经与基金托管人协商，在确保投资者得到公平对待的前提下，可实施备用的流动性风险管理工具，包括但不限于</w:t>
      </w:r>
      <w:r w:rsidR="00C15BA7">
        <w:rPr>
          <w:rFonts w:ascii="宋体" w:hAnsi="宋体"/>
          <w:sz w:val="24"/>
        </w:rPr>
        <w:t>延期办理巨额赎回申请、</w:t>
      </w:r>
      <w:r>
        <w:rPr>
          <w:rFonts w:ascii="宋体" w:hAnsi="宋体"/>
          <w:sz w:val="24"/>
        </w:rPr>
        <w:t>暂停接受赎回申请、延缓支付赎回款项、收取短期赎回费、摆动定价、暂停基金估值</w:t>
      </w:r>
      <w:r w:rsidR="001907A7" w:rsidRPr="001907A7">
        <w:rPr>
          <w:rFonts w:ascii="宋体" w:hAnsi="宋体" w:hint="eastAsia"/>
          <w:sz w:val="24"/>
        </w:rPr>
        <w:t>、实施侧袋机制</w:t>
      </w:r>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BDAEF52" w14:textId="77777777" w:rsidR="001907A7" w:rsidRPr="00F82365" w:rsidRDefault="001907A7" w:rsidP="001907A7">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91BE82C" w14:textId="77777777" w:rsidR="001907A7" w:rsidRPr="00F82365" w:rsidRDefault="001907A7" w:rsidP="001907A7">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EA68920" w14:textId="77777777" w:rsidR="001907A7" w:rsidRPr="00F82365" w:rsidRDefault="001907A7" w:rsidP="001907A7">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lastRenderedPageBreak/>
        <w:t>基金管理人将根据主袋账户运作情况合理确定申购政策，因此实施侧袋机制后主袋账户份额存在暂停申购的可能。</w:t>
      </w:r>
    </w:p>
    <w:p w14:paraId="1C3DC6E8" w14:textId="25E73963" w:rsidR="001907A7" w:rsidRPr="00F82365" w:rsidRDefault="001907A7" w:rsidP="001907A7">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D11941A"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（四）信用风险</w:t>
      </w:r>
    </w:p>
    <w:p w14:paraId="366B878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基金在交易过程中发生交收违约，或者基金所投资债券之发行人出现违约、拒绝支付到期本息，都可能导致基金资产损失和收益变化，从而产生风险。</w:t>
      </w:r>
    </w:p>
    <w:p w14:paraId="563C31D2"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（五）本基金投资策略所特有的风险</w:t>
      </w:r>
    </w:p>
    <w:p w14:paraId="5E5019F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4200AF95" w14:textId="21A204F6" w:rsidR="00FB4D29" w:rsidRDefault="00CF4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E8528E3"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sz w:val="24"/>
        </w:rPr>
        <w:t>3、本基金可投资港股通标的股票，会面临港股通机制下因投资环境、投资标的、市场制度以及交易规则等差异带来的特有风险，具体如下：</w:t>
      </w:r>
    </w:p>
    <w:p w14:paraId="257E3826"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w:t>
      </w:r>
      <w:r w:rsidRPr="00F82365">
        <w:rPr>
          <w:rFonts w:ascii="宋体" w:hAnsi="宋体"/>
          <w:sz w:val="24"/>
        </w:rPr>
        <w:t>1）港股交易失败风险</w:t>
      </w:r>
    </w:p>
    <w:p w14:paraId="763CDFAB"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85DA978"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w:t>
      </w:r>
      <w:r w:rsidRPr="00F82365">
        <w:rPr>
          <w:rFonts w:ascii="宋体" w:hAnsi="宋体"/>
          <w:sz w:val="24"/>
        </w:rPr>
        <w:t>2）汇率风险</w:t>
      </w:r>
    </w:p>
    <w:p w14:paraId="5C3B2E4B"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656BDAF2"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本基金以人民币募集和计价，港币相对于人民币的汇率变化将会影响本基金以人民币计价的基金资产价值，从而导致基金资产面临潜在风险。人民币对港币的汇</w:t>
      </w:r>
      <w:r w:rsidRPr="00F82365">
        <w:rPr>
          <w:rFonts w:ascii="宋体" w:hAnsi="宋体" w:hint="eastAsia"/>
          <w:sz w:val="24"/>
        </w:rPr>
        <w:lastRenderedPageBreak/>
        <w:t>率的波动也可能加大基金净值的波动，从而对基金业绩产生影响。故本基金投资面临汇率风险，汇率波动可能对基金的投资收益造成损失。</w:t>
      </w:r>
    </w:p>
    <w:p w14:paraId="75BB5EBC"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w:t>
      </w:r>
      <w:r w:rsidRPr="00F82365">
        <w:rPr>
          <w:rFonts w:ascii="宋体" w:hAnsi="宋体"/>
          <w:sz w:val="24"/>
        </w:rPr>
        <w:t>3）境外市场的风险</w:t>
      </w:r>
    </w:p>
    <w:p w14:paraId="302E56EC"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sz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7CC962B0"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sz w:val="24"/>
        </w:rPr>
        <w:t xml:space="preserve">2）香港市场交易规则有别于内地A </w:t>
      </w:r>
      <w:r w:rsidRPr="00F82365">
        <w:rPr>
          <w:rFonts w:ascii="宋体" w:hAnsi="宋体" w:hint="eastAsia"/>
          <w:sz w:val="24"/>
        </w:rPr>
        <w:t>股市场规则，此外，在“内地与香港股票市场交易互联互通机制”下参与香港股票投资还将面临包括但不限于如下特殊风险：</w:t>
      </w:r>
    </w:p>
    <w:p w14:paraId="54DBFAAA"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sz w:val="24"/>
        </w:rPr>
        <w:t xml:space="preserve">a）香港市场实行T+0 </w:t>
      </w:r>
      <w:r w:rsidRPr="00F82365">
        <w:rPr>
          <w:rFonts w:ascii="宋体" w:hAnsi="宋体" w:hint="eastAsia"/>
          <w:sz w:val="24"/>
        </w:rPr>
        <w:t>回转交易机制（即当日买入的股票，在交收前可以于当日卖出），且证券交易价格并无涨跌幅上下限的规定，因此每日涨跌幅空间相对较大，可能表现出比</w:t>
      </w:r>
      <w:r w:rsidRPr="00F82365">
        <w:rPr>
          <w:rFonts w:ascii="宋体" w:hAnsi="宋体"/>
          <w:sz w:val="24"/>
        </w:rPr>
        <w:t>A股更为剧烈的股价波动；</w:t>
      </w:r>
    </w:p>
    <w:p w14:paraId="162C27FF"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sz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7072C1E"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sz w:val="24"/>
        </w:rPr>
        <w:t>c）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29344381"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sz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w:t>
      </w:r>
      <w:r w:rsidRPr="00F82365">
        <w:rPr>
          <w:rFonts w:ascii="宋体" w:hAnsi="宋体" w:hint="eastAsia"/>
          <w:sz w:val="24"/>
        </w:rPr>
        <w:lastRenderedPageBreak/>
        <w:t>股通股票权益分派、转换或者上市公司被收购等所取得的非香港联合交易所上市证券，不得通过港股通买入或卖出；</w:t>
      </w:r>
    </w:p>
    <w:p w14:paraId="550E8613"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sz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293A7B6B" w14:textId="77777777" w:rsidR="0017051B" w:rsidRPr="00F82365"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w:t>
      </w:r>
      <w:r w:rsidRPr="00F82365">
        <w:rPr>
          <w:rFonts w:ascii="宋体" w:hAnsi="宋体"/>
          <w:sz w:val="24"/>
        </w:rPr>
        <w:t>4）本基金可根据投资策略需要或不同配置地市场环境的变化，选择将部分基金资产投资于港股或选择不将基金资产投资于港股，基金资产并非必然投资港股。</w:t>
      </w:r>
    </w:p>
    <w:p w14:paraId="5FA51660" w14:textId="2E8C6B36" w:rsidR="0017051B" w:rsidRDefault="0017051B" w:rsidP="0017051B">
      <w:pPr>
        <w:autoSpaceDE w:val="0"/>
        <w:autoSpaceDN w:val="0"/>
        <w:adjustRightInd w:val="0"/>
        <w:snapToGrid w:val="0"/>
        <w:spacing w:line="360" w:lineRule="auto"/>
        <w:ind w:firstLineChars="200" w:firstLine="480"/>
        <w:jc w:val="left"/>
        <w:rPr>
          <w:rFonts w:ascii="宋体" w:hAnsi="宋体"/>
          <w:sz w:val="24"/>
        </w:rPr>
      </w:pPr>
      <w:r w:rsidRPr="00F82365">
        <w:rPr>
          <w:rFonts w:ascii="宋体" w:hAnsi="宋体" w:hint="eastAsia"/>
          <w:sz w:val="24"/>
        </w:rPr>
        <w:t>以上所述因素可能会给本基金投资带来特殊交易风险。</w:t>
      </w:r>
    </w:p>
    <w:p w14:paraId="5BF9BF60" w14:textId="4F068596" w:rsidR="0017051B" w:rsidRDefault="0017051B" w:rsidP="0017051B">
      <w:pPr>
        <w:autoSpaceDE w:val="0"/>
        <w:autoSpaceDN w:val="0"/>
        <w:adjustRightInd w:val="0"/>
        <w:snapToGrid w:val="0"/>
        <w:spacing w:line="360" w:lineRule="auto"/>
        <w:ind w:firstLineChars="200" w:firstLine="480"/>
        <w:jc w:val="left"/>
        <w:rPr>
          <w:rFonts w:ascii="宋体" w:hAnsi="宋体"/>
          <w:sz w:val="24"/>
        </w:rPr>
      </w:pPr>
      <w:r w:rsidRPr="0017051B">
        <w:rPr>
          <w:rFonts w:ascii="宋体" w:hAnsi="宋体" w:hint="eastAsia"/>
          <w:sz w:val="24"/>
        </w:rPr>
        <w:t>4、基金合同提前终止风险。连续50个工作日出现基金份额持有人数量不满200人或者基金资产净值低于5000万元情形的，基金合同终止，不需召开基金份额持有人大会。</w:t>
      </w:r>
    </w:p>
    <w:p w14:paraId="483FB930" w14:textId="2CD62909" w:rsidR="0025039B" w:rsidRPr="0025039B" w:rsidRDefault="0025039B" w:rsidP="0017051B">
      <w:pPr>
        <w:autoSpaceDE w:val="0"/>
        <w:autoSpaceDN w:val="0"/>
        <w:adjustRightInd w:val="0"/>
        <w:snapToGrid w:val="0"/>
        <w:spacing w:line="360" w:lineRule="auto"/>
        <w:ind w:firstLineChars="200" w:firstLine="480"/>
        <w:jc w:val="left"/>
        <w:rPr>
          <w:rFonts w:ascii="宋体" w:hAnsi="宋体"/>
          <w:sz w:val="24"/>
        </w:rPr>
      </w:pPr>
      <w:r w:rsidRPr="0025039B">
        <w:rPr>
          <w:rFonts w:ascii="宋体" w:hAnsi="宋体" w:hint="eastAsia"/>
          <w:sz w:val="24"/>
        </w:rPr>
        <w:t>5、本基金可投资创业板股票，创业板个股上市后的前五个交易日不设价格涨跌幅限制，第六个交易日开始涨跌幅限制比例为20%。</w:t>
      </w:r>
    </w:p>
    <w:p w14:paraId="2F5CD054"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（六）投资股指期货的特定风险</w:t>
      </w:r>
    </w:p>
    <w:p w14:paraId="16B1014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F89F32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14:paraId="0A42FA0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14:paraId="467E17D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14:paraId="6E644E6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14:paraId="1921402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14:paraId="2BA6032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w:t>
      </w:r>
      <w:r>
        <w:rPr>
          <w:rFonts w:ascii="宋体" w:hAnsi="宋体"/>
          <w:sz w:val="24"/>
        </w:rPr>
        <w:lastRenderedPageBreak/>
        <w:t>者系统出现故障等原因造成损失的风险。</w:t>
      </w:r>
    </w:p>
    <w:p w14:paraId="1AD324B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14:paraId="31335F03"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（七）投资资产支持证券的特定风险</w:t>
      </w:r>
    </w:p>
    <w:p w14:paraId="1AD0BF3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5544ABF9"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（八）投资流通受限证券的特定风险</w:t>
      </w:r>
    </w:p>
    <w:p w14:paraId="4686472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8635E09"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（九）投资科创板股票的特定风险</w:t>
      </w:r>
    </w:p>
    <w:p w14:paraId="071B36B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3A0EF43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6ABB540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F940C1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14:paraId="5DA02C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64CC0DD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033CF5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549314F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299969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7D7DF02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63724DC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331F784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59562E9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5A45EE7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14:paraId="47D9E0A9"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 投资存托凭证的特定风险</w:t>
      </w:r>
    </w:p>
    <w:p w14:paraId="0C8C8B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06C84B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D11FBD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14:paraId="45F6B880"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（十一）其他风险</w:t>
      </w:r>
    </w:p>
    <w:p w14:paraId="2510E1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1397F9F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w:t>
      </w:r>
      <w:r>
        <w:rPr>
          <w:rFonts w:ascii="宋体" w:hAnsi="宋体"/>
          <w:sz w:val="24"/>
        </w:rPr>
        <w:lastRenderedPageBreak/>
        <w:t>完善产生的风险；</w:t>
      </w:r>
    </w:p>
    <w:p w14:paraId="485E0F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5B75B75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4E06E06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78DC269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30C222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40DEE03A" w14:textId="77777777" w:rsidR="00AF2A34" w:rsidRDefault="00AF2A34" w:rsidP="00F82365">
      <w:pPr>
        <w:autoSpaceDE w:val="0"/>
        <w:autoSpaceDN w:val="0"/>
        <w:adjustRightInd w:val="0"/>
        <w:spacing w:line="360" w:lineRule="auto"/>
        <w:rPr>
          <w:rFonts w:ascii="宋体" w:hAnsi="宋体"/>
          <w:szCs w:val="24"/>
        </w:rPr>
      </w:pPr>
    </w:p>
    <w:p w14:paraId="75D41CFC" w14:textId="73DE1A3B" w:rsidR="00FB4D29" w:rsidRDefault="00CF4592">
      <w:pPr>
        <w:pStyle w:val="1"/>
        <w:snapToGrid w:val="0"/>
        <w:spacing w:beforeLines="0" w:before="240" w:after="240"/>
        <w:rPr>
          <w:rFonts w:ascii="宋体" w:hAnsi="宋体"/>
          <w:szCs w:val="30"/>
        </w:rPr>
      </w:pPr>
      <w:r>
        <w:rPr>
          <w:rFonts w:ascii="宋体" w:hAnsi="宋体"/>
          <w:sz w:val="24"/>
        </w:rPr>
        <w:br w:type="page"/>
      </w:r>
      <w:bookmarkStart w:id="28" w:name="_Toc107476039"/>
      <w:r w:rsidR="00B37E6F">
        <w:rPr>
          <w:rFonts w:ascii="Times New Roman" w:hAnsi="Times New Roman" w:hint="eastAsia"/>
          <w:sz w:val="30"/>
        </w:rPr>
        <w:lastRenderedPageBreak/>
        <w:t>二十</w:t>
      </w:r>
      <w:r>
        <w:rPr>
          <w:rFonts w:ascii="Times New Roman" w:hAnsi="Times New Roman"/>
          <w:sz w:val="30"/>
        </w:rPr>
        <w:t>、基金合同的变更、终止与基金财产的清算</w:t>
      </w:r>
      <w:bookmarkEnd w:id="28"/>
    </w:p>
    <w:p w14:paraId="6568EDCD"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（一）《基金合同》的变更</w:t>
      </w:r>
    </w:p>
    <w:p w14:paraId="0577AD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B55A956" w14:textId="5278AD8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w:t>
      </w:r>
      <w:r w:rsidR="003246BF">
        <w:rPr>
          <w:rFonts w:ascii="宋体" w:hAnsi="宋体"/>
          <w:sz w:val="24"/>
        </w:rPr>
        <w:t>规定媒介</w:t>
      </w:r>
      <w:r>
        <w:rPr>
          <w:rFonts w:ascii="宋体" w:hAnsi="宋体"/>
          <w:sz w:val="24"/>
        </w:rPr>
        <w:t>公告。</w:t>
      </w:r>
    </w:p>
    <w:p w14:paraId="004E2EF9"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（二）《基金合同》的终止事由</w:t>
      </w:r>
    </w:p>
    <w:p w14:paraId="526CBB0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050F5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CE93F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0B2D2F7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56B98F5A" w14:textId="77777777" w:rsidR="00B838DF" w:rsidRPr="00B838DF" w:rsidRDefault="00CF4592" w:rsidP="00B838D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B838DF" w:rsidRPr="00B838DF">
        <w:rPr>
          <w:rFonts w:ascii="宋体" w:hAnsi="宋体" w:hint="eastAsia"/>
          <w:sz w:val="24"/>
        </w:rPr>
        <w:t>连续50个工作日出现基金份额持有人数量不满200人或者基金资产净值低于5000万元情形的，基金合同终止，不需召开基金份额持有人大会；</w:t>
      </w:r>
    </w:p>
    <w:p w14:paraId="5F834D5C" w14:textId="27BD451E" w:rsidR="00FB4D29" w:rsidRDefault="00B838DF" w:rsidP="00B838DF">
      <w:pPr>
        <w:autoSpaceDE w:val="0"/>
        <w:autoSpaceDN w:val="0"/>
        <w:adjustRightInd w:val="0"/>
        <w:snapToGrid w:val="0"/>
        <w:spacing w:line="360" w:lineRule="auto"/>
        <w:ind w:firstLineChars="200" w:firstLine="480"/>
        <w:jc w:val="left"/>
        <w:rPr>
          <w:rFonts w:ascii="宋体" w:hAnsi="宋体"/>
          <w:szCs w:val="24"/>
        </w:rPr>
      </w:pPr>
      <w:r w:rsidRPr="00B838DF">
        <w:rPr>
          <w:rFonts w:ascii="宋体" w:hAnsi="宋体" w:hint="eastAsia"/>
          <w:sz w:val="24"/>
        </w:rPr>
        <w:t>5、</w:t>
      </w:r>
      <w:r w:rsidR="00CF4592">
        <w:rPr>
          <w:rFonts w:ascii="宋体" w:hAnsi="宋体"/>
          <w:sz w:val="24"/>
        </w:rPr>
        <w:t>《基金合同》约定的其他情形；</w:t>
      </w:r>
    </w:p>
    <w:p w14:paraId="4B3BADCB" w14:textId="7AA6605F" w:rsidR="00FB4D29" w:rsidRDefault="00B838D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CF4592">
        <w:rPr>
          <w:rFonts w:ascii="宋体" w:hAnsi="宋体"/>
          <w:sz w:val="24"/>
        </w:rPr>
        <w:t>、相关法律法规和中国证监会规定的其他情况。</w:t>
      </w:r>
    </w:p>
    <w:p w14:paraId="4B8729C0"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（三）基金财产的清算</w:t>
      </w:r>
    </w:p>
    <w:p w14:paraId="1B597EE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365F05B" w14:textId="5BCC032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B838DF" w:rsidRPr="00222988">
        <w:rPr>
          <w:rFonts w:hint="eastAsia"/>
          <w:bCs/>
          <w:sz w:val="24"/>
        </w:rPr>
        <w:t>符合《中华人民共和国证券法》规定</w:t>
      </w:r>
      <w:r>
        <w:rPr>
          <w:rFonts w:ascii="宋体" w:hAnsi="宋体"/>
          <w:sz w:val="24"/>
        </w:rPr>
        <w:t>的注册会计师、律师以及中国证监会指定的人员组成。基金财产清算小组可以聘用必要的工作人员。</w:t>
      </w:r>
    </w:p>
    <w:p w14:paraId="08C2B2B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304FFB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07625E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63E0BB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F959F4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6A0B50A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F2156C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D0A06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49F954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492F9E1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42CFA5A7"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（四）清算费用</w:t>
      </w:r>
    </w:p>
    <w:p w14:paraId="3312C9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2C2E7FE"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（五）基金财产清算剩余资产的分配</w:t>
      </w:r>
    </w:p>
    <w:p w14:paraId="3A4AEF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7E0BD09"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（六）基金财产清算的公告</w:t>
      </w:r>
    </w:p>
    <w:p w14:paraId="33C0F49C" w14:textId="20C640E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7873F7" w:rsidRPr="007873F7">
        <w:rPr>
          <w:rFonts w:ascii="宋体" w:hAnsi="宋体" w:hint="eastAsia"/>
          <w:sz w:val="24"/>
        </w:rPr>
        <w:t>符合《中华人民共和国证券法》规定的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w:t>
      </w:r>
      <w:r w:rsidR="007873F7" w:rsidRPr="007873F7">
        <w:rPr>
          <w:rFonts w:ascii="宋体" w:hAnsi="宋体" w:hint="eastAsia"/>
          <w:sz w:val="24"/>
        </w:rPr>
        <w:t>，基金财产清算小组应当将清算报告登载在规定网站上，并将清算报告提示性公告登载在规定报刊上</w:t>
      </w:r>
      <w:r>
        <w:rPr>
          <w:rFonts w:ascii="宋体" w:hAnsi="宋体"/>
          <w:sz w:val="24"/>
        </w:rPr>
        <w:t>。</w:t>
      </w:r>
    </w:p>
    <w:p w14:paraId="0C74E58F"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（七）基金财产清算账册及文件的保存</w:t>
      </w:r>
    </w:p>
    <w:p w14:paraId="7B974D1A" w14:textId="360DE69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03EF" w:rsidRPr="003403EF">
        <w:rPr>
          <w:rFonts w:ascii="宋体" w:hAnsi="宋体" w:hint="eastAsia"/>
          <w:sz w:val="24"/>
        </w:rPr>
        <w:t>不低于法律法规规定的最低期限</w:t>
      </w:r>
      <w:r>
        <w:rPr>
          <w:rFonts w:ascii="宋体" w:hAnsi="宋体"/>
          <w:sz w:val="24"/>
        </w:rPr>
        <w:t>。</w:t>
      </w:r>
    </w:p>
    <w:p w14:paraId="3E28FA42"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224A5F4C" w14:textId="4E53C1D0" w:rsidR="00FB4D29" w:rsidRDefault="00CF4592">
      <w:pPr>
        <w:pStyle w:val="1"/>
        <w:snapToGrid w:val="0"/>
        <w:spacing w:beforeLines="0" w:before="240" w:after="240"/>
        <w:rPr>
          <w:rFonts w:ascii="宋体" w:hAnsi="宋体"/>
          <w:szCs w:val="30"/>
        </w:rPr>
      </w:pPr>
      <w:r>
        <w:rPr>
          <w:rFonts w:ascii="宋体" w:hAnsi="宋体"/>
          <w:sz w:val="24"/>
        </w:rPr>
        <w:br w:type="page"/>
      </w:r>
      <w:bookmarkStart w:id="29" w:name="_Toc107476040"/>
      <w:r>
        <w:rPr>
          <w:rFonts w:ascii="Times New Roman" w:hAnsi="Times New Roman"/>
          <w:sz w:val="30"/>
        </w:rPr>
        <w:lastRenderedPageBreak/>
        <w:t>二十</w:t>
      </w:r>
      <w:r w:rsidR="00B37E6F">
        <w:rPr>
          <w:rFonts w:ascii="Times New Roman" w:hAnsi="Times New Roman" w:hint="eastAsia"/>
          <w:sz w:val="30"/>
        </w:rPr>
        <w:t>一</w:t>
      </w:r>
      <w:r>
        <w:rPr>
          <w:rFonts w:ascii="Times New Roman" w:hAnsi="Times New Roman"/>
          <w:sz w:val="30"/>
        </w:rPr>
        <w:t>、基金合同内容摘要</w:t>
      </w:r>
      <w:bookmarkEnd w:id="29"/>
    </w:p>
    <w:p w14:paraId="1A36A148"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（一）基金份额持有人、基金管理人和基金托管人的权利与义务</w:t>
      </w:r>
    </w:p>
    <w:p w14:paraId="3CD6034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79477BA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14:paraId="465F817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58F7B8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325DDA6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5590033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10D873D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5AE068D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6E234F0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5B9CC07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278FD91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4871A1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E01F2E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（11）在《基金合同》约定的范围内，拒绝或暂停受理申购、赎回与转换申请；</w:t>
      </w:r>
    </w:p>
    <w:p w14:paraId="0BD0410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4F5AF9A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7028C5F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673FCBC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w:t>
      </w:r>
      <w:r>
        <w:rPr>
          <w:rFonts w:ascii="宋体" w:hAnsi="宋体"/>
          <w:sz w:val="24"/>
        </w:rPr>
        <w:lastRenderedPageBreak/>
        <w:t>其他为基金提供服务的外部机构；</w:t>
      </w:r>
    </w:p>
    <w:p w14:paraId="157987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725F975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583E9A9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14:paraId="74BD313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91561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437E17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ED0AA1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3619AF0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125CCA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0CC14AF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6E66B11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74A394E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4293E63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3EF2A6E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7DFA32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028098B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w:t>
      </w:r>
      <w:r>
        <w:rPr>
          <w:rFonts w:ascii="宋体" w:hAnsi="宋体"/>
          <w:sz w:val="24"/>
        </w:rPr>
        <w:lastRenderedPageBreak/>
        <w:t>分配基金收益；</w:t>
      </w:r>
    </w:p>
    <w:p w14:paraId="1A6FB6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4ACAFFB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68C01199" w14:textId="52516A01"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8C4112" w:rsidRPr="008C4112">
        <w:rPr>
          <w:rFonts w:ascii="宋体" w:hAnsi="宋体" w:hint="eastAsia"/>
          <w:sz w:val="24"/>
        </w:rPr>
        <w:t>不低于法律法规规定的最低期限</w:t>
      </w:r>
      <w:r>
        <w:rPr>
          <w:rFonts w:ascii="宋体" w:hAnsi="宋体"/>
          <w:sz w:val="24"/>
        </w:rPr>
        <w:t>；</w:t>
      </w:r>
    </w:p>
    <w:p w14:paraId="2B7014C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DA6D0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2795E27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3C1CB94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34FDBE4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057974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F79E98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3005D0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5FFE650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3D75DAC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6D5741C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4783A40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2038322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w:t>
      </w:r>
      <w:r>
        <w:rPr>
          <w:rFonts w:ascii="宋体" w:hAnsi="宋体"/>
          <w:sz w:val="24"/>
        </w:rPr>
        <w:lastRenderedPageBreak/>
        <w:t>于：</w:t>
      </w:r>
    </w:p>
    <w:p w14:paraId="26E8CFF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4C7E3F3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224C2C0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F42A6F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（4）根据相关市场规则，为基金开设资金账户、证券账户等投资所需账户、协助开立股指期货业务相关账户及交易编码、为基金办理证券、期货交易资金清算；</w:t>
      </w:r>
    </w:p>
    <w:p w14:paraId="1B0D47E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678D06E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84F4B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051316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14:paraId="48644C3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4ACD591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42E073A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C241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3259EE0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3F0C7B2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（6）按规定开设基金财产的资金账户和证券账户等投资所需账户，协助开立股指期货业务相关账户及交易编码，按照《基金合同》的约定，根据基金管理人的投资指令，及时办理清算、交割事宜；</w:t>
      </w:r>
    </w:p>
    <w:p w14:paraId="5CDD320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w:t>
      </w:r>
      <w:r>
        <w:rPr>
          <w:rFonts w:ascii="宋体" w:hAnsi="宋体"/>
          <w:sz w:val="24"/>
        </w:rPr>
        <w:lastRenderedPageBreak/>
        <w:t>定外，在基金信息公开披露前予以保密，不得向他人泄露；</w:t>
      </w:r>
    </w:p>
    <w:p w14:paraId="2CD50C7D" w14:textId="3F967E2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sidR="00C757E3" w:rsidRPr="00981412">
        <w:rPr>
          <w:rFonts w:ascii="宋体" w:hAnsi="宋体" w:hint="eastAsia"/>
          <w:sz w:val="24"/>
        </w:rPr>
        <w:t>各类</w:t>
      </w:r>
      <w:r>
        <w:rPr>
          <w:rFonts w:ascii="宋体" w:hAnsi="宋体"/>
          <w:sz w:val="24"/>
        </w:rPr>
        <w:t>基金份额净值、基金份额申购、赎回价格；</w:t>
      </w:r>
    </w:p>
    <w:p w14:paraId="044CD80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130741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868D2F9" w14:textId="331AF29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C757E3" w:rsidRPr="00C757E3">
        <w:rPr>
          <w:rFonts w:ascii="宋体" w:hAnsi="宋体" w:hint="eastAsia"/>
          <w:sz w:val="24"/>
        </w:rPr>
        <w:t>不低于法律法规规定的最低期限</w:t>
      </w:r>
      <w:r>
        <w:rPr>
          <w:rFonts w:ascii="宋体" w:hAnsi="宋体"/>
          <w:sz w:val="24"/>
        </w:rPr>
        <w:t>；</w:t>
      </w:r>
    </w:p>
    <w:p w14:paraId="08725D8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（12）从基金管理人或其委托的登记机构处接收并保存基金份额持有人名册；</w:t>
      </w:r>
    </w:p>
    <w:p w14:paraId="267A809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4A439C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6B49A37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031014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1AF1FBE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5058D49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7AE053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0AFFEE2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176141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090CC12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495B66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526D0C6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w:t>
      </w:r>
      <w:r>
        <w:rPr>
          <w:rFonts w:ascii="宋体" w:hAnsi="宋体"/>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C8246CE" w14:textId="017FF422" w:rsidR="00FB4D29" w:rsidRDefault="00C757E3">
      <w:pPr>
        <w:autoSpaceDE w:val="0"/>
        <w:autoSpaceDN w:val="0"/>
        <w:adjustRightInd w:val="0"/>
        <w:snapToGrid w:val="0"/>
        <w:spacing w:line="360" w:lineRule="auto"/>
        <w:ind w:firstLineChars="200" w:firstLine="480"/>
        <w:jc w:val="left"/>
        <w:rPr>
          <w:rFonts w:ascii="宋体" w:hAnsi="宋体"/>
          <w:szCs w:val="24"/>
        </w:rPr>
      </w:pPr>
      <w:r w:rsidRPr="00355CA2">
        <w:rPr>
          <w:rFonts w:hint="eastAsia"/>
          <w:bCs/>
          <w:sz w:val="24"/>
        </w:rPr>
        <w:t>同一类别的</w:t>
      </w:r>
      <w:r w:rsidR="00CF4592">
        <w:rPr>
          <w:rFonts w:ascii="宋体" w:hAnsi="宋体"/>
          <w:sz w:val="24"/>
        </w:rPr>
        <w:t>每份基金份额具有同等的合法权益。</w:t>
      </w:r>
    </w:p>
    <w:p w14:paraId="6CE30FD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14:paraId="5DE2D3F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61EA7B2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7B82770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571C4F4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741A68F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43A274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3601640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6E6616F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5D8CAA3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786B1D1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14:paraId="40486AD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35370E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1C36E2C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00A71A8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25B0866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0020F87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0BE87A1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70A0441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4F612FB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（9）遵守基金管理人、基金托管人、销售机构和登记机构的相关交易及业务规则；</w:t>
      </w:r>
    </w:p>
    <w:p w14:paraId="5E70D1C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292DA0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56735871"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（二）基金份额持有人大会召集、议事及表决的程序和规则</w:t>
      </w:r>
    </w:p>
    <w:p w14:paraId="2214D04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138601F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17071F7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74F59A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0A2DFB7C" w14:textId="2C9DC3C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21158B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52A4FE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1EB7D55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D807860" w14:textId="5396D6A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r w:rsidR="00B42E4E">
        <w:rPr>
          <w:rFonts w:ascii="宋体" w:hAnsi="宋体" w:hint="eastAsia"/>
          <w:sz w:val="24"/>
        </w:rPr>
        <w:t>或提高销售服务费率</w:t>
      </w:r>
      <w:r>
        <w:rPr>
          <w:rFonts w:ascii="宋体" w:hAnsi="宋体"/>
          <w:sz w:val="24"/>
        </w:rPr>
        <w:t>；</w:t>
      </w:r>
    </w:p>
    <w:p w14:paraId="1496A17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71BD1A9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7EB2BE5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2A3D10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03B108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39A5CC2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2896CE9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3C7F399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77D1101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w:t>
      </w:r>
      <w:r>
        <w:rPr>
          <w:rFonts w:ascii="宋体" w:hAnsi="宋体"/>
          <w:sz w:val="24"/>
        </w:rPr>
        <w:lastRenderedPageBreak/>
        <w:t>持有人大会：</w:t>
      </w:r>
    </w:p>
    <w:p w14:paraId="2A6287E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1）调低除基金管理费、基金托管费之外的其他应由本基金或基金份额持有人承担的费用；</w:t>
      </w:r>
    </w:p>
    <w:p w14:paraId="2104DBC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52700482" w14:textId="1BF131B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3）在法律法规和《基金合同》规定的范围内，且在对现有基金份额持有人利益无实质性不利影响的前提下调整本基金的申购费率、调低赎回费率</w:t>
      </w:r>
      <w:r w:rsidR="008C4112" w:rsidRPr="000A7D9C">
        <w:rPr>
          <w:rFonts w:hint="eastAsia"/>
          <w:bCs/>
          <w:sz w:val="24"/>
        </w:rPr>
        <w:t>及销售服务费率</w:t>
      </w:r>
      <w:r>
        <w:rPr>
          <w:rFonts w:ascii="宋体" w:hAnsi="宋体"/>
          <w:sz w:val="24"/>
        </w:rPr>
        <w:t>、变更或增加收费方式；</w:t>
      </w:r>
    </w:p>
    <w:p w14:paraId="2E69D74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2D758A4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11468F7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5AF9F77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429724B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3B673DF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02C1184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44CC423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6B141DB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7DC4734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14:paraId="74886D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60日内召开；基金管理人决定不召集，基金托管人仍认为有必要召开的，应当由基金托管人自行召集，并自出具书面决定之日起60日内召开并告知基金管理人，基金管理人应当配合；</w:t>
      </w:r>
    </w:p>
    <w:p w14:paraId="30D7CC7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61CBE90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6B80F7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3E36BC4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54E1940F" w14:textId="2BDA294F"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3246BF">
        <w:rPr>
          <w:rFonts w:ascii="宋体" w:hAnsi="宋体"/>
          <w:sz w:val="24"/>
        </w:rPr>
        <w:t>规定媒介</w:t>
      </w:r>
      <w:r>
        <w:rPr>
          <w:rFonts w:ascii="宋体" w:hAnsi="宋体"/>
          <w:sz w:val="24"/>
        </w:rPr>
        <w:t>公告。基金份额持有人大会通知应至少载明以下内容：</w:t>
      </w:r>
    </w:p>
    <w:p w14:paraId="6CF9D9F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482CB73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767EBA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76D654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17828DC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06870AD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05B8201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03B301F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5F601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6F6E3E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38928EB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697A660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A959C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E5564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372C6DE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（2）通讯开会。通讯开会系指基金份额持有人将其对表决事项的投票以会议通知载明的形式在表决截止日以前送达至召集人指定的地址或系统。</w:t>
      </w:r>
    </w:p>
    <w:p w14:paraId="3E8073D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60E982F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7951C8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w:t>
      </w:r>
      <w:r>
        <w:rPr>
          <w:rFonts w:ascii="宋体" w:hAnsi="宋体"/>
          <w:sz w:val="24"/>
        </w:rPr>
        <w:lastRenderedPageBreak/>
        <w:t>（如果基金托管人为召集人，则为基金管理人）和公证机关的监督下按照会议通知规定的方式收取基金份额持有人的表决意见；基金托管人或基金管理人经通知不参加收取表决意见的，不影响表决效力；</w:t>
      </w:r>
    </w:p>
    <w:p w14:paraId="517816C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70F64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4916A4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9A65B8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E1296D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3A30E06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01D179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771F160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7E9E103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10E21E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1）现场开会</w:t>
      </w:r>
    </w:p>
    <w:p w14:paraId="4DAC5D5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6886C1C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14C3E47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A1FF9B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77BC284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08618E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21A1974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F357B0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1BD752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C4499E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1ED053D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w:t>
      </w:r>
      <w:r>
        <w:rPr>
          <w:rFonts w:ascii="宋体" w:hAnsi="宋体"/>
          <w:sz w:val="24"/>
        </w:rPr>
        <w:lastRenderedPageBreak/>
        <w:t>表决，但应当计入出具表决意见的基金份额持有人所代表的基金份额总数。</w:t>
      </w:r>
    </w:p>
    <w:p w14:paraId="392CFF6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0E4ED0E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00B140D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B11CC9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4E30EE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75BEB86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0B4FD5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2A68D09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217421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14E60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56E309D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基金份额持有人大会的决定的事项自表决通过之日起生效，召集人应当自通过之日起5日内报中国证监会备案。</w:t>
      </w:r>
    </w:p>
    <w:p w14:paraId="5EFD06EB" w14:textId="6B6F7EF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w:t>
      </w:r>
      <w:r w:rsidR="003246BF">
        <w:rPr>
          <w:rFonts w:ascii="宋体" w:hAnsi="宋体"/>
          <w:sz w:val="24"/>
        </w:rPr>
        <w:t>规定媒介</w:t>
      </w:r>
      <w:r>
        <w:rPr>
          <w:rFonts w:ascii="宋体" w:hAnsi="宋体"/>
          <w:sz w:val="24"/>
        </w:rPr>
        <w:t>上公告。如果采用通讯方式进行表决，在公告基金份额持有人大会决议时，必须将公证书全文、公证机构、公证员姓名等一同公告。</w:t>
      </w:r>
    </w:p>
    <w:p w14:paraId="2BFF5DB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399A30D" w14:textId="77777777" w:rsidR="00B42E4E" w:rsidRPr="00B42E4E" w:rsidRDefault="00CF4592" w:rsidP="00B42E4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B42E4E" w:rsidRPr="00B42E4E">
        <w:rPr>
          <w:rFonts w:ascii="宋体" w:hAnsi="宋体" w:hint="eastAsia"/>
          <w:sz w:val="24"/>
        </w:rPr>
        <w:t>实施侧袋机制期间基金份额持有人大会的特殊约定</w:t>
      </w:r>
    </w:p>
    <w:p w14:paraId="5810DED8" w14:textId="77777777" w:rsidR="00B42E4E" w:rsidRPr="00B42E4E" w:rsidRDefault="00B42E4E" w:rsidP="00B42E4E">
      <w:pPr>
        <w:autoSpaceDE w:val="0"/>
        <w:autoSpaceDN w:val="0"/>
        <w:adjustRightInd w:val="0"/>
        <w:snapToGrid w:val="0"/>
        <w:spacing w:line="360" w:lineRule="auto"/>
        <w:ind w:firstLineChars="200" w:firstLine="480"/>
        <w:jc w:val="left"/>
        <w:rPr>
          <w:rFonts w:ascii="宋体" w:hAnsi="宋体"/>
          <w:sz w:val="24"/>
        </w:rPr>
      </w:pPr>
      <w:r w:rsidRPr="00B42E4E">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A41FC5B" w14:textId="049DAEF4" w:rsidR="00B42E4E" w:rsidRPr="00B42E4E" w:rsidRDefault="00B42E4E" w:rsidP="00B42E4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sidRPr="00B42E4E">
        <w:rPr>
          <w:rFonts w:ascii="宋体" w:hAnsi="宋体" w:hint="eastAsia"/>
          <w:sz w:val="24"/>
        </w:rPr>
        <w:t>基金份额持有人行使提议权、召集权、提名权所需单独或合计代表相关基金份额10%以上（含10%）；</w:t>
      </w:r>
    </w:p>
    <w:p w14:paraId="707AFA82" w14:textId="7D5F035C" w:rsidR="00B42E4E" w:rsidRPr="00B42E4E" w:rsidRDefault="00B42E4E" w:rsidP="00B42E4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B42E4E">
        <w:rPr>
          <w:rFonts w:ascii="宋体" w:hAnsi="宋体" w:hint="eastAsia"/>
          <w:sz w:val="24"/>
        </w:rPr>
        <w:t>现场开会的到会者在权益登记日代表的基金份额不少于本基金在权益登记日相关基金份额的二分之一（含二分之一）；</w:t>
      </w:r>
    </w:p>
    <w:p w14:paraId="38E94A0F" w14:textId="4B8461BC" w:rsidR="00B42E4E" w:rsidRPr="00B42E4E" w:rsidRDefault="00B42E4E" w:rsidP="00B42E4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B42E4E">
        <w:rPr>
          <w:rFonts w:ascii="宋体" w:hAnsi="宋体" w:hint="eastAsia"/>
          <w:sz w:val="24"/>
        </w:rPr>
        <w:t>通讯开会的直接出具表决意见或授权他人代表出具表决意见的基金份额持有人所持有的基金份额不小于在权益登记日相关基金份额的二分之一（含二分之一）；</w:t>
      </w:r>
    </w:p>
    <w:p w14:paraId="68CAEC9A" w14:textId="616CE299" w:rsidR="00B42E4E" w:rsidRPr="00B42E4E" w:rsidRDefault="00B42E4E" w:rsidP="00B42E4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sidRPr="00B42E4E">
        <w:rPr>
          <w:rFonts w:ascii="宋体" w:hAnsi="宋体" w:hint="eastAsia"/>
          <w:sz w:val="24"/>
        </w:rPr>
        <w:t>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BE3B0E7" w14:textId="73133F7B" w:rsidR="00B42E4E" w:rsidRPr="00B42E4E" w:rsidRDefault="00B42E4E" w:rsidP="00B42E4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sidRPr="00B42E4E">
        <w:rPr>
          <w:rFonts w:ascii="宋体" w:hAnsi="宋体" w:hint="eastAsia"/>
          <w:sz w:val="24"/>
        </w:rPr>
        <w:t>现场开会由出席大会的基金份额持有人和代理人所持表决权的50%以上（含50%）选举产生一名基金份额持有人或代理人作为该次基金份额持有人大会的主持人；</w:t>
      </w:r>
    </w:p>
    <w:p w14:paraId="79066967" w14:textId="054A7AD1" w:rsidR="00B42E4E" w:rsidRPr="00B42E4E" w:rsidRDefault="00B42E4E" w:rsidP="00B42E4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sidRPr="00B42E4E">
        <w:rPr>
          <w:rFonts w:ascii="宋体" w:hAnsi="宋体" w:hint="eastAsia"/>
          <w:sz w:val="24"/>
        </w:rPr>
        <w:t>一般决议须经参加大会的基金份额持有人或其代理人所持表决权的二分之一以上（含二分之一）通过；</w:t>
      </w:r>
    </w:p>
    <w:p w14:paraId="06068C4F" w14:textId="120EB5AB" w:rsidR="00B42E4E" w:rsidRPr="00B42E4E" w:rsidRDefault="00B42E4E" w:rsidP="00B42E4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sidRPr="00B42E4E">
        <w:rPr>
          <w:rFonts w:ascii="宋体" w:hAnsi="宋体" w:hint="eastAsia"/>
          <w:sz w:val="24"/>
        </w:rPr>
        <w:t>特别决议应当经参加大会的基金份额持有人或其代理人所持表决权的三分之二以上（含三分之二）通过。</w:t>
      </w:r>
    </w:p>
    <w:p w14:paraId="444157CA" w14:textId="77777777" w:rsidR="00B42E4E" w:rsidRPr="00B42E4E" w:rsidRDefault="00B42E4E" w:rsidP="00B42E4E">
      <w:pPr>
        <w:autoSpaceDE w:val="0"/>
        <w:autoSpaceDN w:val="0"/>
        <w:adjustRightInd w:val="0"/>
        <w:snapToGrid w:val="0"/>
        <w:spacing w:line="360" w:lineRule="auto"/>
        <w:ind w:firstLineChars="200" w:firstLine="480"/>
        <w:jc w:val="left"/>
        <w:rPr>
          <w:rFonts w:ascii="宋体" w:hAnsi="宋体"/>
          <w:sz w:val="24"/>
        </w:rPr>
      </w:pPr>
      <w:r w:rsidRPr="00B42E4E">
        <w:rPr>
          <w:rFonts w:ascii="宋体" w:hAnsi="宋体" w:hint="eastAsia"/>
          <w:sz w:val="24"/>
        </w:rPr>
        <w:t>同一主侧袋账户内的每份基金份额具有平等的表决权。</w:t>
      </w:r>
    </w:p>
    <w:p w14:paraId="7EBAB7A6" w14:textId="44200146" w:rsidR="00FB4D29" w:rsidRDefault="00B42E4E" w:rsidP="00B42E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hint="eastAsia"/>
          <w:sz w:val="24"/>
        </w:rPr>
        <w:t>、</w:t>
      </w:r>
      <w:r w:rsidR="00CF4592">
        <w:rPr>
          <w:rFonts w:ascii="宋体" w:hAnsi="宋体"/>
          <w:sz w:val="24"/>
        </w:rPr>
        <w:t>本部分对基金份额持有人大会召开事由、召开条件、议事程序、表决条件等规定，凡是直接引用法律法规的部分，如将来法律法规修改导致相关内容被取消</w:t>
      </w:r>
      <w:r w:rsidR="00CF4592">
        <w:rPr>
          <w:rFonts w:ascii="宋体" w:hAnsi="宋体"/>
          <w:sz w:val="24"/>
        </w:rPr>
        <w:lastRenderedPageBreak/>
        <w:t>或变更的，基金管理人与基金托管人协商一致并提前公告后，可直接对本部分内容进行修改和调整，无需召开基金份额持有人大会审议。</w:t>
      </w:r>
    </w:p>
    <w:p w14:paraId="5C2465C5"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（三）基金合同解除和终止的事由、程序</w:t>
      </w:r>
    </w:p>
    <w:p w14:paraId="7B612A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599C0AF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25D8111" w14:textId="2F6767B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w:t>
      </w:r>
      <w:r w:rsidR="003246BF">
        <w:rPr>
          <w:rFonts w:ascii="宋体" w:hAnsi="宋体"/>
          <w:sz w:val="24"/>
        </w:rPr>
        <w:t>规定媒介</w:t>
      </w:r>
      <w:r>
        <w:rPr>
          <w:rFonts w:ascii="宋体" w:hAnsi="宋体"/>
          <w:sz w:val="24"/>
        </w:rPr>
        <w:t>公告。</w:t>
      </w:r>
    </w:p>
    <w:p w14:paraId="682D531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2DDAC65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CF70D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6CCE064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6D3814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247A7651" w14:textId="77777777" w:rsidR="00752BDE" w:rsidRPr="00752BDE" w:rsidRDefault="00CF4592" w:rsidP="00752BD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752BDE" w:rsidRPr="00752BDE">
        <w:rPr>
          <w:rFonts w:ascii="宋体" w:hAnsi="宋体" w:hint="eastAsia"/>
          <w:sz w:val="24"/>
        </w:rPr>
        <w:t>连续50个工作日出现基金份额持有人数量不满200人或者基金资产净值低于5000万元情形的，基金合同终止，不需召开基金份额持有人大会；</w:t>
      </w:r>
    </w:p>
    <w:p w14:paraId="6B1420BD" w14:textId="2FCF6F38" w:rsidR="00FB4D29" w:rsidRDefault="00752BDE" w:rsidP="00752B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CF4592">
        <w:rPr>
          <w:rFonts w:ascii="宋体" w:hAnsi="宋体"/>
          <w:sz w:val="24"/>
        </w:rPr>
        <w:t>《基金合同》约定的其他情形；</w:t>
      </w:r>
    </w:p>
    <w:p w14:paraId="7E38F495" w14:textId="2D03573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752BDE">
        <w:rPr>
          <w:rFonts w:ascii="宋体" w:hAnsi="宋体"/>
          <w:sz w:val="24"/>
        </w:rPr>
        <w:t>6</w:t>
      </w:r>
      <w:r>
        <w:rPr>
          <w:rFonts w:ascii="宋体" w:hAnsi="宋体"/>
          <w:sz w:val="24"/>
        </w:rPr>
        <w:t>）相关法律法规和中国证监会规定的其他情况。</w:t>
      </w:r>
    </w:p>
    <w:p w14:paraId="6A0BF72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6814A8B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B988A3B" w14:textId="74358A21"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034C25" w:rsidRPr="00222988">
        <w:rPr>
          <w:rFonts w:hint="eastAsia"/>
          <w:bCs/>
          <w:sz w:val="24"/>
        </w:rPr>
        <w:t>符合《中华人民共和国证券法》规定</w:t>
      </w:r>
      <w:r>
        <w:rPr>
          <w:rFonts w:ascii="宋体" w:hAnsi="宋体"/>
          <w:sz w:val="24"/>
        </w:rPr>
        <w:t>的注册会计师、律师以及中国证监会指定的人员组成。基金财产清算小组可以聘用必要的工作人员。</w:t>
      </w:r>
    </w:p>
    <w:p w14:paraId="25FBE3E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B63197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3D4D06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1）《基金合同》终止情形出现时，由基金财产清算小组统一接管基金财产；</w:t>
      </w:r>
    </w:p>
    <w:p w14:paraId="064D02E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537408F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2588D16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0CD66F4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977D13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24A2A77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0F00453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186B606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6A5D8BE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21CD2A3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56DA094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5A3B01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3A6D8B0" w14:textId="42932A4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1F1B38" w:rsidRPr="00902EBA">
        <w:rPr>
          <w:rFonts w:hint="eastAsia"/>
          <w:bCs/>
          <w:sz w:val="24"/>
        </w:rPr>
        <w:t>符合《中华人民共和国证券法》规定的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w:t>
      </w:r>
      <w:r w:rsidR="001F1B38" w:rsidRPr="00902EBA">
        <w:rPr>
          <w:rFonts w:hint="eastAsia"/>
          <w:bCs/>
          <w:sz w:val="24"/>
        </w:rPr>
        <w:t>，基金财产清算小组应当将清算报告登载在规定网站上，并将清算报告提示性公告登载在规定报刊上</w:t>
      </w:r>
      <w:r>
        <w:rPr>
          <w:rFonts w:ascii="宋体" w:hAnsi="宋体"/>
          <w:sz w:val="24"/>
        </w:rPr>
        <w:t>。</w:t>
      </w:r>
    </w:p>
    <w:p w14:paraId="62D3C79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719C6B7A" w14:textId="5656633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034C25">
        <w:rPr>
          <w:rFonts w:hint="eastAsia"/>
          <w:bCs/>
          <w:sz w:val="24"/>
        </w:rPr>
        <w:t>不低于法律法规规定的最低期限</w:t>
      </w:r>
      <w:r>
        <w:rPr>
          <w:rFonts w:ascii="宋体" w:hAnsi="宋体"/>
          <w:sz w:val="24"/>
        </w:rPr>
        <w:t>。</w:t>
      </w:r>
    </w:p>
    <w:p w14:paraId="18D42B0C"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（四）争议解决方式</w:t>
      </w:r>
    </w:p>
    <w:p w14:paraId="1E842B6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w:t>
      </w:r>
      <w:r>
        <w:rPr>
          <w:rFonts w:ascii="宋体" w:hAnsi="宋体"/>
          <w:sz w:val="24"/>
        </w:rPr>
        <w:lastRenderedPageBreak/>
        <w:t>点为北京市。仲裁裁决是终局的，对各方当事人均有约束力，除非仲裁裁决另有规定，仲裁费用由败诉方承担。</w:t>
      </w:r>
    </w:p>
    <w:p w14:paraId="4F82B3B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争议处理期间，双方当事人应恪守基金管理人和基金托管人职责，各自继续忠实、勤勉、尽责地履行基金合同规定的义务，维护基金份额持有人的合法权益。</w:t>
      </w:r>
    </w:p>
    <w:p w14:paraId="64343E87" w14:textId="069D222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w:t>
      </w:r>
      <w:r w:rsidR="00034C25" w:rsidRPr="00C46FC0">
        <w:rPr>
          <w:rFonts w:hint="eastAsia"/>
          <w:bCs/>
          <w:sz w:val="24"/>
        </w:rPr>
        <w:t>（不含港澳台地区法律）</w:t>
      </w:r>
      <w:r>
        <w:rPr>
          <w:rFonts w:ascii="宋体" w:hAnsi="宋体"/>
          <w:sz w:val="24"/>
        </w:rPr>
        <w:t>管辖。</w:t>
      </w:r>
    </w:p>
    <w:p w14:paraId="434FA7D8"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（五）基金合同存放地和投资者取得基金合同的方式</w:t>
      </w:r>
    </w:p>
    <w:p w14:paraId="61E6EB6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72E191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405A5BD4"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13943A1F" w14:textId="6D7B62AB" w:rsidR="00FB4D29" w:rsidRDefault="00CF4592">
      <w:pPr>
        <w:pStyle w:val="1"/>
        <w:snapToGrid w:val="0"/>
        <w:spacing w:beforeLines="0" w:before="240" w:after="240"/>
        <w:rPr>
          <w:rFonts w:ascii="宋体" w:hAnsi="宋体"/>
          <w:szCs w:val="30"/>
        </w:rPr>
      </w:pPr>
      <w:r>
        <w:rPr>
          <w:rFonts w:ascii="宋体" w:hAnsi="宋体"/>
          <w:sz w:val="24"/>
        </w:rPr>
        <w:br w:type="page"/>
      </w:r>
      <w:bookmarkStart w:id="30" w:name="_Toc107476041"/>
      <w:r>
        <w:rPr>
          <w:rFonts w:ascii="Times New Roman" w:hAnsi="Times New Roman"/>
          <w:sz w:val="30"/>
        </w:rPr>
        <w:lastRenderedPageBreak/>
        <w:t>二十</w:t>
      </w:r>
      <w:r w:rsidR="00B37E6F">
        <w:rPr>
          <w:rFonts w:ascii="Times New Roman" w:hAnsi="Times New Roman" w:hint="eastAsia"/>
          <w:sz w:val="30"/>
        </w:rPr>
        <w:t>二</w:t>
      </w:r>
      <w:r>
        <w:rPr>
          <w:rFonts w:ascii="Times New Roman" w:hAnsi="Times New Roman"/>
          <w:sz w:val="30"/>
        </w:rPr>
        <w:t>、托管协议的内容摘要</w:t>
      </w:r>
      <w:bookmarkEnd w:id="30"/>
    </w:p>
    <w:p w14:paraId="388666EB"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（一）托管协议当事人</w:t>
      </w:r>
    </w:p>
    <w:p w14:paraId="17270CE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5027CBD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1C3FEF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718962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5463DC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2BBBCE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批准设立机关及批准设立文号：证监基金字[2005]128号</w:t>
      </w:r>
    </w:p>
    <w:p w14:paraId="274AAEB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14:paraId="771CFFA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 有限责任公司</w:t>
      </w:r>
    </w:p>
    <w:p w14:paraId="2E87FEA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324169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273278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66C0B96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0A96010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37B179F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2EA133E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名称：中国工商银行股份有限公司</w:t>
      </w:r>
    </w:p>
    <w:p w14:paraId="7950F4B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住所：北京市西城区复兴门内大街55号（100032）</w:t>
      </w:r>
    </w:p>
    <w:p w14:paraId="087A04A5" w14:textId="77777777" w:rsidR="00034C25" w:rsidRDefault="00CF4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法定代表人：</w:t>
      </w:r>
      <w:r w:rsidR="00034C25" w:rsidRPr="00034C25">
        <w:rPr>
          <w:rFonts w:ascii="宋体" w:hAnsi="宋体" w:hint="eastAsia"/>
          <w:sz w:val="24"/>
        </w:rPr>
        <w:t>陈四清</w:t>
      </w:r>
    </w:p>
    <w:p w14:paraId="06645FD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电话：（010）66105799</w:t>
      </w:r>
    </w:p>
    <w:p w14:paraId="53BDCA3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传真：（010）66105798</w:t>
      </w:r>
    </w:p>
    <w:p w14:paraId="33039DA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联系人：郭明</w:t>
      </w:r>
    </w:p>
    <w:p w14:paraId="2CC3412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成立时间：1984年1月1日</w:t>
      </w:r>
    </w:p>
    <w:p w14:paraId="59A6F47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74FE6D9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注册资本：人民币35,640,625.71万元</w:t>
      </w:r>
    </w:p>
    <w:p w14:paraId="5FC0638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批准设立机关和设立文号：国务院《关于中国人民银行专门行使中央银行职能的决定》（国发[1983]146号）</w:t>
      </w:r>
    </w:p>
    <w:p w14:paraId="72B6E1C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D00377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经营范围：办理人民币存款、贷款、同业拆借业务；国内外结算；办理票据承</w:t>
      </w:r>
      <w:r>
        <w:rPr>
          <w:rFonts w:ascii="宋体" w:hAnsi="宋体"/>
          <w:sz w:val="24"/>
        </w:rPr>
        <w:lastRenderedPageBreak/>
        <w:t>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3C5C44C4"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（二）基金托管人对基金管理人的业务监督和核查</w:t>
      </w:r>
    </w:p>
    <w:p w14:paraId="3AC6F52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14:paraId="7DB702B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w:t>
      </w:r>
    </w:p>
    <w:p w14:paraId="70EF75B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本基金将投资于以下金融工具：</w:t>
      </w:r>
    </w:p>
    <w:p w14:paraId="2D834ACA" w14:textId="6862588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本基金的投资范围为具有良好流动性的金融工具，包括国内依法发行上市的股票（含创业板及其他经中国证监会核准</w:t>
      </w:r>
      <w:r w:rsidR="00182ADA">
        <w:rPr>
          <w:rFonts w:ascii="宋体" w:hAnsi="宋体" w:hint="eastAsia"/>
          <w:color w:val="000000"/>
          <w:sz w:val="24"/>
        </w:rPr>
        <w:t>或注册</w:t>
      </w:r>
      <w:r>
        <w:rPr>
          <w:rFonts w:ascii="宋体" w:hAnsi="宋体"/>
          <w:sz w:val="24"/>
        </w:rPr>
        <w:t>上市的股票、存托凭证）</w:t>
      </w:r>
      <w:r w:rsidR="00182ADA">
        <w:rPr>
          <w:rFonts w:ascii="宋体" w:hAnsi="宋体" w:hint="eastAsia"/>
          <w:color w:val="000000"/>
          <w:sz w:val="24"/>
        </w:rPr>
        <w:t>、港股通标的股票</w:t>
      </w:r>
      <w:r>
        <w:rPr>
          <w:rFonts w:ascii="宋体" w:hAnsi="宋体"/>
          <w:sz w:val="24"/>
        </w:rPr>
        <w:t>、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相关规定）。</w:t>
      </w:r>
    </w:p>
    <w:p w14:paraId="20D8FD7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如法律法规或监管机构以后允许基金投资其他品种，基金管理人在履行适当程序后，可以将其纳入投资范围。本基金不得投资于相关法律、法规、部门规章及《基金合同》禁止投资的投资工具。</w:t>
      </w:r>
    </w:p>
    <w:p w14:paraId="3F80FFD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14:paraId="52E3E918" w14:textId="3C1BF22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1）按法律法规的规定及《基金合同》的约定，本基金的投资资产配置比例</w:t>
      </w:r>
      <w:r>
        <w:rPr>
          <w:rFonts w:ascii="宋体" w:hAnsi="宋体"/>
          <w:sz w:val="24"/>
        </w:rPr>
        <w:lastRenderedPageBreak/>
        <w:t>为：股票资产（含存托凭证）占基金资产的</w:t>
      </w:r>
      <w:r w:rsidR="00DC21E1">
        <w:rPr>
          <w:rFonts w:ascii="宋体" w:hAnsi="宋体"/>
          <w:sz w:val="24"/>
        </w:rPr>
        <w:t>60</w:t>
      </w:r>
      <w:r>
        <w:rPr>
          <w:rFonts w:ascii="宋体" w:hAnsi="宋体"/>
          <w:sz w:val="24"/>
        </w:rPr>
        <w:t>%-95%</w:t>
      </w:r>
      <w:r w:rsidR="00182ADA" w:rsidRPr="00182ADA">
        <w:rPr>
          <w:rFonts w:ascii="宋体" w:hAnsi="宋体" w:hint="eastAsia"/>
          <w:sz w:val="24"/>
        </w:rPr>
        <w:t>，其中投资于港股通标的股票的比例占股票资产的0%-50%</w:t>
      </w:r>
      <w:r>
        <w:rPr>
          <w:rFonts w:ascii="宋体" w:hAnsi="宋体"/>
          <w:sz w:val="24"/>
        </w:rPr>
        <w:t>，本基金投资于持续成长主题相关</w:t>
      </w:r>
      <w:r w:rsidR="00DE701B">
        <w:rPr>
          <w:rFonts w:hAnsi="宋体" w:hint="eastAsia"/>
          <w:bCs/>
          <w:sz w:val="24"/>
          <w:szCs w:val="24"/>
        </w:rPr>
        <w:t>股票</w:t>
      </w:r>
      <w:r>
        <w:rPr>
          <w:rFonts w:ascii="宋体" w:hAnsi="宋体"/>
          <w:sz w:val="24"/>
        </w:rPr>
        <w:t>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0C721F9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11322CC9" w14:textId="7FD89772"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基金管理人应将拟投资的持续成长主题相关</w:t>
      </w:r>
      <w:r w:rsidR="00DE701B">
        <w:rPr>
          <w:rFonts w:hAnsi="宋体" w:hint="eastAsia"/>
          <w:bCs/>
          <w:sz w:val="24"/>
          <w:szCs w:val="24"/>
        </w:rPr>
        <w:t>股票</w:t>
      </w:r>
      <w:r>
        <w:rPr>
          <w:rFonts w:ascii="宋体" w:hAnsi="宋体"/>
          <w:sz w:val="24"/>
        </w:rPr>
        <w:t>的</w:t>
      </w:r>
      <w:r w:rsidR="00DE701B">
        <w:rPr>
          <w:rFonts w:hAnsi="宋体" w:hint="eastAsia"/>
          <w:bCs/>
          <w:sz w:val="24"/>
          <w:szCs w:val="24"/>
        </w:rPr>
        <w:t>股票</w:t>
      </w:r>
      <w:r>
        <w:rPr>
          <w:rFonts w:ascii="宋体" w:hAnsi="宋体"/>
          <w:sz w:val="24"/>
        </w:rPr>
        <w:t>库提供给基金托管人，基金管理人可以根据实际情况的变化，对上述</w:t>
      </w:r>
      <w:r w:rsidR="002B7FB0" w:rsidRPr="002B7FB0">
        <w:rPr>
          <w:rFonts w:ascii="宋体" w:hAnsi="宋体" w:hint="eastAsia"/>
          <w:sz w:val="24"/>
        </w:rPr>
        <w:t>股票</w:t>
      </w:r>
      <w:r>
        <w:rPr>
          <w:rFonts w:ascii="宋体" w:hAnsi="宋体"/>
          <w:sz w:val="24"/>
        </w:rPr>
        <w:t>库予以调整和更新，并通知基金托管人，基金托管人根据上述投资范围对基金的投资比例进行监督。</w:t>
      </w:r>
    </w:p>
    <w:p w14:paraId="4CECE17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2）根据法律法规的规定及《基金合同》的约定，本基金投资组合遵循以下投资限制：</w:t>
      </w:r>
    </w:p>
    <w:p w14:paraId="3691EF17" w14:textId="5A69B53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a、股票资产（含存托凭证）占基金资产的</w:t>
      </w:r>
      <w:r w:rsidR="00DC21E1">
        <w:rPr>
          <w:rFonts w:ascii="宋体" w:hAnsi="宋体"/>
          <w:sz w:val="24"/>
        </w:rPr>
        <w:t>60</w:t>
      </w:r>
      <w:r>
        <w:rPr>
          <w:rFonts w:ascii="宋体" w:hAnsi="宋体"/>
          <w:sz w:val="24"/>
        </w:rPr>
        <w:t>%-95%</w:t>
      </w:r>
      <w:r w:rsidR="00182ADA" w:rsidRPr="00182ADA">
        <w:rPr>
          <w:rFonts w:ascii="宋体" w:hAnsi="宋体" w:hint="eastAsia"/>
          <w:sz w:val="24"/>
        </w:rPr>
        <w:t>，其中投资于港股通标的股票的比例占股票资产的0%-50%</w:t>
      </w:r>
      <w:r>
        <w:rPr>
          <w:rFonts w:ascii="宋体" w:hAnsi="宋体"/>
          <w:sz w:val="24"/>
        </w:rPr>
        <w:t>，本基金投资于持续成长主题相关</w:t>
      </w:r>
      <w:r w:rsidR="00DE701B">
        <w:rPr>
          <w:rFonts w:hAnsi="宋体" w:hint="eastAsia"/>
          <w:bCs/>
          <w:sz w:val="24"/>
          <w:szCs w:val="24"/>
        </w:rPr>
        <w:t>股票</w:t>
      </w:r>
      <w:r>
        <w:rPr>
          <w:rFonts w:ascii="宋体" w:hAnsi="宋体"/>
          <w:sz w:val="24"/>
        </w:rPr>
        <w:t>的比例不低于非现金基金资产的80%；</w:t>
      </w:r>
    </w:p>
    <w:p w14:paraId="178E17E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b、每个交易日日终在扣除股指期货合约需缴纳的交易保证金后，保持不低于基金资产净值5%的现金或者到期日在一年以内的政府债券，其中现金不包括结算备付金、存出保证金、应收申购款等；</w:t>
      </w:r>
    </w:p>
    <w:p w14:paraId="4138BF61" w14:textId="049E5BF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c、本基金持有一家公司发行的证券</w:t>
      </w:r>
      <w:r w:rsidR="00182ADA" w:rsidRPr="00DC35C4">
        <w:rPr>
          <w:rFonts w:hint="eastAsia"/>
          <w:bCs/>
          <w:sz w:val="24"/>
        </w:rPr>
        <w:t>（同一家公司在内地和香港同时上市的</w:t>
      </w:r>
      <w:r w:rsidR="00182ADA" w:rsidRPr="00F82365">
        <w:rPr>
          <w:rFonts w:ascii="宋体" w:hAnsi="宋体"/>
          <w:sz w:val="24"/>
        </w:rPr>
        <w:t>A+H</w:t>
      </w:r>
      <w:r w:rsidR="00182ADA" w:rsidRPr="00F82365">
        <w:rPr>
          <w:rFonts w:ascii="宋体" w:hAnsi="宋体" w:hint="eastAsia"/>
          <w:sz w:val="24"/>
        </w:rPr>
        <w:t>股合计计算）</w:t>
      </w:r>
      <w:r>
        <w:rPr>
          <w:rFonts w:ascii="宋体" w:hAnsi="宋体"/>
          <w:sz w:val="24"/>
        </w:rPr>
        <w:t>，其市值不超过基金资产净值的10%；</w:t>
      </w:r>
    </w:p>
    <w:p w14:paraId="3912D5BD" w14:textId="5C8821A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d、本基金管理人管理并由本基金托管人托管的全部基金持有一家公司发行的证券</w:t>
      </w:r>
      <w:r w:rsidR="00182ADA" w:rsidRPr="00DC35C4">
        <w:rPr>
          <w:rFonts w:hint="eastAsia"/>
          <w:bCs/>
          <w:sz w:val="24"/>
        </w:rPr>
        <w:t>（同一家公司在内地和香港同时</w:t>
      </w:r>
      <w:r w:rsidR="00182ADA" w:rsidRPr="00F82365">
        <w:rPr>
          <w:rFonts w:ascii="宋体" w:hAnsi="宋体" w:hint="eastAsia"/>
          <w:sz w:val="24"/>
        </w:rPr>
        <w:t>上市的</w:t>
      </w:r>
      <w:r w:rsidR="00182ADA" w:rsidRPr="00F82365">
        <w:rPr>
          <w:rFonts w:ascii="宋体" w:hAnsi="宋体"/>
          <w:sz w:val="24"/>
        </w:rPr>
        <w:t>A+H</w:t>
      </w:r>
      <w:r w:rsidR="00182ADA" w:rsidRPr="00F82365">
        <w:rPr>
          <w:rFonts w:ascii="宋体" w:hAnsi="宋体" w:hint="eastAsia"/>
          <w:sz w:val="24"/>
        </w:rPr>
        <w:t>股合计计</w:t>
      </w:r>
      <w:r w:rsidR="00182ADA" w:rsidRPr="00DC35C4">
        <w:rPr>
          <w:rFonts w:hint="eastAsia"/>
          <w:bCs/>
          <w:sz w:val="24"/>
        </w:rPr>
        <w:t>算）</w:t>
      </w:r>
      <w:r>
        <w:rPr>
          <w:rFonts w:ascii="宋体" w:hAnsi="宋体"/>
          <w:sz w:val="24"/>
        </w:rPr>
        <w:t>，不超过该证券的10%</w:t>
      </w:r>
      <w:r w:rsidR="00182ADA" w:rsidRPr="00182ADA">
        <w:rPr>
          <w:rFonts w:ascii="宋体" w:hAnsi="宋体" w:hint="eastAsia"/>
          <w:sz w:val="24"/>
        </w:rPr>
        <w:t>，完全按照有关指数的构成比例进行证券投资的基金品种可以不受此条款规定的比例限制</w:t>
      </w:r>
      <w:r>
        <w:rPr>
          <w:rFonts w:ascii="宋体" w:hAnsi="宋体"/>
          <w:sz w:val="24"/>
        </w:rPr>
        <w:t>；</w:t>
      </w:r>
    </w:p>
    <w:p w14:paraId="5C29E525" w14:textId="1577B460" w:rsidR="00FB4D29" w:rsidRPr="00F82365" w:rsidRDefault="00CF4592" w:rsidP="00182ADA">
      <w:pPr>
        <w:autoSpaceDE w:val="0"/>
        <w:autoSpaceDN w:val="0"/>
        <w:adjustRightInd w:val="0"/>
        <w:snapToGrid w:val="0"/>
        <w:spacing w:line="360" w:lineRule="auto"/>
        <w:ind w:firstLineChars="200" w:firstLine="480"/>
        <w:jc w:val="left"/>
        <w:rPr>
          <w:rFonts w:ascii="宋体" w:hAnsi="宋体"/>
          <w:szCs w:val="24"/>
          <w:lang w:val="x-none"/>
        </w:rPr>
      </w:pPr>
      <w:r>
        <w:rPr>
          <w:rFonts w:ascii="宋体" w:hAnsi="宋体"/>
          <w:sz w:val="24"/>
        </w:rPr>
        <w:t>e、本基金管理人管理并由本基金托管人托管的全部开放式基金（包括开放式基金以及处于开放期的定期开放基金）持有一家上市公司发行的可流通股票，不得超过该上市公司可流通股票的15%；本基金管理人管理并由本基金托管人托管的全部投资组合持有一家上市公司发行的可流通股票，不得超过该上市公司可流通股票的30%；</w:t>
      </w:r>
      <w:r w:rsidR="006C59B5" w:rsidRPr="006C59B5">
        <w:rPr>
          <w:rFonts w:ascii="宋体" w:hAnsi="宋体" w:hint="eastAsia"/>
          <w:sz w:val="24"/>
        </w:rPr>
        <w:t>完全按照有关指数的构成比例进行证券投资的开放式基金以及中国证监会认定的特殊投资组合可不受前述比例限制；</w:t>
      </w:r>
    </w:p>
    <w:p w14:paraId="4E48A4F8" w14:textId="2C4F7C73" w:rsidR="00FB4D29" w:rsidRDefault="00182ADA">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lastRenderedPageBreak/>
        <w:t>f</w:t>
      </w:r>
      <w:r w:rsidR="00CF4592">
        <w:rPr>
          <w:rFonts w:ascii="宋体" w:hAnsi="宋体"/>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53ED977B" w14:textId="00661CC0" w:rsidR="00FB4D29" w:rsidRDefault="00182A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g</w:t>
      </w:r>
      <w:r w:rsidR="00CF4592">
        <w:rPr>
          <w:rFonts w:ascii="宋体" w:hAnsi="宋体"/>
          <w:sz w:val="24"/>
        </w:rPr>
        <w:t>、本基金与私募类证券资管产品及中国证监会认定的其他主体为交易对手开展逆回购交易的，可接受质押品的资质要求应当与基金合同约定的投资范围保持一致；</w:t>
      </w:r>
    </w:p>
    <w:p w14:paraId="5CD93E45" w14:textId="6869A479" w:rsidR="00FB4D29" w:rsidRDefault="00182A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w:t>
      </w:r>
      <w:r w:rsidR="00CF4592">
        <w:rPr>
          <w:rFonts w:ascii="宋体" w:hAnsi="宋体"/>
          <w:sz w:val="24"/>
        </w:rPr>
        <w:t>、本基金投资于同一原始权益人的各类资产支持证券的比例，不得超过基金资产净值的10%；</w:t>
      </w:r>
    </w:p>
    <w:p w14:paraId="1536CF2F" w14:textId="37D7B50A" w:rsidR="00FB4D29" w:rsidRDefault="00182A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w:t>
      </w:r>
      <w:r w:rsidR="00CF4592">
        <w:rPr>
          <w:rFonts w:ascii="宋体" w:hAnsi="宋体"/>
          <w:sz w:val="24"/>
        </w:rPr>
        <w:t>、本基金持有的全部资产支持证券，其市值不得超过基金资产净值的20%；</w:t>
      </w:r>
    </w:p>
    <w:p w14:paraId="72B70A0C" w14:textId="694904E4" w:rsidR="00FB4D29" w:rsidRDefault="00182A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j</w:t>
      </w:r>
      <w:r w:rsidR="00CF4592">
        <w:rPr>
          <w:rFonts w:ascii="宋体" w:hAnsi="宋体"/>
          <w:sz w:val="24"/>
        </w:rPr>
        <w:t>、本基金持有的同一（指同一信用级别）资产支持证券的比例，不得超过该资产支持证券规模的10%；</w:t>
      </w:r>
    </w:p>
    <w:p w14:paraId="7309759A" w14:textId="314D8AE0" w:rsidR="00FB4D29" w:rsidRDefault="00182A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k</w:t>
      </w:r>
      <w:r w:rsidR="00CF4592">
        <w:rPr>
          <w:rFonts w:ascii="宋体" w:hAnsi="宋体"/>
          <w:sz w:val="24"/>
        </w:rPr>
        <w:t>、本基金管理人管理并由本基金托管人托管的全部基金投资于同一原始权益人的各类资产支持证券，不得超过其各类资产支持证券合计规模的10%；</w:t>
      </w:r>
    </w:p>
    <w:p w14:paraId="4CF18FE7" w14:textId="06D58A5F" w:rsidR="00FB4D29" w:rsidRDefault="00182A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l</w:t>
      </w:r>
      <w:r w:rsidR="00CF4592">
        <w:rPr>
          <w:rFonts w:ascii="宋体" w:hAnsi="宋体"/>
          <w:sz w:val="24"/>
        </w:rPr>
        <w:t>、本基金应投资于信用级别评级为BBB以上（含BBB）的资产支持证券。基金持有资产支持证券期间，如果其信用等级下降、不再符合投资标准，应在评级报告发布之日起3个月内予以全部卖出；</w:t>
      </w:r>
    </w:p>
    <w:p w14:paraId="6A2A6D9A" w14:textId="492A0D91" w:rsidR="00FB4D29" w:rsidRDefault="00182A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m</w:t>
      </w:r>
      <w:r w:rsidR="00CF4592">
        <w:rPr>
          <w:rFonts w:ascii="宋体" w:hAnsi="宋体"/>
          <w:sz w:val="24"/>
        </w:rPr>
        <w:t>、基金财产参与股票发行申购，本基金所申报的金额不超过本基金的总资产，本基金所申报的股票数量不超过拟发行股票公司本次发行股票的总量；</w:t>
      </w:r>
    </w:p>
    <w:p w14:paraId="78BBA13B" w14:textId="6D575036" w:rsidR="00FB4D29" w:rsidRDefault="00182A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n</w:t>
      </w:r>
      <w:r w:rsidR="00CF4592">
        <w:rPr>
          <w:rFonts w:ascii="宋体" w:hAnsi="宋体"/>
          <w:sz w:val="24"/>
        </w:rPr>
        <w:t>、本基金进入全国银行间同业市场进行债券回购的资金余额不得超过基金资产净值的40%，本基金在全国银行间同业市场中的债券回购最长期限为1年，债券回购到期后不得展期；</w:t>
      </w:r>
    </w:p>
    <w:p w14:paraId="5125510A" w14:textId="49AD0DF8" w:rsidR="00FB4D29" w:rsidRDefault="00182A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o</w:t>
      </w:r>
      <w:r w:rsidR="00CF4592">
        <w:rPr>
          <w:rFonts w:ascii="宋体" w:hAnsi="宋体"/>
          <w:sz w:val="24"/>
        </w:rPr>
        <w:t>、本基金若投资股指期货，则遵循以下投资比例限制：</w:t>
      </w:r>
    </w:p>
    <w:p w14:paraId="1FA2C92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i.本基金在任何交易日日终，持有的买入股指期货合约价值，不得超过基金资产净值的10%；</w:t>
      </w:r>
    </w:p>
    <w:p w14:paraId="430C5CF9" w14:textId="0EFDC1B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i.本基金在任何交易日日终，持有的买入期货合约价值与有价证券市值之和，不得超过基金资产净值的95%。其中，有价证券指股票、债券（不含到期日在一年以内的政府债券）、资产支持证券、买入返售金融资产（不含质押式回购）等；</w:t>
      </w:r>
    </w:p>
    <w:p w14:paraId="4C579AF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iii.本基金在任何交易日日终，持有的卖出期货合约价值不得超过基金持有的</w:t>
      </w:r>
      <w:r>
        <w:rPr>
          <w:rFonts w:ascii="宋体" w:hAnsi="宋体"/>
          <w:sz w:val="24"/>
        </w:rPr>
        <w:lastRenderedPageBreak/>
        <w:t>股票总市值的20%；</w:t>
      </w:r>
    </w:p>
    <w:p w14:paraId="57DFEB4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iv.本基金所持有的股票市值和买入、卖出股指期货合约价值，合计（轧差计算）应当符合基金合同关于股票投资比例的有关约定；</w:t>
      </w:r>
    </w:p>
    <w:p w14:paraId="44514F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v.本基金在任何交易日内交易（不包括平仓）的股指期货合约的成交金额不得超过上一交易日基金资产净值的20%。</w:t>
      </w:r>
    </w:p>
    <w:p w14:paraId="7E6DF7A7" w14:textId="37FDE638" w:rsidR="00FB4D29" w:rsidRDefault="001F6B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p</w:t>
      </w:r>
      <w:r w:rsidR="00CF4592">
        <w:rPr>
          <w:rFonts w:ascii="宋体" w:hAnsi="宋体"/>
          <w:sz w:val="24"/>
        </w:rPr>
        <w:t>、本基金的基金资产总值不得超过基金资产净值的140%；</w:t>
      </w:r>
    </w:p>
    <w:p w14:paraId="5BC2BF9F" w14:textId="2275D088" w:rsidR="00FB4D29" w:rsidRDefault="001F6B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q</w:t>
      </w:r>
      <w:r w:rsidR="00CF4592">
        <w:rPr>
          <w:rFonts w:ascii="宋体" w:hAnsi="宋体"/>
          <w:sz w:val="24"/>
        </w:rPr>
        <w:t>、本基金持有的同一流通受限证券，其公允价值不得超过基金资产净值的10%；</w:t>
      </w:r>
    </w:p>
    <w:p w14:paraId="593E1DA3" w14:textId="1CCDB13F" w:rsidR="00FB4D29" w:rsidRDefault="001F6B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r</w:t>
      </w:r>
      <w:r w:rsidR="00CF4592">
        <w:rPr>
          <w:rFonts w:ascii="宋体" w:hAnsi="宋体"/>
          <w:sz w:val="24"/>
        </w:rPr>
        <w:t>、本基金投资存托凭证的比例限制依照境内上市交易的股票执行。</w:t>
      </w:r>
    </w:p>
    <w:p w14:paraId="3F03DF1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但须与基金托管人协商一致后方可纳入基金托管人投资监督范围。《基金法》及其他有关法律法规或监管部门取消上述限制的，如适用于本基金，基金管理人在履行适当程序后，基金不受上述限制。</w:t>
      </w:r>
    </w:p>
    <w:p w14:paraId="129340C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3）法规允许的基金投资比例调整期限</w:t>
      </w:r>
    </w:p>
    <w:p w14:paraId="362861E4" w14:textId="2D77B57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除上述第b项、第</w:t>
      </w:r>
      <w:r w:rsidR="001F6BA1">
        <w:rPr>
          <w:rFonts w:ascii="宋体" w:hAnsi="宋体"/>
          <w:sz w:val="24"/>
        </w:rPr>
        <w:t>f</w:t>
      </w:r>
      <w:r>
        <w:rPr>
          <w:rFonts w:ascii="宋体" w:hAnsi="宋体"/>
          <w:sz w:val="24"/>
        </w:rPr>
        <w:t>项、第</w:t>
      </w:r>
      <w:r w:rsidR="001F6BA1">
        <w:rPr>
          <w:rFonts w:ascii="宋体" w:hAnsi="宋体"/>
          <w:sz w:val="24"/>
        </w:rPr>
        <w:t>g</w:t>
      </w:r>
      <w:r>
        <w:rPr>
          <w:rFonts w:ascii="宋体" w:hAnsi="宋体"/>
          <w:sz w:val="24"/>
        </w:rPr>
        <w:t>项、第</w:t>
      </w:r>
      <w:r w:rsidR="001F6BA1">
        <w:rPr>
          <w:rFonts w:ascii="宋体" w:hAnsi="宋体" w:hint="eastAsia"/>
          <w:sz w:val="24"/>
        </w:rPr>
        <w:t>l</w:t>
      </w:r>
      <w:r>
        <w:rPr>
          <w:rFonts w:ascii="宋体" w:hAnsi="宋体"/>
          <w:sz w:val="24"/>
        </w:rPr>
        <w:t>项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464034A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应当符合基金合同的约定。基金托管人对基金的投资的监督与检查自基金合同生效之日起开始。</w:t>
      </w:r>
    </w:p>
    <w:p w14:paraId="282FE54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14:paraId="507C622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14:paraId="4ECE98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66C3561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6ECADA9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7730C71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2551CCE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E2E081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w:t>
      </w:r>
      <w:r>
        <w:rPr>
          <w:rFonts w:ascii="宋体" w:hAnsi="宋体"/>
          <w:sz w:val="24"/>
        </w:rPr>
        <w:lastRenderedPageBreak/>
        <w:t>理人在履行适当程序后，本基金可不受上述规定的限制。</w:t>
      </w:r>
    </w:p>
    <w:p w14:paraId="56F93C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（4）基金托管人依据有关法律法规的规定和《基金合同》的约定对基金管理人参与银行间债券市场进行监督。</w:t>
      </w:r>
    </w:p>
    <w:p w14:paraId="3287C60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1）基金托管人按以下方式对基金管理人参与银行间市场交易的交易对手资信风险控制措施进行监督。</w:t>
      </w:r>
    </w:p>
    <w:p w14:paraId="1DC3B46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77EDD64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7A420DF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部流程防范交易对手的资信风险，在与核心交易对手以外的交易对手进行交易时，由于交易对手资信风险引起的损失不由托管人承担。基金托管人的监督责任仅限于根据已提供的名单，审核交易对手是否在名单内列明。</w:t>
      </w:r>
    </w:p>
    <w:p w14:paraId="531FF66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（5）基金托管人对基金管理人选择存款银行进行监督。</w:t>
      </w:r>
    </w:p>
    <w:p w14:paraId="0C3DD17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3A99DD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（6）基金托管人对基金投资流通受限证券的监督</w:t>
      </w:r>
    </w:p>
    <w:p w14:paraId="3BE3DE8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1）基金投资流通受限证券，应遵守《关于基金投资非公开发行股票等流通受限证券有关问题的通知》规定。</w:t>
      </w:r>
    </w:p>
    <w:p w14:paraId="2FDCF6E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4AF8BA2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30B74B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98A646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14:paraId="3D3BADC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3586484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如基金管理人和基金托管人无法达成一致，应及时上报中国证监会请求解决。如果基金托管人切实履行监督职责，则不承担任何责任。如果基金托管人没有切实</w:t>
      </w:r>
      <w:r>
        <w:rPr>
          <w:rFonts w:ascii="宋体" w:hAnsi="宋体"/>
          <w:sz w:val="24"/>
        </w:rPr>
        <w:lastRenderedPageBreak/>
        <w:t>履行监督职责，导致基金出现风险，基金托管人应承担连带责任。</w:t>
      </w:r>
    </w:p>
    <w:p w14:paraId="7B902408" w14:textId="0751594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2、基金托管人应根据有关法律法规的规定及《基金合同》的约定，对基金资产净值计算、</w:t>
      </w:r>
      <w:r w:rsidR="00784F6C" w:rsidRPr="00D7088C">
        <w:rPr>
          <w:rFonts w:ascii="宋体" w:hAnsi="宋体" w:hint="eastAsia"/>
          <w:sz w:val="24"/>
          <w:szCs w:val="21"/>
        </w:rPr>
        <w:t>各类</w:t>
      </w:r>
      <w:r>
        <w:rPr>
          <w:rFonts w:ascii="宋体" w:hAnsi="宋体"/>
          <w:sz w:val="24"/>
        </w:rPr>
        <w:t>基金份额净值计算、应收资金到账、基金费用开支及收入确定、基金收益分配、相关信息披露、基金宣传推介材料中登载基金业绩表现数据等进行监督和核查。</w:t>
      </w:r>
    </w:p>
    <w:p w14:paraId="63C34F5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56C800B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1CF6DB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14:paraId="1DB05F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12467B5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34F6F10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14:paraId="00888DE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1B7B467"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（三）基金管理人对基金托管人的业务核查</w:t>
      </w:r>
    </w:p>
    <w:p w14:paraId="4F9087B8" w14:textId="19991FE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基金管理人对基金托管人履行托管职责情况进行核查，核查事项包括但不限于</w:t>
      </w:r>
      <w:r>
        <w:rPr>
          <w:rFonts w:ascii="宋体" w:hAnsi="宋体"/>
          <w:sz w:val="24"/>
        </w:rPr>
        <w:lastRenderedPageBreak/>
        <w:t>基金托管人安全保管基金财产、开设基金财产的资金账户、证券账户、协助开立股指期货业务相关账户及交易编码、复核基金管理人计算的基金资产净值和</w:t>
      </w:r>
      <w:r w:rsidR="00784F6C" w:rsidRPr="00D7088C">
        <w:rPr>
          <w:rFonts w:ascii="宋体" w:hAnsi="宋体" w:hint="eastAsia"/>
          <w:sz w:val="24"/>
          <w:szCs w:val="21"/>
        </w:rPr>
        <w:t>各类</w:t>
      </w:r>
      <w:r>
        <w:rPr>
          <w:rFonts w:ascii="宋体" w:hAnsi="宋体"/>
          <w:sz w:val="24"/>
        </w:rPr>
        <w:t>基金份额净值、根据基金管理人指令办理清算交收、相关信息披露和监督基金投资运作等行为。</w:t>
      </w:r>
    </w:p>
    <w:p w14:paraId="76B37AF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5E8050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基金管理人发现基金托管人有重大违规行为，应立即报告中国证监会和银行业监督管理机构，同时通知基金托管人限期纠正。</w:t>
      </w:r>
    </w:p>
    <w:p w14:paraId="7BA3267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基金托管人应积极配合基金管理人的核查行为，包括但不限于：提交相关资料以供基金管理人核查托管财产的完整性和真实性，在规定时间内答复基金管理人并改正。</w:t>
      </w:r>
    </w:p>
    <w:p w14:paraId="3D071FC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55B2E5F"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（四）基金财产保管</w:t>
      </w:r>
    </w:p>
    <w:p w14:paraId="260ECFE0"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2149844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1C64E2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（2）基金托管人应安全保管基金财产。未经基金管理人的正当指令，不得自行运用、处分、分配基金的任何财产。</w:t>
      </w:r>
    </w:p>
    <w:p w14:paraId="654E42E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（3）基金托管人按照规定开设基金财产的资金账户、证券账户，协助开立股指期货业务相关账户及交易编码。</w:t>
      </w:r>
    </w:p>
    <w:p w14:paraId="0668E48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011384E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（5）对于因基金认（申）购、基金投资过程中产生的应收财产，应由基金管</w:t>
      </w:r>
      <w:r>
        <w:rPr>
          <w:rFonts w:ascii="宋体" w:hAnsi="宋体"/>
          <w:sz w:val="24"/>
        </w:rPr>
        <w:lastRenderedPageBreak/>
        <w:t>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64DF644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（6）除依据法律法规和基金合同的规定外，基金托管人不得委托第三人托管基金财产。</w:t>
      </w:r>
    </w:p>
    <w:p w14:paraId="4AA12A4F" w14:textId="2B255045"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2、基金的银行账户的开立和管理</w:t>
      </w:r>
    </w:p>
    <w:p w14:paraId="23E1074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AE1A5F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0DA970F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资产托管专户的管理应符合《人民币银行结算账户管理办法》、《现金管理暂行条例》、《人民币利率管理规定》、《利率管理暂行规定》、《支付结算办法》以及银行业监督管理机构的其他规定。</w:t>
      </w:r>
    </w:p>
    <w:p w14:paraId="385E9076" w14:textId="518543FA" w:rsidR="00FB4D29" w:rsidRDefault="002B27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F4592">
        <w:rPr>
          <w:rFonts w:ascii="宋体" w:hAnsi="宋体"/>
          <w:sz w:val="24"/>
        </w:rPr>
        <w:t>、基金证券账户与证券交易资金账户的开设和管理</w:t>
      </w:r>
    </w:p>
    <w:p w14:paraId="1ED8E09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基金托管人以基金托管人和本基金联名的方式在中国证券登记结算有限责任公司上海分公司/深圳分公司开设证券账户。</w:t>
      </w:r>
    </w:p>
    <w:p w14:paraId="012C3BD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14:paraId="1900C28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D32C46D" w14:textId="008DB0A8" w:rsidR="00FB4D29" w:rsidRDefault="002B27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CF4592">
        <w:rPr>
          <w:rFonts w:ascii="宋体" w:hAnsi="宋体"/>
          <w:sz w:val="24"/>
        </w:rPr>
        <w:t>、债券托管账户的开立和管理</w:t>
      </w:r>
    </w:p>
    <w:p w14:paraId="2FA66EB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1EF22DD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2）基金管理人和基金托管人应一起负责为基金对外签订全国银行间债券市场</w:t>
      </w:r>
      <w:r>
        <w:rPr>
          <w:rFonts w:ascii="宋体" w:hAnsi="宋体"/>
          <w:sz w:val="24"/>
        </w:rPr>
        <w:lastRenderedPageBreak/>
        <w:t>回购主协议，正本由基金托管人保管，基金管理人保存副本。</w:t>
      </w:r>
    </w:p>
    <w:p w14:paraId="4BD6206C" w14:textId="56BEC08C" w:rsidR="00FB4D29" w:rsidRDefault="002B27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CF4592">
        <w:rPr>
          <w:rFonts w:ascii="宋体" w:hAnsi="宋体"/>
          <w:sz w:val="24"/>
        </w:rPr>
        <w:t>、其他账户的开设和管理</w:t>
      </w:r>
    </w:p>
    <w:p w14:paraId="70A69E5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3160211" w14:textId="6EED9872" w:rsidR="00FB4D29" w:rsidRDefault="002B27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CF4592">
        <w:rPr>
          <w:rFonts w:ascii="宋体" w:hAnsi="宋体"/>
          <w:sz w:val="24"/>
        </w:rPr>
        <w:t>、基金财产投资的有关实物证券、银行定期存款存单等有价凭证的保管</w:t>
      </w:r>
    </w:p>
    <w:p w14:paraId="3E5A2D8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249073D9" w14:textId="2BFE2DB3" w:rsidR="00FB4D29" w:rsidRDefault="002B272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CF4592">
        <w:rPr>
          <w:rFonts w:ascii="宋体" w:hAnsi="宋体"/>
          <w:sz w:val="24"/>
        </w:rPr>
        <w:t>、与基金财产有关的重大合同的保管</w:t>
      </w:r>
    </w:p>
    <w:p w14:paraId="54B91855" w14:textId="1D85CE61"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784F6C" w:rsidRPr="00054E46">
        <w:rPr>
          <w:rFonts w:ascii="宋体" w:hAnsi="宋体" w:hint="eastAsia"/>
          <w:sz w:val="24"/>
        </w:rPr>
        <w:t>，保存期限不低于法律法规规</w:t>
      </w:r>
      <w:r w:rsidR="00784F6C">
        <w:rPr>
          <w:rFonts w:ascii="宋体" w:hAnsi="宋体" w:hint="eastAsia"/>
          <w:sz w:val="24"/>
        </w:rPr>
        <w:t>定的最低期限</w:t>
      </w:r>
      <w:r>
        <w:rPr>
          <w:rFonts w:ascii="宋体" w:hAnsi="宋体"/>
          <w:sz w:val="24"/>
        </w:rPr>
        <w:t>。</w:t>
      </w:r>
    </w:p>
    <w:p w14:paraId="5BE7602D"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（五）基金资产净值计算和会计复核</w:t>
      </w:r>
    </w:p>
    <w:p w14:paraId="56617C6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w:t>
      </w:r>
    </w:p>
    <w:p w14:paraId="74ED93D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14:paraId="594E8470" w14:textId="0EBBFF9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w:t>
      </w:r>
      <w:r w:rsidR="00784F6C" w:rsidRPr="00B21BB9">
        <w:rPr>
          <w:rFonts w:ascii="宋体" w:hAnsi="宋体" w:hint="eastAsia"/>
          <w:sz w:val="24"/>
          <w:szCs w:val="21"/>
        </w:rPr>
        <w:t>各类基金份额的</w:t>
      </w:r>
      <w:r>
        <w:rPr>
          <w:rFonts w:ascii="宋体" w:hAnsi="宋体"/>
          <w:sz w:val="24"/>
        </w:rPr>
        <w:t>基金份额净值是指计算日</w:t>
      </w:r>
      <w:r w:rsidR="00784F6C" w:rsidRPr="00737147">
        <w:rPr>
          <w:rFonts w:ascii="宋体" w:hAnsi="宋体" w:hint="eastAsia"/>
          <w:sz w:val="24"/>
          <w:szCs w:val="21"/>
        </w:rPr>
        <w:t>该类基金份额的</w:t>
      </w:r>
      <w:r>
        <w:rPr>
          <w:rFonts w:ascii="宋体" w:hAnsi="宋体"/>
          <w:sz w:val="24"/>
        </w:rPr>
        <w:t>基金资产净值除以该计算日</w:t>
      </w:r>
      <w:r w:rsidR="00784F6C">
        <w:rPr>
          <w:rFonts w:ascii="宋体" w:hAnsi="宋体" w:hint="eastAsia"/>
          <w:sz w:val="24"/>
          <w:szCs w:val="21"/>
        </w:rPr>
        <w:t>该类</w:t>
      </w:r>
      <w:r>
        <w:rPr>
          <w:rFonts w:ascii="宋体" w:hAnsi="宋体"/>
          <w:sz w:val="24"/>
        </w:rPr>
        <w:t>基金份额总份额后的数值。</w:t>
      </w:r>
      <w:r w:rsidR="00784F6C" w:rsidRPr="00B21BB9">
        <w:rPr>
          <w:rFonts w:ascii="宋体" w:hAnsi="宋体" w:hint="eastAsia"/>
          <w:sz w:val="24"/>
          <w:szCs w:val="21"/>
        </w:rPr>
        <w:t>各类基金份额的</w:t>
      </w:r>
      <w:r>
        <w:rPr>
          <w:rFonts w:ascii="宋体" w:hAnsi="宋体"/>
          <w:sz w:val="24"/>
        </w:rPr>
        <w:t>基金份额净值的计算</w:t>
      </w:r>
      <w:r w:rsidR="00784F6C">
        <w:rPr>
          <w:rFonts w:ascii="宋体" w:hAnsi="宋体" w:hint="eastAsia"/>
          <w:sz w:val="24"/>
          <w:szCs w:val="21"/>
        </w:rPr>
        <w:t>均</w:t>
      </w:r>
      <w:r>
        <w:rPr>
          <w:rFonts w:ascii="宋体" w:hAnsi="宋体"/>
          <w:sz w:val="24"/>
        </w:rPr>
        <w:t>保留到小数点后4位，小数点后第5位四舍五入，由此产生的误差计入基金财产。</w:t>
      </w:r>
      <w:r w:rsidR="00784F6C" w:rsidRPr="000762DA">
        <w:rPr>
          <w:rFonts w:ascii="宋体" w:hAnsi="宋体" w:hint="eastAsia"/>
          <w:sz w:val="24"/>
          <w:szCs w:val="21"/>
        </w:rPr>
        <w:t>基金管理人可以设立大额赎回情形下的净值精度应急调整机制，具体可参见相关公告。国家另有规定的，从其规定。</w:t>
      </w:r>
    </w:p>
    <w:p w14:paraId="343B9FF8" w14:textId="314B233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基金管理人应每工作日对基金资产估值。估值原则应符合《基金合同》、《证券投资基金会计核算业务指引》及其他法律、法规的规定。</w:t>
      </w:r>
      <w:r w:rsidR="00784F6C" w:rsidRPr="00B21BB9">
        <w:rPr>
          <w:rFonts w:ascii="宋体" w:hAnsi="宋体" w:hint="eastAsia"/>
          <w:sz w:val="24"/>
          <w:szCs w:val="21"/>
        </w:rPr>
        <w:t>各类基金份额的</w:t>
      </w:r>
      <w:r>
        <w:rPr>
          <w:rFonts w:ascii="宋体" w:hAnsi="宋体"/>
          <w:sz w:val="24"/>
        </w:rPr>
        <w:t>基金资产</w:t>
      </w:r>
      <w:r>
        <w:rPr>
          <w:rFonts w:ascii="宋体" w:hAnsi="宋体"/>
          <w:sz w:val="24"/>
        </w:rPr>
        <w:lastRenderedPageBreak/>
        <w:t>净值和基金份额净值由基金管理人负责计算，基金托管人复核。基金管理人应于每个工作日交易结束后计算当日</w:t>
      </w:r>
      <w:r w:rsidR="00784F6C" w:rsidRPr="00B21BB9">
        <w:rPr>
          <w:rFonts w:ascii="宋体" w:hAnsi="宋体" w:hint="eastAsia"/>
          <w:sz w:val="24"/>
          <w:szCs w:val="21"/>
        </w:rPr>
        <w:t>各类基金份额</w:t>
      </w:r>
      <w:r>
        <w:rPr>
          <w:rFonts w:ascii="宋体" w:hAnsi="宋体"/>
          <w:sz w:val="24"/>
        </w:rPr>
        <w:t>的基金资产净值和基金份额净值并以双方认可的方式发送给基金托管人。基金托管人对净值计算结果复核后以双方认可的方式发送给基金管理人，由基金管理人对基金净值予以公布。</w:t>
      </w:r>
    </w:p>
    <w:p w14:paraId="6E74BA6B" w14:textId="4C31B2F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根据《基金法》，基金管理人计算并公告</w:t>
      </w:r>
      <w:r w:rsidR="00784F6C" w:rsidRPr="00B21BB9">
        <w:rPr>
          <w:rFonts w:ascii="宋体" w:hAnsi="宋体" w:hint="eastAsia"/>
          <w:sz w:val="24"/>
          <w:szCs w:val="21"/>
        </w:rPr>
        <w:t>各类基金份额的</w:t>
      </w:r>
      <w:r>
        <w:rPr>
          <w:rFonts w:ascii="宋体" w:hAnsi="宋体"/>
          <w:sz w:val="24"/>
        </w:rPr>
        <w:t>基金资产净值和基金份额净值，基金托管人复核、审查基金管理人计算的</w:t>
      </w:r>
      <w:r w:rsidR="00784F6C" w:rsidRPr="00B21BB9">
        <w:rPr>
          <w:rFonts w:ascii="宋体" w:hAnsi="宋体" w:hint="eastAsia"/>
          <w:sz w:val="24"/>
          <w:szCs w:val="21"/>
        </w:rPr>
        <w:t>各类基金份额的</w:t>
      </w:r>
      <w:r>
        <w:rPr>
          <w:rFonts w:ascii="宋体" w:hAnsi="宋体"/>
          <w:sz w:val="24"/>
        </w:rPr>
        <w:t>基金资产净值和基金份额净值。因此，本基金的会计责任方是基金管理人，就与本基金有关的会计问题，如经相关各方在平等基础上充分讨论后，仍无法达成一致的意见，按照基金管理人对</w:t>
      </w:r>
      <w:r w:rsidR="00784F6C" w:rsidRPr="00B21BB9">
        <w:rPr>
          <w:rFonts w:ascii="宋体" w:hAnsi="宋体" w:hint="eastAsia"/>
          <w:sz w:val="24"/>
          <w:szCs w:val="21"/>
        </w:rPr>
        <w:t>各类基金份额的</w:t>
      </w:r>
      <w:r>
        <w:rPr>
          <w:rFonts w:ascii="宋体" w:hAnsi="宋体"/>
          <w:sz w:val="24"/>
        </w:rPr>
        <w:t>基金资产净值和基金份额净值的计算结果对外予以公布。法律法规以及监管部门有强制规定的，从其规定。如有新增事项，按国家最新规定估值。</w:t>
      </w:r>
    </w:p>
    <w:p w14:paraId="0F20861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w:t>
      </w:r>
    </w:p>
    <w:p w14:paraId="6DC51DD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3E17644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14:paraId="226ECC3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0F9E0ED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DABF6F1" w14:textId="2A922BB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a、交易所上市的有价证券（包括股票</w:t>
      </w:r>
      <w:r w:rsidR="006C59B5">
        <w:rPr>
          <w:rFonts w:ascii="宋体" w:hAnsi="宋体" w:hint="eastAsia"/>
          <w:sz w:val="24"/>
        </w:rPr>
        <w:t>等</w:t>
      </w:r>
      <w:r>
        <w:rPr>
          <w:rFonts w:ascii="宋体" w:hAnsi="宋体"/>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92D552B" w14:textId="53A7F89D"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b、交易所市场上市交易或挂牌转让的固定收益品种（另有规定的除外），选取</w:t>
      </w:r>
      <w:r w:rsidR="00784F6C">
        <w:rPr>
          <w:rFonts w:hint="eastAsia"/>
          <w:bCs/>
          <w:sz w:val="24"/>
        </w:rPr>
        <w:t>估值日</w:t>
      </w:r>
      <w:r>
        <w:rPr>
          <w:rFonts w:ascii="宋体" w:hAnsi="宋体"/>
          <w:sz w:val="24"/>
        </w:rPr>
        <w:t>第三方估值机构提供的相应品种当日的估值净价进行估值；</w:t>
      </w:r>
    </w:p>
    <w:p w14:paraId="2B290F64" w14:textId="424458AA"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c、交易所市场上市交易的可转换债券，按估值日收盘价减去可转换债券收盘价中所含债券</w:t>
      </w:r>
      <w:r w:rsidR="00784F6C">
        <w:rPr>
          <w:rFonts w:hint="eastAsia"/>
          <w:bCs/>
          <w:sz w:val="24"/>
        </w:rPr>
        <w:t>（税后）</w:t>
      </w:r>
      <w:r>
        <w:rPr>
          <w:rFonts w:ascii="宋体" w:hAnsi="宋体"/>
          <w:sz w:val="24"/>
        </w:rPr>
        <w:t>应收利息后得到的净价进行估值；</w:t>
      </w:r>
      <w:r w:rsidR="00784F6C" w:rsidRPr="00784F6C">
        <w:rPr>
          <w:rFonts w:ascii="宋体" w:hAnsi="宋体" w:hint="eastAsia"/>
          <w:sz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w:t>
      </w:r>
      <w:r w:rsidR="00784F6C" w:rsidRPr="00784F6C">
        <w:rPr>
          <w:rFonts w:ascii="宋体" w:hAnsi="宋体" w:hint="eastAsia"/>
          <w:sz w:val="24"/>
        </w:rPr>
        <w:lastRenderedPageBreak/>
        <w:t>易市价，确定公允价格；</w:t>
      </w:r>
    </w:p>
    <w:p w14:paraId="4A79911A" w14:textId="34F29FC5" w:rsidR="000B3A9F" w:rsidRPr="000B3A9F" w:rsidRDefault="00CF4592" w:rsidP="000B3A9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d、交易所</w:t>
      </w:r>
      <w:r w:rsidR="000B3A9F" w:rsidRPr="000B3A9F">
        <w:rPr>
          <w:rFonts w:ascii="宋体" w:hAnsi="宋体" w:hint="eastAsia"/>
          <w:sz w:val="24"/>
        </w:rPr>
        <w:t>上市实行全价交易的债券（可转债除外），选取第三方估值机构提供的估值全价减去估值全价中所含的债券（税后）应收利息得到的净价进行估值；</w:t>
      </w:r>
    </w:p>
    <w:p w14:paraId="34C06FF5" w14:textId="606B072A" w:rsidR="000B3A9F" w:rsidRPr="000B3A9F" w:rsidRDefault="000B3A9F" w:rsidP="000B3A9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e</w:t>
      </w:r>
      <w:r>
        <w:rPr>
          <w:rFonts w:ascii="宋体" w:hAnsi="宋体" w:hint="eastAsia"/>
          <w:sz w:val="24"/>
        </w:rPr>
        <w:t>、</w:t>
      </w:r>
      <w:r w:rsidRPr="000B3A9F">
        <w:rPr>
          <w:rFonts w:ascii="宋体" w:hAnsi="宋体" w:hint="eastAsia"/>
          <w:sz w:val="24"/>
        </w:rPr>
        <w:t>交易所上市不存在活跃市场的有价证券，采用估值技术确定公允价值。交易所市场挂牌转让的资产支持证券，采用估值技术确定公允价值；</w:t>
      </w:r>
    </w:p>
    <w:p w14:paraId="7E6BFB30" w14:textId="77777777" w:rsidR="002A3FA9" w:rsidRDefault="000B3A9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f</w:t>
      </w:r>
      <w:r>
        <w:rPr>
          <w:rFonts w:ascii="宋体" w:hAnsi="宋体" w:hint="eastAsia"/>
          <w:sz w:val="24"/>
        </w:rPr>
        <w:t>、</w:t>
      </w:r>
      <w:r w:rsidRPr="000B3A9F">
        <w:rPr>
          <w:rFonts w:ascii="宋体" w:hAnsi="宋体"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64D15F1"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2）证券交易所发行未上市期间的有价证券应区分如下情况处理：</w:t>
      </w:r>
    </w:p>
    <w:p w14:paraId="064FBB3C" w14:textId="74443EB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a、送股、转增股、配股和公开增发的新股，按估值日在证券交易所挂牌的同一股票的估值方法估值；</w:t>
      </w:r>
      <w:r w:rsidR="002A3FA9">
        <w:rPr>
          <w:bCs/>
          <w:sz w:val="24"/>
        </w:rPr>
        <w:t>该日无交易的，以最近一日的市价（收盘价）估值；</w:t>
      </w:r>
    </w:p>
    <w:p w14:paraId="3BCEA9DD" w14:textId="49AD7DC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b、首次公开发行未上市的股票和</w:t>
      </w:r>
      <w:r w:rsidR="002A3FA9">
        <w:rPr>
          <w:rFonts w:hint="eastAsia"/>
          <w:bCs/>
          <w:sz w:val="24"/>
        </w:rPr>
        <w:t>债券</w:t>
      </w:r>
      <w:r>
        <w:rPr>
          <w:rFonts w:ascii="宋体" w:hAnsi="宋体"/>
          <w:sz w:val="24"/>
        </w:rPr>
        <w:t>，采用估值技术确定公允价值</w:t>
      </w:r>
      <w:r w:rsidR="002A3FA9" w:rsidRPr="002A3FA9">
        <w:rPr>
          <w:rFonts w:ascii="宋体" w:hAnsi="宋体" w:hint="eastAsia"/>
          <w:sz w:val="24"/>
        </w:rPr>
        <w:t>，在估值技术难以可靠计量公允价值的情况下，按成本估值</w:t>
      </w:r>
      <w:r>
        <w:rPr>
          <w:rFonts w:ascii="宋体" w:hAnsi="宋体"/>
          <w:sz w:val="24"/>
        </w:rPr>
        <w:t>；</w:t>
      </w:r>
    </w:p>
    <w:p w14:paraId="3862A91B" w14:textId="08DE2BD8" w:rsidR="002A3FA9" w:rsidRDefault="00CF4592" w:rsidP="002A3FA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c、</w:t>
      </w:r>
      <w:r w:rsidR="002A3FA9" w:rsidRPr="002A3FA9">
        <w:rPr>
          <w:rFonts w:ascii="宋体" w:hAnsi="宋体"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64726EC" w14:textId="60806D09" w:rsidR="00FB4D29" w:rsidRDefault="00CF4592" w:rsidP="002A3F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2A3FA9" w:rsidRPr="002A3FA9">
        <w:rPr>
          <w:rFonts w:ascii="宋体" w:hAnsi="宋体"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2AD182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14:paraId="2BDB0541" w14:textId="77777777" w:rsidR="002A3FA9" w:rsidRPr="002A3FA9" w:rsidRDefault="00CF4592" w:rsidP="002A3FA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2A3FA9" w:rsidRPr="002A3FA9">
        <w:rPr>
          <w:rFonts w:ascii="宋体" w:hAnsi="宋体" w:hint="eastAsia"/>
          <w:sz w:val="24"/>
        </w:rPr>
        <w:t>同一证券同时在两个或两个以上市场交易的，按证券所处的市场分别估</w:t>
      </w:r>
      <w:r w:rsidR="002A3FA9" w:rsidRPr="002A3FA9">
        <w:rPr>
          <w:rFonts w:ascii="宋体" w:hAnsi="宋体" w:hint="eastAsia"/>
          <w:sz w:val="24"/>
        </w:rPr>
        <w:lastRenderedPageBreak/>
        <w:t>值。</w:t>
      </w:r>
    </w:p>
    <w:p w14:paraId="0C655161" w14:textId="77777777" w:rsidR="002A3FA9" w:rsidRPr="002A3FA9" w:rsidRDefault="002A3FA9" w:rsidP="002A3FA9">
      <w:pPr>
        <w:autoSpaceDE w:val="0"/>
        <w:autoSpaceDN w:val="0"/>
        <w:adjustRightInd w:val="0"/>
        <w:snapToGrid w:val="0"/>
        <w:spacing w:line="360" w:lineRule="auto"/>
        <w:ind w:firstLineChars="200" w:firstLine="480"/>
        <w:jc w:val="left"/>
        <w:rPr>
          <w:rFonts w:ascii="宋体" w:hAnsi="宋体"/>
          <w:sz w:val="24"/>
        </w:rPr>
      </w:pPr>
      <w:r w:rsidRPr="002A3FA9">
        <w:rPr>
          <w:rFonts w:ascii="宋体" w:hAnsi="宋体" w:hint="eastAsia"/>
          <w:sz w:val="24"/>
        </w:rPr>
        <w:t>估值计算中涉及港币对人民币汇率的，将依据下列信息提供机构所提供的汇率为基准：当日中国人民银行或其授权机构公布的人民币汇率中间价。</w:t>
      </w:r>
    </w:p>
    <w:p w14:paraId="675144FD" w14:textId="77777777" w:rsidR="002A3FA9" w:rsidRDefault="002A3FA9" w:rsidP="002A3FA9">
      <w:pPr>
        <w:autoSpaceDE w:val="0"/>
        <w:autoSpaceDN w:val="0"/>
        <w:adjustRightInd w:val="0"/>
        <w:snapToGrid w:val="0"/>
        <w:spacing w:line="360" w:lineRule="auto"/>
        <w:ind w:firstLineChars="200" w:firstLine="480"/>
        <w:jc w:val="left"/>
        <w:rPr>
          <w:rFonts w:ascii="宋体" w:hAnsi="宋体"/>
          <w:sz w:val="24"/>
        </w:rPr>
      </w:pPr>
      <w:r w:rsidRPr="002A3FA9">
        <w:rPr>
          <w:rFonts w:ascii="宋体" w:hAnsi="宋体"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8B1E90C" w14:textId="20F26A03" w:rsidR="00FB4D29" w:rsidRDefault="002A3FA9" w:rsidP="004A606D">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6）</w:t>
      </w:r>
      <w:r w:rsidR="00CF4592">
        <w:rPr>
          <w:rFonts w:ascii="宋体" w:hAnsi="宋体"/>
          <w:sz w:val="24"/>
        </w:rPr>
        <w:t>摆动定价机制：</w:t>
      </w:r>
      <w:r>
        <w:rPr>
          <w:rFonts w:ascii="宋体" w:hAnsi="宋体" w:hint="eastAsia"/>
          <w:sz w:val="24"/>
        </w:rPr>
        <w:t>当</w:t>
      </w:r>
      <w:r w:rsidR="00CF4592">
        <w:rPr>
          <w:rFonts w:ascii="宋体" w:hAnsi="宋体"/>
          <w:sz w:val="24"/>
        </w:rPr>
        <w:t>发生大额申购或赎回情形时，基金管理人可以对本基金采用摆动定价机制，以确保基金估值的公平性。</w:t>
      </w:r>
    </w:p>
    <w:p w14:paraId="4C464BA6" w14:textId="0ED9B42F" w:rsidR="00FB4D29" w:rsidRDefault="004A60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CF4592">
        <w:rPr>
          <w:rFonts w:ascii="宋体" w:hAnsi="宋体"/>
          <w:sz w:val="24"/>
        </w:rPr>
        <w:t>）本基金投资存托凭证的估值核算依照境内上市交易的股票执行。</w:t>
      </w:r>
    </w:p>
    <w:p w14:paraId="22AA9E4B" w14:textId="5932F228" w:rsidR="004A606D" w:rsidRDefault="004A606D" w:rsidP="004A60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8）如有确凿证据表明按上述方法进行估值不能客观反映其公允价值的，基金管理人可根据具体情况与基金托管人商定后，按最能反映公允价值的方法估值。</w:t>
      </w:r>
    </w:p>
    <w:p w14:paraId="3FD0F46C" w14:textId="0DFE10C7" w:rsidR="00FB4D29" w:rsidRDefault="002A3FA9" w:rsidP="004A60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F4592">
        <w:rPr>
          <w:rFonts w:ascii="宋体" w:hAnsi="宋体"/>
          <w:sz w:val="24"/>
        </w:rPr>
        <w:t>）相关法律法规以及监管部门有强制规定的，从其规定。如有新增事项，按</w:t>
      </w:r>
      <w:r>
        <w:rPr>
          <w:rFonts w:hint="eastAsia"/>
          <w:bCs/>
          <w:sz w:val="24"/>
        </w:rPr>
        <w:t>国家</w:t>
      </w:r>
      <w:r w:rsidR="00CF4592">
        <w:rPr>
          <w:rFonts w:ascii="宋体" w:hAnsi="宋体"/>
          <w:sz w:val="24"/>
        </w:rPr>
        <w:t>最新规定估值。</w:t>
      </w:r>
    </w:p>
    <w:p w14:paraId="4E3DBA4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11F6CD0" w14:textId="66D65DDC"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E51E7F">
        <w:rPr>
          <w:rFonts w:ascii="宋体" w:hAnsi="宋体" w:hint="eastAsia"/>
          <w:sz w:val="24"/>
        </w:rPr>
        <w:t>信息</w:t>
      </w:r>
      <w:r>
        <w:rPr>
          <w:rFonts w:ascii="宋体" w:hAnsi="宋体"/>
          <w:sz w:val="24"/>
        </w:rPr>
        <w:t>的计算结果对外予以公布。</w:t>
      </w:r>
    </w:p>
    <w:p w14:paraId="1D9E448D"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3、估值差错处理</w:t>
      </w:r>
    </w:p>
    <w:p w14:paraId="5BB898A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因基金估值错误给投资者造成损失的应先由基金管理人承担，基金管理人对不应由其承担的责任，有权向过错人追偿。</w:t>
      </w:r>
    </w:p>
    <w:p w14:paraId="53C5512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53C72321" w14:textId="2E2001BE"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基金管理人或基金托管人按估值方法的第</w:t>
      </w:r>
      <w:r w:rsidR="004006ED">
        <w:rPr>
          <w:rFonts w:ascii="宋体" w:hAnsi="宋体"/>
          <w:sz w:val="24"/>
        </w:rPr>
        <w:t>8</w:t>
      </w:r>
      <w:r>
        <w:rPr>
          <w:rFonts w:ascii="宋体" w:hAnsi="宋体"/>
          <w:sz w:val="24"/>
        </w:rPr>
        <w:t>）项进行估值时，所造成的误差不作为基金资产估值错误处理。</w:t>
      </w:r>
    </w:p>
    <w:p w14:paraId="199B7A4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7CAF1F6D" w14:textId="1CEFA65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证券、期货交易所、证券经纪机构、期货公司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6555A1C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212CB2B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4、基金账册的建立</w:t>
      </w:r>
    </w:p>
    <w:p w14:paraId="4AD0619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73C61D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2281CD8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14:paraId="68B72AE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基金财务报表由基金管理人和基金托管人每月分别独立编制。月度报表的编制，应于每月终了后5个工作日内完成。</w:t>
      </w:r>
    </w:p>
    <w:p w14:paraId="55F6D9B5" w14:textId="54D0424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在《基金合同》生效后，基金招募说明书、基金产品资料概要的信息发生重大变更的，基金管理人应当在三个工作日内，更新基金招募说明书和基金产品资料概要并登载在</w:t>
      </w:r>
      <w:r w:rsidR="003246BF">
        <w:rPr>
          <w:rFonts w:ascii="宋体" w:hAnsi="宋体"/>
          <w:sz w:val="24"/>
        </w:rPr>
        <w:t>规定网站</w:t>
      </w:r>
      <w:r>
        <w:rPr>
          <w:rFonts w:ascii="宋体" w:hAnsi="宋体"/>
          <w:sz w:val="24"/>
        </w:rPr>
        <w:t>上；基金招募说明书、基金产品资料概要其他信息发生变更的，基金管理人至少每年更新一次。基金终止运作的，基金管理人不再更新基金招募说明书、基金产品资料概要。基金管理人在季度结束之日起15个工作日内完成季</w:t>
      </w:r>
      <w:r>
        <w:rPr>
          <w:rFonts w:ascii="宋体" w:hAnsi="宋体"/>
          <w:sz w:val="24"/>
        </w:rPr>
        <w:lastRenderedPageBreak/>
        <w:t>度报告编制并公告；在上半年终了后两个月内完成中期报告编制并公告；在每年结束后三个月内完成年度报告编制并公告。</w:t>
      </w:r>
    </w:p>
    <w:p w14:paraId="7A0AC82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中期报告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0AAD3A0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3297679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基金托管人在对财务会计报告、中期报告或年度报告复核完毕后，需盖章确认或出具相应的复核确认书，以备有权机构对相关文件审核时提示。</w:t>
      </w:r>
    </w:p>
    <w:p w14:paraId="756F1321"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（六）基金份额持有人名册的登记与保管</w:t>
      </w:r>
    </w:p>
    <w:p w14:paraId="413DC70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7A0A5DD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基金的基金登记机构根据基金管理人的指令编制和保管，基金份额登记机构的保存期限自基金账户销户之日起不得少于20年。基金管理人和基金托管人应按照目前相关规则分别保管基金份额持有人名册。保管方式可以采用电子或文档的形式。</w:t>
      </w:r>
    </w:p>
    <w:p w14:paraId="7ABF07A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w:t>
      </w:r>
      <w:r>
        <w:rPr>
          <w:rFonts w:ascii="宋体" w:hAnsi="宋体"/>
          <w:sz w:val="24"/>
        </w:rPr>
        <w:lastRenderedPageBreak/>
        <w:t>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0D965A62" w14:textId="66E2DF7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基金托管人以电子版形式妥善保管基金份额持有人名册，并定期刻成光盘备份，保存期限</w:t>
      </w:r>
      <w:r w:rsidR="002A3FA9">
        <w:rPr>
          <w:rFonts w:ascii="宋体" w:hAnsi="宋体" w:cs="Arial" w:hint="eastAsia"/>
          <w:sz w:val="24"/>
        </w:rPr>
        <w:t>不低于法律法规规定的最低期限</w:t>
      </w:r>
      <w:r>
        <w:rPr>
          <w:rFonts w:ascii="宋体" w:hAnsi="宋体"/>
          <w:sz w:val="24"/>
        </w:rPr>
        <w:t>。基金托管人不得将所保管的基金份额持有人名册用于基金托管业务以外的其他用途，并应遵守保密义务。</w:t>
      </w:r>
    </w:p>
    <w:p w14:paraId="5C160FA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若基金管理人或基金托管人由于自身原因无法妥善保管基金份额持有人名册，应按有关法规规定各自承担相应的责任。</w:t>
      </w:r>
    </w:p>
    <w:p w14:paraId="55647B3F"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（七）争议解决方式</w:t>
      </w:r>
    </w:p>
    <w:p w14:paraId="0AD9157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各方当事人同意，因本协议而产生的或与本协议有关的一切争议，除经友好协商可以解决的，应提交中国国际经济贸易仲裁委员会，根据该会届时有效的仲裁规则进行仲裁，仲裁的地点在北京市。仲裁裁决是终局性的，并对相关各方均有约束力，除非仲裁裁决另有规定，仲裁费用由败诉方承担。</w:t>
      </w:r>
    </w:p>
    <w:p w14:paraId="4518B66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争议处理期间，相关各方当事人应恪守基金管理人和基金托管人职责，继续忠实、勤勉、尽责地履行《基金合同》和托管协议规定的义务，维护基金份额持有人的合法权益。</w:t>
      </w:r>
    </w:p>
    <w:p w14:paraId="6019FD75" w14:textId="648B8F98"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w:t>
      </w:r>
      <w:r w:rsidR="002A3FA9">
        <w:rPr>
          <w:rFonts w:ascii="宋体" w:hAnsi="宋体" w:hint="eastAsia"/>
          <w:sz w:val="24"/>
        </w:rPr>
        <w:t>（不含港澳台地区法律）</w:t>
      </w:r>
      <w:r>
        <w:rPr>
          <w:rFonts w:ascii="宋体" w:hAnsi="宋体"/>
          <w:sz w:val="24"/>
        </w:rPr>
        <w:t>管辖。</w:t>
      </w:r>
    </w:p>
    <w:p w14:paraId="601D5741"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（八）托管协议的变更与终止</w:t>
      </w:r>
    </w:p>
    <w:p w14:paraId="60A94C1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59D8719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本协议双方当事人经协商一致，可以对协议的内容进行变更。变更后的托管协议，其内容不得与《基金合同》的规定有任何冲突。基金托管协议的变更报中国证监会备案。</w:t>
      </w:r>
    </w:p>
    <w:p w14:paraId="5F8A448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5674FD3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14:paraId="6122E39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12823C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（2）基金托管人解散、依法被撤销、破产或有其他基金托管人接管基金资产；</w:t>
      </w:r>
    </w:p>
    <w:p w14:paraId="2953EA66"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（3）基金管理人解散、依法被撤销、破产或有其他基金管理人接管基金管理权；</w:t>
      </w:r>
    </w:p>
    <w:p w14:paraId="1060EF7E" w14:textId="5A176014" w:rsidR="00AF2A34" w:rsidRDefault="00CF4592" w:rsidP="005A66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（4）发生法律法规、中国证监会或《基金合同》规定的终止事项。</w:t>
      </w:r>
    </w:p>
    <w:p w14:paraId="145001E9" w14:textId="4798044D" w:rsidR="00FB4D29" w:rsidRDefault="00CF4592">
      <w:pPr>
        <w:pStyle w:val="1"/>
        <w:snapToGrid w:val="0"/>
        <w:spacing w:beforeLines="0" w:before="240" w:after="240"/>
        <w:rPr>
          <w:rFonts w:ascii="宋体" w:hAnsi="宋体"/>
          <w:szCs w:val="30"/>
        </w:rPr>
      </w:pPr>
      <w:r>
        <w:rPr>
          <w:rFonts w:ascii="宋体" w:hAnsi="宋体"/>
          <w:sz w:val="24"/>
        </w:rPr>
        <w:br w:type="page"/>
      </w:r>
      <w:bookmarkStart w:id="31" w:name="_Toc107476042"/>
      <w:r>
        <w:rPr>
          <w:rFonts w:ascii="Times New Roman" w:hAnsi="Times New Roman"/>
          <w:sz w:val="30"/>
        </w:rPr>
        <w:lastRenderedPageBreak/>
        <w:t>二十</w:t>
      </w:r>
      <w:r w:rsidR="00B37E6F">
        <w:rPr>
          <w:rFonts w:ascii="Times New Roman" w:hAnsi="Times New Roman" w:hint="eastAsia"/>
          <w:sz w:val="30"/>
        </w:rPr>
        <w:t>三</w:t>
      </w:r>
      <w:r>
        <w:rPr>
          <w:rFonts w:ascii="Times New Roman" w:hAnsi="Times New Roman"/>
          <w:sz w:val="30"/>
        </w:rPr>
        <w:t>、对基金份额持有人的服务</w:t>
      </w:r>
      <w:bookmarkEnd w:id="31"/>
    </w:p>
    <w:p w14:paraId="5C66008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502E9C9F"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（一）持有人交易资料的寄送服务</w:t>
      </w:r>
    </w:p>
    <w:p w14:paraId="273B63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2C5EE9CE"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503C5E93"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（二）网上直销服务</w:t>
      </w:r>
    </w:p>
    <w:p w14:paraId="370505F8" w14:textId="6745B574"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w:t>
      </w:r>
      <w:r w:rsidR="00B37E6F" w:rsidRPr="00B37E6F">
        <w:rPr>
          <w:rFonts w:ascii="宋体" w:hAnsi="宋体" w:hint="eastAsia"/>
          <w:sz w:val="24"/>
        </w:rPr>
        <w:t>A类基金份额和C类</w:t>
      </w:r>
      <w:r w:rsidR="00B37E6F">
        <w:rPr>
          <w:rFonts w:ascii="宋体" w:hAnsi="宋体" w:hint="eastAsia"/>
          <w:sz w:val="24"/>
        </w:rPr>
        <w:t>基金份额</w:t>
      </w:r>
      <w:r>
        <w:rPr>
          <w:rFonts w:ascii="宋体" w:hAnsi="宋体"/>
          <w:sz w:val="24"/>
        </w:rPr>
        <w:t>的申购、赎回、转换、定期定额投资等业务。通过网上直销交易平台办理本基金</w:t>
      </w:r>
      <w:r w:rsidR="00B37E6F" w:rsidRPr="00B37E6F">
        <w:rPr>
          <w:rFonts w:ascii="宋体" w:hAnsi="宋体" w:hint="eastAsia"/>
          <w:sz w:val="24"/>
        </w:rPr>
        <w:t>A类基金份额</w:t>
      </w:r>
      <w:r>
        <w:rPr>
          <w:rFonts w:ascii="宋体" w:hAnsi="宋体"/>
          <w:sz w:val="24"/>
        </w:rPr>
        <w:t>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56C2C965"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09B4FA6A"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（三）信息咨询、查询服务</w:t>
      </w:r>
    </w:p>
    <w:p w14:paraId="7EF77C5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14:paraId="776ADD0A"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59AEC024"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200E1A7E"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（四）基金转换业务</w:t>
      </w:r>
    </w:p>
    <w:p w14:paraId="581B1F7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本基金已开通转换业务，具体实施方法请参见相关公告。</w:t>
      </w:r>
    </w:p>
    <w:p w14:paraId="23926A27"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（五）定期定额投资计划</w:t>
      </w:r>
    </w:p>
    <w:p w14:paraId="42FF18C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4F679158"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533FB622"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4E3B1609"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BC92F6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002BB3D3"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279E4460" w14:textId="77777777" w:rsidR="00FB4D29" w:rsidRDefault="00CF459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（六）如本招募说明书存在任何您/贵机构无法理解的内容，请通过上述方式联系基金管理人。请确保投资前，您/贵机构已经全面理解了本招募说明书。</w:t>
      </w:r>
    </w:p>
    <w:p w14:paraId="01EC7923"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2B645F75" w14:textId="2240288A" w:rsidR="00FB4D29" w:rsidRDefault="00CF4592">
      <w:pPr>
        <w:pStyle w:val="1"/>
        <w:snapToGrid w:val="0"/>
        <w:spacing w:beforeLines="0" w:before="240" w:after="240"/>
        <w:rPr>
          <w:rFonts w:ascii="宋体" w:hAnsi="宋体"/>
          <w:szCs w:val="30"/>
        </w:rPr>
      </w:pPr>
      <w:r>
        <w:rPr>
          <w:rFonts w:ascii="宋体" w:hAnsi="宋体"/>
          <w:sz w:val="24"/>
        </w:rPr>
        <w:br w:type="page"/>
      </w:r>
      <w:bookmarkStart w:id="32" w:name="_Toc107476043"/>
      <w:r>
        <w:rPr>
          <w:rFonts w:ascii="Times New Roman" w:hAnsi="Times New Roman"/>
          <w:sz w:val="30"/>
        </w:rPr>
        <w:lastRenderedPageBreak/>
        <w:t>二十</w:t>
      </w:r>
      <w:r w:rsidR="00B37E6F">
        <w:rPr>
          <w:rFonts w:ascii="Times New Roman" w:hAnsi="Times New Roman" w:hint="eastAsia"/>
          <w:sz w:val="30"/>
        </w:rPr>
        <w:t>四</w:t>
      </w:r>
      <w:r>
        <w:rPr>
          <w:rFonts w:ascii="Times New Roman" w:hAnsi="Times New Roman"/>
          <w:sz w:val="30"/>
        </w:rPr>
        <w:t>、其他应披露事项</w:t>
      </w:r>
      <w:bookmarkEnd w:id="32"/>
    </w:p>
    <w:p w14:paraId="44AEE03F"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03DDBB70" w14:textId="4A2A8ED1"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FB4D29" w14:paraId="1073E3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6C766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807288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65AABE7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625921D5"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FB4D29" w14:paraId="55C767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E536D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C763685"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交银施罗德持续成长主题混合型证券投资基金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E16405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6AE3F8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2021-06-24</w:t>
            </w:r>
          </w:p>
        </w:tc>
      </w:tr>
      <w:tr w:rsidR="00FB4D29" w14:paraId="4DC70B6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DD23DB"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7B55DE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交银施罗德持续成长主题混合型证券投资基金基金产品资料概要更新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3E03C7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7D4B85"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2021-06-24</w:t>
            </w:r>
          </w:p>
        </w:tc>
      </w:tr>
      <w:tr w:rsidR="00FB4D29" w14:paraId="2BD3DA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0E33D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3E7470D"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交银施罗德基金管理有限公司关于增加国联证券股份有限公司为旗下基金销售机构的公告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A9D7AF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682326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2021-06-29</w:t>
            </w:r>
          </w:p>
        </w:tc>
      </w:tr>
      <w:tr w:rsidR="00FB4D29" w14:paraId="2F856D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7A03F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8F69C4E"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7D72F2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537FA2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2021-07-16</w:t>
            </w:r>
          </w:p>
        </w:tc>
      </w:tr>
      <w:tr w:rsidR="00FB4D29" w14:paraId="240E03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C5FF6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2E48FC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交银施罗德持续成长主题混合型证券投资基金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56B9775"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9E5420"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2021-07-20</w:t>
            </w:r>
          </w:p>
        </w:tc>
      </w:tr>
      <w:tr w:rsidR="00FB4D29" w14:paraId="177AB4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A26DBB"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A586BF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交银施罗德基金管理有限公司关于警惕冒用公司名义进行诈骗活动的提示性公告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D328BB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726D309"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2021-07-27</w:t>
            </w:r>
          </w:p>
        </w:tc>
      </w:tr>
      <w:tr w:rsidR="00FB4D29" w14:paraId="565E49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76B63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A3A7B4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交银施罗德基金管理有限公司关于交银施罗德持续成长主题混合型证券投资基金暂停大额申购（转换转入、定期定额投资）的公告</w:t>
            </w:r>
          </w:p>
        </w:tc>
        <w:tc>
          <w:tcPr>
            <w:tcW w:w="750" w:type="pct"/>
            <w:tcBorders>
              <w:top w:val="single" w:sz="4" w:space="0" w:color="auto"/>
              <w:left w:val="single" w:sz="4" w:space="0" w:color="auto"/>
              <w:bottom w:val="single" w:sz="4" w:space="0" w:color="auto"/>
              <w:right w:val="single" w:sz="4" w:space="0" w:color="auto"/>
            </w:tcBorders>
            <w:vAlign w:val="center"/>
          </w:tcPr>
          <w:p w14:paraId="7099592B"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FEADC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2021-08-03</w:t>
            </w:r>
          </w:p>
        </w:tc>
      </w:tr>
      <w:tr w:rsidR="00FB4D29" w14:paraId="1478DC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3A27EE"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41ABBE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交银施罗德基金管理有限公司关于增加华宝证券有限责任公司为旗下基金销售机构的公告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0A6D8FE"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BDF66D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2021-08-19</w:t>
            </w:r>
          </w:p>
        </w:tc>
      </w:tr>
      <w:tr w:rsidR="00FB4D29" w14:paraId="21CDE0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9F0DC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FDF8AF1"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交银施罗德基金管理有限公司关于增加广发证券股份有限公司为旗下基金销售机构的公告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DE213B2"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1A6CD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2021-08-25</w:t>
            </w:r>
          </w:p>
        </w:tc>
      </w:tr>
      <w:tr w:rsidR="00FB4D29" w14:paraId="2EF132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320B2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04E2554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交银施罗德持续成长主题混合型证券投资基金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79EF09C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56972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2021-08-30</w:t>
            </w:r>
          </w:p>
        </w:tc>
      </w:tr>
      <w:tr w:rsidR="00FB4D29" w14:paraId="5B9FAA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2AF39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68D11185"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交银施罗德基金管理有限公司关于增加天风证券股份有限公司为旗下基金的销售机构的公告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79A17C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D8ED575"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2021-09-13</w:t>
            </w:r>
          </w:p>
        </w:tc>
      </w:tr>
      <w:tr w:rsidR="00FB4D29" w14:paraId="5E82B42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67031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65ED38D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交银施罗德基金管理有限公司关于增加国金证券股份有限公司为旗下基金销售机构的公告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8AA09C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E47408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2021-10-13</w:t>
            </w:r>
          </w:p>
        </w:tc>
      </w:tr>
      <w:tr w:rsidR="00FB4D29" w14:paraId="420CE7E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46692D"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33DCCD9"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4E87115"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446FAB6"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2021-10-13</w:t>
            </w:r>
          </w:p>
        </w:tc>
      </w:tr>
      <w:tr w:rsidR="00FB4D29" w14:paraId="4906DB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29E702"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568FF9E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交银施罗德持续成长主题混合型证券投资基金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C72623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B2EAF45"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2021-10-26</w:t>
            </w:r>
          </w:p>
        </w:tc>
      </w:tr>
      <w:tr w:rsidR="00FB4D29" w14:paraId="543C9A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1D046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F3F6792"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交银施罗德基金管理有限公司关于增加恒泰证券股份有限公司为旗下基金销售机构的公告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E7518B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41112C"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2021-11-05</w:t>
            </w:r>
          </w:p>
        </w:tc>
      </w:tr>
      <w:tr w:rsidR="00FB4D29" w14:paraId="1EF5D5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0A9D4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1641B17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交银施罗德基金管理有限公司关于调整旗下部分开放式基金转换业务规则的公告</w:t>
            </w:r>
          </w:p>
        </w:tc>
        <w:tc>
          <w:tcPr>
            <w:tcW w:w="750" w:type="pct"/>
            <w:tcBorders>
              <w:top w:val="single" w:sz="4" w:space="0" w:color="auto"/>
              <w:left w:val="single" w:sz="4" w:space="0" w:color="auto"/>
              <w:bottom w:val="single" w:sz="4" w:space="0" w:color="auto"/>
              <w:right w:val="single" w:sz="4" w:space="0" w:color="auto"/>
            </w:tcBorders>
            <w:vAlign w:val="center"/>
          </w:tcPr>
          <w:p w14:paraId="714142C5"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FAB7008"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2021-11-30</w:t>
            </w:r>
          </w:p>
        </w:tc>
      </w:tr>
      <w:tr w:rsidR="00FB4D29" w14:paraId="20BD0C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0B527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456721A1"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2081F02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3E62F9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FB4D29" w14:paraId="18114A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8E9CC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6D2142D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300E86C1"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85460C5"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FB4D29" w14:paraId="634C73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60D771"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2035EB7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交银施罗德基金管理有限公司关于增加中国光大银行股份有限公司为旗下部分基金的销售机构的公告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F96C67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64795D8"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2022-01-10</w:t>
            </w:r>
          </w:p>
        </w:tc>
      </w:tr>
      <w:tr w:rsidR="00FB4D29" w14:paraId="1B2220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F9101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1BEBC4A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交银施罗德基金管理有限公司关于增加方正中期期货有限公司为旗下基金销售机构的公告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EE3591D"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DE7458"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2022-01-14</w:t>
            </w:r>
          </w:p>
        </w:tc>
      </w:tr>
      <w:tr w:rsidR="00FB4D29" w14:paraId="27D879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41A70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7CB14CF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交银施罗德持续成长主题混合型证券投资基金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8E2C459"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E9366B7"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FB4D29" w14:paraId="2D3915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B0BFB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22</w:t>
            </w:r>
          </w:p>
        </w:tc>
        <w:tc>
          <w:tcPr>
            <w:tcW w:w="750" w:type="pct"/>
            <w:tcBorders>
              <w:top w:val="single" w:sz="4" w:space="0" w:color="auto"/>
              <w:left w:val="single" w:sz="4" w:space="0" w:color="auto"/>
              <w:bottom w:val="single" w:sz="4" w:space="0" w:color="auto"/>
              <w:right w:val="single" w:sz="4" w:space="0" w:color="auto"/>
            </w:tcBorders>
            <w:vAlign w:val="center"/>
          </w:tcPr>
          <w:p w14:paraId="35B7375B"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交银施罗德基金管理有限公司关于增加国泰君安证券股份有限公司为旗下基金的销售机构的公告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0D3652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DCE48F"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2022-01-28</w:t>
            </w:r>
          </w:p>
        </w:tc>
      </w:tr>
      <w:tr w:rsidR="00FB4D29" w14:paraId="3C6C96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05F06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38E46939"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2DA5865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21F0E18"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2022-01-29</w:t>
            </w:r>
          </w:p>
        </w:tc>
      </w:tr>
      <w:tr w:rsidR="00FB4D29" w14:paraId="5E3CCD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E1CF0D"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6DD0EF6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37C24E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A12CB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2022-02-17</w:t>
            </w:r>
          </w:p>
        </w:tc>
      </w:tr>
      <w:tr w:rsidR="00FB4D29" w14:paraId="06F49A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9EFF5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37B679EF"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交银施罗德基金管理有限公司关于旗下部分公开募集证券投资基金可投资北交所上市股票的风险提示性公告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6E708AAE"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E8532A3"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2022-03-15</w:t>
            </w:r>
          </w:p>
        </w:tc>
      </w:tr>
      <w:tr w:rsidR="00FB4D29" w14:paraId="144AAA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C930F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716832D1"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交银施罗德基金管理有限公司关于交银施罗德持续成长主题混合型证券投资基金恢复大额申购（转换转入、定期定额投资）业务的公告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5727A0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3C0535B"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FB4D29" w14:paraId="7F80616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841476"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5911AE82"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1660A18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422360E"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FB4D29" w14:paraId="20EAE3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2637C2"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04361148"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交银施罗德基金管理有限公司关于增加上海钜派钰茂基金销售有限公司为旗下基金销售机构的公告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94197C0"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4677B1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FB4D29" w14:paraId="4DD35BF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2B2DAA"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0983C9F9"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交银施罗德持续成长主题混合型证券投资基金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1FE808A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3A00B04"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FB4D29" w14:paraId="2501B6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7BDF75"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14:paraId="6B386557"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14:paraId="6D94B2A3"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C96171D"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2022-04-07</w:t>
            </w:r>
          </w:p>
        </w:tc>
      </w:tr>
      <w:tr w:rsidR="00FB4D29" w14:paraId="1ACD5B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B52745"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39B051A4"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交银施罗德持续成长主题混合型证券投资基金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C38D6AC" w14:textId="77777777" w:rsidR="00FB4D29" w:rsidRDefault="00CF459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B905302" w14:textId="77777777" w:rsidR="00FB4D29" w:rsidRDefault="00CF459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bl>
    <w:p w14:paraId="53366DA0" w14:textId="77777777" w:rsidR="00FB4D29" w:rsidRDefault="00FB4D29">
      <w:pPr>
        <w:autoSpaceDE w:val="0"/>
        <w:autoSpaceDN w:val="0"/>
        <w:adjustRightInd w:val="0"/>
        <w:snapToGrid w:val="0"/>
        <w:spacing w:line="360" w:lineRule="auto"/>
        <w:ind w:firstLineChars="200" w:firstLine="420"/>
        <w:jc w:val="left"/>
        <w:rPr>
          <w:rFonts w:ascii="宋体" w:hAnsi="宋体"/>
          <w:szCs w:val="24"/>
        </w:rPr>
      </w:pPr>
    </w:p>
    <w:p w14:paraId="0C282393"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486C16A2" w14:textId="232D32FA" w:rsidR="00FB4D29" w:rsidRDefault="00CF4592">
      <w:pPr>
        <w:pStyle w:val="1"/>
        <w:snapToGrid w:val="0"/>
        <w:spacing w:beforeLines="0" w:before="240" w:after="240"/>
        <w:rPr>
          <w:rFonts w:ascii="宋体" w:hAnsi="宋体"/>
          <w:szCs w:val="30"/>
        </w:rPr>
      </w:pPr>
      <w:r>
        <w:rPr>
          <w:rFonts w:ascii="宋体" w:hAnsi="宋体"/>
          <w:sz w:val="24"/>
        </w:rPr>
        <w:br w:type="page"/>
      </w:r>
      <w:bookmarkStart w:id="33" w:name="_Toc107476044"/>
      <w:r>
        <w:rPr>
          <w:rFonts w:ascii="Times New Roman" w:hAnsi="Times New Roman"/>
          <w:sz w:val="30"/>
        </w:rPr>
        <w:lastRenderedPageBreak/>
        <w:t>二十</w:t>
      </w:r>
      <w:r w:rsidR="00B37E6F">
        <w:rPr>
          <w:rFonts w:ascii="Times New Roman" w:hAnsi="Times New Roman" w:hint="eastAsia"/>
          <w:sz w:val="30"/>
        </w:rPr>
        <w:t>五</w:t>
      </w:r>
      <w:r>
        <w:rPr>
          <w:rFonts w:ascii="Times New Roman" w:hAnsi="Times New Roman"/>
          <w:sz w:val="30"/>
        </w:rPr>
        <w:t>、招募说明书的存放及查阅方式</w:t>
      </w:r>
      <w:bookmarkEnd w:id="33"/>
    </w:p>
    <w:p w14:paraId="75AD152C"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0C122E67"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2E776136" w14:textId="77777777" w:rsidR="00AF2A34" w:rsidRDefault="00AF2A34" w:rsidP="00AF2A34">
      <w:pPr>
        <w:autoSpaceDE w:val="0"/>
        <w:autoSpaceDN w:val="0"/>
        <w:adjustRightInd w:val="0"/>
        <w:spacing w:line="360" w:lineRule="auto"/>
        <w:ind w:firstLineChars="200" w:firstLine="420"/>
        <w:rPr>
          <w:rFonts w:ascii="宋体" w:hAnsi="宋体"/>
          <w:szCs w:val="24"/>
        </w:rPr>
      </w:pPr>
    </w:p>
    <w:p w14:paraId="5793332D" w14:textId="55352181" w:rsidR="00FB4D29" w:rsidRDefault="00CF4592">
      <w:pPr>
        <w:pStyle w:val="1"/>
        <w:snapToGrid w:val="0"/>
        <w:spacing w:beforeLines="0" w:before="240" w:after="240"/>
        <w:rPr>
          <w:rFonts w:ascii="宋体" w:hAnsi="宋体"/>
          <w:szCs w:val="30"/>
        </w:rPr>
      </w:pPr>
      <w:r>
        <w:rPr>
          <w:rFonts w:ascii="宋体" w:hAnsi="宋体"/>
          <w:sz w:val="24"/>
        </w:rPr>
        <w:br w:type="page"/>
      </w:r>
      <w:bookmarkStart w:id="34" w:name="_Toc107476045"/>
      <w:r>
        <w:rPr>
          <w:rFonts w:ascii="Times New Roman" w:hAnsi="Times New Roman"/>
          <w:sz w:val="30"/>
        </w:rPr>
        <w:lastRenderedPageBreak/>
        <w:t>二十</w:t>
      </w:r>
      <w:r w:rsidR="00B37E6F">
        <w:rPr>
          <w:rFonts w:ascii="Times New Roman" w:hAnsi="Times New Roman" w:hint="eastAsia"/>
          <w:sz w:val="30"/>
        </w:rPr>
        <w:t>六</w:t>
      </w:r>
      <w:r>
        <w:rPr>
          <w:rFonts w:ascii="Times New Roman" w:hAnsi="Times New Roman"/>
          <w:sz w:val="30"/>
        </w:rPr>
        <w:t>、备查文件</w:t>
      </w:r>
      <w:bookmarkEnd w:id="34"/>
    </w:p>
    <w:p w14:paraId="451F263B" w14:textId="7777777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421F39F3" w14:textId="77777777" w:rsidR="003C161A" w:rsidRDefault="00CF459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（一）中国证监会准予交银施罗德持续成长主题混合型证券投资基金募集注册的文件</w:t>
      </w:r>
    </w:p>
    <w:p w14:paraId="570A79F4" w14:textId="26FB1B3E" w:rsidR="00FB4D29" w:rsidRDefault="003C161A">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（二）</w:t>
      </w:r>
      <w:r w:rsidR="00C05885" w:rsidRPr="00C05885">
        <w:rPr>
          <w:rFonts w:ascii="宋体" w:hAnsi="宋体"/>
          <w:sz w:val="24"/>
        </w:rPr>
        <w:t>中国证监会准予交银施罗德</w:t>
      </w:r>
      <w:r w:rsidR="00C05885">
        <w:rPr>
          <w:rFonts w:ascii="宋体" w:hAnsi="宋体"/>
          <w:sz w:val="24"/>
        </w:rPr>
        <w:t>持续成长主题混合型</w:t>
      </w:r>
      <w:r w:rsidR="00C05885" w:rsidRPr="00C05885">
        <w:rPr>
          <w:rFonts w:ascii="宋体" w:hAnsi="宋体"/>
          <w:sz w:val="24"/>
        </w:rPr>
        <w:t>证券投资基金变更注册</w:t>
      </w:r>
      <w:r w:rsidR="00C05885">
        <w:rPr>
          <w:rFonts w:ascii="宋体" w:hAnsi="宋体" w:hint="eastAsia"/>
          <w:sz w:val="24"/>
        </w:rPr>
        <w:t>的文件</w:t>
      </w:r>
    </w:p>
    <w:p w14:paraId="47F55B49" w14:textId="0A50E8A7"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3C161A">
        <w:rPr>
          <w:rFonts w:ascii="宋体" w:hAnsi="宋体" w:hint="eastAsia"/>
          <w:sz w:val="24"/>
        </w:rPr>
        <w:t>三</w:t>
      </w:r>
      <w:r>
        <w:rPr>
          <w:rFonts w:ascii="宋体" w:hAnsi="宋体"/>
          <w:sz w:val="24"/>
        </w:rPr>
        <w:t>）《交银施罗德持续成长主题混合型证券投资基金基金合同》</w:t>
      </w:r>
    </w:p>
    <w:p w14:paraId="2ABBCA99" w14:textId="5CF9FAF3"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3C161A">
        <w:rPr>
          <w:rFonts w:ascii="宋体" w:hAnsi="宋体" w:hint="eastAsia"/>
          <w:sz w:val="24"/>
        </w:rPr>
        <w:t>四</w:t>
      </w:r>
      <w:r>
        <w:rPr>
          <w:rFonts w:ascii="宋体" w:hAnsi="宋体"/>
          <w:sz w:val="24"/>
        </w:rPr>
        <w:t>）《交银施罗德持续成长主题混合型证券投资基金托管协议》</w:t>
      </w:r>
    </w:p>
    <w:p w14:paraId="01582993" w14:textId="7D1D2386"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3C161A">
        <w:rPr>
          <w:rFonts w:ascii="宋体" w:hAnsi="宋体" w:hint="eastAsia"/>
          <w:sz w:val="24"/>
        </w:rPr>
        <w:t>五</w:t>
      </w:r>
      <w:r>
        <w:rPr>
          <w:rFonts w:ascii="宋体" w:hAnsi="宋体"/>
          <w:sz w:val="24"/>
        </w:rPr>
        <w:t>）基金管理人业务资格批件、营业执照</w:t>
      </w:r>
    </w:p>
    <w:p w14:paraId="2E3FA5A6" w14:textId="61E8D76B"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3C161A">
        <w:rPr>
          <w:rFonts w:ascii="宋体" w:hAnsi="宋体" w:hint="eastAsia"/>
          <w:sz w:val="24"/>
        </w:rPr>
        <w:t>六</w:t>
      </w:r>
      <w:r>
        <w:rPr>
          <w:rFonts w:ascii="宋体" w:hAnsi="宋体"/>
          <w:sz w:val="24"/>
        </w:rPr>
        <w:t>）基金托管人业务资格批件、营业执照</w:t>
      </w:r>
    </w:p>
    <w:p w14:paraId="5AC2A274" w14:textId="721F0E59" w:rsidR="00FB4D29" w:rsidRDefault="00CF459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3C161A">
        <w:rPr>
          <w:rFonts w:ascii="宋体" w:hAnsi="宋体" w:hint="eastAsia"/>
          <w:sz w:val="24"/>
        </w:rPr>
        <w:t>七</w:t>
      </w:r>
      <w:r>
        <w:rPr>
          <w:rFonts w:ascii="宋体" w:hAnsi="宋体"/>
          <w:sz w:val="24"/>
        </w:rPr>
        <w:t>）法律意见书</w:t>
      </w:r>
    </w:p>
    <w:sectPr w:rsidR="00FB4D29">
      <w:footerReference w:type="default" r:id="rId16"/>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F209A" w16cid:durableId="266F1C5D"/>
  <w16cid:commentId w16cid:paraId="77C45F95" w16cid:durableId="266F1C5E"/>
  <w16cid:commentId w16cid:paraId="6DA43F5E" w16cid:durableId="265B6874"/>
  <w16cid:commentId w16cid:paraId="4E518D67" w16cid:durableId="266F1C60"/>
  <w16cid:commentId w16cid:paraId="0FA5AA6B" w16cid:durableId="265C1529"/>
  <w16cid:commentId w16cid:paraId="7046E431" w16cid:durableId="265B5C24"/>
  <w16cid:commentId w16cid:paraId="314CBB81" w16cid:durableId="265B6C4C"/>
  <w16cid:commentId w16cid:paraId="550AE020" w16cid:durableId="266F1C64"/>
  <w16cid:commentId w16cid:paraId="08AE5F76" w16cid:durableId="266F1C65"/>
  <w16cid:commentId w16cid:paraId="7A85863E" w16cid:durableId="266F1C66"/>
  <w16cid:commentId w16cid:paraId="6169C6E8" w16cid:durableId="266F1C67"/>
  <w16cid:commentId w16cid:paraId="3E3C3625" w16cid:durableId="266F1C68"/>
  <w16cid:commentId w16cid:paraId="17A794DA" w16cid:durableId="266F1C69"/>
  <w16cid:commentId w16cid:paraId="3E1F1DC0" w16cid:durableId="266F1FAB"/>
  <w16cid:commentId w16cid:paraId="2FC6700B" w16cid:durableId="266F1C6A"/>
  <w16cid:commentId w16cid:paraId="00C89808" w16cid:durableId="265B7523"/>
  <w16cid:commentId w16cid:paraId="5268262D" w16cid:durableId="266F1C6C"/>
  <w16cid:commentId w16cid:paraId="533E1B0F" w16cid:durableId="266F1C6D"/>
  <w16cid:commentId w16cid:paraId="3BB20A40" w16cid:durableId="266F1C6E"/>
  <w16cid:commentId w16cid:paraId="77C952E1" w16cid:durableId="266F1C6F"/>
  <w16cid:commentId w16cid:paraId="2566A71E" w16cid:durableId="266F1C70"/>
  <w16cid:commentId w16cid:paraId="6B491204" w16cid:durableId="266F1C71"/>
  <w16cid:commentId w16cid:paraId="3A0B8498" w16cid:durableId="266F1C72"/>
  <w16cid:commentId w16cid:paraId="35A432D3" w16cid:durableId="266F1C73"/>
  <w16cid:commentId w16cid:paraId="68A76F6F" w16cid:durableId="265B7D59"/>
  <w16cid:commentId w16cid:paraId="77EE1378" w16cid:durableId="266F1C75"/>
  <w16cid:commentId w16cid:paraId="4788EF78" w16cid:durableId="266F1C76"/>
  <w16cid:commentId w16cid:paraId="06C01FC4" w16cid:durableId="266F1C77"/>
  <w16cid:commentId w16cid:paraId="130DC84D" w16cid:durableId="266F1C78"/>
  <w16cid:commentId w16cid:paraId="1BA0C8C3" w16cid:durableId="266F1C79"/>
  <w16cid:commentId w16cid:paraId="22B4B500" w16cid:durableId="265C1682"/>
  <w16cid:commentId w16cid:paraId="3557F506" w16cid:durableId="266F1C7B"/>
  <w16cid:commentId w16cid:paraId="114198C5" w16cid:durableId="266F1C7C"/>
  <w16cid:commentId w16cid:paraId="13361A25" w16cid:durableId="266F1C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5798D" w14:textId="77777777" w:rsidR="008F5ECA" w:rsidRDefault="008F5ECA">
      <w:r>
        <w:separator/>
      </w:r>
    </w:p>
  </w:endnote>
  <w:endnote w:type="continuationSeparator" w:id="0">
    <w:p w14:paraId="57B30B59" w14:textId="77777777" w:rsidR="008F5ECA" w:rsidRDefault="008F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0C8B" w14:textId="729ABC5A" w:rsidR="007E4247" w:rsidRDefault="007E4247">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615FB50C" wp14:editId="7F3A173F">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1B514" w14:textId="19950660" w:rsidR="007E4247" w:rsidRDefault="007E424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C1FF7">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FB50C"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2AA1B514" w14:textId="19950660" w:rsidR="007E4247" w:rsidRDefault="007E424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C1FF7">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9635" w14:textId="4C16BA0D" w:rsidR="007E4247" w:rsidRDefault="007E4247">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7FFD11D2" wp14:editId="42AB98EE">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86BEF" w14:textId="38AA73B5" w:rsidR="007E4247" w:rsidRDefault="007E424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C1FF7">
                            <w:rPr>
                              <w:rFonts w:ascii="Times New Roman" w:hAnsi="Times New Roman"/>
                              <w:noProof/>
                              <w:kern w:val="0"/>
                              <w:sz w:val="18"/>
                              <w:szCs w:val="18"/>
                            </w:rPr>
                            <w:t>53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D11D2"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2E286BEF" w14:textId="38AA73B5" w:rsidR="007E4247" w:rsidRDefault="007E424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C1FF7">
                      <w:rPr>
                        <w:rFonts w:ascii="Times New Roman" w:hAnsi="Times New Roman"/>
                        <w:noProof/>
                        <w:kern w:val="0"/>
                        <w:sz w:val="18"/>
                        <w:szCs w:val="18"/>
                      </w:rPr>
                      <w:t>53</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63CD" w14:textId="77777777" w:rsidR="008F5ECA" w:rsidRDefault="008F5ECA">
      <w:r>
        <w:separator/>
      </w:r>
    </w:p>
  </w:footnote>
  <w:footnote w:type="continuationSeparator" w:id="0">
    <w:p w14:paraId="652BF41F" w14:textId="77777777" w:rsidR="008F5ECA" w:rsidRDefault="008F5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625B" w14:textId="59380F84" w:rsidR="007E4247" w:rsidRDefault="007E4247">
    <w:pPr>
      <w:pStyle w:val="a3"/>
      <w:jc w:val="right"/>
    </w:pPr>
    <w:r>
      <w:rPr>
        <w:noProof/>
      </w:rPr>
      <w:drawing>
        <wp:anchor distT="0" distB="0" distL="114300" distR="114300" simplePos="0" relativeHeight="251655680" behindDoc="0" locked="0" layoutInCell="1" allowOverlap="1" wp14:anchorId="784F26B9" wp14:editId="30D43D15">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DCC1313" w14:textId="77777777" w:rsidR="007E4247" w:rsidRDefault="007E4247">
    <w:pPr>
      <w:pStyle w:val="a3"/>
      <w:jc w:val="right"/>
      <w:rPr>
        <w:rFonts w:ascii="宋体" w:hAnsi="宋体"/>
      </w:rPr>
    </w:pPr>
    <w:r>
      <w:rPr>
        <w:rFonts w:ascii="宋体" w:hAnsi="宋体" w:hint="eastAsia"/>
      </w:rPr>
      <w:t>交银施罗德持续成长主题混合型证券投资基金(更新)招募说明书(2022年第1号)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B9411" w14:textId="77777777" w:rsidR="007E4247" w:rsidRDefault="007E4247">
    <w:pPr>
      <w:pStyle w:val="11"/>
      <w:jc w:val="right"/>
    </w:pPr>
  </w:p>
  <w:p w14:paraId="624C41FD" w14:textId="77777777" w:rsidR="007E4247" w:rsidRDefault="007E4247">
    <w:pPr>
      <w:pStyle w:val="11"/>
      <w:jc w:val="right"/>
    </w:pPr>
  </w:p>
  <w:p w14:paraId="228C83BE" w14:textId="77777777" w:rsidR="007E4247" w:rsidRDefault="007E4247">
    <w:pPr>
      <w:pStyle w:val="a3"/>
      <w:jc w:val="right"/>
    </w:pPr>
  </w:p>
  <w:p w14:paraId="03A6DB08" w14:textId="4009D4DD" w:rsidR="007E4247" w:rsidRDefault="007E4247">
    <w:pPr>
      <w:pStyle w:val="a3"/>
      <w:jc w:val="right"/>
    </w:pPr>
    <w:r>
      <w:rPr>
        <w:noProof/>
      </w:rPr>
      <w:drawing>
        <wp:anchor distT="0" distB="0" distL="114300" distR="114300" simplePos="0" relativeHeight="251656704" behindDoc="0" locked="0" layoutInCell="1" allowOverlap="1" wp14:anchorId="4B0DE51E" wp14:editId="5A02FF52">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32D6E91" w14:textId="1A6623D7" w:rsidR="007E4247" w:rsidRDefault="007E4247">
    <w:pPr>
      <w:pStyle w:val="a3"/>
      <w:jc w:val="right"/>
      <w:rPr>
        <w:rFonts w:ascii="宋体" w:hAnsi="宋体"/>
      </w:rPr>
    </w:pPr>
    <w:r>
      <w:rPr>
        <w:rFonts w:ascii="宋体" w:hAnsi="宋体" w:hint="eastAsia"/>
      </w:rPr>
      <w:t>交银施罗德持续成长主题混合型证券投资基金(更新)招募说明书(</w:t>
    </w:r>
    <w:r w:rsidR="00F71F93">
      <w:rPr>
        <w:rFonts w:ascii="宋体" w:hAnsi="宋体" w:hint="eastAsia"/>
      </w:rPr>
      <w:t>202</w:t>
    </w:r>
    <w:r w:rsidR="00F71F93">
      <w:rPr>
        <w:rFonts w:ascii="宋体" w:hAnsi="宋体"/>
      </w:rPr>
      <w:t>3</w:t>
    </w:r>
    <w:r>
      <w:rPr>
        <w:rFonts w:ascii="宋体" w:hAnsi="宋体" w:hint="eastAsia"/>
      </w:rPr>
      <w:t>年第</w:t>
    </w:r>
    <w:r w:rsidR="00F71F93">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4C2DE" w14:textId="77777777" w:rsidR="007E4247" w:rsidRDefault="007E4247">
    <w:pPr>
      <w:pStyle w:val="a3"/>
      <w:jc w:val="right"/>
    </w:pPr>
  </w:p>
  <w:p w14:paraId="6B74A406" w14:textId="77777777" w:rsidR="007E4247" w:rsidRDefault="007E4247">
    <w:pPr>
      <w:pStyle w:val="a3"/>
      <w:jc w:val="right"/>
    </w:pPr>
  </w:p>
  <w:p w14:paraId="74C5712A" w14:textId="77777777" w:rsidR="007E4247" w:rsidRDefault="007E4247">
    <w:pPr>
      <w:pStyle w:val="a3"/>
      <w:jc w:val="right"/>
    </w:pPr>
  </w:p>
  <w:p w14:paraId="5593432E" w14:textId="0E10BCD8" w:rsidR="007E4247" w:rsidRDefault="007E4247">
    <w:pPr>
      <w:pStyle w:val="a3"/>
      <w:jc w:val="right"/>
    </w:pPr>
    <w:r>
      <w:rPr>
        <w:noProof/>
      </w:rPr>
      <w:drawing>
        <wp:anchor distT="0" distB="0" distL="114300" distR="114300" simplePos="0" relativeHeight="251657728" behindDoc="0" locked="0" layoutInCell="1" allowOverlap="1" wp14:anchorId="2EB94592" wp14:editId="05EDC7A5">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D851D59" w14:textId="64DD7A1C" w:rsidR="007E4247" w:rsidRDefault="007E4247">
    <w:pPr>
      <w:pStyle w:val="a3"/>
      <w:jc w:val="right"/>
      <w:rPr>
        <w:rFonts w:ascii="宋体" w:hAnsi="宋体"/>
      </w:rPr>
    </w:pPr>
    <w:r>
      <w:rPr>
        <w:rFonts w:ascii="宋体" w:hAnsi="宋体" w:hint="eastAsia"/>
      </w:rPr>
      <w:t>交银施罗德持续成长主题混合型证券投资基金(更新)招募说明书(202</w:t>
    </w:r>
    <w:r w:rsidR="008A7725">
      <w:rPr>
        <w:rFonts w:ascii="宋体" w:hAnsi="宋体"/>
      </w:rPr>
      <w:t>3</w:t>
    </w:r>
    <w:r>
      <w:rPr>
        <w:rFonts w:ascii="宋体" w:hAnsi="宋体" w:hint="eastAsia"/>
      </w:rPr>
      <w:t>年第</w:t>
    </w:r>
    <w:r w:rsidR="008A7725">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AEE"/>
    <w:rsid w:val="00001EEA"/>
    <w:rsid w:val="00003BB0"/>
    <w:rsid w:val="00003EC9"/>
    <w:rsid w:val="000040E5"/>
    <w:rsid w:val="0000560A"/>
    <w:rsid w:val="00010869"/>
    <w:rsid w:val="0001266E"/>
    <w:rsid w:val="000138C9"/>
    <w:rsid w:val="0001482D"/>
    <w:rsid w:val="00021E9F"/>
    <w:rsid w:val="00022220"/>
    <w:rsid w:val="000259C5"/>
    <w:rsid w:val="00026A29"/>
    <w:rsid w:val="00026D00"/>
    <w:rsid w:val="00026E5B"/>
    <w:rsid w:val="00026FB4"/>
    <w:rsid w:val="00027C73"/>
    <w:rsid w:val="000301A0"/>
    <w:rsid w:val="00030964"/>
    <w:rsid w:val="00030F3E"/>
    <w:rsid w:val="00030F4C"/>
    <w:rsid w:val="00034C25"/>
    <w:rsid w:val="00036509"/>
    <w:rsid w:val="000368A2"/>
    <w:rsid w:val="00043E0C"/>
    <w:rsid w:val="00044AFD"/>
    <w:rsid w:val="00044E2C"/>
    <w:rsid w:val="000457B7"/>
    <w:rsid w:val="0004614E"/>
    <w:rsid w:val="00046212"/>
    <w:rsid w:val="000500B8"/>
    <w:rsid w:val="000506ED"/>
    <w:rsid w:val="000514E0"/>
    <w:rsid w:val="00053F81"/>
    <w:rsid w:val="000543D5"/>
    <w:rsid w:val="00054CE0"/>
    <w:rsid w:val="00055792"/>
    <w:rsid w:val="00055958"/>
    <w:rsid w:val="00055F52"/>
    <w:rsid w:val="00057C09"/>
    <w:rsid w:val="00061C0D"/>
    <w:rsid w:val="0006212F"/>
    <w:rsid w:val="0006220F"/>
    <w:rsid w:val="000647B8"/>
    <w:rsid w:val="0006506B"/>
    <w:rsid w:val="0006551A"/>
    <w:rsid w:val="000700AC"/>
    <w:rsid w:val="000705A6"/>
    <w:rsid w:val="00071AA4"/>
    <w:rsid w:val="0007638A"/>
    <w:rsid w:val="00076B6E"/>
    <w:rsid w:val="0007750B"/>
    <w:rsid w:val="000816EA"/>
    <w:rsid w:val="00081744"/>
    <w:rsid w:val="000827F7"/>
    <w:rsid w:val="000828CE"/>
    <w:rsid w:val="000833CB"/>
    <w:rsid w:val="00083491"/>
    <w:rsid w:val="00084078"/>
    <w:rsid w:val="000843B3"/>
    <w:rsid w:val="000855C1"/>
    <w:rsid w:val="000869C2"/>
    <w:rsid w:val="00087F4C"/>
    <w:rsid w:val="00090648"/>
    <w:rsid w:val="00094253"/>
    <w:rsid w:val="00095030"/>
    <w:rsid w:val="000975FA"/>
    <w:rsid w:val="000A01A0"/>
    <w:rsid w:val="000A352B"/>
    <w:rsid w:val="000B0F8B"/>
    <w:rsid w:val="000B359E"/>
    <w:rsid w:val="000B3894"/>
    <w:rsid w:val="000B3A9F"/>
    <w:rsid w:val="000B4E04"/>
    <w:rsid w:val="000C1E1E"/>
    <w:rsid w:val="000C38F1"/>
    <w:rsid w:val="000C5E77"/>
    <w:rsid w:val="000C68E9"/>
    <w:rsid w:val="000D0ADE"/>
    <w:rsid w:val="000D179E"/>
    <w:rsid w:val="000D66DC"/>
    <w:rsid w:val="000D770A"/>
    <w:rsid w:val="000E1F3B"/>
    <w:rsid w:val="000E2B98"/>
    <w:rsid w:val="000E3AB4"/>
    <w:rsid w:val="000E4EEC"/>
    <w:rsid w:val="000E7544"/>
    <w:rsid w:val="000F0C17"/>
    <w:rsid w:val="000F2904"/>
    <w:rsid w:val="000F34A1"/>
    <w:rsid w:val="000F5226"/>
    <w:rsid w:val="000F5583"/>
    <w:rsid w:val="000F6050"/>
    <w:rsid w:val="000F66FF"/>
    <w:rsid w:val="000F698D"/>
    <w:rsid w:val="000F7D42"/>
    <w:rsid w:val="001008A5"/>
    <w:rsid w:val="00100C86"/>
    <w:rsid w:val="0010577A"/>
    <w:rsid w:val="00105925"/>
    <w:rsid w:val="001110CB"/>
    <w:rsid w:val="00111A09"/>
    <w:rsid w:val="0011339C"/>
    <w:rsid w:val="001134DC"/>
    <w:rsid w:val="001135B0"/>
    <w:rsid w:val="001135C6"/>
    <w:rsid w:val="00113FAA"/>
    <w:rsid w:val="00114F56"/>
    <w:rsid w:val="00115AE5"/>
    <w:rsid w:val="00116489"/>
    <w:rsid w:val="0011648B"/>
    <w:rsid w:val="001166C1"/>
    <w:rsid w:val="00116874"/>
    <w:rsid w:val="001177A3"/>
    <w:rsid w:val="00123221"/>
    <w:rsid w:val="001240EB"/>
    <w:rsid w:val="0012443D"/>
    <w:rsid w:val="00125E1E"/>
    <w:rsid w:val="00127053"/>
    <w:rsid w:val="0013182D"/>
    <w:rsid w:val="00131CEE"/>
    <w:rsid w:val="0013315B"/>
    <w:rsid w:val="00134FCF"/>
    <w:rsid w:val="00135AD8"/>
    <w:rsid w:val="0013630D"/>
    <w:rsid w:val="001367F2"/>
    <w:rsid w:val="001401E3"/>
    <w:rsid w:val="001412E8"/>
    <w:rsid w:val="0014250F"/>
    <w:rsid w:val="00144B52"/>
    <w:rsid w:val="00153D66"/>
    <w:rsid w:val="0015725E"/>
    <w:rsid w:val="00162F69"/>
    <w:rsid w:val="00164946"/>
    <w:rsid w:val="00164D3F"/>
    <w:rsid w:val="00165756"/>
    <w:rsid w:val="00167A59"/>
    <w:rsid w:val="0017051B"/>
    <w:rsid w:val="00170932"/>
    <w:rsid w:val="0017362C"/>
    <w:rsid w:val="0017392F"/>
    <w:rsid w:val="00173F7A"/>
    <w:rsid w:val="0018184C"/>
    <w:rsid w:val="0018198F"/>
    <w:rsid w:val="00181C62"/>
    <w:rsid w:val="00182ADA"/>
    <w:rsid w:val="00183642"/>
    <w:rsid w:val="001860C4"/>
    <w:rsid w:val="00186FAE"/>
    <w:rsid w:val="001907A7"/>
    <w:rsid w:val="001917D4"/>
    <w:rsid w:val="001917FC"/>
    <w:rsid w:val="00191D7F"/>
    <w:rsid w:val="001925A2"/>
    <w:rsid w:val="00192A5C"/>
    <w:rsid w:val="00195218"/>
    <w:rsid w:val="001971C7"/>
    <w:rsid w:val="0019797F"/>
    <w:rsid w:val="00197A55"/>
    <w:rsid w:val="00197F7E"/>
    <w:rsid w:val="001A1623"/>
    <w:rsid w:val="001A2263"/>
    <w:rsid w:val="001A33D5"/>
    <w:rsid w:val="001A4EE9"/>
    <w:rsid w:val="001A6B51"/>
    <w:rsid w:val="001A71B0"/>
    <w:rsid w:val="001A7545"/>
    <w:rsid w:val="001B4531"/>
    <w:rsid w:val="001B460E"/>
    <w:rsid w:val="001B5BDB"/>
    <w:rsid w:val="001B626D"/>
    <w:rsid w:val="001B75F9"/>
    <w:rsid w:val="001B7DAD"/>
    <w:rsid w:val="001C019A"/>
    <w:rsid w:val="001C2B9E"/>
    <w:rsid w:val="001C38DA"/>
    <w:rsid w:val="001C7A48"/>
    <w:rsid w:val="001C7C12"/>
    <w:rsid w:val="001D072A"/>
    <w:rsid w:val="001D080E"/>
    <w:rsid w:val="001D0AE1"/>
    <w:rsid w:val="001D2797"/>
    <w:rsid w:val="001D2B67"/>
    <w:rsid w:val="001D3730"/>
    <w:rsid w:val="001D4727"/>
    <w:rsid w:val="001D5461"/>
    <w:rsid w:val="001D5665"/>
    <w:rsid w:val="001D61DC"/>
    <w:rsid w:val="001D6377"/>
    <w:rsid w:val="001D68A8"/>
    <w:rsid w:val="001D6B88"/>
    <w:rsid w:val="001D6C5F"/>
    <w:rsid w:val="001D7ECC"/>
    <w:rsid w:val="001E144C"/>
    <w:rsid w:val="001E25FD"/>
    <w:rsid w:val="001E2A4F"/>
    <w:rsid w:val="001E3F8F"/>
    <w:rsid w:val="001E5250"/>
    <w:rsid w:val="001E556E"/>
    <w:rsid w:val="001E631D"/>
    <w:rsid w:val="001E6A50"/>
    <w:rsid w:val="001F1B38"/>
    <w:rsid w:val="001F33EB"/>
    <w:rsid w:val="001F3E2C"/>
    <w:rsid w:val="001F4DEA"/>
    <w:rsid w:val="001F4ECB"/>
    <w:rsid w:val="001F6BA1"/>
    <w:rsid w:val="001F7353"/>
    <w:rsid w:val="00201F27"/>
    <w:rsid w:val="00201F9B"/>
    <w:rsid w:val="00203597"/>
    <w:rsid w:val="002076AC"/>
    <w:rsid w:val="0021033E"/>
    <w:rsid w:val="00212B27"/>
    <w:rsid w:val="00212BBA"/>
    <w:rsid w:val="0021469C"/>
    <w:rsid w:val="00214896"/>
    <w:rsid w:val="00215523"/>
    <w:rsid w:val="00216962"/>
    <w:rsid w:val="0021799E"/>
    <w:rsid w:val="00217CA4"/>
    <w:rsid w:val="00221112"/>
    <w:rsid w:val="00221A1B"/>
    <w:rsid w:val="002220A4"/>
    <w:rsid w:val="002239F0"/>
    <w:rsid w:val="00223C19"/>
    <w:rsid w:val="00224421"/>
    <w:rsid w:val="00226503"/>
    <w:rsid w:val="00226A60"/>
    <w:rsid w:val="0023578C"/>
    <w:rsid w:val="00235AC5"/>
    <w:rsid w:val="002361EE"/>
    <w:rsid w:val="002377E0"/>
    <w:rsid w:val="00240BB6"/>
    <w:rsid w:val="0024328E"/>
    <w:rsid w:val="002432CA"/>
    <w:rsid w:val="00243D40"/>
    <w:rsid w:val="00244C56"/>
    <w:rsid w:val="00245250"/>
    <w:rsid w:val="002477CB"/>
    <w:rsid w:val="00247BF6"/>
    <w:rsid w:val="0025039B"/>
    <w:rsid w:val="002506D7"/>
    <w:rsid w:val="00250A33"/>
    <w:rsid w:val="00251126"/>
    <w:rsid w:val="002524D2"/>
    <w:rsid w:val="00252802"/>
    <w:rsid w:val="00261A50"/>
    <w:rsid w:val="00261B9D"/>
    <w:rsid w:val="00262A43"/>
    <w:rsid w:val="002634C3"/>
    <w:rsid w:val="00265B3A"/>
    <w:rsid w:val="0027052E"/>
    <w:rsid w:val="00271E9D"/>
    <w:rsid w:val="00271F7D"/>
    <w:rsid w:val="00274E85"/>
    <w:rsid w:val="00276A31"/>
    <w:rsid w:val="002777F6"/>
    <w:rsid w:val="00277907"/>
    <w:rsid w:val="00280C42"/>
    <w:rsid w:val="00281B73"/>
    <w:rsid w:val="002833C9"/>
    <w:rsid w:val="00285E5C"/>
    <w:rsid w:val="002861D7"/>
    <w:rsid w:val="00290B63"/>
    <w:rsid w:val="00290E73"/>
    <w:rsid w:val="00293415"/>
    <w:rsid w:val="00294689"/>
    <w:rsid w:val="0029539A"/>
    <w:rsid w:val="00296AB6"/>
    <w:rsid w:val="00296C6C"/>
    <w:rsid w:val="002A0D02"/>
    <w:rsid w:val="002A1150"/>
    <w:rsid w:val="002A1A82"/>
    <w:rsid w:val="002A2FB0"/>
    <w:rsid w:val="002A3FA9"/>
    <w:rsid w:val="002A4D32"/>
    <w:rsid w:val="002A5F87"/>
    <w:rsid w:val="002B017B"/>
    <w:rsid w:val="002B0DC0"/>
    <w:rsid w:val="002B2664"/>
    <w:rsid w:val="002B2729"/>
    <w:rsid w:val="002B4E21"/>
    <w:rsid w:val="002B5000"/>
    <w:rsid w:val="002B78AA"/>
    <w:rsid w:val="002B7FB0"/>
    <w:rsid w:val="002C1FF7"/>
    <w:rsid w:val="002C383C"/>
    <w:rsid w:val="002D15BB"/>
    <w:rsid w:val="002D1C13"/>
    <w:rsid w:val="002D3109"/>
    <w:rsid w:val="002D330D"/>
    <w:rsid w:val="002D378C"/>
    <w:rsid w:val="002D6413"/>
    <w:rsid w:val="002D6F14"/>
    <w:rsid w:val="002D74D5"/>
    <w:rsid w:val="002E051E"/>
    <w:rsid w:val="002E074F"/>
    <w:rsid w:val="002E4379"/>
    <w:rsid w:val="002E4922"/>
    <w:rsid w:val="002E4B2C"/>
    <w:rsid w:val="002E5261"/>
    <w:rsid w:val="002F00BB"/>
    <w:rsid w:val="002F1DE7"/>
    <w:rsid w:val="002F2627"/>
    <w:rsid w:val="002F2748"/>
    <w:rsid w:val="002F6445"/>
    <w:rsid w:val="002F6580"/>
    <w:rsid w:val="002F6DE8"/>
    <w:rsid w:val="002F74D8"/>
    <w:rsid w:val="002F7C72"/>
    <w:rsid w:val="002F7EDC"/>
    <w:rsid w:val="002F7FD2"/>
    <w:rsid w:val="00300148"/>
    <w:rsid w:val="003003A8"/>
    <w:rsid w:val="0030091B"/>
    <w:rsid w:val="00301B0D"/>
    <w:rsid w:val="00301E62"/>
    <w:rsid w:val="00302A4E"/>
    <w:rsid w:val="00304063"/>
    <w:rsid w:val="0030555F"/>
    <w:rsid w:val="00305A3B"/>
    <w:rsid w:val="00305BB4"/>
    <w:rsid w:val="00305CD4"/>
    <w:rsid w:val="0030645F"/>
    <w:rsid w:val="003065AF"/>
    <w:rsid w:val="003117B9"/>
    <w:rsid w:val="00311C71"/>
    <w:rsid w:val="00311C95"/>
    <w:rsid w:val="00313073"/>
    <w:rsid w:val="0031336C"/>
    <w:rsid w:val="0031339F"/>
    <w:rsid w:val="00313F3E"/>
    <w:rsid w:val="00315DA0"/>
    <w:rsid w:val="00323F65"/>
    <w:rsid w:val="003246BF"/>
    <w:rsid w:val="00326147"/>
    <w:rsid w:val="0033051E"/>
    <w:rsid w:val="0033345F"/>
    <w:rsid w:val="0033401D"/>
    <w:rsid w:val="00334456"/>
    <w:rsid w:val="00335388"/>
    <w:rsid w:val="00336150"/>
    <w:rsid w:val="00336E99"/>
    <w:rsid w:val="003403EF"/>
    <w:rsid w:val="00342417"/>
    <w:rsid w:val="00342FCF"/>
    <w:rsid w:val="003454EC"/>
    <w:rsid w:val="00346537"/>
    <w:rsid w:val="00347B94"/>
    <w:rsid w:val="00347D15"/>
    <w:rsid w:val="003504C3"/>
    <w:rsid w:val="003527DD"/>
    <w:rsid w:val="003547A2"/>
    <w:rsid w:val="00355171"/>
    <w:rsid w:val="00361F99"/>
    <w:rsid w:val="00362702"/>
    <w:rsid w:val="00362A37"/>
    <w:rsid w:val="00362CF0"/>
    <w:rsid w:val="00362D5D"/>
    <w:rsid w:val="00362E38"/>
    <w:rsid w:val="00364AC5"/>
    <w:rsid w:val="00364B66"/>
    <w:rsid w:val="00365D15"/>
    <w:rsid w:val="0036702F"/>
    <w:rsid w:val="00367F3A"/>
    <w:rsid w:val="00370BDF"/>
    <w:rsid w:val="00372FA2"/>
    <w:rsid w:val="003735E9"/>
    <w:rsid w:val="003739FE"/>
    <w:rsid w:val="0037412B"/>
    <w:rsid w:val="003749D5"/>
    <w:rsid w:val="0038254F"/>
    <w:rsid w:val="003828EC"/>
    <w:rsid w:val="00383488"/>
    <w:rsid w:val="003843BB"/>
    <w:rsid w:val="003859DA"/>
    <w:rsid w:val="00385D42"/>
    <w:rsid w:val="00386153"/>
    <w:rsid w:val="00386BA7"/>
    <w:rsid w:val="00390B48"/>
    <w:rsid w:val="0039213A"/>
    <w:rsid w:val="00393BF6"/>
    <w:rsid w:val="00395D4D"/>
    <w:rsid w:val="00396D64"/>
    <w:rsid w:val="00397A06"/>
    <w:rsid w:val="00397BEF"/>
    <w:rsid w:val="003A0FAF"/>
    <w:rsid w:val="003A0FE2"/>
    <w:rsid w:val="003A38BD"/>
    <w:rsid w:val="003A38C8"/>
    <w:rsid w:val="003A6045"/>
    <w:rsid w:val="003A72D0"/>
    <w:rsid w:val="003B22FD"/>
    <w:rsid w:val="003B3004"/>
    <w:rsid w:val="003B3A47"/>
    <w:rsid w:val="003B4168"/>
    <w:rsid w:val="003B42FF"/>
    <w:rsid w:val="003B50F2"/>
    <w:rsid w:val="003B62D2"/>
    <w:rsid w:val="003B64A6"/>
    <w:rsid w:val="003B66A3"/>
    <w:rsid w:val="003B7243"/>
    <w:rsid w:val="003C030D"/>
    <w:rsid w:val="003C161A"/>
    <w:rsid w:val="003C27F7"/>
    <w:rsid w:val="003C62C1"/>
    <w:rsid w:val="003C6FA4"/>
    <w:rsid w:val="003D0B3E"/>
    <w:rsid w:val="003D2352"/>
    <w:rsid w:val="003D3863"/>
    <w:rsid w:val="003D3D0A"/>
    <w:rsid w:val="003D5E85"/>
    <w:rsid w:val="003D7F34"/>
    <w:rsid w:val="003E0800"/>
    <w:rsid w:val="003E0C78"/>
    <w:rsid w:val="003E1584"/>
    <w:rsid w:val="003E1B56"/>
    <w:rsid w:val="003E33DE"/>
    <w:rsid w:val="003E3593"/>
    <w:rsid w:val="003E4F57"/>
    <w:rsid w:val="003E585F"/>
    <w:rsid w:val="003E6049"/>
    <w:rsid w:val="003E67F9"/>
    <w:rsid w:val="003F0D27"/>
    <w:rsid w:val="003F1C98"/>
    <w:rsid w:val="003F317C"/>
    <w:rsid w:val="003F42E9"/>
    <w:rsid w:val="003F4813"/>
    <w:rsid w:val="00400284"/>
    <w:rsid w:val="004006ED"/>
    <w:rsid w:val="00400F46"/>
    <w:rsid w:val="00403632"/>
    <w:rsid w:val="00404F1D"/>
    <w:rsid w:val="004057EA"/>
    <w:rsid w:val="00406654"/>
    <w:rsid w:val="0041100B"/>
    <w:rsid w:val="004114F3"/>
    <w:rsid w:val="00412894"/>
    <w:rsid w:val="004130C3"/>
    <w:rsid w:val="00413E71"/>
    <w:rsid w:val="00421363"/>
    <w:rsid w:val="00421921"/>
    <w:rsid w:val="00422100"/>
    <w:rsid w:val="00423537"/>
    <w:rsid w:val="00424274"/>
    <w:rsid w:val="00424A9A"/>
    <w:rsid w:val="004254D3"/>
    <w:rsid w:val="0042746B"/>
    <w:rsid w:val="00433B69"/>
    <w:rsid w:val="004369AD"/>
    <w:rsid w:val="00436DD6"/>
    <w:rsid w:val="00436F9A"/>
    <w:rsid w:val="0043711A"/>
    <w:rsid w:val="004374E5"/>
    <w:rsid w:val="0044482D"/>
    <w:rsid w:val="00444BA2"/>
    <w:rsid w:val="00444FB7"/>
    <w:rsid w:val="00450674"/>
    <w:rsid w:val="004533FE"/>
    <w:rsid w:val="00454245"/>
    <w:rsid w:val="00454715"/>
    <w:rsid w:val="00454D80"/>
    <w:rsid w:val="00456785"/>
    <w:rsid w:val="00462EB0"/>
    <w:rsid w:val="00463933"/>
    <w:rsid w:val="00464346"/>
    <w:rsid w:val="00470325"/>
    <w:rsid w:val="00470F42"/>
    <w:rsid w:val="00471605"/>
    <w:rsid w:val="0047297A"/>
    <w:rsid w:val="00472AEB"/>
    <w:rsid w:val="00474709"/>
    <w:rsid w:val="00476B1E"/>
    <w:rsid w:val="00480184"/>
    <w:rsid w:val="00480516"/>
    <w:rsid w:val="00480658"/>
    <w:rsid w:val="00480D3C"/>
    <w:rsid w:val="0048170B"/>
    <w:rsid w:val="00481BD4"/>
    <w:rsid w:val="00482AA2"/>
    <w:rsid w:val="004832C3"/>
    <w:rsid w:val="0048579F"/>
    <w:rsid w:val="00487005"/>
    <w:rsid w:val="004901A7"/>
    <w:rsid w:val="00491583"/>
    <w:rsid w:val="004A084F"/>
    <w:rsid w:val="004A1FA1"/>
    <w:rsid w:val="004A3225"/>
    <w:rsid w:val="004A3F90"/>
    <w:rsid w:val="004A5F59"/>
    <w:rsid w:val="004A606D"/>
    <w:rsid w:val="004A6087"/>
    <w:rsid w:val="004A6F1F"/>
    <w:rsid w:val="004B17D8"/>
    <w:rsid w:val="004B2323"/>
    <w:rsid w:val="004B4674"/>
    <w:rsid w:val="004B62C3"/>
    <w:rsid w:val="004C0BC8"/>
    <w:rsid w:val="004C461A"/>
    <w:rsid w:val="004C7D23"/>
    <w:rsid w:val="004D0783"/>
    <w:rsid w:val="004D11CB"/>
    <w:rsid w:val="004D2CC3"/>
    <w:rsid w:val="004D49E3"/>
    <w:rsid w:val="004D7163"/>
    <w:rsid w:val="004D7614"/>
    <w:rsid w:val="004E0366"/>
    <w:rsid w:val="004E1592"/>
    <w:rsid w:val="004E1C30"/>
    <w:rsid w:val="004E3342"/>
    <w:rsid w:val="004E4436"/>
    <w:rsid w:val="004E45AC"/>
    <w:rsid w:val="004E4672"/>
    <w:rsid w:val="004E5593"/>
    <w:rsid w:val="004E7A1E"/>
    <w:rsid w:val="004E7F1A"/>
    <w:rsid w:val="004F0352"/>
    <w:rsid w:val="004F0740"/>
    <w:rsid w:val="004F415D"/>
    <w:rsid w:val="004F4980"/>
    <w:rsid w:val="004F66F4"/>
    <w:rsid w:val="004F7710"/>
    <w:rsid w:val="004F7DB9"/>
    <w:rsid w:val="00502A45"/>
    <w:rsid w:val="00502FE4"/>
    <w:rsid w:val="0050542C"/>
    <w:rsid w:val="005073E2"/>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7B3"/>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2F49"/>
    <w:rsid w:val="005831BC"/>
    <w:rsid w:val="005833FF"/>
    <w:rsid w:val="00583471"/>
    <w:rsid w:val="00583CE7"/>
    <w:rsid w:val="005856E9"/>
    <w:rsid w:val="005867BB"/>
    <w:rsid w:val="00587452"/>
    <w:rsid w:val="005905A2"/>
    <w:rsid w:val="00591A07"/>
    <w:rsid w:val="00591C2A"/>
    <w:rsid w:val="00592461"/>
    <w:rsid w:val="00592539"/>
    <w:rsid w:val="00594B0D"/>
    <w:rsid w:val="00596A05"/>
    <w:rsid w:val="00596D6D"/>
    <w:rsid w:val="00597284"/>
    <w:rsid w:val="00597F8F"/>
    <w:rsid w:val="005A1E26"/>
    <w:rsid w:val="005A1EA2"/>
    <w:rsid w:val="005A2467"/>
    <w:rsid w:val="005A5858"/>
    <w:rsid w:val="005A66D7"/>
    <w:rsid w:val="005A6E51"/>
    <w:rsid w:val="005A7C7F"/>
    <w:rsid w:val="005A7D88"/>
    <w:rsid w:val="005B130C"/>
    <w:rsid w:val="005B14FF"/>
    <w:rsid w:val="005B2C26"/>
    <w:rsid w:val="005B3B71"/>
    <w:rsid w:val="005B48A9"/>
    <w:rsid w:val="005B4B1B"/>
    <w:rsid w:val="005B4F0F"/>
    <w:rsid w:val="005B58F0"/>
    <w:rsid w:val="005C0E62"/>
    <w:rsid w:val="005C0F5B"/>
    <w:rsid w:val="005C2E15"/>
    <w:rsid w:val="005C403B"/>
    <w:rsid w:val="005C63CB"/>
    <w:rsid w:val="005D04FD"/>
    <w:rsid w:val="005D0AA6"/>
    <w:rsid w:val="005D1093"/>
    <w:rsid w:val="005D165F"/>
    <w:rsid w:val="005D21F3"/>
    <w:rsid w:val="005D25A6"/>
    <w:rsid w:val="005D3CF8"/>
    <w:rsid w:val="005D5D89"/>
    <w:rsid w:val="005D6F94"/>
    <w:rsid w:val="005E0D2D"/>
    <w:rsid w:val="005E1652"/>
    <w:rsid w:val="005E3FB6"/>
    <w:rsid w:val="005E57F7"/>
    <w:rsid w:val="005F25D8"/>
    <w:rsid w:val="005F4583"/>
    <w:rsid w:val="005F4ABB"/>
    <w:rsid w:val="005F6066"/>
    <w:rsid w:val="005F6562"/>
    <w:rsid w:val="005F6C6D"/>
    <w:rsid w:val="005F6F09"/>
    <w:rsid w:val="005F787A"/>
    <w:rsid w:val="006019C7"/>
    <w:rsid w:val="00601E7B"/>
    <w:rsid w:val="00601EBC"/>
    <w:rsid w:val="00602039"/>
    <w:rsid w:val="00602AB9"/>
    <w:rsid w:val="00602D32"/>
    <w:rsid w:val="00603A84"/>
    <w:rsid w:val="006067DC"/>
    <w:rsid w:val="00606C1C"/>
    <w:rsid w:val="00610629"/>
    <w:rsid w:val="00610D8F"/>
    <w:rsid w:val="00611BCD"/>
    <w:rsid w:val="0061258D"/>
    <w:rsid w:val="006142EC"/>
    <w:rsid w:val="006155A5"/>
    <w:rsid w:val="00617824"/>
    <w:rsid w:val="00623091"/>
    <w:rsid w:val="00624214"/>
    <w:rsid w:val="00625419"/>
    <w:rsid w:val="00626A34"/>
    <w:rsid w:val="00626D1A"/>
    <w:rsid w:val="00627429"/>
    <w:rsid w:val="0063089C"/>
    <w:rsid w:val="00632A91"/>
    <w:rsid w:val="006345E8"/>
    <w:rsid w:val="0063765C"/>
    <w:rsid w:val="006403CB"/>
    <w:rsid w:val="00640C22"/>
    <w:rsid w:val="006410B0"/>
    <w:rsid w:val="0064139F"/>
    <w:rsid w:val="00641404"/>
    <w:rsid w:val="00641EDA"/>
    <w:rsid w:val="00642B97"/>
    <w:rsid w:val="00643680"/>
    <w:rsid w:val="00644453"/>
    <w:rsid w:val="006449A0"/>
    <w:rsid w:val="00644B32"/>
    <w:rsid w:val="0064639A"/>
    <w:rsid w:val="0064646F"/>
    <w:rsid w:val="00646523"/>
    <w:rsid w:val="00647BDD"/>
    <w:rsid w:val="00650458"/>
    <w:rsid w:val="0065273C"/>
    <w:rsid w:val="00656A74"/>
    <w:rsid w:val="00657221"/>
    <w:rsid w:val="00661FC1"/>
    <w:rsid w:val="00663FED"/>
    <w:rsid w:val="006641AC"/>
    <w:rsid w:val="00664B64"/>
    <w:rsid w:val="006678E3"/>
    <w:rsid w:val="00667A9C"/>
    <w:rsid w:val="00670FE4"/>
    <w:rsid w:val="006712E8"/>
    <w:rsid w:val="006755E3"/>
    <w:rsid w:val="00677DA7"/>
    <w:rsid w:val="00680212"/>
    <w:rsid w:val="00680C90"/>
    <w:rsid w:val="00681036"/>
    <w:rsid w:val="006823AD"/>
    <w:rsid w:val="00682C29"/>
    <w:rsid w:val="006856B4"/>
    <w:rsid w:val="00685872"/>
    <w:rsid w:val="00685AD7"/>
    <w:rsid w:val="0069070F"/>
    <w:rsid w:val="00691963"/>
    <w:rsid w:val="00692124"/>
    <w:rsid w:val="00692D96"/>
    <w:rsid w:val="00693C96"/>
    <w:rsid w:val="00696339"/>
    <w:rsid w:val="00696925"/>
    <w:rsid w:val="00696982"/>
    <w:rsid w:val="006A31E4"/>
    <w:rsid w:val="006A3F85"/>
    <w:rsid w:val="006A48FA"/>
    <w:rsid w:val="006A4C40"/>
    <w:rsid w:val="006A56F1"/>
    <w:rsid w:val="006A6E5C"/>
    <w:rsid w:val="006B0702"/>
    <w:rsid w:val="006B0972"/>
    <w:rsid w:val="006B3153"/>
    <w:rsid w:val="006B5871"/>
    <w:rsid w:val="006B6BB1"/>
    <w:rsid w:val="006B7212"/>
    <w:rsid w:val="006C14C3"/>
    <w:rsid w:val="006C4B6F"/>
    <w:rsid w:val="006C589D"/>
    <w:rsid w:val="006C59B5"/>
    <w:rsid w:val="006C72AA"/>
    <w:rsid w:val="006C769C"/>
    <w:rsid w:val="006C7A95"/>
    <w:rsid w:val="006D11E8"/>
    <w:rsid w:val="006D4B0E"/>
    <w:rsid w:val="006D753C"/>
    <w:rsid w:val="006E0A00"/>
    <w:rsid w:val="006E306D"/>
    <w:rsid w:val="006E4BEC"/>
    <w:rsid w:val="006E6968"/>
    <w:rsid w:val="006F04C6"/>
    <w:rsid w:val="006F08A0"/>
    <w:rsid w:val="006F0D57"/>
    <w:rsid w:val="006F2A97"/>
    <w:rsid w:val="006F7AD7"/>
    <w:rsid w:val="007003FD"/>
    <w:rsid w:val="00702627"/>
    <w:rsid w:val="0070359F"/>
    <w:rsid w:val="0070464C"/>
    <w:rsid w:val="00705474"/>
    <w:rsid w:val="00705B46"/>
    <w:rsid w:val="007076B2"/>
    <w:rsid w:val="00711BBB"/>
    <w:rsid w:val="0071340A"/>
    <w:rsid w:val="00713FC7"/>
    <w:rsid w:val="00715D32"/>
    <w:rsid w:val="00716FD1"/>
    <w:rsid w:val="00720D0F"/>
    <w:rsid w:val="007216A8"/>
    <w:rsid w:val="007218A9"/>
    <w:rsid w:val="0072241C"/>
    <w:rsid w:val="007245A5"/>
    <w:rsid w:val="00727890"/>
    <w:rsid w:val="00731628"/>
    <w:rsid w:val="00734108"/>
    <w:rsid w:val="007343AD"/>
    <w:rsid w:val="0073448D"/>
    <w:rsid w:val="00735087"/>
    <w:rsid w:val="00736FA0"/>
    <w:rsid w:val="0074053E"/>
    <w:rsid w:val="00745075"/>
    <w:rsid w:val="00745C16"/>
    <w:rsid w:val="007461DB"/>
    <w:rsid w:val="0075000E"/>
    <w:rsid w:val="00750621"/>
    <w:rsid w:val="00752156"/>
    <w:rsid w:val="00752BDE"/>
    <w:rsid w:val="00753A7A"/>
    <w:rsid w:val="00754FB4"/>
    <w:rsid w:val="00756E77"/>
    <w:rsid w:val="007577C2"/>
    <w:rsid w:val="0076038F"/>
    <w:rsid w:val="00760D77"/>
    <w:rsid w:val="007617E5"/>
    <w:rsid w:val="0077124E"/>
    <w:rsid w:val="00772FA7"/>
    <w:rsid w:val="0077578C"/>
    <w:rsid w:val="00781ACA"/>
    <w:rsid w:val="007823CF"/>
    <w:rsid w:val="00783E35"/>
    <w:rsid w:val="00784F67"/>
    <w:rsid w:val="00784F6C"/>
    <w:rsid w:val="00786754"/>
    <w:rsid w:val="00786D49"/>
    <w:rsid w:val="00787061"/>
    <w:rsid w:val="007873F7"/>
    <w:rsid w:val="00790F0A"/>
    <w:rsid w:val="00790F5E"/>
    <w:rsid w:val="007927A6"/>
    <w:rsid w:val="0079706E"/>
    <w:rsid w:val="00797F6E"/>
    <w:rsid w:val="007A1F4C"/>
    <w:rsid w:val="007A253B"/>
    <w:rsid w:val="007A53F8"/>
    <w:rsid w:val="007B05BD"/>
    <w:rsid w:val="007B31A5"/>
    <w:rsid w:val="007B3327"/>
    <w:rsid w:val="007B3533"/>
    <w:rsid w:val="007B4996"/>
    <w:rsid w:val="007B6926"/>
    <w:rsid w:val="007B6FA3"/>
    <w:rsid w:val="007B705D"/>
    <w:rsid w:val="007B769F"/>
    <w:rsid w:val="007C4EDB"/>
    <w:rsid w:val="007C5764"/>
    <w:rsid w:val="007C61D0"/>
    <w:rsid w:val="007C6478"/>
    <w:rsid w:val="007C6FAA"/>
    <w:rsid w:val="007C768F"/>
    <w:rsid w:val="007D251F"/>
    <w:rsid w:val="007D3DCE"/>
    <w:rsid w:val="007D4FA2"/>
    <w:rsid w:val="007E0874"/>
    <w:rsid w:val="007E0FAD"/>
    <w:rsid w:val="007E4247"/>
    <w:rsid w:val="007E60E9"/>
    <w:rsid w:val="007E63F3"/>
    <w:rsid w:val="007E6F5A"/>
    <w:rsid w:val="007F006B"/>
    <w:rsid w:val="007F0916"/>
    <w:rsid w:val="007F19E0"/>
    <w:rsid w:val="007F1E7D"/>
    <w:rsid w:val="007F2A79"/>
    <w:rsid w:val="007F3026"/>
    <w:rsid w:val="007F42DD"/>
    <w:rsid w:val="007F4E0F"/>
    <w:rsid w:val="007F5718"/>
    <w:rsid w:val="007F6D1B"/>
    <w:rsid w:val="007F77CA"/>
    <w:rsid w:val="008011ED"/>
    <w:rsid w:val="00801636"/>
    <w:rsid w:val="00803935"/>
    <w:rsid w:val="008045D0"/>
    <w:rsid w:val="00805526"/>
    <w:rsid w:val="008059B8"/>
    <w:rsid w:val="00805EF3"/>
    <w:rsid w:val="00805FAF"/>
    <w:rsid w:val="00810333"/>
    <w:rsid w:val="0081415C"/>
    <w:rsid w:val="0081590D"/>
    <w:rsid w:val="00815E57"/>
    <w:rsid w:val="008166F5"/>
    <w:rsid w:val="0081677E"/>
    <w:rsid w:val="00817467"/>
    <w:rsid w:val="0082043E"/>
    <w:rsid w:val="00820CB4"/>
    <w:rsid w:val="00822905"/>
    <w:rsid w:val="0082299E"/>
    <w:rsid w:val="00825BDE"/>
    <w:rsid w:val="00827B93"/>
    <w:rsid w:val="00827CD1"/>
    <w:rsid w:val="00832134"/>
    <w:rsid w:val="00832164"/>
    <w:rsid w:val="00832F53"/>
    <w:rsid w:val="0083328A"/>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733D8"/>
    <w:rsid w:val="008806CC"/>
    <w:rsid w:val="00881737"/>
    <w:rsid w:val="008817DF"/>
    <w:rsid w:val="008849E6"/>
    <w:rsid w:val="00884F8B"/>
    <w:rsid w:val="0088513E"/>
    <w:rsid w:val="00886300"/>
    <w:rsid w:val="00887CD1"/>
    <w:rsid w:val="008901EE"/>
    <w:rsid w:val="0089099F"/>
    <w:rsid w:val="00890AAF"/>
    <w:rsid w:val="0089171F"/>
    <w:rsid w:val="00892F7A"/>
    <w:rsid w:val="00894CEB"/>
    <w:rsid w:val="00896A62"/>
    <w:rsid w:val="00896AD9"/>
    <w:rsid w:val="00897B88"/>
    <w:rsid w:val="008A113D"/>
    <w:rsid w:val="008A678B"/>
    <w:rsid w:val="008A7725"/>
    <w:rsid w:val="008B0034"/>
    <w:rsid w:val="008B0702"/>
    <w:rsid w:val="008B2397"/>
    <w:rsid w:val="008B33B5"/>
    <w:rsid w:val="008B3CD6"/>
    <w:rsid w:val="008B42EB"/>
    <w:rsid w:val="008B6003"/>
    <w:rsid w:val="008B691D"/>
    <w:rsid w:val="008C4112"/>
    <w:rsid w:val="008C4D11"/>
    <w:rsid w:val="008C5B3C"/>
    <w:rsid w:val="008D54FA"/>
    <w:rsid w:val="008D5C05"/>
    <w:rsid w:val="008D6490"/>
    <w:rsid w:val="008D6FFD"/>
    <w:rsid w:val="008E1191"/>
    <w:rsid w:val="008E342E"/>
    <w:rsid w:val="008E4D9C"/>
    <w:rsid w:val="008E566D"/>
    <w:rsid w:val="008E588C"/>
    <w:rsid w:val="008F4397"/>
    <w:rsid w:val="008F4C01"/>
    <w:rsid w:val="008F52D9"/>
    <w:rsid w:val="008F573C"/>
    <w:rsid w:val="008F5ECA"/>
    <w:rsid w:val="008F6BC6"/>
    <w:rsid w:val="008F71C7"/>
    <w:rsid w:val="00902B4C"/>
    <w:rsid w:val="00903111"/>
    <w:rsid w:val="00903FC5"/>
    <w:rsid w:val="0090403F"/>
    <w:rsid w:val="009071FF"/>
    <w:rsid w:val="009108DB"/>
    <w:rsid w:val="009112EB"/>
    <w:rsid w:val="00913191"/>
    <w:rsid w:val="009131F2"/>
    <w:rsid w:val="00916431"/>
    <w:rsid w:val="00917DBE"/>
    <w:rsid w:val="00922FF4"/>
    <w:rsid w:val="0092605A"/>
    <w:rsid w:val="0092689A"/>
    <w:rsid w:val="0093228E"/>
    <w:rsid w:val="009325E1"/>
    <w:rsid w:val="00933602"/>
    <w:rsid w:val="009338B2"/>
    <w:rsid w:val="00934574"/>
    <w:rsid w:val="009351EF"/>
    <w:rsid w:val="009358DF"/>
    <w:rsid w:val="0093698F"/>
    <w:rsid w:val="00936A83"/>
    <w:rsid w:val="00940914"/>
    <w:rsid w:val="009409E8"/>
    <w:rsid w:val="00941AB9"/>
    <w:rsid w:val="00941C86"/>
    <w:rsid w:val="00942250"/>
    <w:rsid w:val="00942706"/>
    <w:rsid w:val="00942E51"/>
    <w:rsid w:val="00943A96"/>
    <w:rsid w:val="00946A6A"/>
    <w:rsid w:val="00947EB7"/>
    <w:rsid w:val="0095056B"/>
    <w:rsid w:val="00951FC3"/>
    <w:rsid w:val="009520BD"/>
    <w:rsid w:val="00952B29"/>
    <w:rsid w:val="00953DBA"/>
    <w:rsid w:val="00954137"/>
    <w:rsid w:val="00955882"/>
    <w:rsid w:val="00955ABF"/>
    <w:rsid w:val="00956F74"/>
    <w:rsid w:val="00956F84"/>
    <w:rsid w:val="0095704D"/>
    <w:rsid w:val="009575A0"/>
    <w:rsid w:val="00957C6C"/>
    <w:rsid w:val="00960AA2"/>
    <w:rsid w:val="009649DC"/>
    <w:rsid w:val="00964E1D"/>
    <w:rsid w:val="00966EB2"/>
    <w:rsid w:val="00970C67"/>
    <w:rsid w:val="00973A94"/>
    <w:rsid w:val="00974456"/>
    <w:rsid w:val="00976AD8"/>
    <w:rsid w:val="00981142"/>
    <w:rsid w:val="009829AA"/>
    <w:rsid w:val="009845B5"/>
    <w:rsid w:val="009863F5"/>
    <w:rsid w:val="00987700"/>
    <w:rsid w:val="00991483"/>
    <w:rsid w:val="0099296D"/>
    <w:rsid w:val="009935AA"/>
    <w:rsid w:val="00993F94"/>
    <w:rsid w:val="009951B2"/>
    <w:rsid w:val="009A039C"/>
    <w:rsid w:val="009A2859"/>
    <w:rsid w:val="009A4B06"/>
    <w:rsid w:val="009A4E90"/>
    <w:rsid w:val="009A50B8"/>
    <w:rsid w:val="009A6AB2"/>
    <w:rsid w:val="009A737B"/>
    <w:rsid w:val="009B009A"/>
    <w:rsid w:val="009B1823"/>
    <w:rsid w:val="009B2EE0"/>
    <w:rsid w:val="009B406F"/>
    <w:rsid w:val="009B443A"/>
    <w:rsid w:val="009B4D09"/>
    <w:rsid w:val="009B4D6B"/>
    <w:rsid w:val="009B6DD1"/>
    <w:rsid w:val="009C1332"/>
    <w:rsid w:val="009C2C56"/>
    <w:rsid w:val="009C4A4F"/>
    <w:rsid w:val="009C5CCD"/>
    <w:rsid w:val="009C6D34"/>
    <w:rsid w:val="009D2E97"/>
    <w:rsid w:val="009D328E"/>
    <w:rsid w:val="009D3438"/>
    <w:rsid w:val="009D3B88"/>
    <w:rsid w:val="009D40B6"/>
    <w:rsid w:val="009D4D3A"/>
    <w:rsid w:val="009D798C"/>
    <w:rsid w:val="009D7AD4"/>
    <w:rsid w:val="009E0365"/>
    <w:rsid w:val="009E1231"/>
    <w:rsid w:val="009E1A57"/>
    <w:rsid w:val="009E30C1"/>
    <w:rsid w:val="009E36CA"/>
    <w:rsid w:val="009E46D4"/>
    <w:rsid w:val="009E4B6B"/>
    <w:rsid w:val="009E6470"/>
    <w:rsid w:val="009E6E71"/>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06DD"/>
    <w:rsid w:val="00A125FB"/>
    <w:rsid w:val="00A12A49"/>
    <w:rsid w:val="00A135C4"/>
    <w:rsid w:val="00A13CB5"/>
    <w:rsid w:val="00A13FEC"/>
    <w:rsid w:val="00A165D6"/>
    <w:rsid w:val="00A200C3"/>
    <w:rsid w:val="00A21103"/>
    <w:rsid w:val="00A21298"/>
    <w:rsid w:val="00A21E3C"/>
    <w:rsid w:val="00A23419"/>
    <w:rsid w:val="00A24BBD"/>
    <w:rsid w:val="00A25AF0"/>
    <w:rsid w:val="00A26D62"/>
    <w:rsid w:val="00A27D2E"/>
    <w:rsid w:val="00A30D78"/>
    <w:rsid w:val="00A31032"/>
    <w:rsid w:val="00A31CCF"/>
    <w:rsid w:val="00A32598"/>
    <w:rsid w:val="00A33EF8"/>
    <w:rsid w:val="00A3432E"/>
    <w:rsid w:val="00A40DFB"/>
    <w:rsid w:val="00A41E34"/>
    <w:rsid w:val="00A435BF"/>
    <w:rsid w:val="00A448B0"/>
    <w:rsid w:val="00A4653F"/>
    <w:rsid w:val="00A46981"/>
    <w:rsid w:val="00A47E1E"/>
    <w:rsid w:val="00A5210B"/>
    <w:rsid w:val="00A524EC"/>
    <w:rsid w:val="00A52F4A"/>
    <w:rsid w:val="00A531D6"/>
    <w:rsid w:val="00A536F8"/>
    <w:rsid w:val="00A54346"/>
    <w:rsid w:val="00A55211"/>
    <w:rsid w:val="00A569C9"/>
    <w:rsid w:val="00A57E0C"/>
    <w:rsid w:val="00A6039D"/>
    <w:rsid w:val="00A60BCD"/>
    <w:rsid w:val="00A631B5"/>
    <w:rsid w:val="00A63351"/>
    <w:rsid w:val="00A6487D"/>
    <w:rsid w:val="00A65DF5"/>
    <w:rsid w:val="00A66D3E"/>
    <w:rsid w:val="00A672FC"/>
    <w:rsid w:val="00A676CE"/>
    <w:rsid w:val="00A7001C"/>
    <w:rsid w:val="00A70A43"/>
    <w:rsid w:val="00A716E7"/>
    <w:rsid w:val="00A73108"/>
    <w:rsid w:val="00A7492B"/>
    <w:rsid w:val="00A75807"/>
    <w:rsid w:val="00A77913"/>
    <w:rsid w:val="00A8138C"/>
    <w:rsid w:val="00A81834"/>
    <w:rsid w:val="00A81CF9"/>
    <w:rsid w:val="00A8209D"/>
    <w:rsid w:val="00A82740"/>
    <w:rsid w:val="00A860C9"/>
    <w:rsid w:val="00A9137F"/>
    <w:rsid w:val="00A9483B"/>
    <w:rsid w:val="00A94F2C"/>
    <w:rsid w:val="00A95C39"/>
    <w:rsid w:val="00A972E1"/>
    <w:rsid w:val="00AA3F8C"/>
    <w:rsid w:val="00AA4CAD"/>
    <w:rsid w:val="00AA5238"/>
    <w:rsid w:val="00AA6E6B"/>
    <w:rsid w:val="00AB3052"/>
    <w:rsid w:val="00AB4248"/>
    <w:rsid w:val="00AB4520"/>
    <w:rsid w:val="00AB572D"/>
    <w:rsid w:val="00AB5A86"/>
    <w:rsid w:val="00AB6170"/>
    <w:rsid w:val="00AB65A5"/>
    <w:rsid w:val="00AB707C"/>
    <w:rsid w:val="00AB72E0"/>
    <w:rsid w:val="00AC0B37"/>
    <w:rsid w:val="00AC0BF5"/>
    <w:rsid w:val="00AC2185"/>
    <w:rsid w:val="00AC3068"/>
    <w:rsid w:val="00AC3C48"/>
    <w:rsid w:val="00AC4067"/>
    <w:rsid w:val="00AC4E89"/>
    <w:rsid w:val="00AC53DF"/>
    <w:rsid w:val="00AC54F8"/>
    <w:rsid w:val="00AC67A6"/>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986"/>
    <w:rsid w:val="00AE2D8E"/>
    <w:rsid w:val="00AE4C9F"/>
    <w:rsid w:val="00AE7A40"/>
    <w:rsid w:val="00AE7EF9"/>
    <w:rsid w:val="00AF23D8"/>
    <w:rsid w:val="00AF2A34"/>
    <w:rsid w:val="00AF4A88"/>
    <w:rsid w:val="00AF60FC"/>
    <w:rsid w:val="00AF619D"/>
    <w:rsid w:val="00B01A75"/>
    <w:rsid w:val="00B02D39"/>
    <w:rsid w:val="00B03711"/>
    <w:rsid w:val="00B03B6B"/>
    <w:rsid w:val="00B04CC3"/>
    <w:rsid w:val="00B17DE2"/>
    <w:rsid w:val="00B2096A"/>
    <w:rsid w:val="00B20E8D"/>
    <w:rsid w:val="00B24514"/>
    <w:rsid w:val="00B32541"/>
    <w:rsid w:val="00B3267F"/>
    <w:rsid w:val="00B32BD9"/>
    <w:rsid w:val="00B35F87"/>
    <w:rsid w:val="00B379DA"/>
    <w:rsid w:val="00B37A67"/>
    <w:rsid w:val="00B37E6F"/>
    <w:rsid w:val="00B40143"/>
    <w:rsid w:val="00B41203"/>
    <w:rsid w:val="00B41500"/>
    <w:rsid w:val="00B41CD1"/>
    <w:rsid w:val="00B42E4E"/>
    <w:rsid w:val="00B45E91"/>
    <w:rsid w:val="00B46D52"/>
    <w:rsid w:val="00B5297F"/>
    <w:rsid w:val="00B52E16"/>
    <w:rsid w:val="00B53812"/>
    <w:rsid w:val="00B53C36"/>
    <w:rsid w:val="00B60506"/>
    <w:rsid w:val="00B6229E"/>
    <w:rsid w:val="00B623DA"/>
    <w:rsid w:val="00B62736"/>
    <w:rsid w:val="00B62A71"/>
    <w:rsid w:val="00B62EF9"/>
    <w:rsid w:val="00B630C6"/>
    <w:rsid w:val="00B64986"/>
    <w:rsid w:val="00B65DC0"/>
    <w:rsid w:val="00B67C2D"/>
    <w:rsid w:val="00B67FEB"/>
    <w:rsid w:val="00B7090B"/>
    <w:rsid w:val="00B70D91"/>
    <w:rsid w:val="00B72FA0"/>
    <w:rsid w:val="00B73209"/>
    <w:rsid w:val="00B7708B"/>
    <w:rsid w:val="00B7721B"/>
    <w:rsid w:val="00B8012B"/>
    <w:rsid w:val="00B80E25"/>
    <w:rsid w:val="00B82B06"/>
    <w:rsid w:val="00B8347E"/>
    <w:rsid w:val="00B838DF"/>
    <w:rsid w:val="00B84B4A"/>
    <w:rsid w:val="00B8589C"/>
    <w:rsid w:val="00B86BAC"/>
    <w:rsid w:val="00B96986"/>
    <w:rsid w:val="00B97145"/>
    <w:rsid w:val="00B97B35"/>
    <w:rsid w:val="00BA1257"/>
    <w:rsid w:val="00BA2A4F"/>
    <w:rsid w:val="00BA2CAA"/>
    <w:rsid w:val="00BA3196"/>
    <w:rsid w:val="00BA3509"/>
    <w:rsid w:val="00BA5877"/>
    <w:rsid w:val="00BB124C"/>
    <w:rsid w:val="00BB17E3"/>
    <w:rsid w:val="00BB1CDB"/>
    <w:rsid w:val="00BB2110"/>
    <w:rsid w:val="00BB2993"/>
    <w:rsid w:val="00BB3645"/>
    <w:rsid w:val="00BB547E"/>
    <w:rsid w:val="00BB66D4"/>
    <w:rsid w:val="00BB69B7"/>
    <w:rsid w:val="00BC10BF"/>
    <w:rsid w:val="00BC2581"/>
    <w:rsid w:val="00BC3F55"/>
    <w:rsid w:val="00BC481A"/>
    <w:rsid w:val="00BC4D26"/>
    <w:rsid w:val="00BC555D"/>
    <w:rsid w:val="00BC658E"/>
    <w:rsid w:val="00BD0218"/>
    <w:rsid w:val="00BD1869"/>
    <w:rsid w:val="00BD200B"/>
    <w:rsid w:val="00BD28CD"/>
    <w:rsid w:val="00BD2A25"/>
    <w:rsid w:val="00BD63DF"/>
    <w:rsid w:val="00BD64D4"/>
    <w:rsid w:val="00BD6AAF"/>
    <w:rsid w:val="00BD7C4B"/>
    <w:rsid w:val="00BE33E8"/>
    <w:rsid w:val="00BE50FD"/>
    <w:rsid w:val="00BF1551"/>
    <w:rsid w:val="00BF2BEB"/>
    <w:rsid w:val="00BF3197"/>
    <w:rsid w:val="00BF4F42"/>
    <w:rsid w:val="00BF5E23"/>
    <w:rsid w:val="00BF6AD1"/>
    <w:rsid w:val="00BF759E"/>
    <w:rsid w:val="00C01711"/>
    <w:rsid w:val="00C01DB8"/>
    <w:rsid w:val="00C0300F"/>
    <w:rsid w:val="00C04C13"/>
    <w:rsid w:val="00C0516C"/>
    <w:rsid w:val="00C0523E"/>
    <w:rsid w:val="00C05885"/>
    <w:rsid w:val="00C06C3C"/>
    <w:rsid w:val="00C0751C"/>
    <w:rsid w:val="00C07D81"/>
    <w:rsid w:val="00C07F14"/>
    <w:rsid w:val="00C11B64"/>
    <w:rsid w:val="00C1218B"/>
    <w:rsid w:val="00C122D5"/>
    <w:rsid w:val="00C1286D"/>
    <w:rsid w:val="00C12B6B"/>
    <w:rsid w:val="00C135F1"/>
    <w:rsid w:val="00C140D0"/>
    <w:rsid w:val="00C14775"/>
    <w:rsid w:val="00C150A5"/>
    <w:rsid w:val="00C15BA7"/>
    <w:rsid w:val="00C2035B"/>
    <w:rsid w:val="00C203E0"/>
    <w:rsid w:val="00C22B21"/>
    <w:rsid w:val="00C23593"/>
    <w:rsid w:val="00C23845"/>
    <w:rsid w:val="00C31846"/>
    <w:rsid w:val="00C32A33"/>
    <w:rsid w:val="00C32AF9"/>
    <w:rsid w:val="00C367FB"/>
    <w:rsid w:val="00C37A9A"/>
    <w:rsid w:val="00C41389"/>
    <w:rsid w:val="00C41BB7"/>
    <w:rsid w:val="00C42379"/>
    <w:rsid w:val="00C44004"/>
    <w:rsid w:val="00C445F4"/>
    <w:rsid w:val="00C54DF3"/>
    <w:rsid w:val="00C604FD"/>
    <w:rsid w:val="00C610B6"/>
    <w:rsid w:val="00C6257F"/>
    <w:rsid w:val="00C63117"/>
    <w:rsid w:val="00C640C7"/>
    <w:rsid w:val="00C65784"/>
    <w:rsid w:val="00C67BDD"/>
    <w:rsid w:val="00C70F24"/>
    <w:rsid w:val="00C717F6"/>
    <w:rsid w:val="00C72FD7"/>
    <w:rsid w:val="00C757E3"/>
    <w:rsid w:val="00C8155C"/>
    <w:rsid w:val="00C81CAA"/>
    <w:rsid w:val="00C840FD"/>
    <w:rsid w:val="00C907F0"/>
    <w:rsid w:val="00C93A91"/>
    <w:rsid w:val="00C95601"/>
    <w:rsid w:val="00CA1947"/>
    <w:rsid w:val="00CA1C91"/>
    <w:rsid w:val="00CA2949"/>
    <w:rsid w:val="00CA2A3B"/>
    <w:rsid w:val="00CA323D"/>
    <w:rsid w:val="00CA356E"/>
    <w:rsid w:val="00CA54A0"/>
    <w:rsid w:val="00CB1405"/>
    <w:rsid w:val="00CB3923"/>
    <w:rsid w:val="00CB5515"/>
    <w:rsid w:val="00CB76EF"/>
    <w:rsid w:val="00CB7840"/>
    <w:rsid w:val="00CC0E24"/>
    <w:rsid w:val="00CC2390"/>
    <w:rsid w:val="00CC34E2"/>
    <w:rsid w:val="00CC4A5C"/>
    <w:rsid w:val="00CC5849"/>
    <w:rsid w:val="00CC5BB7"/>
    <w:rsid w:val="00CC5F62"/>
    <w:rsid w:val="00CC69B4"/>
    <w:rsid w:val="00CC6D17"/>
    <w:rsid w:val="00CC7102"/>
    <w:rsid w:val="00CC7B09"/>
    <w:rsid w:val="00CC7CF3"/>
    <w:rsid w:val="00CC7F81"/>
    <w:rsid w:val="00CD1E85"/>
    <w:rsid w:val="00CD3AEA"/>
    <w:rsid w:val="00CD3C32"/>
    <w:rsid w:val="00CD3D7A"/>
    <w:rsid w:val="00CD4235"/>
    <w:rsid w:val="00CD56D7"/>
    <w:rsid w:val="00CD57FC"/>
    <w:rsid w:val="00CD632A"/>
    <w:rsid w:val="00CD6AE3"/>
    <w:rsid w:val="00CE0B6D"/>
    <w:rsid w:val="00CE1261"/>
    <w:rsid w:val="00CE127E"/>
    <w:rsid w:val="00CE1C10"/>
    <w:rsid w:val="00CE217C"/>
    <w:rsid w:val="00CE4AE9"/>
    <w:rsid w:val="00CF41D0"/>
    <w:rsid w:val="00CF4592"/>
    <w:rsid w:val="00D00CF9"/>
    <w:rsid w:val="00D012FF"/>
    <w:rsid w:val="00D04CD8"/>
    <w:rsid w:val="00D04DEC"/>
    <w:rsid w:val="00D114ED"/>
    <w:rsid w:val="00D1261E"/>
    <w:rsid w:val="00D13F32"/>
    <w:rsid w:val="00D14B5E"/>
    <w:rsid w:val="00D1685E"/>
    <w:rsid w:val="00D171BA"/>
    <w:rsid w:val="00D20D4F"/>
    <w:rsid w:val="00D218F5"/>
    <w:rsid w:val="00D25B74"/>
    <w:rsid w:val="00D25CA1"/>
    <w:rsid w:val="00D30CB6"/>
    <w:rsid w:val="00D31474"/>
    <w:rsid w:val="00D3157F"/>
    <w:rsid w:val="00D32933"/>
    <w:rsid w:val="00D34BE6"/>
    <w:rsid w:val="00D3579F"/>
    <w:rsid w:val="00D36B62"/>
    <w:rsid w:val="00D37BF5"/>
    <w:rsid w:val="00D37EB2"/>
    <w:rsid w:val="00D421A7"/>
    <w:rsid w:val="00D42987"/>
    <w:rsid w:val="00D42C18"/>
    <w:rsid w:val="00D4333C"/>
    <w:rsid w:val="00D43F5E"/>
    <w:rsid w:val="00D43F60"/>
    <w:rsid w:val="00D44623"/>
    <w:rsid w:val="00D4701B"/>
    <w:rsid w:val="00D47CF6"/>
    <w:rsid w:val="00D50820"/>
    <w:rsid w:val="00D511C3"/>
    <w:rsid w:val="00D5329B"/>
    <w:rsid w:val="00D5481D"/>
    <w:rsid w:val="00D55B2D"/>
    <w:rsid w:val="00D60045"/>
    <w:rsid w:val="00D628AE"/>
    <w:rsid w:val="00D6438B"/>
    <w:rsid w:val="00D647C9"/>
    <w:rsid w:val="00D6632B"/>
    <w:rsid w:val="00D67995"/>
    <w:rsid w:val="00D7096F"/>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4623"/>
    <w:rsid w:val="00DA48E8"/>
    <w:rsid w:val="00DA630F"/>
    <w:rsid w:val="00DA68A0"/>
    <w:rsid w:val="00DA6A38"/>
    <w:rsid w:val="00DA6B30"/>
    <w:rsid w:val="00DA7040"/>
    <w:rsid w:val="00DB07B5"/>
    <w:rsid w:val="00DB07F9"/>
    <w:rsid w:val="00DB1B21"/>
    <w:rsid w:val="00DB3CAF"/>
    <w:rsid w:val="00DB4966"/>
    <w:rsid w:val="00DC1386"/>
    <w:rsid w:val="00DC21E1"/>
    <w:rsid w:val="00DC7381"/>
    <w:rsid w:val="00DC7A46"/>
    <w:rsid w:val="00DD096C"/>
    <w:rsid w:val="00DD0F54"/>
    <w:rsid w:val="00DD3E20"/>
    <w:rsid w:val="00DD4F7A"/>
    <w:rsid w:val="00DD5050"/>
    <w:rsid w:val="00DD5306"/>
    <w:rsid w:val="00DD5903"/>
    <w:rsid w:val="00DD5E1E"/>
    <w:rsid w:val="00DE1520"/>
    <w:rsid w:val="00DE229B"/>
    <w:rsid w:val="00DE3A2B"/>
    <w:rsid w:val="00DE4A81"/>
    <w:rsid w:val="00DE701B"/>
    <w:rsid w:val="00DE7498"/>
    <w:rsid w:val="00DE7AB8"/>
    <w:rsid w:val="00DF2A8D"/>
    <w:rsid w:val="00DF2E5D"/>
    <w:rsid w:val="00DF3188"/>
    <w:rsid w:val="00DF5529"/>
    <w:rsid w:val="00DF6DE8"/>
    <w:rsid w:val="00DF6FB0"/>
    <w:rsid w:val="00DF76B3"/>
    <w:rsid w:val="00DF76F2"/>
    <w:rsid w:val="00E00083"/>
    <w:rsid w:val="00E009E2"/>
    <w:rsid w:val="00E01DE7"/>
    <w:rsid w:val="00E0411F"/>
    <w:rsid w:val="00E0572E"/>
    <w:rsid w:val="00E0680A"/>
    <w:rsid w:val="00E072F7"/>
    <w:rsid w:val="00E10005"/>
    <w:rsid w:val="00E1238E"/>
    <w:rsid w:val="00E124B9"/>
    <w:rsid w:val="00E13F21"/>
    <w:rsid w:val="00E1612B"/>
    <w:rsid w:val="00E1749A"/>
    <w:rsid w:val="00E17515"/>
    <w:rsid w:val="00E20591"/>
    <w:rsid w:val="00E215D2"/>
    <w:rsid w:val="00E22766"/>
    <w:rsid w:val="00E2572E"/>
    <w:rsid w:val="00E25A3E"/>
    <w:rsid w:val="00E2692D"/>
    <w:rsid w:val="00E271C2"/>
    <w:rsid w:val="00E27AC2"/>
    <w:rsid w:val="00E30031"/>
    <w:rsid w:val="00E329A6"/>
    <w:rsid w:val="00E32A18"/>
    <w:rsid w:val="00E34CB5"/>
    <w:rsid w:val="00E3525D"/>
    <w:rsid w:val="00E36419"/>
    <w:rsid w:val="00E37789"/>
    <w:rsid w:val="00E40534"/>
    <w:rsid w:val="00E42265"/>
    <w:rsid w:val="00E45DAA"/>
    <w:rsid w:val="00E46560"/>
    <w:rsid w:val="00E47307"/>
    <w:rsid w:val="00E47601"/>
    <w:rsid w:val="00E50DB1"/>
    <w:rsid w:val="00E51053"/>
    <w:rsid w:val="00E51A6B"/>
    <w:rsid w:val="00E51A9F"/>
    <w:rsid w:val="00E51E7F"/>
    <w:rsid w:val="00E520E1"/>
    <w:rsid w:val="00E52CA8"/>
    <w:rsid w:val="00E53D85"/>
    <w:rsid w:val="00E550CE"/>
    <w:rsid w:val="00E57F98"/>
    <w:rsid w:val="00E60B86"/>
    <w:rsid w:val="00E62E45"/>
    <w:rsid w:val="00E62F7D"/>
    <w:rsid w:val="00E653F6"/>
    <w:rsid w:val="00E700B8"/>
    <w:rsid w:val="00E702B9"/>
    <w:rsid w:val="00E70588"/>
    <w:rsid w:val="00E70EC3"/>
    <w:rsid w:val="00E75FA1"/>
    <w:rsid w:val="00E76419"/>
    <w:rsid w:val="00E77787"/>
    <w:rsid w:val="00E77CD7"/>
    <w:rsid w:val="00E82017"/>
    <w:rsid w:val="00E82792"/>
    <w:rsid w:val="00E844D7"/>
    <w:rsid w:val="00E87814"/>
    <w:rsid w:val="00E92E9D"/>
    <w:rsid w:val="00E93B3C"/>
    <w:rsid w:val="00E96A7F"/>
    <w:rsid w:val="00E96D9C"/>
    <w:rsid w:val="00EA031A"/>
    <w:rsid w:val="00EA0CE9"/>
    <w:rsid w:val="00EA1A40"/>
    <w:rsid w:val="00EA29B4"/>
    <w:rsid w:val="00EA330D"/>
    <w:rsid w:val="00EA5190"/>
    <w:rsid w:val="00EA5E8D"/>
    <w:rsid w:val="00EA5F4C"/>
    <w:rsid w:val="00EA6109"/>
    <w:rsid w:val="00EB2688"/>
    <w:rsid w:val="00EB6181"/>
    <w:rsid w:val="00EB664F"/>
    <w:rsid w:val="00EB7E37"/>
    <w:rsid w:val="00EC12E8"/>
    <w:rsid w:val="00EC1357"/>
    <w:rsid w:val="00EC19FF"/>
    <w:rsid w:val="00EC1A22"/>
    <w:rsid w:val="00EC5ACF"/>
    <w:rsid w:val="00ED0499"/>
    <w:rsid w:val="00ED0F76"/>
    <w:rsid w:val="00ED1BD5"/>
    <w:rsid w:val="00ED22A8"/>
    <w:rsid w:val="00ED2479"/>
    <w:rsid w:val="00ED4EB4"/>
    <w:rsid w:val="00ED5D09"/>
    <w:rsid w:val="00ED7107"/>
    <w:rsid w:val="00EE2221"/>
    <w:rsid w:val="00EE276F"/>
    <w:rsid w:val="00EE2982"/>
    <w:rsid w:val="00EE4FAE"/>
    <w:rsid w:val="00EE634F"/>
    <w:rsid w:val="00EF144E"/>
    <w:rsid w:val="00EF369D"/>
    <w:rsid w:val="00EF38A7"/>
    <w:rsid w:val="00EF6A39"/>
    <w:rsid w:val="00EF6EA2"/>
    <w:rsid w:val="00EF7647"/>
    <w:rsid w:val="00F00B38"/>
    <w:rsid w:val="00F00BBD"/>
    <w:rsid w:val="00F0376E"/>
    <w:rsid w:val="00F044B3"/>
    <w:rsid w:val="00F05E83"/>
    <w:rsid w:val="00F07DC4"/>
    <w:rsid w:val="00F07E05"/>
    <w:rsid w:val="00F10842"/>
    <w:rsid w:val="00F10E0A"/>
    <w:rsid w:val="00F13C42"/>
    <w:rsid w:val="00F161F7"/>
    <w:rsid w:val="00F206E8"/>
    <w:rsid w:val="00F21755"/>
    <w:rsid w:val="00F21F2E"/>
    <w:rsid w:val="00F23947"/>
    <w:rsid w:val="00F23B61"/>
    <w:rsid w:val="00F264C9"/>
    <w:rsid w:val="00F276F1"/>
    <w:rsid w:val="00F32680"/>
    <w:rsid w:val="00F33A66"/>
    <w:rsid w:val="00F34368"/>
    <w:rsid w:val="00F34E5A"/>
    <w:rsid w:val="00F35452"/>
    <w:rsid w:val="00F42491"/>
    <w:rsid w:val="00F45532"/>
    <w:rsid w:val="00F45ED2"/>
    <w:rsid w:val="00F5394B"/>
    <w:rsid w:val="00F53C4F"/>
    <w:rsid w:val="00F56A51"/>
    <w:rsid w:val="00F61899"/>
    <w:rsid w:val="00F65D35"/>
    <w:rsid w:val="00F66CD4"/>
    <w:rsid w:val="00F66E01"/>
    <w:rsid w:val="00F7129A"/>
    <w:rsid w:val="00F7180D"/>
    <w:rsid w:val="00F71F93"/>
    <w:rsid w:val="00F727A7"/>
    <w:rsid w:val="00F729D7"/>
    <w:rsid w:val="00F774CD"/>
    <w:rsid w:val="00F80F59"/>
    <w:rsid w:val="00F81D04"/>
    <w:rsid w:val="00F82365"/>
    <w:rsid w:val="00F82E69"/>
    <w:rsid w:val="00F8346B"/>
    <w:rsid w:val="00F8414D"/>
    <w:rsid w:val="00F84181"/>
    <w:rsid w:val="00F84C5D"/>
    <w:rsid w:val="00F86271"/>
    <w:rsid w:val="00F867CC"/>
    <w:rsid w:val="00F87176"/>
    <w:rsid w:val="00F87303"/>
    <w:rsid w:val="00F91287"/>
    <w:rsid w:val="00F917FA"/>
    <w:rsid w:val="00F91B28"/>
    <w:rsid w:val="00F91DA0"/>
    <w:rsid w:val="00F9306F"/>
    <w:rsid w:val="00F94B4E"/>
    <w:rsid w:val="00F978B7"/>
    <w:rsid w:val="00FA2FCD"/>
    <w:rsid w:val="00FA3FA8"/>
    <w:rsid w:val="00FA4718"/>
    <w:rsid w:val="00FA6E64"/>
    <w:rsid w:val="00FA7CBF"/>
    <w:rsid w:val="00FB1DCD"/>
    <w:rsid w:val="00FB25E6"/>
    <w:rsid w:val="00FB29C7"/>
    <w:rsid w:val="00FB2F0E"/>
    <w:rsid w:val="00FB31CC"/>
    <w:rsid w:val="00FB4D29"/>
    <w:rsid w:val="00FB50A9"/>
    <w:rsid w:val="00FC05EE"/>
    <w:rsid w:val="00FC2EC6"/>
    <w:rsid w:val="00FC3281"/>
    <w:rsid w:val="00FC339A"/>
    <w:rsid w:val="00FC36E0"/>
    <w:rsid w:val="00FC505D"/>
    <w:rsid w:val="00FC546F"/>
    <w:rsid w:val="00FC6F5E"/>
    <w:rsid w:val="00FC711A"/>
    <w:rsid w:val="00FC7D31"/>
    <w:rsid w:val="00FD13AC"/>
    <w:rsid w:val="00FD2D28"/>
    <w:rsid w:val="00FD5C54"/>
    <w:rsid w:val="00FD6BFE"/>
    <w:rsid w:val="00FE3FF3"/>
    <w:rsid w:val="00FE6D8B"/>
    <w:rsid w:val="00FF459F"/>
    <w:rsid w:val="00FF4D4F"/>
    <w:rsid w:val="00FF5BB6"/>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AF495"/>
  <w15:docId w15:val="{CB7FBE95-88E8-45E5-B0B7-93A55F4F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Body Text"/>
    <w:basedOn w:val="a"/>
    <w:link w:val="12"/>
    <w:unhideWhenUsed/>
    <w:rsid w:val="005F25D8"/>
    <w:pPr>
      <w:spacing w:line="360" w:lineRule="auto"/>
      <w:contextualSpacing/>
    </w:pPr>
    <w:rPr>
      <w:rFonts w:ascii="Times New Roman" w:hAnsi="Times New Roman"/>
      <w:szCs w:val="24"/>
    </w:rPr>
  </w:style>
  <w:style w:type="character" w:customStyle="1" w:styleId="af6">
    <w:name w:val="正文文本 字符"/>
    <w:uiPriority w:val="99"/>
    <w:semiHidden/>
    <w:rsid w:val="005F25D8"/>
    <w:rPr>
      <w:kern w:val="2"/>
      <w:sz w:val="21"/>
      <w:szCs w:val="22"/>
    </w:rPr>
  </w:style>
  <w:style w:type="character" w:customStyle="1" w:styleId="12">
    <w:name w:val="正文文本 字符1"/>
    <w:link w:val="af5"/>
    <w:qFormat/>
    <w:rsid w:val="005F25D8"/>
    <w:rPr>
      <w:rFonts w:ascii="Times New Roman" w:hAnsi="Times New Roman"/>
      <w:kern w:val="2"/>
      <w:sz w:val="21"/>
      <w:szCs w:val="24"/>
    </w:rPr>
  </w:style>
  <w:style w:type="paragraph" w:styleId="af7">
    <w:name w:val="Revision"/>
    <w:hidden/>
    <w:uiPriority w:val="99"/>
    <w:semiHidden/>
    <w:rsid w:val="001A33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p-f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DE55B-43D4-4C04-A4A5-5C54065D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167</Pages>
  <Words>17795</Words>
  <Characters>101435</Characters>
  <Application>Microsoft Office Word</Application>
  <DocSecurity>0</DocSecurity>
  <Lines>845</Lines>
  <Paragraphs>237</Paragraphs>
  <ScaleCrop>false</ScaleCrop>
  <Company>Microsoft</Company>
  <LinksUpToDate>false</LinksUpToDate>
  <CharactersWithSpaces>118993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12</cp:revision>
  <cp:lastPrinted>2013-02-18T03:10:00Z</cp:lastPrinted>
  <dcterms:created xsi:type="dcterms:W3CDTF">2023-03-27T05:24:00Z</dcterms:created>
  <dcterms:modified xsi:type="dcterms:W3CDTF">2023-03-27T07:15:00Z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