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rPr>
      </w:pPr>
    </w:p>
    <w:p>
      <w:pPr>
        <w:rPr>
          <w:sz w:val="32"/>
        </w:rPr>
      </w:pPr>
    </w:p>
    <w:p>
      <w:pPr>
        <w:rPr>
          <w:sz w:val="32"/>
        </w:rPr>
      </w:pPr>
    </w:p>
    <w:p>
      <w:pPr>
        <w:jc w:val="center"/>
        <w:rPr>
          <w:sz w:val="32"/>
        </w:rPr>
      </w:pPr>
      <w:r>
        <w:pict>
          <v:shape id="_x0000_i1025" o:spt="75" alt="logo1" type="#_x0000_t75" style="height:45pt;width:342pt;" filled="f" o:preferrelative="t" stroked="f" coordsize="21600,21600">
            <v:path/>
            <v:fill on="f" focussize="0,0"/>
            <v:stroke on="f" joinstyle="miter"/>
            <v:imagedata r:id="rId9" o:title="logo1"/>
            <o:lock v:ext="edit" aspectratio="t"/>
            <w10:wrap type="none"/>
            <w10:anchorlock/>
          </v:shape>
        </w:pict>
      </w:r>
    </w:p>
    <w:p>
      <w:pPr>
        <w:autoSpaceDE w:val="0"/>
        <w:autoSpaceDN w:val="0"/>
        <w:adjustRightInd w:val="0"/>
        <w:snapToGrid w:val="0"/>
        <w:spacing w:before="63" w:line="360" w:lineRule="auto"/>
        <w:ind w:right="13" w:rightChars="6"/>
        <w:jc w:val="center"/>
        <w:rPr>
          <w:rFonts w:ascii="宋体" w:hAnsi="宋体"/>
          <w:b/>
          <w:spacing w:val="2"/>
          <w:w w:val="99"/>
          <w:kern w:val="0"/>
          <w:position w:val="-4"/>
          <w:sz w:val="44"/>
          <w:szCs w:val="44"/>
        </w:rPr>
      </w:pPr>
    </w:p>
    <w:p>
      <w:pPr>
        <w:autoSpaceDE w:val="0"/>
        <w:autoSpaceDN w:val="0"/>
        <w:adjustRightInd w:val="0"/>
        <w:snapToGrid w:val="0"/>
        <w:spacing w:before="63" w:line="360" w:lineRule="auto"/>
        <w:ind w:right="13" w:rightChars="6"/>
        <w:jc w:val="center"/>
        <w:rPr>
          <w:rFonts w:ascii="宋体" w:hAnsi="宋体"/>
          <w:b/>
          <w:spacing w:val="2"/>
          <w:w w:val="99"/>
          <w:kern w:val="0"/>
          <w:position w:val="-4"/>
          <w:sz w:val="44"/>
          <w:szCs w:val="44"/>
        </w:rPr>
      </w:pPr>
    </w:p>
    <w:p>
      <w:pPr>
        <w:autoSpaceDE w:val="0"/>
        <w:autoSpaceDN w:val="0"/>
        <w:adjustRightInd w:val="0"/>
        <w:snapToGrid w:val="0"/>
        <w:spacing w:before="63" w:line="360" w:lineRule="auto"/>
        <w:ind w:right="13" w:rightChars="6"/>
        <w:jc w:val="center"/>
        <w:rPr>
          <w:rFonts w:ascii="Times New Roman" w:hAnsi="Times New Roman"/>
          <w:b/>
          <w:spacing w:val="2"/>
          <w:w w:val="99"/>
          <w:kern w:val="0"/>
          <w:position w:val="-4"/>
          <w:sz w:val="44"/>
          <w:szCs w:val="44"/>
        </w:rPr>
      </w:pPr>
      <w:r>
        <w:rPr>
          <w:rFonts w:ascii="Times New Roman" w:hAnsi="Times New Roman"/>
          <w:b/>
          <w:spacing w:val="2"/>
          <w:w w:val="99"/>
          <w:kern w:val="0"/>
          <w:position w:val="-4"/>
          <w:sz w:val="44"/>
          <w:szCs w:val="44"/>
        </w:rPr>
        <w:t>交银施罗德瑞思混合型</w:t>
      </w:r>
    </w:p>
    <w:p>
      <w:pPr>
        <w:autoSpaceDE w:val="0"/>
        <w:autoSpaceDN w:val="0"/>
        <w:adjustRightInd w:val="0"/>
        <w:snapToGrid w:val="0"/>
        <w:spacing w:before="63" w:line="360" w:lineRule="auto"/>
        <w:ind w:right="13" w:rightChars="6"/>
        <w:jc w:val="center"/>
        <w:rPr>
          <w:rFonts w:ascii="Times New Roman" w:hAnsi="Times New Roman"/>
          <w:b/>
          <w:spacing w:val="2"/>
          <w:w w:val="99"/>
          <w:kern w:val="0"/>
          <w:position w:val="-4"/>
          <w:sz w:val="44"/>
          <w:szCs w:val="44"/>
        </w:rPr>
      </w:pPr>
      <w:r>
        <w:rPr>
          <w:rFonts w:ascii="Times New Roman" w:hAnsi="Times New Roman"/>
          <w:b/>
          <w:spacing w:val="2"/>
          <w:w w:val="99"/>
          <w:kern w:val="0"/>
          <w:position w:val="-4"/>
          <w:sz w:val="44"/>
          <w:szCs w:val="44"/>
        </w:rPr>
        <w:t>证券投资基金</w:t>
      </w:r>
      <w:r>
        <w:rPr>
          <w:rFonts w:hint="eastAsia" w:ascii="Times New Roman" w:hAnsi="Times New Roman"/>
          <w:b/>
          <w:spacing w:val="2"/>
          <w:w w:val="99"/>
          <w:kern w:val="0"/>
          <w:position w:val="-4"/>
          <w:sz w:val="44"/>
          <w:szCs w:val="44"/>
        </w:rPr>
        <w:t>（LOF）</w:t>
      </w:r>
    </w:p>
    <w:p>
      <w:pPr>
        <w:autoSpaceDE w:val="0"/>
        <w:autoSpaceDN w:val="0"/>
        <w:adjustRightInd w:val="0"/>
        <w:snapToGrid w:val="0"/>
        <w:spacing w:before="63" w:line="360" w:lineRule="auto"/>
        <w:ind w:right="13" w:rightChars="6"/>
        <w:jc w:val="center"/>
        <w:rPr>
          <w:rFonts w:ascii="宋体" w:hAnsi="宋体"/>
          <w:b/>
          <w:kern w:val="0"/>
          <w:sz w:val="44"/>
          <w:szCs w:val="44"/>
        </w:rPr>
      </w:pPr>
      <w:r>
        <w:rPr>
          <w:rFonts w:ascii="宋体" w:hAnsi="宋体"/>
          <w:b/>
          <w:spacing w:val="2"/>
          <w:w w:val="99"/>
          <w:kern w:val="0"/>
          <w:sz w:val="44"/>
          <w:szCs w:val="44"/>
        </w:rPr>
        <w:t>(更新)招募说明书</w:t>
      </w:r>
    </w:p>
    <w:p>
      <w:pPr>
        <w:snapToGrid w:val="0"/>
        <w:spacing w:line="360" w:lineRule="auto"/>
        <w:jc w:val="center"/>
        <w:rPr>
          <w:rFonts w:ascii="宋体" w:hAnsi="宋体"/>
          <w:b/>
          <w:sz w:val="30"/>
          <w:szCs w:val="30"/>
        </w:rPr>
      </w:pPr>
      <w:r>
        <w:rPr>
          <w:rFonts w:ascii="Times New Roman" w:hAnsi="Times New Roman"/>
          <w:b/>
          <w:color w:val="000000"/>
          <w:sz w:val="32"/>
          <w:szCs w:val="32"/>
        </w:rPr>
        <w:t>(202</w:t>
      </w:r>
      <w:r>
        <w:rPr>
          <w:rFonts w:hint="eastAsia" w:ascii="Times New Roman" w:hAnsi="Times New Roman"/>
          <w:b/>
          <w:color w:val="000000"/>
          <w:sz w:val="32"/>
          <w:szCs w:val="32"/>
        </w:rPr>
        <w:t>3</w:t>
      </w:r>
      <w:r>
        <w:rPr>
          <w:rFonts w:ascii="Times New Roman" w:hAnsi="Times New Roman"/>
          <w:b/>
          <w:color w:val="000000"/>
          <w:sz w:val="32"/>
          <w:szCs w:val="32"/>
        </w:rPr>
        <w:t>年第1号)</w:t>
      </w: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firstLine="1406" w:firstLineChars="500"/>
        <w:rPr>
          <w:rFonts w:ascii="宋体" w:hAnsi="宋体"/>
          <w:b/>
          <w:w w:val="99"/>
          <w:kern w:val="0"/>
          <w:sz w:val="28"/>
          <w:szCs w:val="32"/>
        </w:rPr>
      </w:pPr>
      <w:r>
        <w:rPr>
          <w:rFonts w:ascii="宋体" w:hAnsi="宋体"/>
          <w:b/>
          <w:spacing w:val="2"/>
          <w:w w:val="99"/>
          <w:kern w:val="0"/>
          <w:sz w:val="28"/>
          <w:szCs w:val="32"/>
        </w:rPr>
        <w:t>基金管理人：交银施罗德基金管理有限公司</w:t>
      </w:r>
    </w:p>
    <w:p>
      <w:pPr>
        <w:autoSpaceDE w:val="0"/>
        <w:autoSpaceDN w:val="0"/>
        <w:adjustRightInd w:val="0"/>
        <w:snapToGrid w:val="0"/>
        <w:spacing w:line="360" w:lineRule="auto"/>
        <w:ind w:firstLine="1406" w:firstLineChars="500"/>
        <w:rPr>
          <w:rFonts w:ascii="宋体" w:hAnsi="宋体"/>
          <w:b/>
          <w:w w:val="99"/>
          <w:kern w:val="0"/>
          <w:sz w:val="28"/>
          <w:szCs w:val="32"/>
        </w:rPr>
      </w:pPr>
      <w:r>
        <w:rPr>
          <w:rFonts w:ascii="宋体" w:hAnsi="宋体"/>
          <w:b/>
          <w:spacing w:val="2"/>
          <w:w w:val="99"/>
          <w:kern w:val="0"/>
          <w:sz w:val="28"/>
          <w:szCs w:val="32"/>
        </w:rPr>
        <w:t>基金托管人：中国农业银行股份有限公司</w:t>
      </w: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b/>
          <w:kern w:val="0"/>
          <w:sz w:val="28"/>
          <w:szCs w:val="32"/>
        </w:rPr>
      </w:pPr>
      <w:r>
        <w:rPr>
          <w:rFonts w:ascii="Times New Roman" w:hAnsi="Times New Roman"/>
          <w:b/>
          <w:spacing w:val="2"/>
          <w:w w:val="99"/>
          <w:kern w:val="0"/>
          <w:sz w:val="28"/>
          <w:szCs w:val="32"/>
        </w:rPr>
        <w:t>二〇二</w:t>
      </w:r>
      <w:r>
        <w:rPr>
          <w:rFonts w:hint="eastAsia" w:ascii="Times New Roman" w:hAnsi="Times New Roman"/>
          <w:b/>
          <w:spacing w:val="2"/>
          <w:w w:val="99"/>
          <w:kern w:val="0"/>
          <w:sz w:val="28"/>
          <w:szCs w:val="32"/>
        </w:rPr>
        <w:t>三</w:t>
      </w:r>
      <w:r>
        <w:rPr>
          <w:rFonts w:ascii="Times New Roman" w:hAnsi="Times New Roman"/>
          <w:b/>
          <w:spacing w:val="2"/>
          <w:w w:val="99"/>
          <w:kern w:val="0"/>
          <w:sz w:val="28"/>
          <w:szCs w:val="32"/>
        </w:rPr>
        <w:t>年二月</w:t>
      </w:r>
    </w:p>
    <w:p>
      <w:pPr>
        <w:autoSpaceDE w:val="0"/>
        <w:autoSpaceDN w:val="0"/>
        <w:adjustRightInd w:val="0"/>
        <w:snapToGrid w:val="0"/>
        <w:spacing w:line="360" w:lineRule="auto"/>
        <w:ind w:left="1347" w:right="13" w:rightChars="6"/>
        <w:rPr>
          <w:rFonts w:ascii="宋体" w:hAnsi="宋体"/>
          <w:kern w:val="0"/>
          <w:sz w:val="32"/>
          <w:szCs w:val="32"/>
        </w:rPr>
        <w:sectPr>
          <w:headerReference r:id="rId4" w:type="first"/>
          <w:headerReference r:id="rId3" w:type="default"/>
          <w:footerReference r:id="rId5" w:type="default"/>
          <w:pgSz w:w="11920" w:h="16840"/>
          <w:pgMar w:top="1560" w:right="1680" w:bottom="280" w:left="1680" w:header="0" w:footer="1073" w:gutter="0"/>
          <w:pgNumType w:start="1"/>
          <w:cols w:space="720" w:num="1"/>
          <w:titlePg/>
          <w:docGrid w:linePitch="286" w:charSpace="0"/>
        </w:sectPr>
      </w:pPr>
    </w:p>
    <w:p>
      <w:pPr>
        <w:pStyle w:val="2"/>
        <w:snapToGrid w:val="0"/>
        <w:spacing w:before="240" w:beforeLines="0" w:after="240"/>
        <w:rPr>
          <w:rFonts w:ascii="宋体" w:hAnsi="宋体"/>
          <w:kern w:val="0"/>
        </w:rPr>
      </w:pPr>
      <w:bookmarkStart w:id="0" w:name="_Toc123063662"/>
      <w:bookmarkStart w:id="1" w:name="_Toc324920538"/>
      <w:bookmarkStart w:id="2" w:name="_Toc496884613"/>
      <w:r>
        <w:rPr>
          <w:rFonts w:ascii="Times New Roman" w:hAnsi="Times New Roman"/>
          <w:kern w:val="0"/>
        </w:rPr>
        <w:t>重要提示</w:t>
      </w:r>
      <w:bookmarkEnd w:id="0"/>
      <w:bookmarkEnd w:id="1"/>
      <w:bookmarkEnd w:id="2"/>
    </w:p>
    <w:p>
      <w:pPr>
        <w:autoSpaceDE w:val="0"/>
        <w:autoSpaceDN w:val="0"/>
        <w:adjustRightInd w:val="0"/>
        <w:snapToGrid w:val="0"/>
        <w:spacing w:line="360" w:lineRule="auto"/>
        <w:ind w:left="105" w:leftChars="50" w:firstLine="480" w:firstLineChars="200"/>
        <w:rPr>
          <w:rFonts w:ascii="宋体" w:hAnsi="宋体"/>
          <w:kern w:val="0"/>
          <w:sz w:val="24"/>
        </w:rPr>
      </w:pPr>
      <w:r>
        <w:rPr>
          <w:rFonts w:hint="eastAsia" w:ascii="Times New Roman" w:hAnsi="Times New Roman"/>
          <w:kern w:val="0"/>
          <w:sz w:val="24"/>
        </w:rPr>
        <w:t>交银施罗德瑞思混合型证券投资基金（LOF）由交银施罗德瑞思三年封闭运作混合型证券投资基金封闭期届满后更名而来。</w:t>
      </w:r>
      <w:r>
        <w:rPr>
          <w:rFonts w:ascii="Times New Roman" w:hAnsi="Times New Roman"/>
          <w:kern w:val="0"/>
          <w:sz w:val="24"/>
        </w:rPr>
        <w:t>交银施罗德瑞思三年封闭运作混合型证券投资基金（以下</w:t>
      </w:r>
      <w:r>
        <w:rPr>
          <w:rFonts w:hint="eastAsia" w:ascii="Times New Roman" w:hAnsi="Times New Roman"/>
          <w:kern w:val="0"/>
          <w:sz w:val="24"/>
        </w:rPr>
        <w:t>与交银施罗德瑞思混合型证券投资基金（LOF）</w:t>
      </w:r>
      <w:r>
        <w:rPr>
          <w:rFonts w:ascii="Times New Roman" w:hAnsi="Times New Roman"/>
          <w:kern w:val="0"/>
          <w:sz w:val="24"/>
        </w:rPr>
        <w:t>简称“本基金”）经2019年12月5日中国证券监督管理委员会（以下简称“中国证监会”）证监许可【2019】2666号文准予募集注册。本基金基金合同于2020年2月21日正式生效。</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基金管理人保证招募说明书的内容真实、准确、完整。本招募说明书经中国证监会注册，但中国证监会对本基金募集的注册，并不表明其对本基金的投资价值和市场前景作出实质性判断或保证，也不表明投资于本基金没有风险。</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基金管理人依照恪尽职守、诚实信用、谨慎勤勉的原则管理和运用基金财产，但不保证投资本基金一定盈利，也不保证基金份额持有人的最低收益；因基金价格可升可跌，亦不保证基金份额持有人能全数取回其原本投资。</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封闭期无法赎回和开放期大量赎回导致的流动性风险；信用风险；投资资产支持证券的特定风险；投资股指期货的特定风险；投资科创板股票的特定风险；连续五十个工作日出现基金份额持有人数量不满200人或基金资产净值低于5000万元情形时，基金管理人可依基金合同约定提前终止基金合同的风险；投资本基金特有的其他风险等等。</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本基金是一只混合型基金，其预期风险和预期收益高于债券型基金和货币市场基金，低于股票型基金。</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基金可根据投资策略需要或不同配置地市场环境的变化，选择将部分基金资产投资于港股或选择不将基金资产投资于港股，基金资产并非必然投资港股。</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风险揭示”章节内容。</w:t>
      </w:r>
    </w:p>
    <w:p>
      <w:pPr>
        <w:autoSpaceDE w:val="0"/>
        <w:autoSpaceDN w:val="0"/>
        <w:adjustRightInd w:val="0"/>
        <w:snapToGrid w:val="0"/>
        <w:spacing w:line="360" w:lineRule="auto"/>
        <w:ind w:left="105" w:leftChars="50" w:firstLine="480" w:firstLineChars="200"/>
        <w:rPr>
          <w:rFonts w:ascii="Times New Roman" w:hAnsi="Times New Roman"/>
          <w:kern w:val="0"/>
          <w:sz w:val="24"/>
        </w:rPr>
      </w:pPr>
      <w:r>
        <w:rPr>
          <w:rFonts w:ascii="Times New Roman" w:hAnsi="Times New Roman"/>
          <w:kern w:val="0"/>
          <w:sz w:val="24"/>
        </w:rPr>
        <w:t>本基金可根据投资策略需要或市场环境的变化，选择将部分基金资产投资于存托凭证或选择不将基金资产投资于存托凭证，基金资产并非必然投资存托凭证。</w:t>
      </w:r>
    </w:p>
    <w:p>
      <w:pPr>
        <w:autoSpaceDE w:val="0"/>
        <w:autoSpaceDN w:val="0"/>
        <w:adjustRightInd w:val="0"/>
        <w:snapToGrid w:val="0"/>
        <w:spacing w:line="360" w:lineRule="auto"/>
        <w:ind w:left="105" w:leftChars="50" w:firstLine="480" w:firstLineChars="200"/>
        <w:rPr>
          <w:rFonts w:ascii="Times New Roman" w:hAnsi="Times New Roman"/>
          <w:kern w:val="0"/>
          <w:sz w:val="24"/>
        </w:rPr>
      </w:pPr>
      <w:r>
        <w:rPr>
          <w:rFonts w:hint="eastAsia" w:ascii="Times New Roman" w:hAnsi="Times New Roman"/>
          <w:kern w:val="0"/>
          <w:sz w:val="24"/>
        </w:rPr>
        <w:t>根据基金合同的约定，基金合同生效后，前三年封闭运作，在封闭期内，本基金不办理申购、赎回业务，但投资人可在本基金上市交易后通过上海证券交易所转让基金份额。封闭期届满后，本基金转为上市开放式基金（LOF），基金名称相应变更为“交银施罗德瑞思混合型证券投资基金（LOF）”，可办理场外、场内申购赎回，并继续在上海证券交易所上市交易。但若本基金在封闭期内出现上海证券交易所相关业务规则规定的因不再具备上市条件而应当终止上市的情形，则本基金封闭期届满后将转为非上市的开放式基金。</w:t>
      </w:r>
    </w:p>
    <w:p>
      <w:pPr>
        <w:autoSpaceDE w:val="0"/>
        <w:autoSpaceDN w:val="0"/>
        <w:adjustRightInd w:val="0"/>
        <w:snapToGrid w:val="0"/>
        <w:spacing w:line="360" w:lineRule="auto"/>
        <w:ind w:left="105" w:leftChars="50" w:firstLine="480" w:firstLineChars="200"/>
        <w:rPr>
          <w:rFonts w:ascii="宋体" w:hAnsi="宋体"/>
          <w:kern w:val="0"/>
          <w:sz w:val="24"/>
        </w:rPr>
      </w:pPr>
      <w:r>
        <w:rPr>
          <w:rFonts w:hint="eastAsia" w:ascii="Times New Roman" w:hAnsi="Times New Roman"/>
          <w:kern w:val="0"/>
          <w:sz w:val="24"/>
        </w:rPr>
        <w:t>交银施罗德瑞思三年封闭运作混合型证券投资基金的封闭期自2020年2月21日起至2023年2月20日止。自2023年2月21日起，本基金的基金名称变更为“交银施罗德瑞思混合型证券投资基金（LOF）”，基金简称变更为“交银瑞思混合（LOF）”，场内简称与基金代码不变，场内简称为“交银瑞思”，基金代码为“501092”，扩位简称为“交银瑞思LOF”，并适用《基金合同》中关于封闭期届满后运作的有关规定。</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投资有风险，投资人在投资本基金前应认真阅读本基金的招募说明书、基金合同、基金产品资料概要等信息披露文件，自主判断基金的投资价值，自主作出投资决策，自行承担投资风险。基金的过往业绩并不代表未来表现。基金管理人管理的其他基金的业绩并不构成对本基金业绩表现的保证。基金管理人提醒投资者基金投资的“买者自负”原则，在投资者作出投资决策后，基金运营状况与基金净值变化引致的投资风险，由投资者自行负责。</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本基金单一投资者持有基金份额数不得超过基金份额总数的50%，但在基金运作过程中因基金份额赎回等情形导致被动超过前述50%比例的除外。</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本招募说明书所载内容截止日为</w:t>
      </w:r>
      <w:r>
        <w:rPr>
          <w:rFonts w:hint="eastAsia" w:ascii="Times New Roman" w:hAnsi="Times New Roman"/>
          <w:kern w:val="0"/>
          <w:sz w:val="24"/>
        </w:rPr>
        <w:t>2023年2月17日</w:t>
      </w:r>
      <w:r>
        <w:rPr>
          <w:rFonts w:ascii="Times New Roman" w:hAnsi="Times New Roman"/>
          <w:kern w:val="0"/>
          <w:sz w:val="24"/>
        </w:rPr>
        <w:t>，有关财务数据和净值表现截止日为2022年09月30日。本招募说明书所载的财务数据未经审计。</w:t>
      </w:r>
    </w:p>
    <w:p>
      <w:pPr>
        <w:autoSpaceDE w:val="0"/>
        <w:autoSpaceDN w:val="0"/>
        <w:adjustRightInd w:val="0"/>
        <w:snapToGrid w:val="0"/>
        <w:spacing w:before="51" w:line="360" w:lineRule="auto"/>
        <w:ind w:left="120" w:right="13" w:rightChars="6" w:firstLine="480"/>
        <w:rPr>
          <w:rFonts w:ascii="宋体" w:hAnsi="宋体"/>
          <w:kern w:val="0"/>
          <w:szCs w:val="24"/>
        </w:rPr>
        <w:sectPr>
          <w:headerReference r:id="rId6" w:type="default"/>
          <w:pgSz w:w="11920" w:h="16840"/>
          <w:pgMar w:top="1440" w:right="1680" w:bottom="280" w:left="1680" w:header="0" w:footer="1073" w:gutter="0"/>
          <w:pgNumType w:start="1"/>
          <w:cols w:space="720" w:num="1"/>
        </w:sectPr>
      </w:pPr>
    </w:p>
    <w:p>
      <w:pPr>
        <w:pStyle w:val="20"/>
        <w:snapToGrid w:val="0"/>
        <w:spacing w:after="240" w:line="360" w:lineRule="auto"/>
        <w:jc w:val="center"/>
        <w:rPr>
          <w:rFonts w:ascii="宋体" w:hAnsi="宋体"/>
          <w:sz w:val="24"/>
        </w:rPr>
      </w:pPr>
      <w:r>
        <w:rPr>
          <w:rFonts w:ascii="宋体" w:hAnsi="宋体"/>
          <w:color w:val="000000"/>
          <w:position w:val="-4"/>
          <w:sz w:val="24"/>
          <w:szCs w:val="30"/>
        </w:rPr>
        <w:t>目</w:t>
      </w:r>
      <w:r>
        <w:rPr>
          <w:rFonts w:ascii="宋体" w:hAnsi="宋体"/>
          <w:color w:val="000000"/>
          <w:position w:val="-4"/>
          <w:sz w:val="24"/>
          <w:szCs w:val="30"/>
        </w:rPr>
        <w:tab/>
      </w:r>
      <w:r>
        <w:rPr>
          <w:rFonts w:ascii="宋体" w:hAnsi="宋体"/>
          <w:color w:val="000000"/>
          <w:position w:val="-4"/>
          <w:sz w:val="24"/>
          <w:szCs w:val="30"/>
        </w:rPr>
        <w:t>录</w:t>
      </w:r>
      <w:r>
        <w:rPr>
          <w:rFonts w:ascii="宋体" w:hAnsi="宋体"/>
          <w:color w:val="000000"/>
          <w:position w:val="-4"/>
          <w:sz w:val="24"/>
          <w:szCs w:val="30"/>
        </w:rPr>
        <w:fldChar w:fldCharType="begin"/>
      </w:r>
      <w:r>
        <w:rPr>
          <w:rFonts w:ascii="宋体" w:hAnsi="宋体"/>
          <w:color w:val="000000"/>
          <w:position w:val="-4"/>
          <w:sz w:val="24"/>
          <w:szCs w:val="30"/>
        </w:rPr>
        <w:instrText xml:space="preserve"> TOC \o "1-3" \f - \h \t "-1" </w:instrText>
      </w:r>
      <w:r>
        <w:rPr>
          <w:rFonts w:ascii="宋体" w:hAnsi="宋体"/>
          <w:color w:val="000000"/>
          <w:position w:val="-4"/>
          <w:sz w:val="24"/>
          <w:szCs w:val="30"/>
        </w:rPr>
        <w:fldChar w:fldCharType="separate"/>
      </w:r>
    </w:p>
    <w:p>
      <w:pPr>
        <w:pStyle w:val="10"/>
        <w:tabs>
          <w:tab w:val="right" w:leader="dot" w:pos="8550"/>
        </w:tabs>
        <w:spacing w:line="360" w:lineRule="auto"/>
        <w:rPr>
          <w:rFonts w:ascii="宋体" w:hAnsi="宋体"/>
          <w:sz w:val="24"/>
        </w:rPr>
      </w:pPr>
      <w:r>
        <w:fldChar w:fldCharType="begin"/>
      </w:r>
      <w:r>
        <w:instrText xml:space="preserve"> HYPERLINK \l "_Toc123063662" </w:instrText>
      </w:r>
      <w:r>
        <w:fldChar w:fldCharType="separate"/>
      </w:r>
      <w:r>
        <w:rPr>
          <w:rStyle w:val="18"/>
          <w:rFonts w:hint="eastAsia" w:ascii="宋体" w:hAnsi="宋体"/>
          <w:kern w:val="0"/>
          <w:sz w:val="24"/>
        </w:rPr>
        <w:t>重要提示</w:t>
      </w:r>
      <w:r>
        <w:rPr>
          <w:rFonts w:ascii="宋体" w:hAnsi="宋体"/>
          <w:sz w:val="24"/>
        </w:rPr>
        <w:tab/>
      </w:r>
      <w:r>
        <w:rPr>
          <w:rFonts w:ascii="宋体" w:hAnsi="宋体"/>
          <w:sz w:val="24"/>
        </w:rPr>
        <w:fldChar w:fldCharType="begin"/>
      </w:r>
      <w:r>
        <w:rPr>
          <w:rFonts w:ascii="宋体" w:hAnsi="宋体"/>
          <w:sz w:val="24"/>
        </w:rPr>
        <w:instrText xml:space="preserve"> PAGEREF _Toc123063662 \h </w:instrText>
      </w:r>
      <w:r>
        <w:rPr>
          <w:rFonts w:ascii="宋体" w:hAnsi="宋体"/>
          <w:sz w:val="24"/>
        </w:rPr>
        <w:fldChar w:fldCharType="separate"/>
      </w:r>
      <w:r>
        <w:rPr>
          <w:rFonts w:ascii="宋体" w:hAnsi="宋体"/>
          <w:sz w:val="24"/>
        </w:rPr>
        <w:t>1</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"_Toc123063663" </w:instrText>
      </w:r>
      <w:r>
        <w:fldChar w:fldCharType="separate"/>
      </w:r>
      <w:r>
        <w:rPr>
          <w:rStyle w:val="18"/>
          <w:rFonts w:hint="eastAsia" w:ascii="宋体" w:hAnsi="宋体"/>
          <w:sz w:val="24"/>
        </w:rPr>
        <w:t>一、绪言</w:t>
      </w:r>
      <w:r>
        <w:rPr>
          <w:rFonts w:ascii="宋体" w:hAnsi="宋体"/>
          <w:sz w:val="24"/>
        </w:rPr>
        <w:tab/>
      </w:r>
      <w:r>
        <w:rPr>
          <w:rFonts w:ascii="宋体" w:hAnsi="宋体"/>
          <w:sz w:val="24"/>
        </w:rPr>
        <w:fldChar w:fldCharType="begin"/>
      </w:r>
      <w:r>
        <w:rPr>
          <w:rFonts w:ascii="宋体" w:hAnsi="宋体"/>
          <w:sz w:val="24"/>
        </w:rPr>
        <w:instrText xml:space="preserve"> PAGEREF _Toc123063663 \h </w:instrText>
      </w:r>
      <w:r>
        <w:rPr>
          <w:rFonts w:ascii="宋体" w:hAnsi="宋体"/>
          <w:sz w:val="24"/>
        </w:rPr>
        <w:fldChar w:fldCharType="separate"/>
      </w:r>
      <w:r>
        <w:rPr>
          <w:rFonts w:ascii="宋体" w:hAnsi="宋体"/>
          <w:sz w:val="24"/>
        </w:rPr>
        <w:t>6</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"_Toc123063664" </w:instrText>
      </w:r>
      <w:r>
        <w:fldChar w:fldCharType="separate"/>
      </w:r>
      <w:r>
        <w:rPr>
          <w:rStyle w:val="18"/>
          <w:rFonts w:hint="eastAsia" w:ascii="宋体" w:hAnsi="宋体"/>
          <w:sz w:val="24"/>
        </w:rPr>
        <w:t>二、释义</w:t>
      </w:r>
      <w:r>
        <w:rPr>
          <w:rFonts w:ascii="宋体" w:hAnsi="宋体"/>
          <w:sz w:val="24"/>
        </w:rPr>
        <w:tab/>
      </w:r>
      <w:r>
        <w:rPr>
          <w:rFonts w:ascii="宋体" w:hAnsi="宋体"/>
          <w:sz w:val="24"/>
        </w:rPr>
        <w:fldChar w:fldCharType="begin"/>
      </w:r>
      <w:r>
        <w:rPr>
          <w:rFonts w:ascii="宋体" w:hAnsi="宋体"/>
          <w:sz w:val="24"/>
        </w:rPr>
        <w:instrText xml:space="preserve"> PAGEREF _Toc123063664 \h </w:instrText>
      </w:r>
      <w:r>
        <w:rPr>
          <w:rFonts w:ascii="宋体" w:hAnsi="宋体"/>
          <w:sz w:val="24"/>
        </w:rPr>
        <w:fldChar w:fldCharType="separate"/>
      </w:r>
      <w:r>
        <w:rPr>
          <w:rFonts w:ascii="宋体" w:hAnsi="宋体"/>
          <w:sz w:val="24"/>
        </w:rPr>
        <w:t>7</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"_Toc123063665" </w:instrText>
      </w:r>
      <w:r>
        <w:fldChar w:fldCharType="separate"/>
      </w:r>
      <w:r>
        <w:rPr>
          <w:rStyle w:val="18"/>
          <w:rFonts w:hint="eastAsia" w:ascii="宋体" w:hAnsi="宋体"/>
          <w:sz w:val="24"/>
        </w:rPr>
        <w:t>三、基金管理人</w:t>
      </w:r>
      <w:r>
        <w:rPr>
          <w:rFonts w:ascii="宋体" w:hAnsi="宋体"/>
          <w:sz w:val="24"/>
        </w:rPr>
        <w:tab/>
      </w:r>
      <w:r>
        <w:rPr>
          <w:rFonts w:ascii="宋体" w:hAnsi="宋体"/>
          <w:sz w:val="24"/>
        </w:rPr>
        <w:fldChar w:fldCharType="begin"/>
      </w:r>
      <w:r>
        <w:rPr>
          <w:rFonts w:ascii="宋体" w:hAnsi="宋体"/>
          <w:sz w:val="24"/>
        </w:rPr>
        <w:instrText xml:space="preserve"> PAGEREF _Toc123063665 \h </w:instrText>
      </w:r>
      <w:r>
        <w:rPr>
          <w:rFonts w:ascii="宋体" w:hAnsi="宋体"/>
          <w:sz w:val="24"/>
        </w:rPr>
        <w:fldChar w:fldCharType="separate"/>
      </w:r>
      <w:r>
        <w:rPr>
          <w:rFonts w:ascii="宋体" w:hAnsi="宋体"/>
          <w:sz w:val="24"/>
        </w:rPr>
        <w:t>13</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"_Toc123063666" </w:instrText>
      </w:r>
      <w:r>
        <w:fldChar w:fldCharType="separate"/>
      </w:r>
      <w:r>
        <w:rPr>
          <w:rStyle w:val="18"/>
          <w:rFonts w:hint="eastAsia" w:ascii="宋体" w:hAnsi="宋体"/>
          <w:sz w:val="24"/>
        </w:rPr>
        <w:t>四、基金托管人</w:t>
      </w:r>
      <w:r>
        <w:rPr>
          <w:rFonts w:ascii="宋体" w:hAnsi="宋体"/>
          <w:sz w:val="24"/>
        </w:rPr>
        <w:tab/>
      </w:r>
      <w:r>
        <w:rPr>
          <w:rFonts w:ascii="宋体" w:hAnsi="宋体"/>
          <w:sz w:val="24"/>
        </w:rPr>
        <w:fldChar w:fldCharType="begin"/>
      </w:r>
      <w:r>
        <w:rPr>
          <w:rFonts w:ascii="宋体" w:hAnsi="宋体"/>
          <w:sz w:val="24"/>
        </w:rPr>
        <w:instrText xml:space="preserve"> PAGEREF _Toc123063666 \h </w:instrText>
      </w:r>
      <w:r>
        <w:rPr>
          <w:rFonts w:ascii="宋体" w:hAnsi="宋体"/>
          <w:sz w:val="24"/>
        </w:rPr>
        <w:fldChar w:fldCharType="separate"/>
      </w:r>
      <w:r>
        <w:rPr>
          <w:rFonts w:ascii="宋体" w:hAnsi="宋体"/>
          <w:sz w:val="24"/>
        </w:rPr>
        <w:t>21</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"_Toc123063667" </w:instrText>
      </w:r>
      <w:r>
        <w:fldChar w:fldCharType="separate"/>
      </w:r>
      <w:r>
        <w:rPr>
          <w:rStyle w:val="18"/>
          <w:rFonts w:hint="eastAsia" w:ascii="宋体" w:hAnsi="宋体"/>
          <w:sz w:val="24"/>
        </w:rPr>
        <w:t>五、相关服务机构</w:t>
      </w:r>
      <w:r>
        <w:rPr>
          <w:rFonts w:ascii="宋体" w:hAnsi="宋体"/>
          <w:sz w:val="24"/>
        </w:rPr>
        <w:tab/>
      </w:r>
      <w:r>
        <w:rPr>
          <w:rFonts w:ascii="宋体" w:hAnsi="宋体"/>
          <w:sz w:val="24"/>
        </w:rPr>
        <w:fldChar w:fldCharType="begin"/>
      </w:r>
      <w:r>
        <w:rPr>
          <w:rFonts w:ascii="宋体" w:hAnsi="宋体"/>
          <w:sz w:val="24"/>
        </w:rPr>
        <w:instrText xml:space="preserve"> PAGEREF _Toc123063667 \h </w:instrText>
      </w:r>
      <w:r>
        <w:rPr>
          <w:rFonts w:ascii="宋体" w:hAnsi="宋体"/>
          <w:sz w:val="24"/>
        </w:rPr>
        <w:fldChar w:fldCharType="separate"/>
      </w:r>
      <w:r>
        <w:rPr>
          <w:rFonts w:ascii="宋体" w:hAnsi="宋体"/>
          <w:sz w:val="24"/>
        </w:rPr>
        <w:t>24</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"_Toc123063668" </w:instrText>
      </w:r>
      <w:r>
        <w:fldChar w:fldCharType="separate"/>
      </w:r>
      <w:r>
        <w:rPr>
          <w:rStyle w:val="18"/>
          <w:rFonts w:hint="eastAsia" w:ascii="宋体" w:hAnsi="宋体"/>
          <w:sz w:val="24"/>
        </w:rPr>
        <w:t>六、基金的募集</w:t>
      </w:r>
      <w:r>
        <w:rPr>
          <w:rFonts w:ascii="宋体" w:hAnsi="宋体"/>
          <w:sz w:val="24"/>
        </w:rPr>
        <w:tab/>
      </w:r>
      <w:r>
        <w:rPr>
          <w:rFonts w:ascii="宋体" w:hAnsi="宋体"/>
          <w:sz w:val="24"/>
        </w:rPr>
        <w:fldChar w:fldCharType="begin"/>
      </w:r>
      <w:r>
        <w:rPr>
          <w:rFonts w:ascii="宋体" w:hAnsi="宋体"/>
          <w:sz w:val="24"/>
        </w:rPr>
        <w:instrText xml:space="preserve"> PAGEREF _Toc123063668 \h </w:instrText>
      </w:r>
      <w:r>
        <w:rPr>
          <w:rFonts w:ascii="宋体" w:hAnsi="宋体"/>
          <w:sz w:val="24"/>
        </w:rPr>
        <w:fldChar w:fldCharType="separate"/>
      </w:r>
      <w:r>
        <w:rPr>
          <w:rFonts w:ascii="宋体" w:hAnsi="宋体"/>
          <w:sz w:val="24"/>
        </w:rPr>
        <w:t>45</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"_Toc123063669" </w:instrText>
      </w:r>
      <w:r>
        <w:fldChar w:fldCharType="separate"/>
      </w:r>
      <w:r>
        <w:rPr>
          <w:rStyle w:val="18"/>
          <w:rFonts w:hint="eastAsia" w:ascii="宋体" w:hAnsi="宋体"/>
          <w:sz w:val="24"/>
        </w:rPr>
        <w:t>七、基金合同的生效</w:t>
      </w:r>
      <w:r>
        <w:rPr>
          <w:rFonts w:ascii="宋体" w:hAnsi="宋体"/>
          <w:sz w:val="24"/>
        </w:rPr>
        <w:tab/>
      </w:r>
      <w:r>
        <w:rPr>
          <w:rFonts w:ascii="宋体" w:hAnsi="宋体"/>
          <w:sz w:val="24"/>
        </w:rPr>
        <w:fldChar w:fldCharType="begin"/>
      </w:r>
      <w:r>
        <w:rPr>
          <w:rFonts w:ascii="宋体" w:hAnsi="宋体"/>
          <w:sz w:val="24"/>
        </w:rPr>
        <w:instrText xml:space="preserve"> PAGEREF _Toc123063669 \h </w:instrText>
      </w:r>
      <w:r>
        <w:rPr>
          <w:rFonts w:ascii="宋体" w:hAnsi="宋体"/>
          <w:sz w:val="24"/>
        </w:rPr>
        <w:fldChar w:fldCharType="separate"/>
      </w:r>
      <w:r>
        <w:rPr>
          <w:rFonts w:ascii="宋体" w:hAnsi="宋体"/>
          <w:sz w:val="24"/>
        </w:rPr>
        <w:t>46</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"_Toc123063670" </w:instrText>
      </w:r>
      <w:r>
        <w:fldChar w:fldCharType="separate"/>
      </w:r>
      <w:r>
        <w:rPr>
          <w:rStyle w:val="18"/>
          <w:rFonts w:hint="eastAsia" w:ascii="宋体" w:hAnsi="宋体"/>
          <w:sz w:val="24"/>
        </w:rPr>
        <w:t>八、基金份额的上市交易</w:t>
      </w:r>
      <w:r>
        <w:rPr>
          <w:rFonts w:ascii="宋体" w:hAnsi="宋体"/>
          <w:sz w:val="24"/>
        </w:rPr>
        <w:tab/>
      </w:r>
      <w:r>
        <w:rPr>
          <w:rFonts w:ascii="宋体" w:hAnsi="宋体"/>
          <w:sz w:val="24"/>
        </w:rPr>
        <w:fldChar w:fldCharType="begin"/>
      </w:r>
      <w:r>
        <w:rPr>
          <w:rFonts w:ascii="宋体" w:hAnsi="宋体"/>
          <w:sz w:val="24"/>
        </w:rPr>
        <w:instrText xml:space="preserve"> PAGEREF _Toc123063670 \h </w:instrText>
      </w:r>
      <w:r>
        <w:rPr>
          <w:rFonts w:ascii="宋体" w:hAnsi="宋体"/>
          <w:sz w:val="24"/>
        </w:rPr>
        <w:fldChar w:fldCharType="separate"/>
      </w:r>
      <w:r>
        <w:rPr>
          <w:rFonts w:ascii="宋体" w:hAnsi="宋体"/>
          <w:sz w:val="24"/>
        </w:rPr>
        <w:t>47</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"_Toc123063671" </w:instrText>
      </w:r>
      <w:r>
        <w:fldChar w:fldCharType="separate"/>
      </w:r>
      <w:r>
        <w:rPr>
          <w:rStyle w:val="18"/>
          <w:rFonts w:hint="eastAsia" w:ascii="宋体" w:hAnsi="宋体"/>
          <w:sz w:val="24"/>
        </w:rPr>
        <w:t>九、基金份额的申购与赎回</w:t>
      </w:r>
      <w:r>
        <w:rPr>
          <w:rFonts w:ascii="宋体" w:hAnsi="宋体"/>
          <w:sz w:val="24"/>
        </w:rPr>
        <w:tab/>
      </w:r>
      <w:r>
        <w:rPr>
          <w:rFonts w:ascii="宋体" w:hAnsi="宋体"/>
          <w:sz w:val="24"/>
        </w:rPr>
        <w:fldChar w:fldCharType="begin"/>
      </w:r>
      <w:r>
        <w:rPr>
          <w:rFonts w:ascii="宋体" w:hAnsi="宋体"/>
          <w:sz w:val="24"/>
        </w:rPr>
        <w:instrText xml:space="preserve"> PAGEREF _Toc123063671 \h </w:instrText>
      </w:r>
      <w:r>
        <w:rPr>
          <w:rFonts w:ascii="宋体" w:hAnsi="宋体"/>
          <w:sz w:val="24"/>
        </w:rPr>
        <w:fldChar w:fldCharType="separate"/>
      </w:r>
      <w:r>
        <w:rPr>
          <w:rFonts w:ascii="宋体" w:hAnsi="宋体"/>
          <w:sz w:val="24"/>
        </w:rPr>
        <w:t>49</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"_Toc123063672" </w:instrText>
      </w:r>
      <w:r>
        <w:fldChar w:fldCharType="separate"/>
      </w:r>
      <w:r>
        <w:rPr>
          <w:rStyle w:val="18"/>
          <w:rFonts w:hint="eastAsia" w:ascii="宋体" w:hAnsi="宋体"/>
          <w:sz w:val="24"/>
        </w:rPr>
        <w:t>十、基金的投资</w:t>
      </w:r>
      <w:r>
        <w:rPr>
          <w:rFonts w:ascii="宋体" w:hAnsi="宋体"/>
          <w:sz w:val="24"/>
        </w:rPr>
        <w:tab/>
      </w:r>
      <w:r>
        <w:rPr>
          <w:rFonts w:ascii="宋体" w:hAnsi="宋体"/>
          <w:sz w:val="24"/>
        </w:rPr>
        <w:fldChar w:fldCharType="begin"/>
      </w:r>
      <w:r>
        <w:rPr>
          <w:rFonts w:ascii="宋体" w:hAnsi="宋体"/>
          <w:sz w:val="24"/>
        </w:rPr>
        <w:instrText xml:space="preserve"> PAGEREF _Toc123063672 \h </w:instrText>
      </w:r>
      <w:r>
        <w:rPr>
          <w:rFonts w:ascii="宋体" w:hAnsi="宋体"/>
          <w:sz w:val="24"/>
        </w:rPr>
        <w:fldChar w:fldCharType="separate"/>
      </w:r>
      <w:r>
        <w:rPr>
          <w:rFonts w:ascii="宋体" w:hAnsi="宋体"/>
          <w:sz w:val="24"/>
        </w:rPr>
        <w:t>63</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"_Toc123063673" </w:instrText>
      </w:r>
      <w:r>
        <w:fldChar w:fldCharType="separate"/>
      </w:r>
      <w:r>
        <w:rPr>
          <w:rStyle w:val="18"/>
          <w:rFonts w:hint="eastAsia" w:ascii="宋体" w:hAnsi="宋体"/>
          <w:sz w:val="24"/>
        </w:rPr>
        <w:t>十一、基金的业绩</w:t>
      </w:r>
      <w:r>
        <w:rPr>
          <w:rFonts w:ascii="宋体" w:hAnsi="宋体"/>
          <w:sz w:val="24"/>
        </w:rPr>
        <w:tab/>
      </w:r>
      <w:r>
        <w:rPr>
          <w:rFonts w:ascii="宋体" w:hAnsi="宋体"/>
          <w:sz w:val="24"/>
        </w:rPr>
        <w:fldChar w:fldCharType="begin"/>
      </w:r>
      <w:r>
        <w:rPr>
          <w:rFonts w:ascii="宋体" w:hAnsi="宋体"/>
          <w:sz w:val="24"/>
        </w:rPr>
        <w:instrText xml:space="preserve"> PAGEREF _Toc123063673 \h </w:instrText>
      </w:r>
      <w:r>
        <w:rPr>
          <w:rFonts w:ascii="宋体" w:hAnsi="宋体"/>
          <w:sz w:val="24"/>
        </w:rPr>
        <w:fldChar w:fldCharType="separate"/>
      </w:r>
      <w:r>
        <w:rPr>
          <w:rFonts w:ascii="宋体" w:hAnsi="宋体"/>
          <w:sz w:val="24"/>
        </w:rPr>
        <w:t>77</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"_Toc123063674" </w:instrText>
      </w:r>
      <w:r>
        <w:fldChar w:fldCharType="separate"/>
      </w:r>
      <w:r>
        <w:rPr>
          <w:rStyle w:val="18"/>
          <w:rFonts w:hint="eastAsia" w:ascii="宋体" w:hAnsi="宋体"/>
          <w:sz w:val="24"/>
        </w:rPr>
        <w:t>十二、基金的财产</w:t>
      </w:r>
      <w:r>
        <w:rPr>
          <w:rFonts w:ascii="宋体" w:hAnsi="宋体"/>
          <w:sz w:val="24"/>
        </w:rPr>
        <w:tab/>
      </w:r>
      <w:r>
        <w:rPr>
          <w:rFonts w:ascii="宋体" w:hAnsi="宋体"/>
          <w:sz w:val="24"/>
        </w:rPr>
        <w:fldChar w:fldCharType="begin"/>
      </w:r>
      <w:r>
        <w:rPr>
          <w:rFonts w:ascii="宋体" w:hAnsi="宋体"/>
          <w:sz w:val="24"/>
        </w:rPr>
        <w:instrText xml:space="preserve"> PAGEREF _Toc123063674 \h </w:instrText>
      </w:r>
      <w:r>
        <w:rPr>
          <w:rFonts w:ascii="宋体" w:hAnsi="宋体"/>
          <w:sz w:val="24"/>
        </w:rPr>
        <w:fldChar w:fldCharType="separate"/>
      </w:r>
      <w:r>
        <w:rPr>
          <w:rFonts w:ascii="宋体" w:hAnsi="宋体"/>
          <w:sz w:val="24"/>
        </w:rPr>
        <w:t>79</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"_Toc123063675" </w:instrText>
      </w:r>
      <w:r>
        <w:fldChar w:fldCharType="separate"/>
      </w:r>
      <w:r>
        <w:rPr>
          <w:rStyle w:val="18"/>
          <w:rFonts w:hint="eastAsia" w:ascii="宋体" w:hAnsi="宋体"/>
          <w:sz w:val="24"/>
        </w:rPr>
        <w:t>十三、基金资产的估值</w:t>
      </w:r>
      <w:r>
        <w:rPr>
          <w:rFonts w:ascii="宋体" w:hAnsi="宋体"/>
          <w:sz w:val="24"/>
        </w:rPr>
        <w:tab/>
      </w:r>
      <w:r>
        <w:rPr>
          <w:rFonts w:ascii="宋体" w:hAnsi="宋体"/>
          <w:sz w:val="24"/>
        </w:rPr>
        <w:fldChar w:fldCharType="begin"/>
      </w:r>
      <w:r>
        <w:rPr>
          <w:rFonts w:ascii="宋体" w:hAnsi="宋体"/>
          <w:sz w:val="24"/>
        </w:rPr>
        <w:instrText xml:space="preserve"> PAGEREF _Toc123063675 \h </w:instrText>
      </w:r>
      <w:r>
        <w:rPr>
          <w:rFonts w:ascii="宋体" w:hAnsi="宋体"/>
          <w:sz w:val="24"/>
        </w:rPr>
        <w:fldChar w:fldCharType="separate"/>
      </w:r>
      <w:r>
        <w:rPr>
          <w:rFonts w:ascii="宋体" w:hAnsi="宋体"/>
          <w:sz w:val="24"/>
        </w:rPr>
        <w:t>80</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"_Toc123063676" </w:instrText>
      </w:r>
      <w:r>
        <w:fldChar w:fldCharType="separate"/>
      </w:r>
      <w:r>
        <w:rPr>
          <w:rStyle w:val="18"/>
          <w:rFonts w:hint="eastAsia" w:ascii="宋体" w:hAnsi="宋体"/>
          <w:sz w:val="24"/>
        </w:rPr>
        <w:t>十四、基金收益与分配</w:t>
      </w:r>
      <w:r>
        <w:rPr>
          <w:rFonts w:ascii="宋体" w:hAnsi="宋体"/>
          <w:sz w:val="24"/>
        </w:rPr>
        <w:tab/>
      </w:r>
      <w:r>
        <w:rPr>
          <w:rFonts w:ascii="宋体" w:hAnsi="宋体"/>
          <w:sz w:val="24"/>
        </w:rPr>
        <w:fldChar w:fldCharType="begin"/>
      </w:r>
      <w:r>
        <w:rPr>
          <w:rFonts w:ascii="宋体" w:hAnsi="宋体"/>
          <w:sz w:val="24"/>
        </w:rPr>
        <w:instrText xml:space="preserve"> PAGEREF _Toc123063676 \h </w:instrText>
      </w:r>
      <w:r>
        <w:rPr>
          <w:rFonts w:ascii="宋体" w:hAnsi="宋体"/>
          <w:sz w:val="24"/>
        </w:rPr>
        <w:fldChar w:fldCharType="separate"/>
      </w:r>
      <w:r>
        <w:rPr>
          <w:rFonts w:ascii="宋体" w:hAnsi="宋体"/>
          <w:sz w:val="24"/>
        </w:rPr>
        <w:t>86</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"_Toc123063677" </w:instrText>
      </w:r>
      <w:r>
        <w:fldChar w:fldCharType="separate"/>
      </w:r>
      <w:r>
        <w:rPr>
          <w:rStyle w:val="18"/>
          <w:rFonts w:hint="eastAsia" w:ascii="宋体" w:hAnsi="宋体"/>
          <w:sz w:val="24"/>
        </w:rPr>
        <w:t>十五、基金的费用与税收</w:t>
      </w:r>
      <w:r>
        <w:rPr>
          <w:rFonts w:ascii="宋体" w:hAnsi="宋体"/>
          <w:sz w:val="24"/>
        </w:rPr>
        <w:tab/>
      </w:r>
      <w:r>
        <w:rPr>
          <w:rFonts w:ascii="宋体" w:hAnsi="宋体"/>
          <w:sz w:val="24"/>
        </w:rPr>
        <w:fldChar w:fldCharType="begin"/>
      </w:r>
      <w:r>
        <w:rPr>
          <w:rFonts w:ascii="宋体" w:hAnsi="宋体"/>
          <w:sz w:val="24"/>
        </w:rPr>
        <w:instrText xml:space="preserve"> PAGEREF _Toc123063677 \h </w:instrText>
      </w:r>
      <w:r>
        <w:rPr>
          <w:rFonts w:ascii="宋体" w:hAnsi="宋体"/>
          <w:sz w:val="24"/>
        </w:rPr>
        <w:fldChar w:fldCharType="separate"/>
      </w:r>
      <w:r>
        <w:rPr>
          <w:rFonts w:ascii="宋体" w:hAnsi="宋体"/>
          <w:sz w:val="24"/>
        </w:rPr>
        <w:t>88</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"_Toc123063678" </w:instrText>
      </w:r>
      <w:r>
        <w:fldChar w:fldCharType="separate"/>
      </w:r>
      <w:r>
        <w:rPr>
          <w:rStyle w:val="18"/>
          <w:rFonts w:hint="eastAsia" w:ascii="宋体" w:hAnsi="宋体"/>
          <w:sz w:val="24"/>
        </w:rPr>
        <w:t>十六、基金的会计与审计</w:t>
      </w:r>
      <w:r>
        <w:rPr>
          <w:rFonts w:ascii="宋体" w:hAnsi="宋体"/>
          <w:sz w:val="24"/>
        </w:rPr>
        <w:tab/>
      </w:r>
      <w:r>
        <w:rPr>
          <w:rFonts w:ascii="宋体" w:hAnsi="宋体"/>
          <w:sz w:val="24"/>
        </w:rPr>
        <w:fldChar w:fldCharType="begin"/>
      </w:r>
      <w:r>
        <w:rPr>
          <w:rFonts w:ascii="宋体" w:hAnsi="宋体"/>
          <w:sz w:val="24"/>
        </w:rPr>
        <w:instrText xml:space="preserve"> PAGEREF _Toc123063678 \h </w:instrText>
      </w:r>
      <w:r>
        <w:rPr>
          <w:rFonts w:ascii="宋体" w:hAnsi="宋体"/>
          <w:sz w:val="24"/>
        </w:rPr>
        <w:fldChar w:fldCharType="separate"/>
      </w:r>
      <w:r>
        <w:rPr>
          <w:rFonts w:ascii="宋体" w:hAnsi="宋体"/>
          <w:sz w:val="24"/>
        </w:rPr>
        <w:t>91</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"_Toc123063679" </w:instrText>
      </w:r>
      <w:r>
        <w:fldChar w:fldCharType="separate"/>
      </w:r>
      <w:r>
        <w:rPr>
          <w:rStyle w:val="18"/>
          <w:rFonts w:hint="eastAsia" w:ascii="宋体" w:hAnsi="宋体"/>
          <w:sz w:val="24"/>
        </w:rPr>
        <w:t>十七、基金的信息披露</w:t>
      </w:r>
      <w:r>
        <w:rPr>
          <w:rFonts w:ascii="宋体" w:hAnsi="宋体"/>
          <w:sz w:val="24"/>
        </w:rPr>
        <w:tab/>
      </w:r>
      <w:r>
        <w:rPr>
          <w:rFonts w:ascii="宋体" w:hAnsi="宋体"/>
          <w:sz w:val="24"/>
        </w:rPr>
        <w:fldChar w:fldCharType="begin"/>
      </w:r>
      <w:r>
        <w:rPr>
          <w:rFonts w:ascii="宋体" w:hAnsi="宋体"/>
          <w:sz w:val="24"/>
        </w:rPr>
        <w:instrText xml:space="preserve"> PAGEREF _Toc123063679 \h </w:instrText>
      </w:r>
      <w:r>
        <w:rPr>
          <w:rFonts w:ascii="宋体" w:hAnsi="宋体"/>
          <w:sz w:val="24"/>
        </w:rPr>
        <w:fldChar w:fldCharType="separate"/>
      </w:r>
      <w:r>
        <w:rPr>
          <w:rFonts w:ascii="宋体" w:hAnsi="宋体"/>
          <w:sz w:val="24"/>
        </w:rPr>
        <w:t>92</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"_Toc123063680" </w:instrText>
      </w:r>
      <w:r>
        <w:fldChar w:fldCharType="separate"/>
      </w:r>
      <w:r>
        <w:rPr>
          <w:rStyle w:val="18"/>
          <w:rFonts w:hint="eastAsia" w:ascii="宋体" w:hAnsi="宋体"/>
          <w:sz w:val="24"/>
        </w:rPr>
        <w:t>十八、风险揭示</w:t>
      </w:r>
      <w:r>
        <w:rPr>
          <w:rFonts w:ascii="宋体" w:hAnsi="宋体"/>
          <w:sz w:val="24"/>
        </w:rPr>
        <w:tab/>
      </w:r>
      <w:r>
        <w:rPr>
          <w:rFonts w:ascii="宋体" w:hAnsi="宋体"/>
          <w:sz w:val="24"/>
        </w:rPr>
        <w:fldChar w:fldCharType="begin"/>
      </w:r>
      <w:r>
        <w:rPr>
          <w:rFonts w:ascii="宋体" w:hAnsi="宋体"/>
          <w:sz w:val="24"/>
        </w:rPr>
        <w:instrText xml:space="preserve"> PAGEREF _Toc123063680 \h </w:instrText>
      </w:r>
      <w:r>
        <w:rPr>
          <w:rFonts w:ascii="宋体" w:hAnsi="宋体"/>
          <w:sz w:val="24"/>
        </w:rPr>
        <w:fldChar w:fldCharType="separate"/>
      </w:r>
      <w:r>
        <w:rPr>
          <w:rFonts w:ascii="宋体" w:hAnsi="宋体"/>
          <w:sz w:val="24"/>
        </w:rPr>
        <w:t>99</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"_Toc123063681" </w:instrText>
      </w:r>
      <w:r>
        <w:fldChar w:fldCharType="separate"/>
      </w:r>
      <w:r>
        <w:rPr>
          <w:rStyle w:val="18"/>
          <w:rFonts w:hint="eastAsia" w:ascii="宋体" w:hAnsi="宋体"/>
          <w:sz w:val="24"/>
        </w:rPr>
        <w:t>十九、基金合同的变更、终止与基金财产的清算</w:t>
      </w:r>
      <w:r>
        <w:rPr>
          <w:rFonts w:ascii="宋体" w:hAnsi="宋体"/>
          <w:sz w:val="24"/>
        </w:rPr>
        <w:tab/>
      </w:r>
      <w:r>
        <w:rPr>
          <w:rFonts w:ascii="宋体" w:hAnsi="宋体"/>
          <w:sz w:val="24"/>
        </w:rPr>
        <w:fldChar w:fldCharType="begin"/>
      </w:r>
      <w:r>
        <w:rPr>
          <w:rFonts w:ascii="宋体" w:hAnsi="宋体"/>
          <w:sz w:val="24"/>
        </w:rPr>
        <w:instrText xml:space="preserve"> PAGEREF _Toc123063681 \h </w:instrText>
      </w:r>
      <w:r>
        <w:rPr>
          <w:rFonts w:ascii="宋体" w:hAnsi="宋体"/>
          <w:sz w:val="24"/>
        </w:rPr>
        <w:fldChar w:fldCharType="separate"/>
      </w:r>
      <w:r>
        <w:rPr>
          <w:rFonts w:ascii="宋体" w:hAnsi="宋体"/>
          <w:sz w:val="24"/>
        </w:rPr>
        <w:t>108</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"_Toc123063682" </w:instrText>
      </w:r>
      <w:r>
        <w:fldChar w:fldCharType="separate"/>
      </w:r>
      <w:r>
        <w:rPr>
          <w:rStyle w:val="18"/>
          <w:rFonts w:hint="eastAsia" w:ascii="宋体" w:hAnsi="宋体"/>
          <w:sz w:val="24"/>
        </w:rPr>
        <w:t>二十、基金合同内容摘要</w:t>
      </w:r>
      <w:r>
        <w:rPr>
          <w:rFonts w:ascii="宋体" w:hAnsi="宋体"/>
          <w:sz w:val="24"/>
        </w:rPr>
        <w:tab/>
      </w:r>
      <w:r>
        <w:rPr>
          <w:rFonts w:ascii="宋体" w:hAnsi="宋体"/>
          <w:sz w:val="24"/>
        </w:rPr>
        <w:fldChar w:fldCharType="begin"/>
      </w:r>
      <w:r>
        <w:rPr>
          <w:rFonts w:ascii="宋体" w:hAnsi="宋体"/>
          <w:sz w:val="24"/>
        </w:rPr>
        <w:instrText xml:space="preserve"> PAGEREF _Toc123063682 \h </w:instrText>
      </w:r>
      <w:r>
        <w:rPr>
          <w:rFonts w:ascii="宋体" w:hAnsi="宋体"/>
          <w:sz w:val="24"/>
        </w:rPr>
        <w:fldChar w:fldCharType="separate"/>
      </w:r>
      <w:r>
        <w:rPr>
          <w:rFonts w:ascii="宋体" w:hAnsi="宋体"/>
          <w:sz w:val="24"/>
        </w:rPr>
        <w:t>110</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"_Toc123063683" </w:instrText>
      </w:r>
      <w:r>
        <w:fldChar w:fldCharType="separate"/>
      </w:r>
      <w:r>
        <w:rPr>
          <w:rStyle w:val="18"/>
          <w:rFonts w:hint="eastAsia" w:ascii="宋体" w:hAnsi="宋体"/>
          <w:sz w:val="24"/>
        </w:rPr>
        <w:t>二十一、托管协议的内容摘要</w:t>
      </w:r>
      <w:r>
        <w:rPr>
          <w:rFonts w:ascii="宋体" w:hAnsi="宋体"/>
          <w:sz w:val="24"/>
        </w:rPr>
        <w:tab/>
      </w:r>
      <w:r>
        <w:rPr>
          <w:rFonts w:ascii="宋体" w:hAnsi="宋体"/>
          <w:sz w:val="24"/>
        </w:rPr>
        <w:fldChar w:fldCharType="begin"/>
      </w:r>
      <w:r>
        <w:rPr>
          <w:rFonts w:ascii="宋体" w:hAnsi="宋体"/>
          <w:sz w:val="24"/>
        </w:rPr>
        <w:instrText xml:space="preserve"> PAGEREF _Toc123063683 \h </w:instrText>
      </w:r>
      <w:r>
        <w:rPr>
          <w:rFonts w:ascii="宋体" w:hAnsi="宋体"/>
          <w:sz w:val="24"/>
        </w:rPr>
        <w:fldChar w:fldCharType="separate"/>
      </w:r>
      <w:r>
        <w:rPr>
          <w:rFonts w:ascii="宋体" w:hAnsi="宋体"/>
          <w:sz w:val="24"/>
        </w:rPr>
        <w:t>126</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"_Toc123063684" </w:instrText>
      </w:r>
      <w:r>
        <w:fldChar w:fldCharType="separate"/>
      </w:r>
      <w:r>
        <w:rPr>
          <w:rStyle w:val="18"/>
          <w:rFonts w:hint="eastAsia" w:ascii="宋体" w:hAnsi="宋体"/>
          <w:sz w:val="24"/>
        </w:rPr>
        <w:t>二十二、对基金份额持有人的服务</w:t>
      </w:r>
      <w:r>
        <w:rPr>
          <w:rFonts w:ascii="宋体" w:hAnsi="宋体"/>
          <w:sz w:val="24"/>
        </w:rPr>
        <w:tab/>
      </w:r>
      <w:r>
        <w:rPr>
          <w:rFonts w:ascii="宋体" w:hAnsi="宋体"/>
          <w:sz w:val="24"/>
        </w:rPr>
        <w:fldChar w:fldCharType="begin"/>
      </w:r>
      <w:r>
        <w:rPr>
          <w:rFonts w:ascii="宋体" w:hAnsi="宋体"/>
          <w:sz w:val="24"/>
        </w:rPr>
        <w:instrText xml:space="preserve"> PAGEREF _Toc123063684 \h </w:instrText>
      </w:r>
      <w:r>
        <w:rPr>
          <w:rFonts w:ascii="宋体" w:hAnsi="宋体"/>
          <w:sz w:val="24"/>
        </w:rPr>
        <w:fldChar w:fldCharType="separate"/>
      </w:r>
      <w:r>
        <w:rPr>
          <w:rFonts w:ascii="宋体" w:hAnsi="宋体"/>
          <w:sz w:val="24"/>
        </w:rPr>
        <w:t>140</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"_Toc123063685" </w:instrText>
      </w:r>
      <w:r>
        <w:fldChar w:fldCharType="separate"/>
      </w:r>
      <w:r>
        <w:rPr>
          <w:rStyle w:val="18"/>
          <w:rFonts w:hint="eastAsia" w:ascii="宋体" w:hAnsi="宋体"/>
          <w:sz w:val="24"/>
        </w:rPr>
        <w:t>二十三、其他应披露事项</w:t>
      </w:r>
      <w:r>
        <w:rPr>
          <w:rFonts w:ascii="宋体" w:hAnsi="宋体"/>
          <w:sz w:val="24"/>
        </w:rPr>
        <w:tab/>
      </w:r>
      <w:r>
        <w:rPr>
          <w:rFonts w:ascii="宋体" w:hAnsi="宋体"/>
          <w:sz w:val="24"/>
        </w:rPr>
        <w:fldChar w:fldCharType="begin"/>
      </w:r>
      <w:r>
        <w:rPr>
          <w:rFonts w:ascii="宋体" w:hAnsi="宋体"/>
          <w:sz w:val="24"/>
        </w:rPr>
        <w:instrText xml:space="preserve"> PAGEREF _Toc123063685 \h </w:instrText>
      </w:r>
      <w:r>
        <w:rPr>
          <w:rFonts w:ascii="宋体" w:hAnsi="宋体"/>
          <w:sz w:val="24"/>
        </w:rPr>
        <w:fldChar w:fldCharType="separate"/>
      </w:r>
      <w:r>
        <w:rPr>
          <w:rFonts w:ascii="宋体" w:hAnsi="宋体"/>
          <w:sz w:val="24"/>
        </w:rPr>
        <w:t>142</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"_Toc123063686" </w:instrText>
      </w:r>
      <w:r>
        <w:fldChar w:fldCharType="separate"/>
      </w:r>
      <w:r>
        <w:rPr>
          <w:rStyle w:val="18"/>
          <w:rFonts w:hint="eastAsia" w:ascii="宋体" w:hAnsi="宋体"/>
          <w:sz w:val="24"/>
        </w:rPr>
        <w:t>二十四、招募说明书的存放及查阅方式</w:t>
      </w:r>
      <w:r>
        <w:rPr>
          <w:rFonts w:ascii="宋体" w:hAnsi="宋体"/>
          <w:sz w:val="24"/>
        </w:rPr>
        <w:tab/>
      </w:r>
      <w:r>
        <w:rPr>
          <w:rFonts w:ascii="宋体" w:hAnsi="宋体"/>
          <w:sz w:val="24"/>
        </w:rPr>
        <w:fldChar w:fldCharType="begin"/>
      </w:r>
      <w:r>
        <w:rPr>
          <w:rFonts w:ascii="宋体" w:hAnsi="宋体"/>
          <w:sz w:val="24"/>
        </w:rPr>
        <w:instrText xml:space="preserve"> PAGEREF _Toc123063686 \h </w:instrText>
      </w:r>
      <w:r>
        <w:rPr>
          <w:rFonts w:ascii="宋体" w:hAnsi="宋体"/>
          <w:sz w:val="24"/>
        </w:rPr>
        <w:fldChar w:fldCharType="separate"/>
      </w:r>
      <w:r>
        <w:rPr>
          <w:rFonts w:ascii="宋体" w:hAnsi="宋体"/>
          <w:sz w:val="24"/>
        </w:rPr>
        <w:t>144</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sz w:val="24"/>
        </w:rPr>
      </w:pPr>
      <w:r>
        <w:fldChar w:fldCharType="begin"/>
      </w:r>
      <w:r>
        <w:instrText xml:space="preserve"> HYPERLINK \l "_Toc123063687" </w:instrText>
      </w:r>
      <w:r>
        <w:fldChar w:fldCharType="separate"/>
      </w:r>
      <w:r>
        <w:rPr>
          <w:rStyle w:val="18"/>
          <w:rFonts w:hint="eastAsia" w:ascii="宋体" w:hAnsi="宋体"/>
          <w:sz w:val="24"/>
        </w:rPr>
        <w:t>二十五、备查文件</w:t>
      </w:r>
      <w:r>
        <w:rPr>
          <w:rFonts w:ascii="宋体" w:hAnsi="宋体"/>
          <w:sz w:val="24"/>
        </w:rPr>
        <w:tab/>
      </w:r>
      <w:r>
        <w:rPr>
          <w:rFonts w:ascii="宋体" w:hAnsi="宋体"/>
          <w:sz w:val="24"/>
        </w:rPr>
        <w:fldChar w:fldCharType="begin"/>
      </w:r>
      <w:r>
        <w:rPr>
          <w:rFonts w:ascii="宋体" w:hAnsi="宋体"/>
          <w:sz w:val="24"/>
        </w:rPr>
        <w:instrText xml:space="preserve"> PAGEREF _Toc123063687 \h </w:instrText>
      </w:r>
      <w:r>
        <w:rPr>
          <w:rFonts w:ascii="宋体" w:hAnsi="宋体"/>
          <w:sz w:val="24"/>
        </w:rPr>
        <w:fldChar w:fldCharType="separate"/>
      </w:r>
      <w:r>
        <w:rPr>
          <w:rFonts w:ascii="宋体" w:hAnsi="宋体"/>
          <w:sz w:val="24"/>
        </w:rPr>
        <w:t>145</w:t>
      </w:r>
      <w:r>
        <w:rPr>
          <w:rFonts w:ascii="宋体" w:hAnsi="宋体"/>
          <w:sz w:val="24"/>
        </w:rPr>
        <w:fldChar w:fldCharType="end"/>
      </w:r>
      <w:r>
        <w:rPr>
          <w:rFonts w:ascii="宋体" w:hAnsi="宋体"/>
          <w:sz w:val="24"/>
        </w:rPr>
        <w:fldChar w:fldCharType="end"/>
      </w:r>
    </w:p>
    <w:p>
      <w:pPr>
        <w:pStyle w:val="20"/>
        <w:snapToGrid w:val="0"/>
        <w:spacing w:after="240" w:line="360" w:lineRule="auto"/>
        <w:jc w:val="center"/>
        <w:rPr>
          <w:rFonts w:ascii="宋体" w:hAnsi="宋体"/>
          <w:color w:val="000000"/>
          <w:sz w:val="24"/>
        </w:rPr>
      </w:pPr>
      <w:r>
        <w:rPr>
          <w:rFonts w:ascii="宋体" w:hAnsi="宋体"/>
          <w:color w:val="000000"/>
          <w:position w:val="-4"/>
          <w:sz w:val="24"/>
          <w:szCs w:val="30"/>
        </w:rPr>
        <w:fldChar w:fldCharType="end"/>
      </w:r>
    </w:p>
    <w:p>
      <w:pPr>
        <w:autoSpaceDE w:val="0"/>
        <w:autoSpaceDN w:val="0"/>
        <w:adjustRightInd w:val="0"/>
        <w:snapToGrid w:val="0"/>
        <w:spacing w:line="360" w:lineRule="auto"/>
        <w:ind w:left="120" w:right="13" w:rightChars="6"/>
        <w:rPr>
          <w:rFonts w:ascii="宋体" w:hAnsi="宋体"/>
          <w:kern w:val="0"/>
          <w:szCs w:val="24"/>
        </w:rPr>
        <w:sectPr>
          <w:pgSz w:w="11920" w:h="16840"/>
          <w:pgMar w:top="1480" w:right="1680" w:bottom="280" w:left="1680" w:header="0" w:footer="1073" w:gutter="0"/>
          <w:cols w:space="720" w:num="1"/>
        </w:sectPr>
      </w:pPr>
    </w:p>
    <w:p>
      <w:pPr>
        <w:pStyle w:val="2"/>
        <w:snapToGrid w:val="0"/>
        <w:spacing w:before="240" w:beforeLines="0" w:after="240"/>
        <w:rPr>
          <w:rFonts w:ascii="宋体" w:hAnsi="宋体"/>
          <w:szCs w:val="30"/>
        </w:rPr>
      </w:pPr>
      <w:bookmarkStart w:id="3" w:name="_Toc123063663"/>
      <w:r>
        <w:rPr>
          <w:rFonts w:ascii="Times New Roman" w:hAnsi="Times New Roman"/>
          <w:sz w:val="30"/>
        </w:rPr>
        <w:t>一、绪言</w:t>
      </w:r>
      <w:bookmarkEnd w:id="3"/>
    </w:p>
    <w:p>
      <w:pPr>
        <w:autoSpaceDE w:val="0"/>
        <w:autoSpaceDN w:val="0"/>
        <w:adjustRightInd w:val="0"/>
        <w:snapToGrid w:val="0"/>
        <w:spacing w:line="360" w:lineRule="auto"/>
        <w:ind w:firstLine="480" w:firstLineChars="200"/>
        <w:jc w:val="both"/>
        <w:rPr>
          <w:rFonts w:ascii="宋体" w:hAnsi="宋体"/>
          <w:szCs w:val="24"/>
        </w:rPr>
      </w:pPr>
      <w:r>
        <w:rPr>
          <w:rFonts w:ascii="宋体" w:hAnsi="宋体"/>
          <w:sz w:val="24"/>
        </w:rPr>
        <w:t>《</w:t>
      </w:r>
      <w:r>
        <w:rPr>
          <w:rFonts w:hint="eastAsia" w:ascii="宋体" w:hAnsi="宋体"/>
          <w:sz w:val="24"/>
        </w:rPr>
        <w:t>交银施罗德瑞思混合型证券投资基金（LOF）</w:t>
      </w:r>
      <w:r>
        <w:rPr>
          <w:rFonts w:ascii="宋体" w:hAnsi="宋体"/>
          <w:sz w:val="24"/>
        </w:rPr>
        <w:t>招募说明书》（以下简称“本招募说明书”）依据《中华人民共和国证券投资基金法》（以下简称“《基金法》”）、《公开募集证券投资基金运作管理办法》（以下简称“《运作办法》”）、《</w:t>
      </w:r>
      <w:r>
        <w:rPr>
          <w:rFonts w:hint="eastAsia" w:ascii="宋体" w:hAnsi="宋体"/>
          <w:sz w:val="24"/>
        </w:rPr>
        <w:t>公开募集证券投资基金销售机构监督管理办法</w:t>
      </w:r>
      <w:r>
        <w:rPr>
          <w:rFonts w:ascii="宋体" w:hAnsi="宋体"/>
          <w:sz w:val="24"/>
        </w:rPr>
        <w:t>》（以下简称“《销售办法》”）、《公开募集证券投资基金信息披露管理办法》（以下简称“《信息披露办法》”）、《公开募集开放式证券投资基金流动性风险管理规定》（以下简称“《流动性风险管理规定》”）和其他相关法律法规的规定以及《</w:t>
      </w:r>
      <w:r>
        <w:rPr>
          <w:rFonts w:hint="eastAsia" w:ascii="宋体" w:hAnsi="宋体"/>
          <w:sz w:val="24"/>
        </w:rPr>
        <w:t>交银施罗德瑞思混合型证券投资基金（LOF）</w:t>
      </w:r>
      <w:r>
        <w:rPr>
          <w:rFonts w:ascii="宋体" w:hAnsi="宋体"/>
          <w:sz w:val="24"/>
        </w:rPr>
        <w:t>基金合同》（以下简称“基金合同”）编写。</w:t>
      </w:r>
    </w:p>
    <w:p>
      <w:pPr>
        <w:autoSpaceDE w:val="0"/>
        <w:autoSpaceDN w:val="0"/>
        <w:adjustRightInd w:val="0"/>
        <w:snapToGrid w:val="0"/>
        <w:spacing w:line="360" w:lineRule="auto"/>
        <w:ind w:firstLine="480" w:firstLineChars="200"/>
        <w:jc w:val="both"/>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pPr>
        <w:autoSpaceDE w:val="0"/>
        <w:autoSpaceDN w:val="0"/>
        <w:adjustRightInd w:val="0"/>
        <w:snapToGrid w:val="0"/>
        <w:spacing w:line="360" w:lineRule="auto"/>
        <w:ind w:firstLine="480" w:firstLineChars="200"/>
        <w:jc w:val="both"/>
        <w:rPr>
          <w:rFonts w:ascii="宋体" w:hAnsi="宋体"/>
          <w:szCs w:val="24"/>
        </w:rPr>
      </w:pPr>
      <w:r>
        <w:rPr>
          <w:rFonts w:ascii="宋体" w:hAnsi="宋体"/>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4" w:name="_Toc123063664"/>
      <w:r>
        <w:rPr>
          <w:rFonts w:ascii="Times New Roman" w:hAnsi="Times New Roman"/>
          <w:sz w:val="30"/>
        </w:rPr>
        <w:t>二、释义</w:t>
      </w:r>
      <w:bookmarkEnd w:id="4"/>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在本招募说明书中，除非文意另有所指，下列词语或简称具有如下含义：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1、基金或本基金：指交银施罗德瑞思三年封闭运作混合型证券投资基金</w:t>
      </w:r>
      <w:r>
        <w:rPr>
          <w:rFonts w:hint="eastAsia" w:ascii="宋体" w:hAnsi="宋体"/>
          <w:sz w:val="24"/>
        </w:rPr>
        <w:t>或交银施罗德瑞思混合型证券投资基金（LOF），交银施罗德瑞思混合型证券投资基金（LOF）由交银施罗德瑞思三年封闭运作混合型证券投资基金封闭期届满后更名而来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2、基金管理人或本基金管理人：指交银施罗德基金管理有限公司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3、基金托管人：指中国农业银行股份有限公司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4、基金合同或《基金合同》：指《交银施罗德瑞思三年封闭运作混合型证券投资基金基金合同》及对基金合同的任何有效修订和补充</w:t>
      </w:r>
      <w:r>
        <w:rPr>
          <w:rFonts w:hint="eastAsia" w:ascii="宋体" w:hAnsi="宋体"/>
          <w:sz w:val="24"/>
        </w:rPr>
        <w:t>；基金更名后，基金合同相应修订为《交银施罗德瑞思混合型证券投资基金（LOF）基金合同》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5、托管协议：指基金管理人与基金托管人就本基金签订之《交银施罗德瑞思三年封闭运作混合型证券投资基金托管协议》及对该托管协议的任何有效修订和补充</w:t>
      </w:r>
      <w:r>
        <w:rPr>
          <w:rFonts w:hint="eastAsia" w:ascii="宋体" w:hAnsi="宋体"/>
          <w:sz w:val="24"/>
        </w:rPr>
        <w:t>；基金更名后，托管协议相应修订为《交银施罗德瑞思混合型证券投资基金（LOF）托管协议》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6、招募说明书、本招募说明书或《招募说明书》：指《交银施罗德瑞思三年封闭运作混合型证券投资基金招募说明书》及其更新</w:t>
      </w:r>
      <w:r>
        <w:rPr>
          <w:rFonts w:hint="eastAsia" w:ascii="宋体" w:hAnsi="宋体"/>
          <w:sz w:val="24"/>
        </w:rPr>
        <w:t>；基金更名后，招募说明书相应修订为《交银施罗德瑞思混合型证券投资基金（LOF）招募说明书》及其更新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7、基金份额发售公告：指《交银施罗德瑞思三年封闭运作混合型证券投资基金基金份额发售公告》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8、上市交易公告书：指《交银施罗德瑞思三年封闭运作混合型证券投资基金上市交易公告书》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9、基金产品资料概要：指《交银施罗德瑞思三年封闭运作混合型证券投资基金基金产品资料概要》及其更新</w:t>
      </w:r>
      <w:r>
        <w:rPr>
          <w:rFonts w:hint="eastAsia" w:ascii="宋体" w:hAnsi="宋体"/>
          <w:sz w:val="24"/>
        </w:rPr>
        <w:t>；基金更名后，基金产品资料概要相应修订为《交银施罗德瑞思混合型证券投资基金（LOF）基金产品资料概要》及其更新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10、法律法规：指中国现行有效并公布实施的法律、行政法规、规范性文件、司法解释、行政规章以及其他对基金合同当事人有约束力的决定、决议、通知等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11、《基金法》：指《中华人民共和国证券投资基金法》及颁布机关对其不时做出的修订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12、《销售办法》：指《</w:t>
      </w:r>
      <w:r>
        <w:rPr>
          <w:rFonts w:hint="eastAsia" w:ascii="宋体" w:hAnsi="宋体"/>
          <w:bCs/>
          <w:sz w:val="24"/>
        </w:rPr>
        <w:t>公开募集证券投资基金销售机构监督管理办法</w:t>
      </w:r>
      <w:r>
        <w:rPr>
          <w:rFonts w:ascii="宋体" w:hAnsi="宋体"/>
          <w:sz w:val="24"/>
        </w:rPr>
        <w:t>》及颁布机关对其不时做出的修订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13、《信息披露办法》：指《公开募集证券投资基金信息披露管理办法》及颁布机关对其不时做出的修订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14、《运作办法》：指《公开募集证券投资基金运作管理办法》及颁布机关对其不时做出的修订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15、《流动性风险管理规定》：指《公开募集开放式证券投资基金流动性风险管理规定》及颁布机关对其不时做出的修订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16、中国证监会：指中国证券监督管理委员会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17、银行业监督管理机构：指中国人民银行和/或中国银行保险监督管理委员会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18、基金合同当事人：指受基金合同约束，根据基金合同享有权利并承担义务的法律主体，包括基金管理人、基金托管人和基金份额持有人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19、个人投资者：指依据有关法律法规规定可投资于证券投资基金的自然人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20、机构投资者：指依法可以投资证券投资基金的、在中华人民共和国境内合法登记并存续或经有关政府部门批准设立并存续的企业法人、事业法人、社会团体或其他组织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21、合格境外机构投资者：指符合《合格境外机构投资者境内证券投资管理办法》及相关法律法规规定可以投资于在中国境内依法募集的证券投资基金的中国境外的机构投资者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22、人民币合格境外机构投资者：指按照《人民币合格境外机构投资者境内证券投资试点办法》及相关法律法规规定，运用来自境外的人民币资金进行境内证券投资的境外法人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23、投资人、投资者：指个人投资者、机构投资者、合格境外机构投资者和人民币合格境外机构投资者以及法律法规或中国证监会允许购买证券投资基金的其他投资人的合称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24、基金份额持有人：指依基金合同和招募说明书合法取得基金份额的投资人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25、基金销售业务：指基金管理人或销售机构宣传推介基金，发售基金份额，办理基金份额的申购、赎回、转换、转托管及定期定额投资等业务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26、销售机构：指交银施罗德基金管理有限公司以及符合《销售办法》和中国证监会规定的其他条件，取得基金销售业务资格并与基金管理人签订了基金销售服务协议，办理基金销售业务的机构以及可通过上海证券交易所交易系统办理基金销售业务的会员单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27、会员单位：指上海证券交易所会员单位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28、场外：指不通过上海证券交易所交易系统，而通过直销机构和其它场外销售机构的柜台系统或其他交易系统办理基金份额认购、申购和赎回等业务的场所。通过该等场所办理基金份额的认购、申购和赎回也称为场外认购、场外申购和场外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29、场内：指通过上海证券交易所内具有相应业务资格的会员单位利用上海证券交易所交易系统办理基金份额认购、申购、赎回和上市交易等业务的场所。通过该等场所办理基金份额的认购、申购和赎回也称为场内认购、场内申购和场内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30、注册登记系统：指中国证券登记结算有限责任公司开放式基金登记结算系统，通过场外认购、申购的基金份额登记在注册登记系统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31、证券登记结算系统：指中国证券登记结算有限责任公司上海分公司证券登记结算系统，通过场内认购、申购的基金份额和买入的基金份额登记在证券登记结算系统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32、场外份额：指登记在注册登记系统下的基金份额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33、场内份额：指登记在证券登记结算系统下的基金份额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34、登记业务：指基金登记、存管、过户、清算和结算业务，具体内容包括投资人基金账户的建立和管理、基金份额登记、基金销售业务的确认、清算和结算、代理发放红利、建立并保管基金份额持有人名册和办理非交易过户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35、登记机构：指办理登记业务的机构。本基金的登记机构为中国证券登记结算有限责任公司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36、开放式基金账户：指投资者通过场外销售机构在中国证券登记结算有限责任公司注册的开放式基金账户，基金投资者办理场外认购、场外申购和场外赎回等业务时需具有开放式基金账户，记录在该账户下的基金份额登记在登记机构的注册登记系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37、上海证券账户：指在中国证券登记结算有限责任公司上海分公司开设的上海证券交易所人民币普通股票账户或证券投资基金账户。基金投资者通过上海证券交易所交易系统办理基金交易、场内认购、场内申购和场内赎回等业务时需持有上海证券账户，记录在该账户下的基金份额登记在登记机构的证券登记结算系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38、基金交易账户：指销售机构为投资人开立的、记录投资人通过该销售机构办理认购、申购、赎回、转换及转托管等业务而引起的基金份额变动及结余情况的账户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39、基金合同生效日：指基金募集达到法律法规规定及基金合同规定的条件，基金管理人向中国证监会办理基金备案手续完毕，并获得中国证监会书面确认的日期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40、基金合同终止日：指基金合同规定的基金合同终止事由出现后，基金财产清算完毕，清算结果报中国证监会备案并予以公告的日期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41、基金募集期：指自基金份额发售之日起至发售结束之日止的期间，最长不得超过3个月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42、存续期：指基金合同生效至终止之间的不定期期限</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43、工作日：指上海证券交易所、深圳证券交易所的正常交易日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44、T日：指销售机构在规定时间受理投资人申购、赎回或其他业务申请的开放日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45、T+n日：指自T日起第n个工作日（不包含T日）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46、开放日：指为投资人办理基金份额申购、赎回或其他业务的工作日（若该工作日为非港股通交易日，则本基金可不开放）</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47、封闭期：本基金封闭期为三年（含三年），自基金合同生效之日起至三年后对应日前一个工作日止，若该日历年度中不存在对应日期的，则该对应日为该特定日期所在月度的最后一日。如该对应日为非工作日的，则顺延至下一个工作日。在封闭期内，本基金不办理申购、赎回业务，但投资人可在本基金上市交易后通过上海证券交易所转让基金份额。封闭期届满后，本基金转为上市开放式基金（LOF），基金名称相应变更为“交银施罗德瑞思混合型证券投资基金（LOF）” ，可办理场外、场内申购赎回，并继续在上海证券交易所上市交易。但若本基金在封闭期内出现上海证券交易所相关业务规则规定的因不再具备上市条件而应当终止上市的情形，则本基金封闭期届满后将转为非上市的开放式基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48、开放时间：指开放日基金接受申购、赎回或其他交易的时间段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49、《业务规则》：指本基金管理人、上海证券交易所、中国证券登记结算有限责任公司及其他销售机构的相关业务规则及其不时做出的修订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50、认购：指在基金募集期内，投资人根据基金合同和招募说明书的规定申请购买基金份额的行为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51、申购：指本基金封闭期结束，转为开放式运作后，投资人根据基金合同和招募说明书的规定申请购买基金份额的行为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52、赎回：指本基金封闭期结束，转为开放式运作后，基金份额持有人按基金合同和招募说明书规定的条件要求将基金份额兑换为现金的行为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53、基金转换：指基金份额持有人按照基金合同和基金管理人届时有效公告规定的条件，申请将其持有基金管理人管理的、某一基金的基金份额转换为基金管理人管理的其他基金基金份额的行为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54、转托管：指基金份额持有人在本基金的不同销售机构之间实施的变更所持基金份额销售机构的操作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55、系统内转托管：指基金份额持有人将持有的基金份额在注册登记系统内不同销售机构之间或证券登记结算系统内不同会员单位之间进行转登记的行为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56、跨系统转托管：指基金份额持有人将持有的基金份额在注册登记系统和证券登记结算系统间进行转登记的行为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57、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58、巨额赎回：指本基金单个开放日，基金净赎回申请（赎回申请份额总数加上基金转换中转出申请份额总数后扣除申购申请份额总数及基金转换中转入申请份额总数后的余额）超过上一工作日基金总份额的10%的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59、元：指人民币元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60、基金收益：指基金投资所得红利、股息、债券利息、买卖证券价差、银行存款利息、已实现的其他合法收入及因运用基金财产带来的成本和费用的节约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61、基金资产总值：指基金拥有的各类有价证券、股指期货合约、银行存款本息、基金应收申购款及其他资产的价值总和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62、基金资产净值：指基金资产总值减去基金负债后的价值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63、基金份额净值：指计算日基金资产净值除以计算日基金份额总数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64、基金资产估值：指计算评估基金资产和负债的价值，以确定基金资产净值和基金份额净值的过程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65、港股通：指内地投资者委托内地证券公司，经由内地证券交易所设立的证券交易服务公司，向香港联合交易所进行申报，买卖规定范围内的香港联合交易所上市的股票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66、指定媒介：指中国证监会指定的用以进行信息披露的全国性报刊及指定互联网网站（包括基金管理人网站、基金托管人网站、中国证监会基金电子披露网站）等媒介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67、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68、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69、不可抗力：指基金合同当事人不能预见、不能避免且不能克服的客观事件</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5" w:name="_Toc123063665"/>
      <w:r>
        <w:rPr>
          <w:rFonts w:ascii="Times New Roman" w:hAnsi="Times New Roman"/>
          <w:sz w:val="30"/>
        </w:rPr>
        <w:t>三、基金管理人</w:t>
      </w:r>
      <w:bookmarkEnd w:id="5"/>
    </w:p>
    <w:p>
      <w:pPr>
        <w:autoSpaceDE w:val="0"/>
        <w:autoSpaceDN w:val="0"/>
        <w:adjustRightInd w:val="0"/>
        <w:snapToGrid w:val="0"/>
        <w:spacing w:line="360" w:lineRule="auto"/>
        <w:ind w:firstLine="480" w:firstLineChars="200"/>
        <w:jc w:val="left"/>
        <w:outlineLvl w:val="1"/>
        <w:rPr>
          <w:rFonts w:ascii="宋体" w:hAnsi="宋体"/>
          <w:szCs w:val="24"/>
        </w:rPr>
      </w:pPr>
      <w:r>
        <w:rPr>
          <w:rFonts w:ascii="宋体" w:hAnsi="宋体"/>
          <w:sz w:val="24"/>
        </w:rPr>
        <w:t>（一）基金管理人概况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名称：交银施罗德基金管理有限公司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住所：中国(上海)自由贸易试验区银城中路188号交通银行大楼二层（裙）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办公地址：上海市浦东新区世纪大道8号国金中心二期21-22楼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邮政编码：200120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法定代表人：阮红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成立时间：2005年8月4日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注册资本：2亿元人民币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存续期间：持续经营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联系人：郭佳敏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电话：（021）61055050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传真：（021）61055034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交银施罗德基金管理有限公司（以下简称“公司”）经中国证监会证监基金字[2005]128号文批准设立。公司股权结构如下：</w:t>
      </w:r>
    </w:p>
    <w:tbl>
      <w:tblPr>
        <w:tblStyle w:val="14"/>
        <w:tblW w:w="5000" w:type="pct"/>
        <w:tblInd w:w="0" w:type="dxa"/>
        <w:tblLayout w:type="autofit"/>
        <w:tblCellMar>
          <w:top w:w="0" w:type="dxa"/>
          <w:left w:w="0" w:type="dxa"/>
          <w:bottom w:w="0" w:type="dxa"/>
          <w:right w:w="0" w:type="dxa"/>
        </w:tblCellMar>
      </w:tblPr>
      <w:tblGrid>
        <w:gridCol w:w="4335"/>
        <w:gridCol w:w="4335"/>
      </w:tblGrid>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交通银行股份有限公司（以下使用全称或其简称“交通银行”）</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pPr>
        <w:autoSpaceDE w:val="0"/>
        <w:autoSpaceDN w:val="0"/>
        <w:adjustRightInd w:val="0"/>
        <w:snapToGrid w:val="0"/>
        <w:spacing w:line="360" w:lineRule="auto"/>
        <w:ind w:firstLine="480" w:firstLineChars="200"/>
        <w:jc w:val="left"/>
        <w:outlineLvl w:val="1"/>
        <w:rPr>
          <w:rFonts w:ascii="宋体" w:hAnsi="宋体"/>
          <w:szCs w:val="24"/>
        </w:rPr>
      </w:pPr>
      <w:r>
        <w:rPr>
          <w:rFonts w:ascii="宋体" w:hAnsi="宋体"/>
          <w:sz w:val="24"/>
        </w:rPr>
        <w:t>（二）主要成员情况</w:t>
      </w:r>
    </w:p>
    <w:p>
      <w:pPr>
        <w:autoSpaceDE w:val="0"/>
        <w:autoSpaceDN w:val="0"/>
        <w:adjustRightInd w:val="0"/>
        <w:snapToGrid w:val="0"/>
        <w:spacing w:line="360" w:lineRule="auto"/>
        <w:ind w:firstLine="480" w:firstLineChars="200"/>
        <w:jc w:val="left"/>
        <w:outlineLvl w:val="9"/>
        <w:rPr>
          <w:rFonts w:hint="eastAsia" w:ascii="宋体" w:hAnsi="宋体"/>
          <w:sz w:val="24"/>
        </w:rPr>
      </w:pPr>
      <w:r>
        <w:rPr>
          <w:rFonts w:hint="eastAsia" w:ascii="宋体" w:hAnsi="宋体"/>
          <w:sz w:val="24"/>
        </w:rPr>
        <w:t>1、基金管理人董事会成员</w:t>
      </w:r>
    </w:p>
    <w:p>
      <w:pPr>
        <w:autoSpaceDE w:val="0"/>
        <w:autoSpaceDN w:val="0"/>
        <w:adjustRightInd w:val="0"/>
        <w:snapToGrid w:val="0"/>
        <w:spacing w:line="360" w:lineRule="auto"/>
        <w:ind w:firstLine="480" w:firstLineChars="200"/>
        <w:jc w:val="left"/>
        <w:outlineLvl w:val="9"/>
        <w:rPr>
          <w:rFonts w:hint="eastAsia" w:ascii="宋体" w:hAnsi="宋体"/>
          <w:sz w:val="24"/>
        </w:rPr>
      </w:pPr>
      <w:r>
        <w:rPr>
          <w:rFonts w:hint="eastAsia" w:ascii="宋体" w:hAnsi="宋体"/>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pPr>
        <w:autoSpaceDE w:val="0"/>
        <w:autoSpaceDN w:val="0"/>
        <w:adjustRightInd w:val="0"/>
        <w:snapToGrid w:val="0"/>
        <w:spacing w:line="360" w:lineRule="auto"/>
        <w:ind w:firstLine="480" w:firstLineChars="200"/>
        <w:jc w:val="left"/>
        <w:outlineLvl w:val="9"/>
        <w:rPr>
          <w:rFonts w:hint="eastAsia" w:ascii="宋体" w:hAnsi="宋体"/>
          <w:sz w:val="24"/>
        </w:rPr>
      </w:pPr>
      <w:r>
        <w:rPr>
          <w:rFonts w:hint="eastAsia" w:ascii="宋体" w:hAnsi="宋体"/>
          <w:sz w:val="24"/>
        </w:rPr>
        <w:t>童洁萍女士，董事，在职工商管理硕士。现任交通银行总行个人金融业务部副总经理。历任交通银行南京分行个人金融业务部副高级经理、江苏省分行个人金融业务部副总经理、总经理、玄武支行行长。</w:t>
      </w:r>
    </w:p>
    <w:p>
      <w:pPr>
        <w:autoSpaceDE w:val="0"/>
        <w:autoSpaceDN w:val="0"/>
        <w:adjustRightInd w:val="0"/>
        <w:snapToGrid w:val="0"/>
        <w:spacing w:line="360" w:lineRule="auto"/>
        <w:ind w:firstLine="480" w:firstLineChars="200"/>
        <w:jc w:val="left"/>
        <w:outlineLvl w:val="9"/>
        <w:rPr>
          <w:rFonts w:hint="eastAsia" w:ascii="宋体" w:hAnsi="宋体"/>
          <w:sz w:val="24"/>
        </w:rPr>
      </w:pPr>
      <w:r>
        <w:rPr>
          <w:rFonts w:hint="eastAsia" w:ascii="宋体" w:hAnsi="宋体"/>
          <w:sz w:val="24"/>
        </w:rPr>
        <w:t>王贤家先生，董事，学士。现任交通银行总行风险管理部/内控案防办 副总经理。历任交通银行总行国际业务部外汇资金处交易员、澳门分行资金部主管、总行金融市场部债券投资部副高级经理、外汇交易部高级经理。</w:t>
      </w:r>
    </w:p>
    <w:p>
      <w:pPr>
        <w:autoSpaceDE w:val="0"/>
        <w:autoSpaceDN w:val="0"/>
        <w:adjustRightInd w:val="0"/>
        <w:snapToGrid w:val="0"/>
        <w:spacing w:line="360" w:lineRule="auto"/>
        <w:ind w:firstLine="480" w:firstLineChars="200"/>
        <w:jc w:val="left"/>
        <w:outlineLvl w:val="9"/>
        <w:rPr>
          <w:rFonts w:hint="eastAsia" w:ascii="宋体" w:hAnsi="宋体"/>
          <w:sz w:val="24"/>
        </w:rPr>
      </w:pPr>
      <w:r>
        <w:rPr>
          <w:rFonts w:hint="eastAsia" w:ascii="宋体" w:hAnsi="宋体"/>
          <w:sz w:val="24"/>
        </w:rPr>
        <w:t>谢卫先生，董事，总经理，代任首席信息官，博士，高级经济师，民盟中央委员、全国政协委员。现任交银施罗德基金管理有限公司总经理，兼任交银施罗德资产管理(香港)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pPr>
        <w:autoSpaceDE w:val="0"/>
        <w:autoSpaceDN w:val="0"/>
        <w:adjustRightInd w:val="0"/>
        <w:snapToGrid w:val="0"/>
        <w:spacing w:line="360" w:lineRule="auto"/>
        <w:ind w:firstLine="480" w:firstLineChars="200"/>
        <w:jc w:val="left"/>
        <w:outlineLvl w:val="9"/>
        <w:rPr>
          <w:rFonts w:hint="eastAsia" w:ascii="宋体" w:hAnsi="宋体"/>
          <w:sz w:val="24"/>
        </w:rPr>
      </w:pPr>
      <w:r>
        <w:rPr>
          <w:rFonts w:hint="eastAsia" w:ascii="宋体" w:hAnsi="宋体"/>
          <w:sz w:val="24"/>
        </w:rPr>
        <w:t>李定邦（Lieven Debruyne）先生，董事，硕士。现任施罗德集团全球业务总裁，担任集团管理委员会成员。历任施罗德投资管理有限公司亚洲投资产品总监、亚太区行政总裁、施罗德投资管理（香港）有限公司行政总裁兼亚太区基金业务拓展总监。</w:t>
      </w:r>
    </w:p>
    <w:p>
      <w:pPr>
        <w:autoSpaceDE w:val="0"/>
        <w:autoSpaceDN w:val="0"/>
        <w:adjustRightInd w:val="0"/>
        <w:snapToGrid w:val="0"/>
        <w:spacing w:line="360" w:lineRule="auto"/>
        <w:ind w:firstLine="480" w:firstLineChars="200"/>
        <w:jc w:val="left"/>
        <w:outlineLvl w:val="9"/>
        <w:rPr>
          <w:rFonts w:hint="eastAsia" w:ascii="宋体" w:hAnsi="宋体"/>
          <w:sz w:val="24"/>
        </w:rPr>
      </w:pPr>
      <w:r>
        <w:rPr>
          <w:rFonts w:hint="eastAsia" w:ascii="宋体" w:hAnsi="宋体"/>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pPr>
        <w:autoSpaceDE w:val="0"/>
        <w:autoSpaceDN w:val="0"/>
        <w:adjustRightInd w:val="0"/>
        <w:snapToGrid w:val="0"/>
        <w:spacing w:line="360" w:lineRule="auto"/>
        <w:ind w:firstLine="480" w:firstLineChars="200"/>
        <w:jc w:val="left"/>
        <w:outlineLvl w:val="9"/>
        <w:rPr>
          <w:rFonts w:hint="eastAsia" w:ascii="宋体" w:hAnsi="宋体"/>
          <w:sz w:val="24"/>
        </w:rPr>
      </w:pPr>
      <w:r>
        <w:rPr>
          <w:rFonts w:hint="eastAsia" w:ascii="宋体" w:hAnsi="宋体"/>
          <w:sz w:val="24"/>
        </w:rPr>
        <w:t>郝爱群女士，独立董事，学士。历任人民银行稽核司副处长、处长，合作司调研员，非银司副巡视员、副司长，银监会非银部副主任，银行监管一部副主任、巡视员，汇金公司派出董事。</w:t>
      </w:r>
    </w:p>
    <w:p>
      <w:pPr>
        <w:autoSpaceDE w:val="0"/>
        <w:autoSpaceDN w:val="0"/>
        <w:adjustRightInd w:val="0"/>
        <w:snapToGrid w:val="0"/>
        <w:spacing w:line="360" w:lineRule="auto"/>
        <w:ind w:firstLine="480" w:firstLineChars="200"/>
        <w:jc w:val="left"/>
        <w:outlineLvl w:val="9"/>
        <w:rPr>
          <w:rFonts w:hint="eastAsia" w:ascii="宋体" w:hAnsi="宋体"/>
          <w:sz w:val="24"/>
        </w:rPr>
      </w:pPr>
      <w:r>
        <w:rPr>
          <w:rFonts w:hint="eastAsia" w:ascii="宋体" w:hAnsi="宋体"/>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pPr>
        <w:autoSpaceDE w:val="0"/>
        <w:autoSpaceDN w:val="0"/>
        <w:adjustRightInd w:val="0"/>
        <w:snapToGrid w:val="0"/>
        <w:spacing w:line="360" w:lineRule="auto"/>
        <w:ind w:firstLine="480" w:firstLineChars="200"/>
        <w:jc w:val="left"/>
        <w:outlineLvl w:val="9"/>
        <w:rPr>
          <w:rFonts w:hint="eastAsia" w:ascii="宋体" w:hAnsi="宋体"/>
          <w:sz w:val="24"/>
        </w:rPr>
      </w:pPr>
      <w:r>
        <w:rPr>
          <w:rFonts w:hint="eastAsia" w:ascii="宋体" w:hAnsi="宋体"/>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pPr>
        <w:autoSpaceDE w:val="0"/>
        <w:autoSpaceDN w:val="0"/>
        <w:adjustRightInd w:val="0"/>
        <w:snapToGrid w:val="0"/>
        <w:spacing w:line="360" w:lineRule="auto"/>
        <w:ind w:firstLine="480" w:firstLineChars="200"/>
        <w:jc w:val="left"/>
        <w:outlineLvl w:val="9"/>
        <w:rPr>
          <w:rFonts w:hint="eastAsia" w:ascii="宋体" w:hAnsi="宋体"/>
          <w:sz w:val="24"/>
        </w:rPr>
      </w:pPr>
      <w:r>
        <w:rPr>
          <w:rFonts w:hint="eastAsia" w:ascii="宋体" w:hAnsi="宋体"/>
          <w:sz w:val="24"/>
        </w:rPr>
        <w:t>2、基金管理人监事会成员</w:t>
      </w:r>
    </w:p>
    <w:p>
      <w:pPr>
        <w:autoSpaceDE w:val="0"/>
        <w:autoSpaceDN w:val="0"/>
        <w:adjustRightInd w:val="0"/>
        <w:snapToGrid w:val="0"/>
        <w:spacing w:line="360" w:lineRule="auto"/>
        <w:ind w:firstLine="480" w:firstLineChars="200"/>
        <w:jc w:val="left"/>
        <w:outlineLvl w:val="9"/>
        <w:rPr>
          <w:rFonts w:hint="eastAsia" w:ascii="宋体" w:hAnsi="宋体"/>
          <w:sz w:val="24"/>
        </w:rPr>
      </w:pPr>
      <w:r>
        <w:rPr>
          <w:rFonts w:hint="eastAsia" w:ascii="宋体" w:hAnsi="宋体"/>
          <w:sz w:val="24"/>
        </w:rPr>
        <w:t>梅津芝女士，监事长，学士。高级经济师、审计师。现任交通银行私人银行部总经理。历任交通银行山西省分行个人金融业务部高级经理，交通银行山西省分行副行长，交通银行个人金融业务部副总经理。</w:t>
      </w:r>
    </w:p>
    <w:p>
      <w:pPr>
        <w:autoSpaceDE w:val="0"/>
        <w:autoSpaceDN w:val="0"/>
        <w:adjustRightInd w:val="0"/>
        <w:snapToGrid w:val="0"/>
        <w:spacing w:line="360" w:lineRule="auto"/>
        <w:ind w:firstLine="480" w:firstLineChars="200"/>
        <w:jc w:val="left"/>
        <w:outlineLvl w:val="9"/>
        <w:rPr>
          <w:rFonts w:hint="eastAsia" w:ascii="宋体" w:hAnsi="宋体"/>
          <w:sz w:val="24"/>
        </w:rPr>
      </w:pPr>
      <w:r>
        <w:rPr>
          <w:rFonts w:hint="eastAsia" w:ascii="宋体" w:hAnsi="宋体"/>
          <w:sz w:val="24"/>
        </w:rPr>
        <w:t>林凯珊女士，监事，硕士。现任施罗德投资管理（香港）有限公司中国内地及中国香港法律部主管。历任香港证券及期货事务监察委员会发牌科经理、的近律师行律师。</w:t>
      </w:r>
    </w:p>
    <w:p>
      <w:pPr>
        <w:autoSpaceDE w:val="0"/>
        <w:autoSpaceDN w:val="0"/>
        <w:adjustRightInd w:val="0"/>
        <w:snapToGrid w:val="0"/>
        <w:spacing w:line="360" w:lineRule="auto"/>
        <w:ind w:firstLine="480" w:firstLineChars="200"/>
        <w:jc w:val="left"/>
        <w:outlineLvl w:val="9"/>
        <w:rPr>
          <w:rFonts w:hint="eastAsia" w:ascii="宋体" w:hAnsi="宋体"/>
          <w:sz w:val="24"/>
        </w:rPr>
      </w:pPr>
      <w:r>
        <w:rPr>
          <w:rFonts w:hint="eastAsia" w:ascii="宋体" w:hAnsi="宋体"/>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pPr>
        <w:autoSpaceDE w:val="0"/>
        <w:autoSpaceDN w:val="0"/>
        <w:adjustRightInd w:val="0"/>
        <w:snapToGrid w:val="0"/>
        <w:spacing w:line="360" w:lineRule="auto"/>
        <w:ind w:firstLine="480" w:firstLineChars="200"/>
        <w:jc w:val="left"/>
        <w:outlineLvl w:val="9"/>
        <w:rPr>
          <w:rFonts w:hint="eastAsia" w:ascii="宋体" w:hAnsi="宋体"/>
          <w:sz w:val="24"/>
        </w:rPr>
      </w:pPr>
      <w:r>
        <w:rPr>
          <w:rFonts w:hint="eastAsia" w:ascii="宋体" w:hAnsi="宋体"/>
          <w:sz w:val="24"/>
        </w:rPr>
        <w:t>黄伟峰先生，监事，硕士。现任交银施罗德基金管理有限公司市场总监。历任平安人寿保险公司上海分公司行政督导、营销管理经理，交银施罗德基金管理有限公司行政部总经理助理、西部营销中心总经理、机构理财部（上海）总经理兼产品开发部总经理。</w:t>
      </w:r>
    </w:p>
    <w:p>
      <w:pPr>
        <w:autoSpaceDE w:val="0"/>
        <w:autoSpaceDN w:val="0"/>
        <w:adjustRightInd w:val="0"/>
        <w:snapToGrid w:val="0"/>
        <w:spacing w:line="360" w:lineRule="auto"/>
        <w:ind w:firstLine="480" w:firstLineChars="200"/>
        <w:jc w:val="left"/>
        <w:outlineLvl w:val="9"/>
        <w:rPr>
          <w:rFonts w:hint="eastAsia" w:ascii="宋体" w:hAnsi="宋体"/>
          <w:sz w:val="24"/>
        </w:rPr>
      </w:pPr>
      <w:r>
        <w:rPr>
          <w:rFonts w:hint="eastAsia" w:ascii="宋体" w:hAnsi="宋体"/>
          <w:sz w:val="24"/>
        </w:rPr>
        <w:t>3、基金管理人高级管理人员</w:t>
      </w:r>
    </w:p>
    <w:p>
      <w:pPr>
        <w:autoSpaceDE w:val="0"/>
        <w:autoSpaceDN w:val="0"/>
        <w:adjustRightInd w:val="0"/>
        <w:snapToGrid w:val="0"/>
        <w:spacing w:line="360" w:lineRule="auto"/>
        <w:ind w:firstLine="480" w:firstLineChars="200"/>
        <w:jc w:val="left"/>
        <w:outlineLvl w:val="9"/>
        <w:rPr>
          <w:rFonts w:hint="eastAsia" w:ascii="宋体" w:hAnsi="宋体"/>
          <w:sz w:val="24"/>
        </w:rPr>
      </w:pPr>
      <w:r>
        <w:rPr>
          <w:rFonts w:hint="eastAsia" w:ascii="宋体" w:hAnsi="宋体"/>
          <w:sz w:val="24"/>
        </w:rPr>
        <w:t>谢卫先生，总经理、代任首席信息官。简历同上。</w:t>
      </w:r>
    </w:p>
    <w:p>
      <w:pPr>
        <w:autoSpaceDE w:val="0"/>
        <w:autoSpaceDN w:val="0"/>
        <w:adjustRightInd w:val="0"/>
        <w:snapToGrid w:val="0"/>
        <w:spacing w:line="360" w:lineRule="auto"/>
        <w:ind w:firstLine="480" w:firstLineChars="200"/>
        <w:jc w:val="left"/>
        <w:outlineLvl w:val="9"/>
        <w:rPr>
          <w:rFonts w:hint="eastAsia" w:ascii="宋体" w:hAnsi="宋体"/>
          <w:sz w:val="24"/>
        </w:rPr>
      </w:pPr>
      <w:r>
        <w:rPr>
          <w:rFonts w:hint="eastAsia" w:ascii="宋体" w:hAnsi="宋体"/>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pPr>
        <w:autoSpaceDE w:val="0"/>
        <w:autoSpaceDN w:val="0"/>
        <w:adjustRightInd w:val="0"/>
        <w:snapToGrid w:val="0"/>
        <w:spacing w:line="360" w:lineRule="auto"/>
        <w:ind w:firstLine="480" w:firstLineChars="200"/>
        <w:jc w:val="left"/>
        <w:outlineLvl w:val="9"/>
        <w:rPr>
          <w:rFonts w:hint="eastAsia" w:ascii="宋体" w:hAnsi="宋体"/>
          <w:sz w:val="24"/>
        </w:rPr>
      </w:pPr>
      <w:r>
        <w:rPr>
          <w:rFonts w:hint="eastAsia" w:ascii="宋体" w:hAnsi="宋体"/>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sz w:val="24"/>
        </w:rPr>
        <w:t>马俊先生，副总经理，硕士。历任交通银行总行投资管理部高级投资分析、副高级经理，交银施罗德基金管理有限公司总裁办公室总经理、研究部副总经理、研究总监、综合管理部总经理。</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4、本基金基金经理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沈楠先生:基金经理。复旦大学经济学硕士，1</w:t>
      </w:r>
      <w:r>
        <w:rPr>
          <w:rFonts w:hint="eastAsia" w:ascii="宋体" w:hAnsi="宋体"/>
          <w:sz w:val="24"/>
        </w:rPr>
        <w:t>4</w:t>
      </w:r>
      <w:r>
        <w:rPr>
          <w:rFonts w:ascii="宋体" w:hAnsi="宋体"/>
          <w:sz w:val="24"/>
        </w:rPr>
        <w:t>年证券投资行业从业经验。2009年至2011年在长江证券担任高级分析师。2011年加入交银施罗德基金管理有限公司，曾任行业分析师、基金经理助理，现任权益部基金经理。现任交银施罗德主题优选灵活配置混合型证券投资基金(2015年05月05日至今)、交银施罗德国企改革灵活配置混合型证券投资基金(2015年06月10日至今)、交银施罗德瑞思混合型证券投资基金</w:t>
      </w:r>
      <w:r>
        <w:rPr>
          <w:rFonts w:hint="eastAsia" w:ascii="宋体" w:hAnsi="宋体"/>
          <w:sz w:val="24"/>
        </w:rPr>
        <w:t>（LOF）（原交银施罗德瑞思三年封闭运作混合型证券投资基金，于2023年2月21日更名）</w:t>
      </w:r>
      <w:r>
        <w:rPr>
          <w:rFonts w:ascii="宋体" w:hAnsi="宋体"/>
          <w:sz w:val="24"/>
        </w:rPr>
        <w:t>(2020年02月21日至今)的基金经理。</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5、投资决策委员会成员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委员：谢卫（总经理）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马俊（副总经理、研究总监）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王少成（权益投资总监、基金经理）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于海颖（固定收益（公募）投资总监、基金经理）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王崇（权益投资副总监、权益部一级专家、基金经理）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上述人员之间无近亲属关系，上述各项人员信息更新截止日为</w:t>
      </w:r>
      <w:r>
        <w:rPr>
          <w:rFonts w:hint="eastAsia" w:ascii="宋体" w:hAnsi="宋体"/>
          <w:sz w:val="24"/>
        </w:rPr>
        <w:t>2023年2月17日</w:t>
      </w:r>
      <w:r>
        <w:rPr>
          <w:rFonts w:ascii="宋体" w:hAnsi="宋体"/>
          <w:sz w:val="24"/>
        </w:rPr>
        <w:t>，期后变动（如有）敬请关注基金管理人发布的相关公告。</w:t>
      </w:r>
    </w:p>
    <w:p>
      <w:pPr>
        <w:autoSpaceDE w:val="0"/>
        <w:autoSpaceDN w:val="0"/>
        <w:adjustRightInd w:val="0"/>
        <w:snapToGrid w:val="0"/>
        <w:spacing w:line="360" w:lineRule="auto"/>
        <w:ind w:firstLine="480" w:firstLineChars="200"/>
        <w:jc w:val="left"/>
        <w:outlineLvl w:val="1"/>
        <w:rPr>
          <w:rFonts w:ascii="宋体" w:hAnsi="宋体"/>
          <w:szCs w:val="24"/>
        </w:rPr>
      </w:pPr>
      <w:r>
        <w:rPr>
          <w:rFonts w:ascii="宋体" w:hAnsi="宋体"/>
          <w:sz w:val="24"/>
        </w:rPr>
        <w:t>（三）基金管理人的职责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2、办理基金备案手续；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3、对所管理的不同基金财产分别管理、分别记账，进行证券投资；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4、按照基金合同的约定确定基金收益分配方案，及时向基金份额持有人分配收益；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5、进行基金会计核算并编制基金财务会计报告；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6、编制季度报告、中期报告和年度报告；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7、计算并公告基金净值信息，确定基金份额申购、赎回价格；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8、办理与基金财产管理业务活动有关的信息披露事项；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9、按照规定召集基金份额持有人大会；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10、保存基金财产管理业务活动的记录、账册、报表和其他相关资料；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11、以基金管理人名义，代表基金份额持有人利益行使诉讼权利或者实施其他法律行为；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12、有关法律法规和中国证监会规定的其他职责。</w:t>
      </w:r>
    </w:p>
    <w:p>
      <w:pPr>
        <w:autoSpaceDE w:val="0"/>
        <w:autoSpaceDN w:val="0"/>
        <w:adjustRightInd w:val="0"/>
        <w:snapToGrid w:val="0"/>
        <w:spacing w:line="360" w:lineRule="auto"/>
        <w:ind w:firstLine="480" w:firstLineChars="200"/>
        <w:jc w:val="left"/>
        <w:outlineLvl w:val="1"/>
        <w:rPr>
          <w:rFonts w:ascii="宋体" w:hAnsi="宋体"/>
          <w:szCs w:val="24"/>
        </w:rPr>
      </w:pPr>
      <w:r>
        <w:rPr>
          <w:rFonts w:ascii="宋体" w:hAnsi="宋体"/>
          <w:sz w:val="24"/>
        </w:rPr>
        <w:t>（四）基金管理人的承诺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1、基金管理人承诺不从事违反《中华人民共和国证券法》的行为，并承诺建立健全内部控制制度，采取有效措施，防止违反《中华人民共和国证券法》行为的发生；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（1）将基金管理人固有财产或者他人财产混同于基金财产从事证券投资；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（2）不公平地对待管理的不同基金财产；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（3）利用基金财产为基金份额持有人以外的第三人牟取利益；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（4）向基金份额持有人违规承诺收益或者承担损失；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（5）侵占、挪用基金财产；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（6）法律、行政法规和中国证监会禁止的其他行为。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5、基金管理人承诺不从事其他法规规定禁止从事的行为。</w:t>
      </w:r>
    </w:p>
    <w:p>
      <w:pPr>
        <w:autoSpaceDE w:val="0"/>
        <w:autoSpaceDN w:val="0"/>
        <w:adjustRightInd w:val="0"/>
        <w:snapToGrid w:val="0"/>
        <w:spacing w:line="360" w:lineRule="auto"/>
        <w:ind w:firstLine="480" w:firstLineChars="200"/>
        <w:jc w:val="left"/>
        <w:outlineLvl w:val="1"/>
        <w:rPr>
          <w:rFonts w:ascii="宋体" w:hAnsi="宋体"/>
          <w:szCs w:val="24"/>
        </w:rPr>
      </w:pPr>
      <w:r>
        <w:rPr>
          <w:rFonts w:ascii="宋体" w:hAnsi="宋体"/>
          <w:sz w:val="24"/>
        </w:rPr>
        <w:t>（五）基金经理承诺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1、依照有关法律法规和基金合同的规定，本着谨慎的原则为基金份额持有人谋取最大利益；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2、不利用职务之便为自己、受雇人或任何第三者谋取利益；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3、不泄露在任职期间知悉的有关证券、基金的商业秘密，尚未依法公开的基金投资内容、基金投资计划等信息，或利用该信息从事或者明示、暗示他人从事相关的交易活动；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4、不以任何形式为其他组织或个人进行证券交易。</w:t>
      </w:r>
    </w:p>
    <w:p>
      <w:pPr>
        <w:autoSpaceDE w:val="0"/>
        <w:autoSpaceDN w:val="0"/>
        <w:adjustRightInd w:val="0"/>
        <w:snapToGrid w:val="0"/>
        <w:spacing w:line="360" w:lineRule="auto"/>
        <w:ind w:firstLine="480" w:firstLineChars="200"/>
        <w:jc w:val="left"/>
        <w:outlineLvl w:val="1"/>
        <w:rPr>
          <w:rFonts w:ascii="宋体" w:hAnsi="宋体"/>
          <w:szCs w:val="24"/>
        </w:rPr>
      </w:pPr>
      <w:r>
        <w:rPr>
          <w:rFonts w:ascii="宋体" w:hAnsi="宋体"/>
          <w:sz w:val="24"/>
        </w:rPr>
        <w:t>（六）基金管理人的内部控制制度</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1、风险管理的原则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 全面性原则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公司风险管理必须覆盖公司的所有部门和岗位，渗透各项业务过程和业务环节。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 独立性原则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 相互制约原则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公司及各部门在内部组织结构的设计上要形成一种相互制约的机制，建立不同岗位之间的制衡体系。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 定性和定量相结合原则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建立完备的风险管理指标体系，使风险管理更具客观性和操作性。</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2、风险管理和内部风险控制体系结构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（1）董事会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负责制定公司的风险管理政策，对风险管理负完全的和最终的责任。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（2）监事会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（3）合规审核及风险管理委员会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（4）风险控制委员会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（5）督察长</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（6）风险管理部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（7）审计部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（8）法律合规部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（9）业务部门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3、风险管理和内部风险控制的措施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（1）建立内控体系，完善内控制度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（2）建立相互分离、相互制衡的内控机制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（3）建立、健全岗位责任制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（4）建立风险分类、识别、评估、报告、提示程序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（5）建立有效的内部监控系统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（6）使用数量化的风险管理手段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（7）提供足够的培训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制定了完整的培训计划，为所有员工提供足够和适当的培训，使员工明确其职责所在，控制风险。</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6" w:name="_Toc123063666"/>
      <w:r>
        <w:rPr>
          <w:rFonts w:ascii="Times New Roman" w:hAnsi="Times New Roman"/>
          <w:sz w:val="30"/>
        </w:rPr>
        <w:t>四、基金托管人</w:t>
      </w:r>
      <w:bookmarkEnd w:id="6"/>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（一）基金托管人情况</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1、基本情况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名称：中国农业银行股份有限公司（简称中国农业银行）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住所：北京市东城区建国门内大街69号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办公地址：北京市西城区复兴门内大街28号凯晨世贸中心东座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法定代表人：谷澍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成立日期：2009年1月15日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批准设立机关和批准设立文号：中国银监会银监复[2009]13号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基金托管资格批文及文号：中国证监会证监基字[1998]23号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注册资本：34,998,303.4万元人民币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存续期间：持续经营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联系电话：010-66060069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传真：010-68121816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联系人：秦一楠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业务最佳发展奖”称号；2018年荣获中国基金报授予的公募基金20年“最佳基金托管银行”奖；2019年荣获证券时报授予的“2019年度资产托管银行天玑奖”称号；2020年被美国《环球金融》评为中国“最佳托管银行”；2021年荣获全国银行间同业拆借中心首次设立的“银行间本币市场优秀托管行”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中国农业银行证券投资基金托管部于1998年5月经中国证监会和中国人民银行批准成立，目前内设综合管理部、业务管理部、客户一部、客户二部、客户三部、客户四部、风险合规部、产品研发与信息技术部、营运一部、营运二部，拥有先进的安全防范设施和基金托管业务系统。</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2、主要人员情况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中国农业银行托管业务部现有员工近310名，其中具有高级职称的专家60名，服务团队成员专业水平高、业务素质好、服务能力强，高级管理层均有20年以上金融从业经验和高级技术职称，精通国内外证券市场的运作。</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3、基金托管业务经营情况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截止到2022年9月30日，中国农业银行托管的封闭式证券投资基金和开放式证券投资基金共765只。</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（二）基金托管人的内部风险控制制度说明</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1、内部控制目标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2、内部控制组织结构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3、内部控制制度及措施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（三）基金托管人对基金管理人运作基金进行监督的方法和程序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当基金出现异常交易行为时，基金托管人应当针对不同情况进行以下方式的处理：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1、电话提示。对媒体和舆论反映集中的问题，电话提示基金管理人；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2、书面警示。对本基金投资比例接近超标、资金头寸不足等问题，以书面方式对基金管理人进行提示；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3、书面报告。对投资比例超标、清算资金透支以及其他涉嫌违规交易等行为，书面提示有关基金管理人并报中国证监会。</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7" w:name="_Toc123063667"/>
      <w:r>
        <w:rPr>
          <w:rFonts w:ascii="Times New Roman" w:hAnsi="Times New Roman"/>
          <w:sz w:val="30"/>
        </w:rPr>
        <w:t>五、相关服务机构</w:t>
      </w:r>
      <w:bookmarkEnd w:id="7"/>
    </w:p>
    <w:p>
      <w:pPr>
        <w:autoSpaceDE w:val="0"/>
        <w:autoSpaceDN w:val="0"/>
        <w:adjustRightInd w:val="0"/>
        <w:snapToGrid w:val="0"/>
        <w:spacing w:line="360" w:lineRule="auto"/>
        <w:ind w:firstLine="480" w:firstLineChars="200"/>
        <w:jc w:val="left"/>
        <w:outlineLvl w:val="1"/>
        <w:rPr>
          <w:rFonts w:ascii="宋体" w:hAnsi="宋体"/>
          <w:szCs w:val="24"/>
        </w:rPr>
      </w:pPr>
      <w:r>
        <w:rPr>
          <w:rFonts w:ascii="宋体" w:hAnsi="宋体"/>
          <w:sz w:val="24"/>
        </w:rPr>
        <w:t>（一）基金份额销售机构</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1、直销机构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本基金直销机构为基金管理人直销柜台以及基金管理人的网上直销交易平台（网站及手机APP，下同）。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机构名称：交银施罗德基金管理有限公司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住所：中国(上海)自由贸易试验区银城中路188号交通银行大楼二层（裙）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办公地址：上海市浦东新区世纪大道8号国金中心二期21-22楼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法定代表人：阮红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成立时间：2005年8月4日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电话：（021）61055724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传真：（021）61055054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联系人：傅鲸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客户服务电话：400-700-5000（免长途话费），（021）61055000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网址：www.fund001.com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个人投资者可以通过基金管理人网上直销交易平台办理开户业务，具体交易细则请参阅基金管理人网站。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网上直销交易平台网址：www.fund001.com。</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2、场内代销机构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具有基金销售业务资格、经上海证券交易所和中国证券登记结算有限责任公司认可的、通过上海证券交易所交易系统办理基金销售业务的上海证券交易所会员单位，具体名单详见上海证券交易所网站。</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3、场外代销机构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（1）名称：中国建设银行股份有限公司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住所：北京市西城区金融大街25号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办公地址：北京市西城区金融大街25号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法定代表人：田国立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电话：（010）66275654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传真：（010）66275654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客户服务电话：95533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网址：www.ccb.com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（2）名称：交通银行股份有限公司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住所：上海市浦东新区银城中路188号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办公地址：上海市浦东新区银城中路188号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法定代表人：任德奇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电话：（021）58781234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传真：（021）58408483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联系人：范瑞波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客户服务电话：95559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网址：www.bankcomm.com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（3）名称：招商银行股份有限公司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住所：深圳市福田区深南大道7088号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办公地址：深圳市福田区深南大道7088号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法定代表人：缪建民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电话：（0755）83198888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传真：（0755）83195109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联系人：季平伟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客户服务电话：95555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网址：www.cmbchina.com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（4）名称：中国农业银行股份有限公司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住所：北京市东城区建国门内大街69号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办公地址：北京市西城区复兴门内大街28号凯晨世贸中心东座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w:t>
      </w:r>
      <w:r>
        <w:rPr>
          <w:rFonts w:hint="eastAsia" w:ascii="宋体" w:hAnsi="宋体"/>
          <w:sz w:val="24"/>
        </w:rPr>
        <w:t>谷澍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联系电话：010-66060069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传真：010-68121816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联系人：贺倩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网址：www.abchina.com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（5）名称：中国光大银行股份有限公司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住所：北京市西城区太平桥大街25号、甲25号中国光大中心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办公地址：北京市西城区太平桥大街25号、甲25号中国光大中心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法定代表人：李晓鹏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电话：（010）63639681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传真：（010）63639709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联系人：刘昭宇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客户服务电话：95595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网址：www.cebbank.com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（6）名称：平安银行股份有限公司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注册地址：深圳市罗湖区深南东路5047号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办公地址：深圳市深南东路5047号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法人代表：谢永林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电话：0755-22166574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传真：0755-82080406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联系人：赵杨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客服电话：95511-3或95501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网址：bank.pingan.com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（7）名称：上海浦东发展银行股份有限公司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住所：上海市中山东一路12 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办公地址：上海市中山东一路12 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法定代表人：郑杨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电话：（021）61618888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传真：（021）61618888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联系人：朱瑛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客户服务电话：95528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网址：www.spdb.com.cn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（8）名称：华泰证券股份有限公司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住所：江苏省南京市江东中路228号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办公地址：江苏省南京市建邺区江东中路228号华泰证券广场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法定代表人：张伟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电话：（0755）82492193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传真：（0755）82492962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联系人：胡子豪</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客户服务电话：95597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网址：www.htsc.com.cn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（9）名称：中国银河证券股份有限公司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住所：北京市西城区金融大街35号国际企业大厦C座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办公地址：北京市西城区金融大街35号国际企业大厦C座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法定代表人：陈共炎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电话：010-83574507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联系人：辛国政</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客户服务电话：400-888-8888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网址：www.chinastock.com.cn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（10）名称：中信证券股份有限公司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住所：广东省深圳市福田区中心三路8号卓越时代广场（二期）北座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办公地址：北京市朝阳区亮马桥路48号中信证券大厦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法定代表人：张佑君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电话：010-60838888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客服电话：95548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网址：www.cs.ecitic.com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（11）名称：中国中金财富证券有限公司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住所：深圳市福田区益田路与福中路交界处荣超商务中心A栋第18层-21层及第04层01.02.03.05.11.12.13.15.16.18.19.20.21.22.23单元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办公地址：深圳市福田区益田路6003号荣超商务中心A栋第04、18层至21层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法定代表人：高涛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电话：（0755）88320851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联系人：胡芷境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客户服务电话：95532/400-600-8008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网址：www.ciccwm.com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（12）名称：德邦证券有限责任公司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住所：上海市普陀区曹杨路510号南半幢9楼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办公地址：上海市福山路500号城建大厦26楼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法定代表人：姚文平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电话：（021）68761616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传真：（021）68767981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客户服务电话：4008-888-128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网址：www.tebon.com.cn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（13）名称：中信建投证券股份有限公司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住所：北京市朝阳区安立路66号4号楼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办公地址：北京市朝阳门内大街188号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法定代表人：王常青</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电话：（010）85130588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传真：（010）65182261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联系人：魏明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客户服务电话：95587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网址：www.csc108.com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（14）名称：中原证券股份有限公司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住所：郑州市郑东新区商务外环路10号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办公地址：郑州市郑东新区商务外环路10号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法定代表人：菅明军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联系人：程月艳 李盼盼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电话：0371-69099881/2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客户服务电话：95377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网址：https://www.ccnew.com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（15）名称：东方财富证券股份有限公司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住所：西藏自治区拉萨市柳梧新区国际总部城10栋楼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办公地址：上海市徐汇区宛平南路88号东方财富大厦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法定代表人：徐伟琴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电话：（021）021-23586603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传真：（021）021-23586860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联系人：付佳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客户服务电话：95357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网址：http://www.18.cn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（16）名称：兴业证券股份有限公司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住所：福州市湖东路268号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办公地址：上海市浦东新区长柳路36号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法定代表人：杨华辉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 021-38565547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联系人：乔琳雪</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 www.xyzq.com.cn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客户服务电话：95562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（17）名称：国新证券股份有限公司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住所：北京市西城区金融大街8号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办公地址：北京市西城区金融大街8号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法定代表人：宋德清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电话：（010）58568235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传真：（010）58568062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联系人：黄恒</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客户服务电话：（010）58568118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网址：www.hrsec.com.cn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（18）名称：中国国际金融股份有限公司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住所：北京建国门外大街1号国贸大厦2座27层及28层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办公地址：北京建国门外大街1号国贸大厦2座27层及28层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法定代表人：毕明建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电话：（010）65051166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传真：（010）85679203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联系人：杨涵宇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网址：www.cicc.com.cn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（19）名称：申万宏源证券有限公司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住所：上海市徐汇区长乐路989号世纪商贸广场45层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办公地址：上海市徐汇区长乐路989号世纪商贸广场45层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法定代表人：杨玉成</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电话：（021）33389888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联系人：李清怡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客户服务电话：95523或4008895523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网址：www.sywg.com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（20）名称：中信证券（山东）有限责任公司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住所：青岛市崂山区深圳路222号1号楼2001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办公地址：青岛市市南区东海西路28号龙翔广场东座5层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法定代表人：姜晓林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电话：0531-89606166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传真：0532-85022605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联系人：焦刚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客户服务电话：95548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网址：sd.citics.com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（21）名称：中信证券华南股份有限公司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住所：广州市天河区珠江西路5号广州国际金融中心主塔19层、20层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办公地址：广州市天河区珠江西路5号广州国际金融中心主塔19层、20层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法定代表人：胡伏云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电话：020-88836999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传真：020-88836984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联系人：陈靖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客服电话：（020）95396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网址：www.gzs.com.cn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（22）名称：申万宏源西部证券有限公司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住所：新疆乌鲁木齐市建设路2号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办公地址：北京市西城区太平桥大街19号宏源证券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法定代表人：冯戎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电话：（010）88085858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传真：（010）88085195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联系人：李巍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客户服务电话：4008-000-562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网址：www.hysec.com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（23）名称：深圳市新兰德证券投资咨询有限公司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住所：深圳市福田区华强北路赛格科技园4栋10层1006#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办公地址：北京市西城区金融大街35号国际企业大厦C座9层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法定代表人：陈操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电话：（010）58325395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传真：（010）58325282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联系人：刘宝文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客户服务电话：400-850-7771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网址：http://8.jrj.com.cn/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（24）名称：玄元保险代理有限公司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住所：中国(上海)自由贸易试验区张杨路707号1105室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办公地址：中国(上海)自由贸易试验区张杨路707号1105室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法定代表人：马永谙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电话：（021）50701053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传真：（021）50701053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客户服务电话：400-080-8208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网址：www.licaimofang.cn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（25）名称：江苏汇林保大基金销售有限公司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住所：南京市高淳区经济开发区古檀大道47号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办公地址：江苏省南京市鼓楼区中山北路105号中环国际1413室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 吴言林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电话：025-66046166转837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传真：025-56663409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 孙平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客户服务电话：025-66046166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 www.huilinbd.com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（26）名称：北京肯特瑞基金销售有限公司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 北京市海淀区西三旗建材城中路12号17号平房157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办公地址：北京市通州区亦庄经济技术开发区科创十一街18号院京东集团总部A座15层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法定代表人：王苏宁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电话：95118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传真：010-89189566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联系人：李丹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客服热线：95118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网址：kenterui.jd.com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（27）名称：上海大智慧基金销售有限公司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住所：上海市浦东新区杨高南路428号1号楼10-11层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办公地址：上海市浦东新区杨高南路428号1号楼10-11层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法定代表人：申健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电话：021-0219988-35374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传真：021-20219923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联系人：张蜓</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客户服务电话：021-20292031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网址：https://www.wg.com.cn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（28）名称：北京唐鼎耀华投资咨询有限公司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住所：北京市延庆县延庆经济开发区百泉街10号2栋236室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办公地址：北京市朝阳区东三环北路38号院1号泰康金融中心38层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法定代表人：张冠宇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电话：（010）85870662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传真：（010）59200800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 刘美薇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客户服务电话：400-819-9868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网址：www.tdyhfund.com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（29）名称：珠海盈米财富管理有限公司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住所：珠海市横琴新区宝华路6号105室-3491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办公地址：广州市海珠区琶洲大道东1号保利国际广场南塔12楼B1201-1203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法定代表人：肖雯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电话：（020）89629099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传真：（020）89629011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联系人：黄敏嫦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客户服务电话：（020）89629066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网址：www.yingmi.cn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（30）名称：北京度小满基金销售有限公司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住所：北京市海淀区上地十街10号1幢1层101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 北京市海淀区信息路甲9号奎科大厦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 张旭阳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电话：010-61952703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传真：010-61951007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联系人：盛超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客户服务电话：95599-9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 www.baiyingfund.com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（31）名称：南京苏宁基金销售有限公司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住所：南京市玄武区苏宁大道1-5号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办公地址：南京市玄武区苏宁大道1-5号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电话：025-66996699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传真：025-66996699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 冯鹏鹏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客户服务电话：95177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 www.snjijin.com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（32）名称：嘉实财富管理有限公司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住所：上海市浦东新区世纪大道8号上海国金中心办公楼二期53层5312-15单元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办公地址：北京市朝阳区建国路91号金地中心A座6层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 赵学军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电话：（021）38789658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传真：（021）68880023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 王宫</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客户服务电话：400-021-8850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 www.harvestwm.cn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（33）名称：北京汇成基金销售有限公司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住所：北京市西城区宣武门外大街甲1号4层401-2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办公地址：北京市西城区宣武门外大街甲1号环球财讯中心D座4层401-2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法定代表人：王伟刚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电话：（010）56282140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传真：（010）62680827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联系人：张林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客户服务电话：400-619-9059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网址：www.hcfunds.com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（34）名称：上海利得基金销售有限公司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 上海浦东新区峨山路91弄61号陆家嘴软件园10号楼12楼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办公地址：上海浦东新区峨山路91弄61号陆家嘴软件园10号楼12楼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法定代表人：沈继伟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电话：021-50583533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传真：021-50583633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 徐鹏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客服电话：400-005-6355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网址：a.leadfund.com.cn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（35）名称：北京虹点基金销售有限公司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住所：北京市朝阳区工人体育场北路甲2号裙房2层222单元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办公地址：北京市朝阳区工人体育场北路甲2号裙房2层222单元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法定代表人：胡伟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电话：（010）65951887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传真：（010）65951887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联系人：姜颖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客户服务电话：400-618-0707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网址：www.hongdianfund.com/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（36）名称：上海陆金所资产管理有限公司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住所：上海市浦东新区陆家嘴环路1333号14楼09单元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办公地址：上海市浦东新区陆家嘴环路1333号14楼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法定代表人：郭坚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电话：（021）20665952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传真：（021）22066653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联系人：宁博宇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客户服务电话：4008219031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网址：www.lufunds.com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（37）名称：上海挖财金融信息服务有限公司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住所：中国（上海）自由贸易试验区杨高南路799号5层01、02、03室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办公地址：中国（上海）自由贸易试验区杨高南路799号5层01、02、03室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 胡燕亮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电话：（021）50810687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传真：（021）58300279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 李娟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客户服务电话：（021）50810673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网址：www.wacaijijin.com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（38）名称：天津万家财富资产管理有限公司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住所：天津自贸区（中心商务区）迎宾大道1988号滨海浙商大厦公寓2-2413室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办公地址：北京市西城区丰盛胡同28号太平洋保险大厦5层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法定代表人：李修辞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电话：（010）59013828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传真：（010）59013707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联系人：王芳芳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客户服务电话：010-59013842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网址：http://www.wanjiawealth.com/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（39）名称：上海万得基金销售有限公司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住所：中国（上海）自由贸易试验区福山路33号11楼B座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办公地址：上海市浦东新区福山路33号9楼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 王廷富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电话：021-50712782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传真：021-50710161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 徐亚丹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客户服务电话：400-821-0203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 www.520fund.com.cn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（40）名称：格上富信投资顾问有限公司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住所：北京市朝阳区东三环北路19号楼701内09室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办公地址：北京市朝阳区东三环北路19号楼701内09室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法定代表人：李悦章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电话：（010）85594745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传真：（010）65983333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联系人：张林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客户服务电话：400-066-8586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网址：www.igesafe.com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（41）名称：凤凰金信（银川）投资管理有限公司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住所：宁夏回族自治区银川市金凤区阅海湾中央商务区万寿路142号14层1402(750000)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办公地址：北京市朝阳区紫月路18号院朝来高科技产业园18号楼 (100000)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法定代表人：程刚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电话：（010）58160168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传真：（010）58160173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联系人：张旭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客户服务电话：400-810-5919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网址：www.fengfd.com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（42）名称：北京雪球基金销售有限公司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住所：北京市朝阳区阜通东大街1号院6号楼2单元21层222507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办公地址：北京市朝阳区创远路 34 号院融新科技中心 C 座 17 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法定代表人：钟斐斐</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电话：（010）61840688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传真：（010）84997571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联系人：侯芳芳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客户服务电话：400-1599-288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网址：https://danjuanapp.com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（43）名称：北京新浪仓石基金销售有限公司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住所：北京市海淀区东北旺西路中关村软件园二期(西扩)N-1、N-2地块新浪总部科研楼5层518室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办公地址：北京市海淀区东北旺西路中关村软件园二期(西扩)N-1、N-2地块新浪总部科研楼5层518室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法定代表人：李昭琛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电话：（010）60619607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传真：8610-62676582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联系人：付文红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客户服务电话：（010）62675369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网址：www.xincai.com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（44）名称：中证金牛（北京）投资咨询有限公司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 北京市丰台区东管头1号2号楼2-45室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 北京市西城区宣武门外大街甲一号环球财讯中心A座5层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 钱昊旻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电话：（010）59336533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传真：（010）59336500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 孟汉霄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客户服务电话：4008-909-998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 www.jnlc.com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（45）名称：上海云湾投资管理有限公司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住所：中国（上海）自由贸易试验区新金桥路27号13号楼2层，200127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办公地址：上海市锦康路308号6号楼6层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法定代表人：戴新装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电话：（021）20538888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传真：（021）20538999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联系人：江辉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客户服务电话：400-820-1515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网址：www.zhengtongfunds.com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（46）名称：奕丰基金销售有限公司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住所：深圳市前海深港合作区前湾一路1号A栋201室（入驻深圳市前海商务秘书有限公司）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办公地址：深圳市南山区海德三路海岸大厦A座17楼1704室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法定代表人：TEO WEE HOWE</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电话：（0755）89460500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传真：（0755）21674453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联系人：叶健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客户服务电话：400-684-0500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网址：www.ifastps.com.cn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（47）名称：北京中植基金销售有限公司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住所：北京市经济技术开发区宏达北路10号五层5122室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办公地址：北京市朝阳区东三环北路甲19号SOHO嘉盛中心30层3001室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法定代表人：李悦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电话：（010）56642600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传真：（010）56642623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联系人：张晔</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客户服务电话：4007868868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网址：www.chtfund.com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（48）名称：上海天天基金销售有限公司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住所：上海市徐汇区龙田路190号2号楼2层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办公地址：上海市徐汇区龙田路195号3C座10楼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法定代表人：其实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电话：（021）54509998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传真：（021）64385308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联系人：潘世友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客户服务电话：400-1818-188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网址：www.1234567.com.cn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（49）名称：和讯信息科技有限公司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住所：北京市朝阳区朝外大街22号泛利大厦10层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办公地址：北京市朝阳区朝外大街22号泛利大厦10层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电话：（021）20835789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传真：（021）20835879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联系人：周轶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客户服务电话：4009200022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网址：http://licaike.hexun.com/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（50）名称：诺亚正行(上海)基金销售投资顾问有限公司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住所：上海市虹口区飞虹路360弄9号3724室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办公地址：上海杨浦区秦皇岛路32号C栋 2楼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法定代表人：汪静波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电话：（021）38600735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传真：（021）38509777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联系人：方成</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客户服务电话：400-821-5399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网址：www.noah-fund.com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（51）名称：上海好买基金销售有限公司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住所：上海市虹口区场中路685弄37号4号楼449室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办公地址：上海市浦东新区浦东南路1118号鄂尔多斯国际大厦903-906室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法定代表人：杨文斌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传真：（021）68596916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联系人：薛年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客户服务电话：400-700-9665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网址：www.ehowbuy.com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（52）名称：上海长量基金销售投资顾问有限公司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住所：上海市浦东新区高翔路526号2幢220室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办公地址：上海市浦东新区浦东大道555号裕景国际B座16层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法定代表人：张跃伟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电话：（021）20691832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传真：（021）20691861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联系人：单丙烨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客户服务电话：400-820-2899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网址：www.erichfund.com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（53）名称：深圳众禄基金销售有限公司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住所：深圳市罗湖区梨园路物资控股置地大厦8楼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办公地址：深圳市罗湖区梨园路物资控股置地大厦8楼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法定代表人：薛峰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电话：（0755）33227953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传真：（0755）33227951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联系人：汤素娅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客户服务电话：4006-788-887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网址：www.zlfund.cn，www.jjmmw.com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（54）名称：蚂蚁（杭州）基金销售有限公司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住所：浙江省杭州市余杭区五常街道文一西路969号3幢5层599室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办公地址：浙江省杭州市西湖区西溪路556号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联系人：韩爱彬</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客户服务电话：95188-8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网址：www.fund123.cn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（55）名称：上海基煜基金销售有限公司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 上海市崇明县长兴镇路潘园公路1800号2号楼6153室（上海泰和经济发展区）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办公地址：上海市昆明路518号北美广场A1002-A1003室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法定代表人：王翔</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电话：（021）35385521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传真：（021）55085991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联系人：蓝杰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客户服务电话：400-820-5369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网址：www.jiyufund.com.cn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（56）名称：浙江同花顺基金销售有限公司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住所：浙江省杭州市文二西路1号元茂大厦903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办公地址：浙江省杭州市西湖区翠柏路7号电子商务产业园2号楼 2楼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法定代表人：凌顺平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电话：（0571）88911818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传真：（0571）86800423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联系人：吴强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客户服务电话：400-877-3772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网址：www.5ifund.com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（57）名称：北京展恒基金销售股份有限公司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住所：北京市顺义区后沙峪镇安富街6号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办公地址：北京市朝阳区安苑路15-1号邮电新闻大厦2层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法定代表人：闫振杰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电话：（010）59601366-7024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传真：（010）62020355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 马林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客户服务电话：400-888-6661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网址：www.myfund.com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（58）名称：一路财富（北京）信息科技有限公司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住所：北京市西城区车公庄大街9号五栋大楼C座702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办公地址：北京西城区阜成门大街2号万通新世界广场A座22层2208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 吴雪秀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电话：010-88312877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传真：010-88312099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 苏昊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客户服务电话：400-001-1566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网址：http://www.yilucaifu.com/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（59）名称：上海联泰基金销售有限公司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住所：中国（上海）自由贸易试验区富特北路277号3层310室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办公地址：上海市长宁区福泉北路518号8座3楼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法定代表人：燕斌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电话：021-52822063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传真：021-52975270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联系人：凌秋艳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客户服务电话：4000-466-788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网址：www.66zichan.com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（60）名称：腾安基金销售（深圳）有限公司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住所：深圳市前海深港合作区前湾一路1号A栋201室（入驻深圳市前海商务秘书有限公司）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办公地址：深圳市南山区海天二路33号腾讯滨海大厦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法定代表人：刘明军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电话：95017（拨通后转1转8）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联系人：谭广峰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客户服务电话：95017（拨通后转1转8）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网址：http://www.tenganxinxi.com/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（61）名称：中信期货有限公司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住所：深圳市福田区中心三路8号卓越时代广场（二期）北座13层1301-1305室、14层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办公地址：深圳市福田区中心三路8号卓越时代广场（二期）北座13层1301-1305室、14层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法定代表人：张皓</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电话：010-60833754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传真：021-60819988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联系人：刘宏莹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客服电话：400-990-8826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网站：www.citicsf.com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（62）名称：宜信普泽投资顾问（北京）有限公司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住所：北京市朝阳区建国路88号9号楼15层1809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办公地址：北京市朝阳区建国路88号SOHO现代城C座1809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法定代表人：沈伟桦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电话：010-52855713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传真：010-85894285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联系人：程刚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客户服务电话：400-6099-200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网址：www.yixinfund.com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基金管理人可根据有关法律法规的要求，选择其它符合要求的机构销售本基金，并在管理人网站公示。</w:t>
      </w:r>
    </w:p>
    <w:p>
      <w:pPr>
        <w:autoSpaceDE w:val="0"/>
        <w:autoSpaceDN w:val="0"/>
        <w:adjustRightInd w:val="0"/>
        <w:snapToGrid w:val="0"/>
        <w:spacing w:line="360" w:lineRule="auto"/>
        <w:ind w:firstLine="480" w:firstLineChars="200"/>
        <w:jc w:val="left"/>
        <w:outlineLvl w:val="1"/>
        <w:rPr>
          <w:rFonts w:ascii="宋体" w:hAnsi="宋体"/>
          <w:szCs w:val="24"/>
        </w:rPr>
      </w:pPr>
      <w:r>
        <w:rPr>
          <w:rFonts w:ascii="宋体" w:hAnsi="宋体"/>
          <w:sz w:val="24"/>
        </w:rPr>
        <w:t>（二）登记机构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名称：中国证券登记结算有限责任公司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住所：北京市西城区太平桥大街17号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办公地址：北京市西城区太平桥大街17号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法定代表人：于文强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电话：（010）50938782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传真：（010）50938907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联系人：赵亦清</w:t>
      </w:r>
    </w:p>
    <w:p>
      <w:pPr>
        <w:autoSpaceDE w:val="0"/>
        <w:autoSpaceDN w:val="0"/>
        <w:adjustRightInd w:val="0"/>
        <w:snapToGrid w:val="0"/>
        <w:spacing w:line="360" w:lineRule="auto"/>
        <w:ind w:firstLine="480" w:firstLineChars="200"/>
        <w:jc w:val="left"/>
        <w:outlineLvl w:val="1"/>
        <w:rPr>
          <w:rFonts w:ascii="宋体" w:hAnsi="宋体"/>
          <w:szCs w:val="24"/>
        </w:rPr>
      </w:pPr>
      <w:r>
        <w:rPr>
          <w:rFonts w:ascii="宋体" w:hAnsi="宋体"/>
          <w:sz w:val="24"/>
        </w:rPr>
        <w:t>（三）出具法律意见书的律师事务所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名称：上海市通力律师事务所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住所：上海市银城中路68号时代金融中心19楼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办公地址：上海市银城中路68号时代金融中心19楼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负责人：韩炯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电话：（021）31358666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传真：（021）31358600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联系人：丁媛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经办律师：黎明、丁媛</w:t>
      </w:r>
    </w:p>
    <w:p>
      <w:pPr>
        <w:autoSpaceDE w:val="0"/>
        <w:autoSpaceDN w:val="0"/>
        <w:adjustRightInd w:val="0"/>
        <w:snapToGrid w:val="0"/>
        <w:spacing w:line="360" w:lineRule="auto"/>
        <w:ind w:firstLine="480" w:firstLineChars="200"/>
        <w:jc w:val="left"/>
        <w:outlineLvl w:val="1"/>
        <w:rPr>
          <w:rFonts w:ascii="宋体" w:hAnsi="宋体"/>
          <w:szCs w:val="24"/>
        </w:rPr>
      </w:pPr>
      <w:r>
        <w:rPr>
          <w:rFonts w:ascii="宋体" w:hAnsi="宋体"/>
          <w:sz w:val="24"/>
        </w:rPr>
        <w:t>（四）审计基金财产的会计师事务所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名称：普华永道中天会计师事务所（特殊普通合伙）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注册地址：中国(上海)自由贸易试验区陆家嘴环路1318号星展银行大厦507单元01室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办公地址：中国上海市浦东新区东育路588号前滩中心42楼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执行事务合伙人：李丹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电话：（021）23238888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传真：（021）23238800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联系人：金诗涛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经办注册会计师：沈兆杰、金诗涛</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8" w:name="_Toc123063668"/>
      <w:r>
        <w:rPr>
          <w:rFonts w:ascii="Times New Roman" w:hAnsi="Times New Roman"/>
          <w:sz w:val="30"/>
        </w:rPr>
        <w:t>六、基金的募集</w:t>
      </w:r>
      <w:bookmarkEnd w:id="8"/>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本基金由基金管理人依照《基金法》、《运作办法》、《销售办法》、基金合同及其他有关规定，并经中国证监会2019年12月5日证监许可【2019】2666号文准予募集注册。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为混合型证券投资基金。基金合同生效后，前三年封闭运作，在封闭期内，本基金不办理申购、赎回业务，但投资人可在本基金上市交易后通过上海证券交易所转让基金份额。封闭期届满后，本基金转为上市开放式基金（LOF），基金名称相应变更为“交银施罗德瑞思混合型证券投资基金（LOF）”，可办理场外、场内申购赎回，并继续在上海证券交易所上市交易。但若本基金在封闭期内出现上海证券交易所相关业务规则规定的因不再具备上市条件而应当终止上市的情形，则本基金封闭期届满后将转为非上市的开放式基金。基金的存续期间为不定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本基金募集期间基金份额净值为人民币1.00元，按初始面值发售。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本基金于2020年2月17日当日发售，本基金设立募集期共募集4,945,845,223.18份基金份额，有效认购户数为53,800户。</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9" w:name="_Toc123063669"/>
      <w:r>
        <w:rPr>
          <w:rFonts w:ascii="Times New Roman" w:hAnsi="Times New Roman"/>
          <w:sz w:val="30"/>
        </w:rPr>
        <w:t>七、基金合同的生效</w:t>
      </w:r>
      <w:bookmarkEnd w:id="9"/>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根据有关规定，本基金满足基金合同生效条件，基金合同已于2020年2月21日正式生效。自基金合同生效之日起，本基金管理人正式开始管理本基金。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生效后，连续20个工作日出现基金份额持有人数量不满200人或者基金资产净值低于5000万元情形的，基金管理人应当在定期报告中予以披露；连续50个工作日出现前述情形的，基金管理人提前终止《基金合同》，不需召开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法律法规或中国证监会另有规定时，从其规定。</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0" w:name="_Toc123063670"/>
      <w:r>
        <w:rPr>
          <w:rFonts w:ascii="Times New Roman" w:hAnsi="Times New Roman"/>
          <w:sz w:val="30"/>
        </w:rPr>
        <w:t>八、基金份额的上市交易</w:t>
      </w:r>
      <w:bookmarkEnd w:id="10"/>
    </w:p>
    <w:p>
      <w:pPr>
        <w:autoSpaceDE w:val="0"/>
        <w:autoSpaceDN w:val="0"/>
        <w:adjustRightInd w:val="0"/>
        <w:snapToGrid w:val="0"/>
        <w:spacing w:line="360" w:lineRule="auto"/>
        <w:ind w:firstLine="480" w:firstLineChars="200"/>
        <w:jc w:val="both"/>
        <w:rPr>
          <w:rFonts w:ascii="宋体" w:hAnsi="宋体"/>
          <w:szCs w:val="24"/>
        </w:rPr>
      </w:pPr>
      <w:r>
        <w:rPr>
          <w:rFonts w:ascii="宋体" w:hAnsi="宋体"/>
          <w:sz w:val="24"/>
        </w:rPr>
        <w:t>根据有关规定，基金合同生效后，具备上市条件，于2020年8月5日起在上海证券交易所上市交易。（场内简称：交银瑞思，</w:t>
      </w:r>
      <w:r>
        <w:rPr>
          <w:rFonts w:hint="eastAsia" w:ascii="宋体" w:hAnsi="宋体"/>
          <w:sz w:val="24"/>
        </w:rPr>
        <w:t>扩位简称：交银瑞思LOF，</w:t>
      </w:r>
      <w:r>
        <w:rPr>
          <w:rFonts w:ascii="宋体" w:hAnsi="宋体"/>
          <w:sz w:val="24"/>
        </w:rPr>
        <w:t>代码：501092）。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转为上市开放式基金（LOF）后，登记在证券登记结算系统中的基金份额仍将在上海证券交易所上市交易。基金在上海证券交易所上市交易的相关事项并不因基金转换运作方式而发生调整。本基金在转型前后可根据实际情况申请停牌暂停上市交易，停复牌时间以基金管理人公告为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一、上市交易的地点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本基金的上市交易的地点为上海证券交易所。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二、上市交易的时间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基金合同生效后，具备下列条件的，基金管理人可依据《上海证券交易所证券投资基金上市规则》及相关法律法规，向上海证券交易所申请上市交易：</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1、本基金募集金额不少于2亿元人民币；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2、本基金基金份额持有人不少于1000人；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3、上海证券交易所规定的其他条件。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基金上市前，基金管理人应与上海证券交易所签订上市协议书。在确定上市交易的时间后，基金管理人应依照《信息披露办法》的有关规定在指定媒介上刊登上市交易公告书。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三、上市交易规则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本基金在上海证券交易所的上市交易需遵循《上海证券交易所证券投资基金上市规则》、《上海证券交易所交易规则》等有关规定，包括但不限于：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1、本基金上市首日的开盘参考价为基金管理人最近公布并向上海证券交易所提供的基金份额净值；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2、本基金实行价格涨跌幅限制，涨跌幅比例限制为10%，自上市首日起实行；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3、本基金买入申报数量为100份或其整数倍；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4、本基金申报价格最小变动单位为0.001元人民币；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5、《上海证券交易所交易规则》、《上海证券交易所证券投资基金上市规则》等其他相关规定。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四、上市交易的费用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本基金上市交易的费用按照上海证券交易所有关规定办理。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五、上市交易的行情揭示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本基金在上海证券交易所挂牌交易，交易行情通过行情发布系统揭示。行情发布系统同时揭示基金管理人最近公布并向上海证券交易所提供的基金份额净值。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六、上市交易的注册登记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投资人T日买入成功后，登记机构在T日自动为投资人登记权益并办理登记手续，投资人自T＋1日（含该日）后有权卖出该部分基金份额；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投资人T日卖出成功后，登记机构在T日自动为投资人办理扣除权益的登记手续。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七、上市交易的停复牌和终止上市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本基金的停复牌和终止上市按照相关法律法规和上海证券交易所的相关规定执行。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当基金发生《上海证券交易所证券投资基金上市规则》规定的因不再具备上市条件而应当终止上市的情形时，本基金将变更为非上市的基金并相应修订基金合同，无需召开基金份额持有人大会。基金终止上市后，对于本基金场内份额的处理规则由基金管理人提前制定并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八、相关法律法规、中国证监会及上海证券交易所对基金上市交易的规则等相关规定内容进行调整的，按调整后的规定执行，无须召开基金份额持有人大会。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九、若上海证券交易所、中国证券登记结算有限责任公司增加了基金场内交易的新业务，基金管理人可以在履行适当的程序后为本基金增加办理相应的新业务。</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1" w:name="_Toc123063671"/>
      <w:r>
        <w:rPr>
          <w:rFonts w:ascii="Times New Roman" w:hAnsi="Times New Roman"/>
          <w:sz w:val="30"/>
        </w:rPr>
        <w:t>九、基金份额的申购与赎回</w:t>
      </w:r>
      <w:bookmarkEnd w:id="11"/>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（一）申购和赎回的场所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投资人可通过下述场所按照规定的方式进行申购或赎回：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1、本基金管理人的直销机构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本基金直销机构为基金管理人直销柜台以及基金管理人的网上直销交易平台。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名称：交银施罗德基金管理有限公司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住所：中国（上海）自由贸易试验区银城中路188号交通银行大楼二层（裙）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办公地址：中国（上海）自由贸易试验区世纪大道8号国金中心二期21-22楼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电话：（021）61055724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传真：（021）61055054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联系人：傅鲸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客户服务电话：400-700-5000（免长途话费），（021）61055000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网址：www.fund001.com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个人投资者可以通过基金管理人网上直销交易平台办理开户等业务，具体交易细则请参阅基金管理人网站。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网上直销交易平台网址：www.fund001.com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2、具有基金销售业务资格、经上海证券交易所和中国证券登记结算有限责任公司认可的、通过上海证券交易所交易系统办理基金销售业务的上海证券交易所会员单位，具体名单详见上海证券交易所网站。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3、不通过上海证券交易所交易系统办理相关业务的场外销售机构（除本基金管理人）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本基金除基金管理人之外的其他场外销售机构参见本招募说明书“五、相关服务机构”章节或拨打本公司客户服务电话进行咨询。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投资人应通过上述销售机构办理基金申购、赎回业务的营业场所或按上述销售机构提供的其他方式进行申购或赎回。本基金管理人可根据情况变更或增减基金场外销售机构，并在管理人网站公示。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若基金管理人或其指定的销售机构开通电话、传真或网上等交易方式，投资人可以通过上述方式进行申购与赎回。</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（二）申购和赎回的开放日及时间</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1、开放日及开放时间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基金合同生效后三年之内（含三年）为封闭期，在此期间投资者不能申购、赎回基金份额，但可在本基金上市交易后通过上海证券交易所转让基金份额。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封闭期结束，转为开放式运作后，投资人方可进行基金份额的申购与赎回。投资人在开放日办理基金份额的申购和赎回，具体办理时间为上海证券交易所、深圳证券交易所的正常交易日的交易时间（若该工作日为非港股通交易日，则本基金可不开放），但基金管理人根据法律法规、中国证监会、行业监管及证券交易所的要求或基金合同的规定公告暂停申购、赎回时除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封闭期结束，转为开放式运作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2、申购、赎回开始日及业务办理时间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自基金封闭期届满起不超过30天开始办理申购、赎回业务，在确定申购开始与赎回开始时间后，基金管理人应在申购、赎回开放日前依照《信息披露办法》的有关规定在指定媒介上公告申购与赎回的开始时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基金管理人不得在基金合同约定之外的日期或者时间办理基金份额的申购、赎回或者转换。</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（三）申购与赎回的原则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1、“未知价”原则，即申购、赎回价格以申请当日收市后计算的基金份额净值为基准进行计算；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2、“金额申购、份额赎回”原则，即申购以金额申请，赎回以份额申请；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3、当日的申购与赎回申请可以在基金管理人规定的时间以内撤销；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4、投资者办理基金份额场外申购、赎回应使用开放式基金账户，办理基金份额场内申购、赎回应使用上海证券账户；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份额持有人在场外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投资者通过上海证券交易所交易系统办理场内申购、赎回业务时，需遵守上海证券交易所和中国证券登记结算有限责任公司的相关业务规则。若相关法律法规、中国证监会、上海证券交易所或中国证券登记结算有限责任公司对场内申购、赎回业务规则有新的规定，按新规定执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7、办理申购、赎回业务时，应当遵循基金份额持有人利益优先原则，确保投资者的合法权益不受损害并得到公平对待。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基金管理人可在法律法规允许的情况下，对上述原则进行调整。基金管理人必须在新规则开始实施前依照《信息披露办法》的有关规定在指定媒介上公告。</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（四）申购和赎回的数额限定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1、申购金额的限制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场外申购时，直销机构首次申购的最低金额为单笔100万元，追加申购的最低金额为单笔10万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1元。本基金直销机构单笔申购最低金额可由基金管理人酌情调整。其他销售机构接受申购申请的最低金额为单笔1元，如果销售机构业务规则规定的最低单笔申购金额高于1元，以该销售机构的规定为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对于场内申购及持有场内份额的数量限制，上海证券交易所和中国证券登记结算有限责任公司的相关业务规则有规定的，从其最新规定办理。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2、赎回份额的限制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场外赎回的最低份额为1份基金份额，如果销售机构业务规则规定的最低单笔赎回份额高于1份，以该销售机构的规定为准。对于场内赎回的数量限制，上海证券交易所和中国证券登记结算有限责任公司的相关业务规则有规定的，从其最新规定办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3、最低保留余额的限制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每个工作日投资人在单个交易账户保留的本基金份额余额少于1份时，若当日该账户同时有基金份额减少类业务（如赎回、转换出等）被确认，则基金管理人有权将投资人在该账户保留的本基金份额一次性全部赎回。场内赎回发生上述情形时，需遵守上海证券交易所及中国证券登记结算有限责任公司的相关业务规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5、基金管理人可在法律法规允许的情况下，调整上述规定申购金额和赎回份额的数量限制。基金管理人必须在调整实施前依照《信息披露办法》的有关规定在指定媒介上公告。</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（五）申购和赎回的程序</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1、申购和赎回的申请方式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2、申购和赎回的款项支付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投资人申购基金份额时，必须全额交付申购款项，若申购资金在规定时间内未全额到账则申购不成立。投资人全额交付申购款项，申购成立；基金登记机构确认基金份额时，申购生效。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递交赎回申请，赎回成立；基金登记机构确认赎回时，赎回生效。投资者赎回申请生效后，基金管理人将在T＋7日（包括该日）内支付赎回款项。在发生巨额赎回或基金合同载明的其他暂停赎回或延缓支付赎回款项的情形时，款项的支付办法参照基金合同有关条款处理。如遇证券交易所或交易市场数据传输延迟、通讯系统故障、银行交换系统故障、港股通交易系统或港股通资金交收规则限制或其他非基金管理人及基金托管人所能控制的因素影响了业务流程，则赎回款项划付时间相应顺延。</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3、申购和赎回申请的确认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或基金管理人委托的登记机构应以开放日规定的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本金退还给投资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基金管理人可在法律法规允许的范围内，依法对上述申购和赎回申请的确认时间进行调整，并必须在调整实施日前按照《信息披露办法》的有关规定在指定媒介上公告。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销售机构对申购、赎回申请的受理并不代表该申请一定成功，而仅代表销售机构确实接收到申购、赎回申请。申购、赎回申请的确认以登记机构的确认结果为准。对于申请的确认情况，投资者应及时查询。</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4、申购和赎回的登记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（1）投资人T日申购基金成功后，正常情况下，登记机构在T＋1日为投资人增加权益并办理登记手续，投资人自T＋2日起（包括该日）有权赎回该部分基金份额。投资人应及时查询有关申请的确认情况。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（2）投资人T日赎回基金成功后，正常情况下，登记机构在T＋1日为投资人扣除权益并办理相应的登记手续。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（3）基金管理人可在法律法规允许的范围内，对上述登记办理时间进行调整，并于开始实施前按照《信息披露办法》的有关规定在指定媒介上公告。</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（六）基金的申购费和赎回费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1、申购费用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本基金基金份额的申购费用由基金份额申购人承担，不列入基金财产，主要用于本基金的市场推广、销售、登记结算等各项费用。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投资人可以多次申购本基金，申购费用按每笔申购申请单独计算。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本基金场外基金份额（非养老金客户）的申购费率如下：</w:t>
      </w:r>
    </w:p>
    <w:tbl>
      <w:tblPr>
        <w:tblStyle w:val="14"/>
        <w:tblW w:w="5000" w:type="pct"/>
        <w:tblInd w:w="0" w:type="dxa"/>
        <w:tblLayout w:type="autofit"/>
        <w:tblCellMar>
          <w:top w:w="0" w:type="dxa"/>
          <w:left w:w="0" w:type="dxa"/>
          <w:bottom w:w="0" w:type="dxa"/>
          <w:right w:w="0" w:type="dxa"/>
        </w:tblCellMar>
      </w:tblPr>
      <w:tblGrid>
        <w:gridCol w:w="1238"/>
        <w:gridCol w:w="3716"/>
        <w:gridCol w:w="3716"/>
      </w:tblGrid>
      <w:tr>
        <w:tblPrEx>
          <w:tblCellMar>
            <w:top w:w="0" w:type="dxa"/>
            <w:left w:w="0" w:type="dxa"/>
            <w:bottom w:w="0" w:type="dxa"/>
            <w:right w:w="0" w:type="dxa"/>
          </w:tblCellMar>
        </w:tblPrEx>
        <w:trPr>
          <w:cantSplit/>
          <w:trHeight w:val="375" w:hRule="atLeast"/>
        </w:trPr>
        <w:tc>
          <w:tcPr>
            <w:tcW w:w="2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申购费率</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申购费率</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100万元以下</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100万元（含）至200万元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200万元（含）至500万元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500万元以上（含500万元）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每笔交易1000元</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本基金的场内申购费率由场内销售机构参照上表场外申购费率设定。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因红利自动再投资而产生的基金份额，不收取相应的申购费用。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本基金对通过基金管理人直销柜台申购基金份额的养老金客户实施特定申购费率。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1）全国社会保障基金；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2）可以投资基金的地方社会保障基金；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3）企业年金单一计划以及集合计划；</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4）企业年金理事会委托的特定客户资产管理计划；</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5）企业年金养老金产品。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如将来出现经养老基金监管部门认可的新的养老基金类型，基金管理人可在招募说明书更新或发布临时公告将其纳入养老金客户范围，并按规定向中国证监会备案。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通过基金管理人直销柜台申购本基金基金份额的养老金客户特定申购费率如下表：</w:t>
      </w:r>
    </w:p>
    <w:tbl>
      <w:tblPr>
        <w:tblStyle w:val="14"/>
        <w:tblW w:w="5000" w:type="pct"/>
        <w:tblInd w:w="0" w:type="dxa"/>
        <w:tblLayout w:type="autofit"/>
        <w:tblCellMar>
          <w:top w:w="0" w:type="dxa"/>
          <w:left w:w="0" w:type="dxa"/>
          <w:bottom w:w="0" w:type="dxa"/>
          <w:right w:w="0" w:type="dxa"/>
        </w:tblCellMar>
      </w:tblPr>
      <w:tblGrid>
        <w:gridCol w:w="1238"/>
        <w:gridCol w:w="3716"/>
        <w:gridCol w:w="3716"/>
      </w:tblGrid>
      <w:tr>
        <w:tblPrEx>
          <w:tblCellMar>
            <w:top w:w="0" w:type="dxa"/>
            <w:left w:w="0" w:type="dxa"/>
            <w:bottom w:w="0" w:type="dxa"/>
            <w:right w:w="0" w:type="dxa"/>
          </w:tblCellMar>
        </w:tblPrEx>
        <w:trPr>
          <w:cantSplit/>
          <w:trHeight w:val="375" w:hRule="atLeast"/>
        </w:trPr>
        <w:tc>
          <w:tcPr>
            <w:tcW w:w="2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申购费率</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特定申购费率</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100万元以下</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100万元（含）至200万元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0.36%</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200万元（含）至500万元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0.12%</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500万元以上（含500万元）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每笔交易1000元</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2、赎回费用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者赎回基金份额收取赎回费用，该费用随基金份额的持有时间递减。本基金基金份额的赎回费用由赎回基金份额的基金份额持有人承担，在基金份额持有人赎回基金份额时收取。对于持续持有期间少于7日的投资者收取的赎回费全额计入基金财产，对于持续持有期间大于等于7日的投资人收取的赎回费总额的25%应归基金财产，其余用于支付登记费和其他必要的手续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本基金场外基金份额的赎回费率如下：</w:t>
      </w:r>
    </w:p>
    <w:tbl>
      <w:tblPr>
        <w:tblStyle w:val="14"/>
        <w:tblW w:w="5000" w:type="pct"/>
        <w:tblInd w:w="0" w:type="dxa"/>
        <w:tblLayout w:type="autofit"/>
        <w:tblCellMar>
          <w:top w:w="0" w:type="dxa"/>
          <w:left w:w="0" w:type="dxa"/>
          <w:bottom w:w="0" w:type="dxa"/>
          <w:right w:w="0" w:type="dxa"/>
        </w:tblCellMar>
      </w:tblPr>
      <w:tblGrid>
        <w:gridCol w:w="1238"/>
        <w:gridCol w:w="3716"/>
        <w:gridCol w:w="3716"/>
      </w:tblGrid>
      <w:tr>
        <w:tblPrEx>
          <w:tblCellMar>
            <w:top w:w="0" w:type="dxa"/>
            <w:left w:w="0" w:type="dxa"/>
            <w:bottom w:w="0" w:type="dxa"/>
            <w:right w:w="0" w:type="dxa"/>
          </w:tblCellMar>
        </w:tblPrEx>
        <w:trPr>
          <w:cantSplit/>
          <w:trHeight w:val="375" w:hRule="atLeast"/>
        </w:trPr>
        <w:tc>
          <w:tcPr>
            <w:tcW w:w="2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7日以内</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7日（含）—30日</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0.75%</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30日（含）—1年</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1年（含）—2年</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0.25%</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2年以上（含）</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上表中的“年”指的是365个自然日。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本基金基金份额的场内赎回费率参照场外赎回费率执行。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3、基金管理人可以在基金合同约定的范围内调整费率或收费方式，并最迟应于新的费率或收费方式实施日前依照《信息披露办法》的有关规定在指定媒介上公告。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4、当本基金发生大额申购或赎回情形时，基金管理人可以采用摆动定价机制，以确保基金估值的公平性。具体处理原则与操作规范遵循相关法律法规以及监管部门、自律规则的规定。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（七）申购和赎回的数额和价格</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1、申购和赎回数额、余额的处理方式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（1）申购的有效份额为净申购金额除以当日基金份额净值，有效份额单位为份，场外申购涉及金额、份额的计算结果保留到小数点后两位，小数点后两位以后的部分四舍五入， 由此产生的收益或损失由基金财产承担。场内申购份额先按四舍五入的原则保留到小数点后两位，再按截位法保留到整数位，小数部分对应的金额退还投资者。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（2）赎回金额为按实际确认的有效赎回份额乘以当日基金份额净值并扣除相应的费用，赎回金额单位为元。赎回金额计算结果按四舍五入方法，保留到小数点后2位，由此产生的收益或损失由基金财产承担。</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2、申购份额的计算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当申购费用适用比例费率时，申购份额的计算方法如下：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申购费=有效申购金额×申购费率/（1+申购费率）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申购份额＝（有效申购金额－申购费）/T日的基金份额净值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当申购费用为固定金额时，申购份额的计算方法如下：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申购费＝固定金额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申购份额=（有效申购金额－申购费）/ T日的基金份额净值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例：本基金封闭期结束，转为开放式运作后，某投资人（非养老金客户）投资4万元场内申购本基金，对应费率为1.5%，假设申购当日基金份额净值为1.0400元，则其可得到的申购份额为：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申购费＝40,000.00×1.5%/（1+1.5%）＝ 591.13元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申购份额=（400,000.00-591.13）/1.0400=37,893.14份（先按四舍五入的原则保留到小数点后两位）=37,893份（再按截位法保留到整数位）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退回资金=0.14*1.0400=0.15元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即：本基金封闭期结束，转为开放式运作后，某投资人（非养老金客户）投资4万元场内申购本基金，对应费率为1.5%，假设申购当日基金份额净值为1.0400元，则其可得到37,893份基金份额。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例：本基金封闭期结束，转为开放式运作后，某投资人（非养老金客户）投资4万元场外申购基金份额，对应费率为1.5%，假设申购当日基金份额的份额净值为1.0400元，则其可得到的申购份额为：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申购费＝40,000.00×1.5%/（1+1.5%）＝ 591.13元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申购份额=（40,000.00-591.13）/1.0400=37,893.14份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即：本基金封闭期结束，转为开放式运作后，某投资人（非养老金客户）投资4万元场外申购基金份额，对应费率为1.5%，假设申购当日基金份额的份额净值为1.0400元，则其可得到37,893.14份基金份额。</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3、赎回金额的计算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赎回费用=赎回份额×T日基金份额净值×赎回费率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赎回金额=赎回份额×T日基金份额净值-赎回费用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例：本基金封闭期结束，转为开放式运作后，某投资者赎回10,000份基金份额，持有60日，对应的赎回费率为0.5%，假设赎回当日基金份额净值是1.0160元，则其可得到的赎回金额为：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赎回费用=10,000.00×1.0160×0.5%＝50.80元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赎回金额=10,000.00×1.0160-50.80＝10,109.20元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即：本基金封闭期结束，转为开放式运作后，某投资者赎回10,000份基金份额，持有60日，对应的赎回费率为0.5%，假设赎回当日基金份额净值是1.0160元，则其可得到的赎回金额为10,109.20元。</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4、基金份额净值的计算公式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基金份额净值＝基金资产净值总额/发行在外的基金份额总数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开始办理基金上市交易或基金份额申购或者赎回前，基金管理人应当至少每周公告一次基金资产净值和基金份额净值。在开始办理基金上市交易或基金份额申购或者赎回后，T日的基金份额净值在当天收市后计算，并在T+1日（包括该日）内公告。遇特殊情况，经履行适当程序，可以适当延迟计算或公告。本基金份额净值的计算，保留到小数点后4位，小数点后第5位四舍五入，由此产生的收益或损失由基金财产承担。</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（八）拒绝或暂停申购的情形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本基金封闭期结束，转为开放式运作后，发生下列情况时，基金管理人可拒绝或暂停接受投资人的申购申请：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1、因不可抗力导致基金无法正常运作。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2、发生基金合同规定的暂停基金资产估值情况时，基金管理人可暂停接受投资人的申购申请。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3、证券/期货交易所交易时间非正常停市或者港股通临时停市，导致基金管理人无法计算当日基金资产净值。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4、接受某笔或某些申购申请可能会影响或损害现有基金份额持有人利益时。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5、基金资产规模过大，使基金管理人无法找到合适的投资品种，或其他可能对基金业绩产生负面影响，或发生其他损害现有基金份额持有人利益的情形。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6、当前一估值日基金资产净值50%以上的资产出现无可参考的活跃市场价格且采用估值技术仍导致公允价值存在重大不确定性时，经与基金托管人协商确认后，基金管理人应当暂停接受基金申购申请。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7、基金管理人接受某笔或者某些申购申请有可能导致单一投资者持有基金份额的比例超过50%，或者变相规避50%集中度的。出现上述情形时，基金管理人有权将上述申购申请全部或部分确认失败。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8、港股通交易每日额度不足。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9、法律法规规定、中国证监会认定或基金合同约定的其他情形。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发生上述第1、2、3、5、6、8、9项暂停申购情形之一且基金管理人决定暂停接受投资人申购申请时，基金管理人应当根据有关规定在指定媒介上刊登暂停申购公告。如果投资人的申购申请被拒绝，被拒绝的申购款项将退还给投资人。在暂停申购的情况消除时，基金管理人应及时恢复申购业务的办理。</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（九）暂停赎回或延缓支付赎回款项的情形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本基金封闭期结束，转为开放式运作后，发生下列情形时，基金管理人可暂停接受投资人的赎回申请或延缓支付赎回款项：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1、因不可抗力导致基金管理人不能支付赎回款项。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2、发生基金合同规定的暂停基金资产估值情况时，基金管理人可暂停接受投资人的赎回申请或延缓支付赎回款项。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3、证券/期货交易所交易时间非正常停市或者港股通临时停市，导致基金管理人无法计算当日基金资产净值。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4、连续两个或两个以上开放日发生巨额赎回。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5、发生继续接受赎回申请将损害现有基金份额持有人利益的情形时，基金管理人可暂停接受基金份额持有人的赎回申请。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7、法律法规规定、中国证监会认定或基金合同约定的其他情形。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发生上述情形之一且基金管理人决定暂停接受基金份额持有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出现暂停赎回或延缓支付赎回款项时，场内赎回申请按照上海证券交易所及中国证券登记结算有限责任公司的有关业务规则办理。若出现上述第4项所述情形，按基金合同的相关条款处理。基金份额持有人在申请赎回时可事先选择将当日可能未获受理部分予以撤销。在暂停赎回的情况消除时，基金管理人应及时恢复赎回业务的办理并公告。</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（十）巨额赎回的情形及处理方式</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1、巨额赎回的认定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工作日的基金总份额的10%，即认为是发生了巨额赎回。</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2、巨额赎回的处理方式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当基金出现巨额赎回时，基金管理人可以根据基金当时的资产组合状况决定全额赎回或部分延期赎回。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（1）全额赎回：当基金管理人认为有能力支付投资人的全部赎回申请时，按正常赎回程序执行。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工作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（3）本基金如发生巨额赎回且单个开放日内单个基金份额持有人申请赎回的基金份额超过前一工作日的基金总份额的20%时，本基金管理人有权采取如下措施：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暂停赎回：连续2个开放日以上（含本数）发生巨额赎回，如基金管理人认为有必要，可暂停接受基金的赎回申请；已经接受的赎回申请可以延缓支付赎回款项，但不得超过20个工作日，并应当在指定媒介上进行公告。</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3、巨额赎回的场内处理方式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巨额赎回业务的场内处理，按照上海证券交易所及中国证券登记结算有限责任公司的有关规定办理。</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4、巨额赎回的公告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当发生上述巨额赎回并延期办理时，基金管理人应当通过邮寄、传真、刊登公告或者通知销售机构代为告知等方式在3个交易日内通知基金份额持有人，说明有关处理方法，并在2日内在指定媒介上刊登公告。</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（十一）暂停申购或赎回的公告和重新开放申购或赎回的公告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1、发生上述暂停申购或赎回情况的，基金管理人应在规定期限内在指定媒介上刊登暂停公告。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2、如发生暂停的时间为1日，基金管理人应于重新开放日，在指定媒介上刊登基金重新开放申购或赎回公告，并公布最近1个开放日的基金份额净值。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如发生暂停的时间超过1日，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（十二）基金转换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（十三）基金的非交易过户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（十四）基金份额的登记和转托管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基金份额持有人可办理已持有基金份额在不同销售机构之间的转托管，基金销售机构可以按照规定的标准收取转托管费。基金份额的转托管包括系统内转托管和跨系统转托管。</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1、基金份额的登记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本基金的份额采用分系统登记的原则。场外认购、申购的基金份额，登记在注册登记系统中基金份额持有人的开放式基金账户下；场内认购、申购的基金份额，以及上市交易的基金份额，登记在证券登记结算系统基金份额持有人上海证券账户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登记在证券登记结算系统中的基金份额，可以在上海证券交易所上市交易，也可以在本基金转为上市开放式基金（LOF）后，直接申请场内赎回，或经跨系统转托管至注册登记系统，在本基金转为上市开放式基金（LOF）后，申请场外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登记在注册登记系统中的基金份额，既可以在本基金转为上市开放式基金（LOF）后，直接申请场外赎回，也可经跨系统转托管至证券登记结算系统后，在上海证券交易所上市交易，或在本基金转为上市开放式基金（LOF）后，申请场内赎回。</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2、系统内转托管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（1）系统内转托管是指基金份额持有人将持有的基金份额在注册登记系统内不同销售机构之间，或在证券登记结算系统内不同会员单位之间进行转登记的行为。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（2）基金份额登记在注册登记系统的基金份额持有人在变更办理基金份额场外赎回业务的销售机构时，需办理已持有基金份额的系统内转托管。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（3）基金份额登记在证券登记结算系统的基金份额持有人在变更办理基金份额场内赎回的会员单位时，需办理已持有基金份额的系统内转托管。</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3、跨系统转托管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（1）跨系统转托管是指基金份额持有人将持有的基金份额在注册登记系统和证券登记结算系统之间进行转登记的行为。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（2）本基金跨系统转托管的具体业务按照中国证券登记结算有限责任公司及上海证券交易所的相关规定办理。</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（十五）定期定额投资计划</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（十六）基金份额的冻结和解冻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基金登记机构只受理国家有权机关依法要求的基金份额的冻结与解冻，以及登记机构认可、符合法律法规的其他情况下的冻结与解冻。</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（十七）基金份额的转让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（十八）其他业务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2" w:name="_Toc123063672"/>
      <w:r>
        <w:rPr>
          <w:rFonts w:ascii="Times New Roman" w:hAnsi="Times New Roman"/>
          <w:sz w:val="30"/>
        </w:rPr>
        <w:t>十、基金的投资</w:t>
      </w:r>
      <w:bookmarkEnd w:id="12"/>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（一）投资目标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本基金在严格控制风险的前提下，坚持价值投资的基本理念，充分发挥专业研究与管理能力，力争为投资者提供长期稳健的投资回报。</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（二）投资范围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投资范围为具有良好流动性的金融工具，包括国内依法发行上市的股票（含中小板、创业板及其他经中国证监会核准上市的股票、存托凭证）、港股通标的股票、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的投资组合比例为：本基金封闭期结束，转为开放式运作后，股票投资（含存托凭证）占基金资产的比例为50%-95%（其中投资于港股通标的股票的比例占股票资产的0%-50%）；封闭期内，股票投资（含存托凭证）占基金资产的比例为50%-100%（其中投资于港股通标的股票的比例占股票资产的0%-50%）；但本基金封闭期结束前三个月至转开放式运作后三个月内，基金投资不受前述下限比例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封闭期结束，转为开放式运作后，每个交易日日终，在扣除股指期货合约需缴纳的交易保证金后，本基金保留的现金或者投资于到期日在一年以内的政府债券的比例合计不低于基金资产净值的5%；在封闭期内，本基金不受前述5%的限制，但每个交易日日终在扣除股指期货合约需缴纳的交易保证金后，应当保持不低于交易保证金一倍的现金；其中现金不包括结算备付金、存出保证金、应收申购款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（三）投资策略</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1、大类资产配置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充分发挥基金管理人的研究优势，以长期历史数据为基础，运用稳健的投资理念和严谨的分析方法对经济基本面进行深入的定量和定性分析，确定基金资产在沪深A股、港股、债券及货币市场工具等各类别资产的初步分配比例。同时，再辅以投资时钟模型以及周期轮动理论“自上而下”对各类资产配比进行灵活调整，及时应对市场变化，在有效规避或控制市场风险的基础上，为投资者获取稳定的投资收益。</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2、股票投资策略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（1）品质筛选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筛选出在公司治理、财务及管理品质上符合基本品质要求的公司，构建备选股票池。主要筛选指标包括：</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盈利能力指标：如市盈率（P/E）、市现率（P/Cash Flow）、股价与每股自由现金流比率（P/FCF）、市销率（P/S）、股价与每股息税前利润比率（P/EBIT）等；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经营效率指标：如净资产收益率（ROE）、资产收益率（ROA）、经营资产回报率（Return on operating assets）等；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财务状况指标：如资产负债率（D/A）、流动比率等。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（2）价值评估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（3）港股通标的股票投资策略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本基金可通过内地与香港股票市场交易互联互通机制投资于香港股票市场。本基金优先将基本面健康、业绩向上弹性较大、具有估值优势的港股纳入本基金的股票投资组合。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基金可根据投资策略需要或不同配置地市场环境的变化，选择将部分基金资产投资于港股或选择不将基金资产投资于港股，基金资产并非必然投资港股。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（4）存托凭证的投资策略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本基金投资存托凭证的策略依照境内上市交易的股票投资策略执行。</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3、债券投资策略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本基金的债券投资采取主动的投资管理方式，获得与风险相匹配的投资收益，以实现在一定程度上规避股票市场的系统性风险和保证基金资产的流动性。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4、股指期货投资策略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5、资产支持证券投资策略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基于本基金的运作方式，基金管理人在临近封闭期届满时将重点关注基金资产的流动性和变现能力，分散投资，做好流动性管理以应对本基金封闭期结束转为开放式运作后的投资者的赎回需求。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未来，随着投资工具的发展和丰富，基金管理人可以在不改变投资目标的前提下，相应调整和更新相关投资策略，并在招募说明书中更新，而无需召开基金份额持有人大会。</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（四）投资限制</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1、组合限制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基金的投资组合应遵循以下限制：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本基金封闭期结束，转为开放式运作后，股票投资（含存托凭证）占基金资产的比例为50%-95%（其中投资于港股通标的股票的比例占股票资产的0%-50%）；封闭期内，股票投资（含存托凭证）占基金资产的比例为50%-100%（其中投资于港股通标的股票的比例占股票资产的0%-50%）；但本基金封闭期结束前三个月至转开放式运作后三个月内，基金投资不受前述下限比例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本基金封闭期结束，转为开放式运作后，每个交易日日终，在扣除股指期货合约需缴纳的交易保证金后，本基金持有的现金或到期日在一年以内的政府债券不低于基金资产净值的5%；在封闭期内，本基金不受前述5%的限制，但每个交易日日终在扣除股指期货合约需缴纳的交易保证金后，应当保持不低于交易保证金一倍的现金；其中现金不包括结算备付金、存出保证金、应收申购款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 本基金持有一家公司发行的证券（同一家公司在内地和香港同时上市的A+H 股合计计算），其市值不超过基金资产净值的10%；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（4）本基金管理人管理的全部基金持有一家公司发行的证券（同一家公司在内地和香港同时上市的A+H 股合计计算），不超过该证券的10%，完全按照有关指数的构成比例进行证券投资的基金品种可以不受此条款规定的比例限制；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（5）本基金投资于同一原始权益人的各类资产支持证券的比例，不得超过基金资产净值的10％；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（6）本基金持有的全部资产支持证券，其市值不得超过基金资产净值的20％；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（7）本基金持有的同一（指同一信用级别）资产支持证券的比例，不得超过该资产支持证券规模的10％；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（8）本基金管理人管理的全部基金投资于同一原始权益人的各类资产支持证券，不得超过其各类资产支持证券合计规模的10％；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（9）本基金应投资于信用级别评级为BBB以上（含BBB）的资产支持证券。基金持有资产支持证券期间，如果其信用等级下降、不再符合投资标准，应在评级报告发布之日起3个月内予以全部卖出；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（10）基金财产参与股票发行申购，本基金所申报的金额不超过本基金的总资产，本基金所申报的股票数量不超过拟发行股票公司本次发行股票的总量；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（11）本基金进入全国银行间同业市场进行债券回购的资金余额不得超过基金资产净值的40%，进入全国银行间同业市场进行债券回购的最长期限为1年，债券回购到期后不得展期；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本基金封闭期结束，转为开放式运作后，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（14）本基金与私募类证券资管产品及中国证监会认定的其他主体为交易对手开展逆回购交易的，可接受质押品的资质要求应当与基金合同约定的投资范围保持一致；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（15）在封闭期内，本基金的基金资产总值不得超过基金资产净值的200%；在封闭期结束，转为开放式运作后，本基金的基金资产总值不得超过基金资产净值的140%；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（16）本基金参与股指期货交易，则：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1）本基金在任何交易日日终，持有的买入股指期货合约价值，不得超过基金资产净值的10%；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本基金在封闭期内的任何交易日日终，持有的买入股指期货合约价值与有价证券市值之和，不得超过基金资产净值的100%；本基金封闭期结束，转为开放式运作后，任何交易日日终，持有的买入股指期货合约价值与有价证券市值之和，不得超过基金资产净值的95%。其中，有价证券指股票、债券（不含到期日在一年以内的政府债券）、资产支持证券、买入返售金融资产（不含质押式回购）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3）本基金在任何交易日日终，持有的卖出股指期货合约价值不得超过基金持有的股票总市值的20%；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4）本基金所持有的股票市值和买入、卖出股指期货合约价值，合计（轧差计算）应当符合基金合同关于股票投资比例的有关约定；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5）本基金在任何交易日内交易（不包括平仓）的股指期货合约的成交金额不得超过上一交易日基金资产净值的20%；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（17）本基金投资存托凭证的比例限制依照境内上市交易的股票执行；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（18）法律法规及中国证监会规定的和《基金合同》约定的其他投资限制。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除上述（2）、（9）、（13）、（14）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法律法规对上述投资组合比例限制进行变更的，以变更后的规定为准。法律法规或监管部门取消上述限制，如适用于本基金，基金管理人在履行适当程序后，则本基金投资不再受相关限制。</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2、禁止行为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为维护基金份额持有人的合法权益，基金财产不得用于下列投资或者活动：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（1）承销证券；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（2）违反规定向他人贷款或者提供担保；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（3）从事承担无限责任的投资；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（4）买卖其他基金份额，但是中国证监会另有规定的除外；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（5）向其基金管理人、基金托管人出资；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（6）从事内幕交易、操纵证券交易价格及其他不正当的证券交易活动；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（7）法律、行政法规和中国证监会规定禁止的其他活动。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如法律、行政法规或监管部门取消上述规定，如适用于本基金，基金管理人在履行适当程序后，本基金可不受上述规定的限制。</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（五）业绩比较基准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沪深300指数收益率×70%+恒生指数收益率×5%+中证综合债券指数收益率×25%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沪深300指数是沪深证券交易所第一次联合发布的反映A股市场整体走势的指数，由中证指数有限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A股资产投资的业绩比较基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恒生指数是由恒生指数服务有限公司编制，以香港股票市场中的50 家上市股票为成份股样本，以其发行量为权数的加权平均股价指数，是反映香港股市价幅趋势最有影响的一种股价指数。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根据本基金的投资范围和投资比例，选用上述业绩比较基准能够客观、合理地反映本基金的风险收益特征。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（六）风险收益特征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本基金是一只混合型基金，其预期风险和预期收益高于债券型基金和货币市场基金，低于股票型基金。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本基金可投资港股通标的股票，会面临港股通机制下因投资环境、投资标的、市场制度以及交易规则等差异带来的特有风险。</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（七）基金管理人代表基金行使股东或债权人权利的处理原则及方法</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1、基金管理人按照国家有关规定代表基金独立行使股东或债权人权利，保护基金份额持有人的利益；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2、不谋求对上市公司的控股；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3、有利于基金财产的安全与增值；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4、不通过关联交易为自身、雇员、授权代理人或任何存在利害关系的第三人牟取任何不当利益。</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（八）投资决策依据和投资流程</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1、投资决策依据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（1）国家有关法律法规和基金合同的有关规定；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（2）公司投资及风险控制政策；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（3）宏观经济发展态势、证券市场运行环境和走势，以及上市公司的基本面；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（4）投资对象的预期收益和预期风险的匹配关系，本基金将在承担适度风险的范围内，选择收益风险配比最佳的品种进行投资。</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2、投资决策机制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基金经理的主要职责是在投资决策委员会确定的资产配置范围内构建和调整投资组合，并向中央交易室下达投资指令。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中央交易室负责交易执行和一线监控。通过严格的交易制度和实时的一线监控功能，保证基金经理的投资指令在合法、合规的前提下得到高效的执行。</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3、投资管理流程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（1）研究部宏观分析师、策略分析师、行业分析师、信用分析师、数量分析师各自独立完成相应的研究报告，为投资决策提供依据；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（2）投资决策委员会每月召开投资决策会议，对资产配置比例提出指导性意见，并讨论股票、债券的投资重点等；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（4）基金经理根据基金投资组合方案，向中央交易室下达交易指令；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（5）交易指令通过风控系统的自动合规核查后，由中央交易室执行，中央交易室对交易情况及时反馈；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（6）基金经理对每日交易执行情况进行回顾，并审视基金投资组合的变动情况；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（7）风险管理部定期完成有关投资风险监控报告，量化投资部定期完成基金业绩评估报告。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投资决策委员会有权根据市场变化和实际情况的需要，对上述投资管理程序作出调整。</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（九）基金投资组合报告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本基金管理人的董事会及董事保证本报告所载资料不存在虚假记载、误导性陈述或重大遗漏，并对其内容的真实性、准确性和完整性承担个别及连带责任。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本基金托管人中国农业银行股份有限公司根据基金合同规定，于2022年10月24日复核了本报告中的财务指标、净值表现和投资组合报告等内容，保证复核内容不存在虚假记载、误导性陈述或者重大遗漏。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本投资组合报告期为2022年07月01日起至09月30日，所载财务数据未经审计师审计。</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1、报告期末基金资产组合情况</w:t>
      </w:r>
    </w:p>
    <w:tbl>
      <w:tblPr>
        <w:tblStyle w:val="14"/>
        <w:tblW w:w="5000" w:type="pct"/>
        <w:tblInd w:w="0" w:type="dxa"/>
        <w:tblLayout w:type="autofit"/>
        <w:tblCellMar>
          <w:top w:w="0" w:type="dxa"/>
          <w:left w:w="0" w:type="dxa"/>
          <w:bottom w:w="0" w:type="dxa"/>
          <w:right w:w="0" w:type="dxa"/>
        </w:tblCellMar>
      </w:tblPr>
      <w:tblGrid>
        <w:gridCol w:w="1008"/>
        <w:gridCol w:w="3024"/>
        <w:gridCol w:w="3024"/>
        <w:gridCol w:w="1614"/>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4,456,865,681.55</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85.67</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　</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4,456,865,681.55</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85.67</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31,937,009.60</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0.61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　</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31,937,009.60</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0.61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　</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　</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705,580,022.32</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13.56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8,284,590.98</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0.16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5,202,667,304.45</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注：本基金本报告期末通过港股通机制投资香港股票的公允价值为1,464,062,480.66元，占基金资产净值比例为28.19%。</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2、报告期末按行业分类的股票投资组合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2.1 报告期末按行业分类的境内股票投资组合</w:t>
      </w:r>
    </w:p>
    <w:tbl>
      <w:tblPr>
        <w:tblStyle w:val="14"/>
        <w:tblW w:w="5000" w:type="pct"/>
        <w:tblInd w:w="0" w:type="dxa"/>
        <w:tblLayout w:type="autofit"/>
        <w:tblCellMar>
          <w:top w:w="0" w:type="dxa"/>
          <w:left w:w="0" w:type="dxa"/>
          <w:bottom w:w="0" w:type="dxa"/>
          <w:right w:w="0" w:type="dxa"/>
        </w:tblCellMar>
      </w:tblPr>
      <w:tblGrid>
        <w:gridCol w:w="1008"/>
        <w:gridCol w:w="3024"/>
        <w:gridCol w:w="3024"/>
        <w:gridCol w:w="1614"/>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农、林、牧、渔业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30,976,000.00</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0.60</w:t>
            </w:r>
          </w:p>
        </w:tc>
      </w:tr>
      <w:tr>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采矿业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制造业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1,297,145,034.34</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24.98</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电力、热力、燃气及水生产和供应业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13,940.85</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建筑业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F</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批发和零售业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G</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交通运输、仓储和邮政业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465,655,932.50</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8.97</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H</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住宿和餐饮业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97,472,793.18</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1.88</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I</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信息传输、软件和信息技术服务业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378,529,783.24</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7.29</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J</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426,517,977.95</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8.21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K</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57,672,269.00</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1.11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L</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租赁和商务服务业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17,013.00</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M</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科学研究和技术服务业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100,087,997.55</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1.93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N</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水利、环境和公共设施管理业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10,626.00</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O</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居民服务、修理和其他服务业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P</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教育</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Q</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卫生和社会工作</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21,579,183.52</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0.42</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R</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文化、体育和娱乐业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117,124,649.76</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2.26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S</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综合</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　</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2,992,803,200.89</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57.63</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2.2 报告期末按行业分类的港股通投资股票投资组合</w:t>
      </w:r>
    </w:p>
    <w:tbl>
      <w:tblPr>
        <w:tblStyle w:val="14"/>
        <w:tblW w:w="5000" w:type="pct"/>
        <w:tblInd w:w="0" w:type="dxa"/>
        <w:tblLayout w:type="autofit"/>
        <w:tblCellMar>
          <w:top w:w="0" w:type="dxa"/>
          <w:left w:w="0" w:type="dxa"/>
          <w:bottom w:w="0" w:type="dxa"/>
          <w:right w:w="0" w:type="dxa"/>
        </w:tblCellMar>
      </w:tblPr>
      <w:tblGrid>
        <w:gridCol w:w="1548"/>
        <w:gridCol w:w="4645"/>
        <w:gridCol w:w="2477"/>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公允价值（人民币）</w:t>
            </w:r>
          </w:p>
        </w:tc>
        <w:tc>
          <w:tcPr>
            <w:tcW w:w="40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医药卫生</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519,360,040.83</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通信服务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292,822,082.28</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5.64</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可选消费</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265,880,614.51</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5.12</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信息技术</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106,733,371.40</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2.06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主要消费</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95,455,131.22</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1.84</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81,268,535.79</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1.56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公用事业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58,776,798.76</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1.13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43,765,905.87</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0.84</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1,464,062,480.66</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28.19</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注：本报告采用中证CICS一级分类标准编制。</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3、期末按公允价值占基金资产净值比例大小排序的股票投资明细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3.1 报告期末按公允价值占基金资产净值比例大小排序的前十名股票投资明细</w:t>
      </w:r>
    </w:p>
    <w:tbl>
      <w:tblPr>
        <w:tblStyle w:val="14"/>
        <w:tblW w:w="5000" w:type="pct"/>
        <w:tblInd w:w="0" w:type="dxa"/>
        <w:tblLayout w:type="autofit"/>
        <w:tblCellMar>
          <w:top w:w="0" w:type="dxa"/>
          <w:left w:w="0" w:type="dxa"/>
          <w:bottom w:w="0" w:type="dxa"/>
          <w:right w:w="0" w:type="dxa"/>
        </w:tblCellMar>
      </w:tblPr>
      <w:tblGrid>
        <w:gridCol w:w="541"/>
        <w:gridCol w:w="1625"/>
        <w:gridCol w:w="1626"/>
        <w:gridCol w:w="1626"/>
        <w:gridCol w:w="1626"/>
        <w:gridCol w:w="1626"/>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数量（股）</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002352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顺丰控股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8,862,233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418,474,642.26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8.06</w:t>
            </w:r>
          </w:p>
        </w:tc>
      </w:tr>
      <w:tr>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01024 HK</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快手-W</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3,266,200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150,510,474.23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2.90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03690 HK</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美团-W</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972,100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145,596,534.13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2.80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002493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荣盛石化</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10,435,938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144,329,022.54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2.78</w:t>
            </w:r>
          </w:p>
        </w:tc>
      </w:tr>
      <w:tr>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600276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恒瑞医药</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4,095,817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143,763,176.70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2.77</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600570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恒生电子</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3,905,932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132,372,035.48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2.55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01548 HK</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金斯瑞生物科技</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8,322,000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129,159,024.51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2.49</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603259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药明康德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1,389,928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99,643,938.32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1.92</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02359 HK</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药明康德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395,613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22,702,931.67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0.44</w:t>
            </w:r>
          </w:p>
        </w:tc>
      </w:tr>
      <w:tr>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000001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平安银行</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9,791,100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115,926,624.00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2.23</w:t>
            </w:r>
          </w:p>
        </w:tc>
      </w:tr>
      <w:tr>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00853 HK</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微创医疗</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8,775,200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107,303,398.33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2.07</w:t>
            </w:r>
          </w:p>
        </w:tc>
      </w:tr>
    </w:tbl>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4、报告期末按债券品种分类的债券投资组合</w:t>
      </w:r>
    </w:p>
    <w:tbl>
      <w:tblPr>
        <w:tblStyle w:val="14"/>
        <w:tblW w:w="5000" w:type="pct"/>
        <w:tblInd w:w="0" w:type="dxa"/>
        <w:tblLayout w:type="autofit"/>
        <w:tblCellMar>
          <w:top w:w="0" w:type="dxa"/>
          <w:left w:w="0" w:type="dxa"/>
          <w:bottom w:w="0" w:type="dxa"/>
          <w:right w:w="0" w:type="dxa"/>
        </w:tblCellMar>
      </w:tblPr>
      <w:tblGrid>
        <w:gridCol w:w="1008"/>
        <w:gridCol w:w="3024"/>
        <w:gridCol w:w="3024"/>
        <w:gridCol w:w="1614"/>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　</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可转债（可交换债）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31,937,009.60</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0.61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31,937,009.60</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0.61</w:t>
            </w:r>
          </w:p>
        </w:tc>
      </w:tr>
    </w:tbl>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5、报告期末按公允价值占基金资产净值比例大小排序的前五名债券投资明细</w:t>
      </w:r>
    </w:p>
    <w:tbl>
      <w:tblPr>
        <w:tblStyle w:val="14"/>
        <w:tblW w:w="5000" w:type="pct"/>
        <w:tblInd w:w="0" w:type="dxa"/>
        <w:tblLayout w:type="autofit"/>
        <w:tblCellMar>
          <w:top w:w="0" w:type="dxa"/>
          <w:left w:w="0" w:type="dxa"/>
          <w:bottom w:w="0" w:type="dxa"/>
          <w:right w:w="0" w:type="dxa"/>
        </w:tblCellMar>
      </w:tblPr>
      <w:tblGrid>
        <w:gridCol w:w="541"/>
        <w:gridCol w:w="1625"/>
        <w:gridCol w:w="1626"/>
        <w:gridCol w:w="1626"/>
        <w:gridCol w:w="1626"/>
        <w:gridCol w:w="1626"/>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数量（张）</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113052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兴业转债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277,280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29,555,791.78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0.57</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118009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华锐转债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16,760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2,061,565.41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0.04</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113053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隆22转债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2,590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319,652.41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bl>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6、报告期末按公允价值占基金资产净值比例大小排序的前十名资产支持证券投资明细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7、报告期末按公允价值占基金资产净值比例大小排序的前五名贵金属投资明细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8、报告期末按公允价值占基金资产净值比例大小排序的前五名权证投资明细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9、报告期末本基金投资的股指期货交易情况说明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9.1 报告期末本基金投资的股指期货持仓和损益明细</w:t>
      </w:r>
    </w:p>
    <w:tbl>
      <w:tblPr>
        <w:tblStyle w:val="14"/>
        <w:tblW w:w="5000" w:type="pct"/>
        <w:tblInd w:w="0" w:type="dxa"/>
        <w:tblLayout w:type="autofit"/>
        <w:tblCellMar>
          <w:top w:w="0" w:type="dxa"/>
          <w:left w:w="0" w:type="dxa"/>
          <w:bottom w:w="0" w:type="dxa"/>
          <w:right w:w="0" w:type="dxa"/>
        </w:tblCellMar>
      </w:tblPr>
      <w:tblGrid>
        <w:gridCol w:w="760"/>
        <w:gridCol w:w="1582"/>
        <w:gridCol w:w="1582"/>
        <w:gridCol w:w="1582"/>
        <w:gridCol w:w="1582"/>
        <w:gridCol w:w="1582"/>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持仓量（买/卖）</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合约市值(元)</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公允价值变动（元）</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风险说明</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IC2210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IC2210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-45,812,800.00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3,023,600.00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750" w:type="pct"/>
            <w:gridSpan w:val="5"/>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公允价值变动总额合计（元）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3,023,600.00</w:t>
            </w:r>
          </w:p>
        </w:tc>
      </w:tr>
      <w:tr>
        <w:tblPrEx>
          <w:tblCellMar>
            <w:top w:w="0" w:type="dxa"/>
            <w:left w:w="0" w:type="dxa"/>
            <w:bottom w:w="0" w:type="dxa"/>
            <w:right w:w="0" w:type="dxa"/>
          </w:tblCellMar>
        </w:tblPrEx>
        <w:trPr>
          <w:cantSplit/>
          <w:trHeight w:val="375" w:hRule="atLeast"/>
        </w:trPr>
        <w:tc>
          <w:tcPr>
            <w:tcW w:w="750" w:type="pct"/>
            <w:gridSpan w:val="5"/>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股指期货投资本期收益（元）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2,102,180.62</w:t>
            </w:r>
          </w:p>
        </w:tc>
      </w:tr>
      <w:tr>
        <w:tblPrEx>
          <w:tblCellMar>
            <w:top w:w="0" w:type="dxa"/>
            <w:left w:w="0" w:type="dxa"/>
            <w:bottom w:w="0" w:type="dxa"/>
            <w:right w:w="0" w:type="dxa"/>
          </w:tblCellMar>
        </w:tblPrEx>
        <w:trPr>
          <w:cantSplit/>
          <w:trHeight w:val="375" w:hRule="atLeast"/>
        </w:trPr>
        <w:tc>
          <w:tcPr>
            <w:tcW w:w="750" w:type="pct"/>
            <w:gridSpan w:val="5"/>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股指期货投资本期公允价值变动（元）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7,535,700.00</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9.2 本基金投资股指期货的投资政策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10、报告期末本基金投资的国债期货交易情况说明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10.1 本期国债期货投资政策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10.2 报告期末本基金投资的国债期货持仓和损益明细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10.3 本期国债期货投资评价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11、投资组合报告附注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11.1 本基金投资的前十名证券的发行主体本期是否出现被监管部门立案调查，或在报告编制日前一年内受到公开谴责、处罚的情形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报告期内本基金投资的前十名证券的发行主体出现被监管部门立案调查，或在报告编制日前一年内受到公开谴责、处罚的情形披露如下：2021年10月8日，国家市场监督管理总局公示国市监处〔2021〕74号行政处罚决定书，责令美团停止违法行为，全额退还独家合作保证金12.89亿元，并处以其2020年中国境内销售额1147.48亿元3%的罚款，计人民币34.42亿元。　</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　2022年3月25日，中国银行保险监督管理委员会公示银保监罚决字〔2022〕24号行政处罚决定书，给予平安银行处罚款人民币400万元人民币罚款的行政处罚。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　　本基金管理人对证券投资决策程序的说明如下：本基金管理人对证券投资特别是重仓证券的投资有严格的投资决策流程控制，对上述主体发行证券的投资决策程序符合公司投资制度的规定。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　　除上述主体外，本基金投资的前十名证券的其他发行主体本期没有出现被监管部门立案调查，或在报告编制日前一年内受到公开谴责、处罚的情形。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11.2 基金投资的前十名股票是否超出基金合同规定的备选股票库</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本基金投资的前十名股票中，没有超出基金合同规定的备选股票库之外的股票。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11.3 其他资产构成</w:t>
      </w:r>
    </w:p>
    <w:tbl>
      <w:tblPr>
        <w:tblStyle w:val="14"/>
        <w:tblW w:w="5000" w:type="pct"/>
        <w:tblInd w:w="0" w:type="dxa"/>
        <w:tblLayout w:type="autofit"/>
        <w:tblCellMar>
          <w:top w:w="0" w:type="dxa"/>
          <w:left w:w="0" w:type="dxa"/>
          <w:bottom w:w="0" w:type="dxa"/>
          <w:right w:w="0" w:type="dxa"/>
        </w:tblCellMar>
      </w:tblPr>
      <w:tblGrid>
        <w:gridCol w:w="1548"/>
        <w:gridCol w:w="4645"/>
        <w:gridCol w:w="2477"/>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6,972,035.02</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1,312,555.96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8,284,590.98</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11.4 报告期末持有的处于转股期的可转换债券明细</w:t>
      </w:r>
    </w:p>
    <w:tbl>
      <w:tblPr>
        <w:tblStyle w:val="14"/>
        <w:tblW w:w="5000" w:type="pct"/>
        <w:tblInd w:w="0" w:type="dxa"/>
        <w:tblLayout w:type="autofit"/>
        <w:tblCellMar>
          <w:top w:w="0" w:type="dxa"/>
          <w:left w:w="0" w:type="dxa"/>
          <w:bottom w:w="0" w:type="dxa"/>
          <w:right w:w="0" w:type="dxa"/>
        </w:tblCellMar>
      </w:tblPr>
      <w:tblGrid>
        <w:gridCol w:w="666"/>
        <w:gridCol w:w="2001"/>
        <w:gridCol w:w="2001"/>
        <w:gridCol w:w="2001"/>
        <w:gridCol w:w="2001"/>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113052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兴业转债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29,555,791.78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0.57</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113053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隆22转债</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319,652.41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11.5 报告期末前十名股票中存在流通受限情况的说明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11.6 投资组合报告附注的其他文字描述部分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由于四舍五入的原因，分项之和与合计项之间可能存在尾差。</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3" w:name="_Toc123063673"/>
      <w:r>
        <w:rPr>
          <w:rFonts w:ascii="Times New Roman" w:hAnsi="Times New Roman"/>
          <w:sz w:val="30"/>
        </w:rPr>
        <w:t>十一、基金的业绩</w:t>
      </w:r>
      <w:bookmarkEnd w:id="13"/>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基金业绩截止日为2022年09月30日，所载财务数据未经审计师审计。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1、基金份额净值增长率及其与同期业绩比较基准收益率的比较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交银施罗德瑞思三年封闭运作混合型证券投资基金</w:t>
      </w:r>
    </w:p>
    <w:tbl>
      <w:tblPr>
        <w:tblStyle w:val="14"/>
        <w:tblW w:w="5000" w:type="pct"/>
        <w:tblInd w:w="0" w:type="dxa"/>
        <w:tblLayout w:type="autofit"/>
        <w:tblCellMar>
          <w:top w:w="0" w:type="dxa"/>
          <w:left w:w="0" w:type="dxa"/>
          <w:bottom w:w="0" w:type="dxa"/>
          <w:right w:w="0" w:type="dxa"/>
        </w:tblCellMar>
      </w:tblPr>
      <w:tblGrid>
        <w:gridCol w:w="1300"/>
        <w:gridCol w:w="1300"/>
        <w:gridCol w:w="1300"/>
        <w:gridCol w:w="1301"/>
        <w:gridCol w:w="1301"/>
        <w:gridCol w:w="1301"/>
        <w:gridCol w:w="867"/>
      </w:tblGrid>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净值增长率①</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业绩比较基准收益率③</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业绩比较基准收益率标准差④</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-14.22%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1.02%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-11.54%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0.67%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-2.68%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0.35%</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2022上半年</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-6.42%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1.73%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-6.17%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-0.25%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0.63%</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2021年度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1.01%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0.88%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-2.82%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0.86%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3.83%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2020年度（自基金合同生效起至2020年12月31日）</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29.49%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0.93%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18.24%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11.25%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注：本基金的业绩比较基准为沪深300指数收益率×70%+恒生指数收益率×5%+中证综合债券指数收益率×25%，每日进行再平衡过程。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2、自基金合同生效以来基金份额累计净值增长率变动及其与同期业绩比较基准收益率变动的比较</w:t>
      </w:r>
    </w:p>
    <w:p>
      <w:pPr>
        <w:autoSpaceDE w:val="0"/>
        <w:autoSpaceDN w:val="0"/>
        <w:adjustRightInd w:val="0"/>
        <w:snapToGrid w:val="0"/>
        <w:spacing w:line="360" w:lineRule="auto"/>
        <w:ind w:firstLine="480" w:firstLineChars="200"/>
        <w:jc w:val="center"/>
        <w:rPr>
          <w:rFonts w:ascii="宋体" w:hAnsi="宋体"/>
          <w:szCs w:val="24"/>
        </w:rPr>
      </w:pPr>
      <w:r>
        <w:rPr>
          <w:rFonts w:ascii="宋体" w:hAnsi="宋体"/>
          <w:sz w:val="24"/>
        </w:rPr>
        <w:t>交银施罗德瑞思三年封闭运作混合型证券投资基金</w:t>
      </w:r>
    </w:p>
    <w:p>
      <w:pPr>
        <w:autoSpaceDE w:val="0"/>
        <w:autoSpaceDN w:val="0"/>
        <w:adjustRightInd w:val="0"/>
        <w:snapToGrid w:val="0"/>
        <w:spacing w:line="360" w:lineRule="auto"/>
        <w:ind w:firstLine="480" w:firstLineChars="200"/>
        <w:jc w:val="center"/>
        <w:rPr>
          <w:rFonts w:ascii="宋体" w:hAnsi="宋体"/>
          <w:szCs w:val="24"/>
        </w:rPr>
      </w:pPr>
      <w:r>
        <w:rPr>
          <w:rFonts w:ascii="宋体" w:hAnsi="宋体"/>
          <w:sz w:val="24"/>
        </w:rPr>
        <w:t>份额累计净值增长率与业绩比较基准收益率历史走势对比图</w:t>
      </w:r>
    </w:p>
    <w:p>
      <w:pPr>
        <w:autoSpaceDE w:val="0"/>
        <w:autoSpaceDN w:val="0"/>
        <w:adjustRightInd w:val="0"/>
        <w:snapToGrid w:val="0"/>
        <w:spacing w:line="360" w:lineRule="auto"/>
        <w:ind w:firstLine="480" w:firstLineChars="200"/>
        <w:jc w:val="center"/>
        <w:rPr>
          <w:rFonts w:ascii="宋体" w:hAnsi="宋体"/>
          <w:szCs w:val="24"/>
        </w:rPr>
      </w:pPr>
      <w:r>
        <w:rPr>
          <w:rFonts w:ascii="宋体" w:hAnsi="宋体"/>
          <w:sz w:val="24"/>
        </w:rPr>
        <w:t>（2020年2月21日至2022年09月30日）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kern w:val="0"/>
          <w:sz w:val="24"/>
        </w:rPr>
        <w:pict>
          <v:shape id="_x0000_i1026" o:spt="75" type="#_x0000_t75" style="height:268.8pt;width:439.2pt;" filled="f" o:preferrelative="t" stroked="f" coordsize="21600,21600">
            <v:path/>
            <v:fill on="f" focussize="0,0"/>
            <v:stroke on="f" joinstyle="miter"/>
            <v:imagedata r:id="rId10" o:title="1521256610242020828"/>
            <o:lock v:ext="edit" aspectratio="t"/>
            <w10:wrap type="none"/>
            <w10:anchorlock/>
          </v:shape>
        </w:pic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注：本基金建仓期为自基金合同生效日起的6个月。截至建仓期结束，本基金各项资产配置比例符合基金合同及招募说明书有关投资比例的约定。</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4" w:name="_Toc123063674"/>
      <w:r>
        <w:rPr>
          <w:rFonts w:ascii="Times New Roman" w:hAnsi="Times New Roman"/>
          <w:sz w:val="30"/>
        </w:rPr>
        <w:t>十二、基金的财产</w:t>
      </w:r>
      <w:bookmarkEnd w:id="14"/>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（一）基金资产总值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基金资产总值是指基金拥有的各类有价证券、银行存款本息、基金应收申购款及其他资产的价值总和。</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（二）基金资产净值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基金资产净值是指基金资产总值减去基金负债后的价值。</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（三）基金财产的账户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托管人根据相关法律法规、规范性文件为本基金开立资金账户、证券账户、期货结算账户以及投资所需的其他专用账户。开立的基金专用账户与基金管理人、基金托管人、基金销售机构和基金登记机构自有的财产账户以及其他基金财产账户相独立。</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（四）基金财产的保管和处分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5" w:name="_Toc123063675"/>
      <w:r>
        <w:rPr>
          <w:rFonts w:ascii="Times New Roman" w:hAnsi="Times New Roman"/>
          <w:sz w:val="30"/>
        </w:rPr>
        <w:t>十三、基金资产的估值</w:t>
      </w:r>
      <w:bookmarkEnd w:id="15"/>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（一）估值日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本基金的估值日为本基金相关的证券交易场所的交易日以及国家法律法规规定需要对外披露基金净值的非交易日。</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（二）估值对象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基金所拥有的股票、债券、股指期货合约和其他投资等持续以公允价值计量的金融资产及负债。</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（三）估值原则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基金管理人在确定相关金融资产和金融负债的公允价值时，应符合《企业会计准则》、监管部门有关规定。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3、如经济环境发生重大变化或证券发行人发生影响证券价格的重大事件，使潜在估值调整对前一估值日的基金资产净值的影响在0.25%以上的，应对估值进行调整并确定公允价值。</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（四）估值方法</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1、证券交易所上市的有价证券的估值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（2）交易所上市交易或挂牌转让的固定收益品种（另有规定的除外），选取估值日第三方估值机构提供的相应品种当日的估值净价进行估值；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交易所上市交易的可转换债券以每日收盘价作为估值全价；交易所上市实行全价交易的债券（可转债除外），选取第三方估值机构提供的估值全价减去估值全价中所含的债券（税后）应收利息得到的净价进行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（4）交易所上市不存在活跃市场的有价证券，采用估值技术确定公允价值。交易所市场挂牌转让的资产支持证券，采用估值技术确定公允价值；估值技术难以确定和计量其公允价值的，按成本估值；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2、处于未上市期间的有价证券应区分如下情况处理：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（1）送股、转增股、配股和公开增发的新股，按估值日在证券交易所挂牌的同一股票的估值方法估值；该日无交易的，以最近一日的市价（收盘价）估值；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（2）首次公开发行未上市的股票、债券，采用估值技术确定公允价值，在估值技术难以可靠计量公允价值的情况下，按成本估值；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4、本基金投资股指期货合约，一般以估值当日结算价进行估值，估值当日无结算价的，且最近交易日后经济环境未发生重大变化的，采用最近交易日结算价估值。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5、如有确凿证据表明按上述方法进行估值不能客观反映其公允价值的，基金管理人可根据具体情况与基金托管人商定后，按最能反映公允价值的价格估值。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6、估值计算中涉及港币对人民币汇率的，将依据下列信息提供机构所提供的汇率为基准：当日中国人民银行公布的人民币与港币的中间价。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7、当发生大额申购或赎回情形时，基金管理人可以采用摆动定价机制，以确保基金估值的公平性。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8、本基金投资存托凭证的估值核算依照境内上市交易的股票执行。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9、相关法律法规以及监管部门有强制规定的，从其规定。如有新增事项，按国家最新规定估值。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（五）估值程序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份额净值是按照每个工作日闭市后，基金资产净值除以当日基金份额的余额数量计算，精确到0.0001元，小数点后第5位四舍五入。基金管理人可以设立大额赎回情形下的净值精度应急调整机制，具体可参见相关公告。国家另有规定的，从其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基金管理人于每个工作日计算基金资产净值及基金份额净值，并按规定公告。如遇特殊情况，经履行适当程序，可以适当延迟计算或公告。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（六）估值错误的处理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基金管理人和基金托管人将采取必要、适当、合理的措施确保基金资产估值的准确性、及时性。当基金份额净值小数点后4位以内（含第4位） 发生估值错误时，视为基金份额净值错误。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基金合同的当事人应按照以下约定处理：</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1、估值错误类型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对于因技术原因引起的差错，若系同行业现有技术水平无法预见、无法避免、无法抗拒，则属不可抗力，按照下述规定执行。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2、估值错误处理原则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（2）估值错误的责任方对有关当事人的直接损失负责，不对间接损失负责，并且仅对估值错误的有关直接当事人负责，不对第三方负责。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（4）估值错误调整采用尽量恢复至假设未发生估值错误的正确情形的方式。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（5）按法律法规规定的其他原则处理估值错误。</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3、估值错误处理程序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估值错误被发现后，有关的当事人应当及时进行处理，处理的程序如下：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（1）查明估值错误发生的原因，列明所有的当事人，并根据估值错误发生的原因确定估值错误的责任方；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（2）根据估值错误处理原则或当事人协商的方法对因估值错误造成的损失进行评估；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（3）根据估值错误处理原则或当事人协商的方法由估值错误的责任方进行更正和赔偿损失；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（4）根据估值错误处理的方法，需要修改基金登记机构交易数据的，由基金登记机构进行更正，并就估值错误的更正向有关当事人进行确认。</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4、基金份额净值估值错误处理的方法如下：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（1）基金份额净值计算出现错误时，基金管理人应当立即予以纠正，通报基金托管人，并采取合理的措施防止损失进一步扩大。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（2）错误偏差达到基金份额净值的0.25%时，基金管理人应当通报基金托管人并报中国证监会备案；错误偏差达到基金份额净值的0.5%时，基金管理人应当公告，并报中国证监会备案。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（3）前述内容如法律法规或者监管部门另有规定的，从其规定。</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（七）暂停估值的情形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1、基金投资所涉及的证券/期货交易市场遇法定节假日或因其他原因暂停营业时；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2、因不可抗力致使基金管理人、基金托管人无法准确评估基金资产价值时；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3、当前一估值日基金资产净值 50%以上的资产出现无可参考的活跃市场价格且采用估值技术仍导致公允价值存在重大不确定性时，经与基金托管人协商确认后，基金管理人应当暂停估值；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4、法律法规、中国证监会和基金合同认定的其它情形。</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（八）基金净值的确认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用于基金信息披露的基金资产净值和基金份额净值由基金管理人负责计算，基金托管人负责进行复核。基金管理人应于每个工作日交易结束后计算当日的基金资产净值和基金份额净值并发送给基金托管人。基金托管人对净值计算结果复核确认后发送给基金管理人，由基金管理人依据基金合同和相关法律法规的规定对基金净值予以公布。</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（九）特殊情形的处理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1、基金管理人或基金托管人按估值方法的第5项进行估值时，所造成的误差不作为基金资产估值错误处理。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2、对于因税收规定调整或其他原因导致基金实际交纳税金与基金按照权责发生制进行估值的应交税金有差异的，相关估值调整不作为基金资产估值错误处理。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由于不可抗力原因，或由于证券/期货交易所、证券/期货经纪机构、登记结算公司及存款银行等第三方机构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6" w:name="_Toc123063676"/>
      <w:r>
        <w:rPr>
          <w:rFonts w:ascii="Times New Roman" w:hAnsi="Times New Roman"/>
          <w:sz w:val="30"/>
        </w:rPr>
        <w:t>十四、基金收益与分配</w:t>
      </w:r>
      <w:bookmarkEnd w:id="16"/>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（一）基金利润的构成</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（二）基金可供分配利润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基金可供分配利润指截至收益分配基准日基金未分配利润与未分配利润中已实现收益的孰低数。</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（三）基金收益分配原则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1、在符合有关基金分红条件的前提下，本基金管理人可以根据实际情况进行收益分配，具体分配方案以公告为准，若《基金合同》生效不满3个月可不进行收益分配；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本基金收益分配方式分两种：现金分红与红利再投资，投资者可选择现金红利或将现金红利自动转为基金份额进行再投资；若投资者不选择，本基金默认的收益分配方式是现金分红；登记在基金份额持有人上海证券账户下的基金份额，只能选择现金分红的方式，具体权益分配程序等有关事项遵循上海证券交易所及中国证券登记结算有限责任公司的相关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3、基金收益分配后基金份额净值不能低于面值；即基金收益分配基准日的基金份额净值减去每单位基金份额收益分配金额后不能低于面值；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4、每一基金份额享有同等分配权；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5、法律法规或监管机关另有规定的，从其规定。</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（四）收益分配方案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基金收益分配方案中应载明截止收益分配基准日的可供分配利润、基金收益分配对象、分配时间、分配数额及比例、分配方式等内容。</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（五）收益分配方案的确定、公告与实施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本基金收益分配方案由基金管理人拟定，并由基金托管人复核，依照《信息披露办法》的有关规定在指定媒介公告。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法律法规或监管机关另有规定的，从其规定。</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（六）基金收益分配中发生的费用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对于场外份额，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对于场内份额，现金分红的计算方法等有关事项遵循上海证券交易所及中国证券登记结算有限责任公司的相关规定。</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（七）收益分配方式的修改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投资人可至销售机构办理收益分配方式的修改，投资人对本基金不同的交易账户可设置不同的收益分配方式。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投资人同一日多次申报收益分配方式变更的，按照《业务规则》执行，最终确认的收益分配方式以登记机构记录为准。</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7" w:name="_Toc123063677"/>
      <w:r>
        <w:rPr>
          <w:rFonts w:ascii="Times New Roman" w:hAnsi="Times New Roman"/>
          <w:sz w:val="30"/>
        </w:rPr>
        <w:t>十五、基金的费用与税收</w:t>
      </w:r>
      <w:bookmarkEnd w:id="17"/>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（一）基金费用的种类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1、基金管理人的管理费；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2、基金托管人的托管费；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3、《基金合同》生效后与基金相关的信息披露费用；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4、《基金合同》生效后与基金相关的会计师费、律师费、仲裁费和诉讼费；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5、基金份额持有人大会费用；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6、基金的证券/期货交易费用；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7、基金的银行汇划费用；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8、基金的开户费用、账户维护费用；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9、基金上市费用；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10、因投资港股通标的股票而产生的各项合理费用；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11、按照国家有关规定和《基金合同》约定，可以在基金财产中列支的其他费用。</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（二）基金费用计提方法、计提标准和支付方式</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1、与基金运作有关的费用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（1）基金管理人的管理费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本基金的管理费按前一日基金资产净值的1.5%年费率计提。管理费的计算方法如下：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H＝E×1.5%÷当年天数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H为每日应计提的基金管理费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E为前一日的基金资产净值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基金管理费每日计提，按月支付。由基金管理人向基金托管人发送基金管理费划付指令，经基金托管人复核后于次月首日起3个工作日内从基金财产中一次性支付给基金管理人。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若遇法定节假日、休息日或不可抗力致使无法按时支付的，顺延至最近可支付日支付。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（2）基金托管人的托管费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本基金的托管费按前一日基金资产净值的0.25%的年费率计提。托管费的计算方法如下：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H＝E×0.25%÷当年天数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H为每日应计提的基金托管费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E为前一日的基金资产净值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基金托管费每日计提，按月支付。由基金管理人向基金托管人发送基金托管费划付指令，经基金托管人复核后于次月首日起3个工作日内从基金财产中一次性支付给基金托管人。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若遇法定节假日、休息日或不可抗力致使无法按时支付的，顺延至最近可支付日支付。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（3）上述“（一）基金费用的种类”中第3－11项费用，根据有关法规及相应协议规定，按费用实际支出金额列入当期费用，由基金托管人从基金财产中支付。</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2、与基金销售有关的费用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（1）申购费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本基金申购费的费率水平、计算公式和收取方式详见“基金份额的申购与赎回”一章。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（2）赎回费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本基金赎回费的费率水平、计算公式和收取方式详见“基金份额的申购与赎回”一章。</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（三）不列入基金费用的项目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下列费用不列入基金费用：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1、基金管理人和基金托管人因未履行或未完全履行义务导致的费用支出或基金财产的损失；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2、基金管理人和基金托管人处理与基金运作无关的事项发生的费用；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3、《基金合同》生效前的相关费用；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4、其他根据相关法律法规及中国证监会的有关规定不得列入基金费用的项目。</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（四）基金税收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本基金运作过程中涉及的各纳税主体，其纳税义务按国家税收法律、法规执行。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基金财产投资的相关税收，由基金份额持有人承担，基金管理人或者其他扣缴义务人按照国家有关税收征收的规定代扣代缴。</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8" w:name="_Toc123063678"/>
      <w:r>
        <w:rPr>
          <w:rFonts w:ascii="Times New Roman" w:hAnsi="Times New Roman"/>
          <w:sz w:val="30"/>
        </w:rPr>
        <w:t>十六、基金的会计与审计</w:t>
      </w:r>
      <w:bookmarkEnd w:id="18"/>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（一）基金会计政策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1、基金管理人为本基金的基金会计责任方；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2、基金的会计年度为公历年度的1月1日至12月31日；基金首次募集的会计年度按如下原则：如果《基金合同》生效少于2个月，可以并入下一个会计年度披露；</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3、基金核算以人民币为记账本位币，以人民币元为记账单位；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4、会计制度执行国家有关会计制度；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5、本基金独立建账、独立核算；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6、基金管理人及基金托管人各自保留完整的会计账目、凭证并进行日常的会计核算，按照有关规定编制基金会计报表；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7、基金托管人每月与基金管理人就基金的会计核算、报表编制等进行核对并以书面方式确认。</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（二）基金的年度审计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1、基金管理人聘请与基金管理人、基金托管人相互独立的具有证券、期货相关业务资格的会计师事务所及其注册会计师对本基金的年度财务报表进行审计。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2、会计师事务所更换经办注册会计师，应事先征得基金管理人同意。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3、基金管理人认为有充足理由更换会计师事务所，须通报基金托管人。更换会计师事务所需按照《信息披露办法》的有关规定在指定媒介公告。</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9" w:name="_Toc123063679"/>
      <w:r>
        <w:rPr>
          <w:rFonts w:ascii="Times New Roman" w:hAnsi="Times New Roman"/>
          <w:sz w:val="30"/>
        </w:rPr>
        <w:t>十七、基金的信息披露</w:t>
      </w:r>
      <w:bookmarkEnd w:id="19"/>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（一）本基金的信息披露应符合《基金法》、《运作办法》、《信息披露办法》、《流动性风险管理规定》、《基金合同》及其他有关规定。</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（二）信息披露义务人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本基金信息披露义务人包括基金管理人、基金托管人、召集基金份额持有人大会的基金份额持有人等法律、行政法规和中国证监会规定的自然人、法人和非法人组织。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（三）本基金信息披露义务人承诺公开披露的基金信息，不得有下列行为：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1、虚假记载、误导性陈述或者重大遗漏；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2、对证券投资业绩进行预测；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3、违规承诺收益或者承担损失；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4、诋毁其他基金管理人、基金托管人或者基金销售机构；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5、登载任何自然人、法人和非法人组织的祝贺性、恭维性或推荐性的文字；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6、中国证监会禁止的其他行为。</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（四）本基金公开披露的信息应采用中文文本。如同时采用外文文本的，基金信息披露义务人应保证不同文本的内容一致。不同文本之间发生歧义的，以中文文本为准。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本基金公开披露的信息采用阿拉伯数字；除特别说明外，货币单位为人民币元。</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（五）公开披露的基金信息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公开披露的基金信息包括：</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1、基金招募说明书、《基金合同》、基金托管协议、基金产品资料概要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（1）《基金合同》是界定《基金合同》当事人的各项权利、义务关系，明确基金份额持有人大会召开的规则及具体程序，说明基金产品的特性等涉及基金投资者重大利益的事项的法律文件。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募集申请经中国证监会注册后，基金管理人在基金份额发售的三日前，将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2、基金份额发售公告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基金管理人应当就基金份额发售的具体事宜编制基金份额发售公告，并在披露招募说明书的当日登载于指定媒介上。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3、《基金合同》生效公告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基金管理人应当在收到中国证监会确认文件的次日在指定媒介上登载《基金合同》生效公告。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4、上市交易公告书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基金份额获准在证券交易所上市交易的，基金管理人应当在基金份额上市交易的三个工作日前，将基金份额上市交易公告书登载在指定网站上，并将上市交易公告书提示性公告登载在指定报刊上。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5、基金净值信息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《基金合同》生效后，在开始办理基金上市交易或基金份额申购或者赎回前，基金管理人应当至少每周在指定网站披露一次基金份额净值和基金份额累计净值。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在开始办理基金上市交易或基金份额申购或者赎回后，基金管理人应当在不晚于每个开放日的次日，通过指定网站、基金销售机构网站或者营业网点披露开放日的基金份额净值和基金份额累计净值。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基金管理人应当在不晚于半年度和年度最后一日的次日，在指定网站披露半年度和年度最后一日的基金份额净值和基金份额累计净值。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6、基金份额申购、赎回价格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7、基金定期报告，包括基金年度报告、基金中期报告和基金季度报告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基金管理人应当在上半年结束之日起两个月内，编制完成基金中期报告，将中期报告登载在指定网站上，并将中期报告提示性公告登载在指定报刊上。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基金管理人应当在季度结束之日起15个工作日内，编制完成基金季度报告，将季度报告登载在指定网站上，并将季度报告提示性公告登载在指定报刊上。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《基金合同》生效不足2个月的，基金管理人可以不编制当期季度报告、中期报告或者年度报告。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基金管理人应当在基金年度报告和中期报告中披露基金组合资产情况及其流动性风险分析等。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8、临时报告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本基金发生重大事件，有关信息披露义务人应当在2日内编制临时报告书，并登载在指定报刊和指定网站上。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前款所称重大事件，是指可能对基金份额持有人权益或者基金份额的价格产生重大影响的下列事件：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（1）基金份额持有人大会的召开及决定的事项；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（2）《基金合同》终止、基金清算；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（3）转换基金运作方式、基金合并；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（4）更换基金管理人、基金托管人、基金份额登记机构，基金改聘会计师事务所；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（6）基金管理人、基金托管人的法定名称、住所发生变更；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（7）基金管理人变更持有百分之五以上股权的股东、基金管理人的实际控制人变更；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（8）基金募集期延长或提前结束募集；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（9）基金管理人的高级管理人员、基金经理和基金托管人专门基金托管部门负责人发生变动；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（11）涉及基金财产、基金管理业务、基金托管业务的诉讼或仲裁；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（14）基金收益分配事项；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（15）管理费、托管费、申购费、赎回费等费用计提标准、计提方式和费率发生变更；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（16）基金份额净值计价错误达基金份额净值百分之零点五；</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（17）本基金开始办理申购、赎回；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（18）本基金发生巨额赎回并延期办理；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（19）本基金连续发生巨额赎回并暂停接受赎回申请或延缓支付赎回款项；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（20）本基金暂停接受申购、赎回申请或重新接受申购、赎回申请；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（21）基金管理人采用摆动定价机制进行估值；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（22）本基金停复牌或终止上市；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（23）本基金封闭期结束，转为开放式运作后，发生涉及基金申购、赎回事项调整或潜在影响投资者赎回等重大事项时；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（24）本基金增加或调整基金份额类别；</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（25）《基金合同》生效后，连续30个工作日、40个工作日、45个工作日出现基金份额持有人数量不满200人或者基金资产净值低于5000万元情形的，基金管理人应当发布提示性公告；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（26）基金信息披露义务人认为可能对基金份额持有人权益或者基金份额的价格产生重大影响的其他事项或中国证监会规定的其他事项。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9、澄清公告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及基金上市交易的证券交易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10、基金份额持有人大会决议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基金份额持有人大会决定的事项，应当依法报中国证监会备案，并予以公告。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11、清算报告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12、基金投资资产支持证券情况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13、基金投资股指期货情况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可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14、投资港股通标的股票相关公告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基金应当在季度报告、中期报告、年度报告等定期报告和招募说明书（更新）等文件中披露港股通标的股票的投资情况。法律法规或中国证监会另有规定的，从其规定。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15、中国证监会规定的其他信息。</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（六）信息披露事务管理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基金信息披露义务人公开披露基金信息，应当符合中国证监会相关基金信息披露内容与格式准则等法律法规规定。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基金托管人除依法在指定媒介上披露信息外，还可以根据需要在其他公共媒介披露信息，但是其他公共媒介不得早于指定媒介和基金上市交易的证券交易所网站披露信息，并且在不同媒介上披露同一信息的内容应当一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（七）信息披露文件的存放与查阅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依法必须披露的信息发布后，基金管理人、基金托管人应当按照相关法律法规规定将信息置备于各自办公场所和基金上市交易的证券交易所网站，供社会公众查阅、复制。</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（八）暂停或延迟披露基金相关信息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1、不可抗力；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2、基金投资所涉及的证券、期货交易市场遇法定节假日或因其他原因暂停营业时；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3、法律法规、中国证监会规定或基金合同的情况。</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0" w:name="_Toc123063680"/>
      <w:r>
        <w:rPr>
          <w:rFonts w:ascii="Times New Roman" w:hAnsi="Times New Roman"/>
          <w:sz w:val="30"/>
        </w:rPr>
        <w:t>十八、风险揭示</w:t>
      </w:r>
      <w:bookmarkEnd w:id="20"/>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后扣除申购申请份额总数及基金转换中转入申请份额总数后的余额）超过上一工作日基金总份额的百分之十时，投资人将可能无法及时赎回持有的全部基金份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应当认真阅读《基金合同》、《招募说明书》、基金产品资料概要等基金法律文件，了解基金的风险收益特征，并根据自身的投资目的、投资期限、投资经验、资产状况等判断基金是否和投资人的风险承受能力相适应。</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因拆分、分红等行为导致基金份额净值变化，不会改变基金的风险收益特征，不会降低基金投资风险或提高基金投资收益。以1元初始面值开展基金募集或因拆分、分红等行为导致基金份额净值调整至1元初始面值或1元附近，在市场波动等因素的影响下，基金投资仍有可能出现亏损或基金净值仍有可能低于初始面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基金份额持有人须了解并承受以下风险：</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（一）市场风险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2、经济周期风险。证券市场受宏观经济运行的影响，而经济运行具有周期性的特点，宏观经济运行状况将对证券市场的收益水平产生影响，从而对基金收益造成影响。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（二）管理风险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（三）流动性风险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因市场交易量不足，导致证券不能迅速、低成本地转变为现金的风险。流动性风险还包括由于本基金封闭期结束，转为开放式运作后出现投资者大额或巨额赎回，致使本基金没有足够的现金应付基金赎回支付的要求所导致的风险和本基金在封闭期内无法赎回的风险，但本基金上市交易后，可通过二级市场进行份额转让。</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1、本基金的申购、赎回安排</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基金合同生效后三年之内（含三年）为封闭期，在此期间投资者不能申购、赎回基金份额，但可在本基金上市交易后通过上海证券交易所转让基金份额。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自基金封闭期届满起不超过30天开始办理申购、赎回业务，在确定申购开始与赎回开始时间后，基金管理人应在申购、赎回开放日前依照《信息披露办法》的有关规定在指定媒介上公告申购与赎回的开始时间。</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2、投资市场、行业及资产的流动性风险评估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3、巨额赎回情形下的流动性风险管理措施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工作日的基金总份额的10%，即认为是发生了巨额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当基金出现巨额赎回时，基金管理人可以根据基金当时的资产组合状况决定全额赎回或部分延期赎回。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（1）全额赎回：当基金管理人认为有能力支付投资人的全部赎回申请时，按正常赎回程序执行。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工作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（3）本基金如发生巨额赎回且单个开放日内单个基金份额持有人申请赎回的基金份额超过前一工作日的基金总份额的20%时，本基金管理人有权采取如下措施：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暂停赎回：连续2个开放日以上（含本数）发生巨额赎回，如基金管理人认为有必要，可暂停接受基金的赎回申请；已经接受的赎回申请可以延缓支付赎回款项，但不得超过20个工作日，并应当在指定媒介上进行公告。</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4、巨额赎回的场内处理方式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巨额赎回业务的场内处理，按照上海证券交易所及中国证券登记结算有限责任公司的有关规定办理。</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5、实施备用的流动性风险管理工具的情形、程序及对投资者的潜在影响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本基金在面临大规模赎回的情况下有可能因为无法变现造成流动性风险。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暂停接受赎回申请、部分延期赎回、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（四）信用风险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基金在交易过程发生交收违约，或者基金所投资债券之发行人出现违约、拒绝支付到期本息，都可能导致基金资产损失和收益变化，从而产生风险。</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（五）本基金的特有风险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3、本基金可投资港股通标的股票，会面临港股通机制下因投资环境、投资标的、市场制度以及交易规则等差异带来的特有风险，具体如下：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（1）港股交易失败风险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港股通业务目前存在每日额度。在香港联合交易所开市前阶段，当日额度使用完毕的，新增的买单申报将面临失败的风险；在香港联合交易所持续交易时段，当日额度使用完毕的，当日本基金将面临不能通过港股通进行买入交易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（2）汇率风险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故本基金投资面临汇率风险，汇率波动可能对基金的投资收益造成损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（3）境外市场的风险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2）香港市场交易规则有别于内地A 股市场规则，此外，在“内地与香港股票市场交易互联互通机制”下参与香港股票投资还将面临包括但不限于如下特殊风险：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a）香港市场实行T+0 回转交易机制（即当日买入的股票，在交收前可以于当日卖出），且证券交易价格并无涨跌幅上下限的规定，因此每日涨跌幅空间相对较大，可能表现出比A股更为剧烈的股价波动；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b）只有沪港深三地均为交易日且能够满足结算安排的交易日才为港股通交易日，存在港股通交易日不连贯的情形（如内地市场因放假等原因休市而香港市场照常交易或内地市场开市香港市场休市但港股通不能如常进行交易），而导致港股不能及时卖出带来一定的流动性风险；以及基金所持的港股组合在后续港股通交易日开市交易中集中体现市场反应而造成其价格波动骤然增大，进而导致本基金所持港股组合在资产估值上出现波动增大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c）香港出现台风、黑色暴雨或者香港联合交易所规定的其他情形时，香港联合交易所将可能停市，投资者将面临在停市期间无法进行港股通交易的风险；出现上交所及深交所证券交易服务公司认定的交易异常情况时，上交所及深交所证券交易服务公司将可能暂停提供部分或者全部港股通服务，投资者将面临在暂停服务期间无法进行港股通交易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d）投资者因港股通股票权益分派、转换、上市公司被收购等情形或者异常情况，所取得的港股通股票以外的香港联合交易所上市证券，只能通过港股通卖出，但不得买入，上交所及深交所另有规定的除外；因港股通股票发行人供股、港股通股票权益分派或者转换等情形取得的香港联合交易所上市股票的认购权利凭证在香港联合交易所上市的，可以通过港股通卖出，但不得买入，其行权等事宜按照中国证监会、中国结算的相关规定处理；因港股通股票权益分派、转换或者上市公司被收购等所取得的非香港联合交易所上市证券，不得通过港股通买入或卖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e）代理投票。由于中国结算是在汇总投资者意愿后再向香港结算提交投票意愿，中国结算对投资者设定的意愿征集期比香港结算的征集期稍早结束；投票没有权益登记日的，以投票截止日的持有作为计算基准；投票数量超出持有数量的，按照比例分配持有基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（4）本基金可根据投资策略需要或不同配置地市场环境的变化，选择将部分基金资产投资于港股或选择不将基金资产投资于港股，基金资产并非必然投资港股。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以上所述因素可能会给本基金投资带来特殊交易风险。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5、基金合同提前终止风险。连续50个工作日出现基金份额持有人数量不满200人或者基金资产净值低于5000万元情形的，基金管理人提前终止基金合同，不需召开基金份额持有人大会。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6、本基金可投资创业板股票，创业板个股上市后的前五个交易日不设价格涨跌幅限制，第六个交易日开始涨跌幅限制比例为20%。</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（六）投资股指期货的特定风险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（1）市场风险是指由于股指期货价格变动而给投资者带来的风险。市场风险是股指期货投资中最主要的风险。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（2）流动性风险是指由于股指期货合约无法及时变现所带来的风险。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（3）基差风险是指股指期货合约价格和指数价格之间的价格差的波动所造成的风险，以及不同股指期货合约价格之间价格差的波动所造成的期现价差风险。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（4）保证金风险是指由于无法及时筹措资金满足建立或者维持股指期货合约头寸所要求的保证金而带来的风险。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（5）信用风险是指期货经纪公司违约而产生损失的风险。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（6）操作风险是指由于内部流程的不完善，业务人员出现差错或者疏漏，或者系统出现故障等原因造成损失的风险。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此外，由于衍生品通常具有杠杆效应，价格波动比标的工具更为剧烈，并且其定价相当复杂，不适当的估值也有可能使基金资产面临损失风险。</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（七）投资科创板股票的特定风险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（1）市场风险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科创板个股上市前五日无涨跌停限制，第六日开始涨跌幅限制在正负20%以内，个股波动幅度较其他股票加大，市场风险随之上升。</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（2）流动性风险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科创板整体投资门槛较高，个人投资者必须满足交易满两年并且资金在50万以上才可参与，二级市场上个人投资者参与度相对较低，机构持有个股大量流通盘导致个股流动性较差，基金组合存在无法及时变现及其他相关流动性风险。</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（3）退市风险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（4）集中度风险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科创板为新设板块，初期可投标的较少，投资者容易集中投资于少量个股，市场可能存在高集中度状况，整体存在集中度风险。</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（5）系统性风险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科创板企业均为市场认可度较高的科技创新企业，在企业经营及盈利模式上存在趋同，所以科创板个股相关性较高，市场表现不佳时，系统性风险将更为显著。</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（6）政策风险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国家对高新技术产业扶持力度及重视程度的变化会对科创板企业带来较大影响，国际经济形势变化对战略新兴产业及科创板个股也会带来政策影响。</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（八）投资存托凭证的特定风险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本基金可根据投资策略需要或市场环境的变化，选择将部分基金资产投资于存托凭证或选择不将基金资产投资于存托凭证，基金资产并非必然投资存托凭证。</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（九）其他风险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1、因技术因素而产生的风险，如电脑系统不可靠产生的风险；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2、因基金业务快速发展，在制度建设、人员配备、内控制度建立等方面的不完善产生的风险；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3、因人为因素而产生的风险、如内幕交易、欺诈行为等产生的风险；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4、对主要业务人员如基金经理的依赖而可能产生的风险；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5、因业务竞争压力可能产生的风险；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6、战争、自然灾害等不可抗力可能导致基金财产的损失，影响基金收益水平，从而带来风险；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7、其他意外导致的风险。</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1" w:name="_Toc123063681"/>
      <w:r>
        <w:rPr>
          <w:rFonts w:ascii="Times New Roman" w:hAnsi="Times New Roman"/>
          <w:sz w:val="30"/>
        </w:rPr>
        <w:t>十九、基金合同的变更、终止与基金财产的清算</w:t>
      </w:r>
      <w:bookmarkEnd w:id="21"/>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（一）《基金合同》的变更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2、关于《基金合同》变更的基金份额持有人大会决议自生效后方可执行，并自决议生效后依照《信息披露办法》的规定在指定媒介公告。</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（二）《基金合同》的终止事由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有下列情形之一的，经履行相关程序后，《基金合同》应当终止：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1、基金份额持有人大会决定终止的；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2、基金管理人、基金托管人职责终止，在6个月内没有新基金管理人、新基金托管人承接的；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3、连续50个工作日出现基金份额持有人数量不满200人或者基金资产净值低于5000万元情形的，基金管理人提前终止基金合同，不需召开基金份额持有人大会；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4、《基金合同》约定的其他情形；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5、相关法律法规和中国证监会规定的其他情况。</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（三）基金财产的清算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4、基金财产清算程序：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（1）《基金合同》终止情形出现时，由基金财产清算小组统一接管基金；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（2）对基金财产和债权债务进行清理和确认；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（3）对基金财产进行估值和变现；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（4）制作清算报告；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（5）聘请会计师事务所对清算报告进行外部审计，聘请律师事务所对清算报告出具法律意见书；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（6）将清算报告报中国证监会备案并公告；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（7）对基金剩余财产进行分配。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5、基金财产清算的期限为6个月，但因本基金所持证券的流动性受到限制而不能及时变现的，清算期限相应顺延。</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（四）清算费用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（五）基金财产清算剩余资产的分配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（六）基金财产清算的公告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（七）基金财产清算账册及文件的保存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基金财产清算账册及有关文件由基金托管人保存15年以上。</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2" w:name="_Toc123063682"/>
      <w:r>
        <w:rPr>
          <w:rFonts w:ascii="Times New Roman" w:hAnsi="Times New Roman"/>
          <w:sz w:val="30"/>
        </w:rPr>
        <w:t>二十、基金合同内容摘要</w:t>
      </w:r>
      <w:bookmarkEnd w:id="22"/>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（一）基金份额持有人、基金管理人和基金托管人的权利与义务</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1、基金管理人的权利与义务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（1）根据《基金法》、《运作办法》及其他有关规定，基金管理人的权利包括但不限于：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1）依法募集资金；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2）自《基金合同》生效之日起，根据法律法规和《基金合同》独立运用并管理基金财产；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3）依照《基金合同》收取基金管理费以及法律法规规定或中国证监会批准的其他费用；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4）销售基金份额；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5）按照规定召集基金份额持有人大会；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7）在基金托管人更换时，提名新的基金托管人；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8）选择、更换基金销售机构，对基金销售机构的相关行为进行监督和处理；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9）担任或委托其他符合条件的机构担任基金登记机构办理基金登记业务并获得《基金合同》规定的费用；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10）依据《基金合同》及有关法律规定决定基金收益的分配方案；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11）在《基金合同》约定的范围内，拒绝或暂停受理申购与赎回申请；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12）依照法律法规为基金的利益对被投资公司行使股东权利，为基金的利益行使因基金财产投资于证券所产生的权利；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13）在法律法规允许的前提下，为基金的利益依法为基金进行融资；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14）以基金管理人的名义，代表基金份额持有人的利益行使诉讼权利或者实施其他法律行为；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15）选择、更换律师事务所、会计师事务所、证券经纪商或其他为基金提供服务的外部机构；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16）在符合有关法律、法规的前提下，制定和调整有关基金认购、申购、赎回、转换等的业务规则；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17）法律法规及中国证监会规定的和《基金合同》约定的其他权利。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（2）根据《基金法》、《运作办法》及其他有关规定，基金管理人的义务包括但不限于：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2）办理基金备案手续；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3）自《基金合同》生效之日起，以诚实信用、谨慎勤勉的原则管理和运用基金财产；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4）配备足够的具有专业资格的人员进行基金投资分析、决策，以专业化的经营方式管理和运作基金财产；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6）除依据《基金法》、《基金合同》及其他有关规定外，不得利用基金财产为自己及任何第三人谋取利益，不得委托第三人运作基金财产；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7）依法接受基金托管人的监督；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8）采取适当合理的措施使计算基金份额认购、申购、赎回和注销价格的方法符合《基金合同》等法律文件的规定，按有关规定计算并公告基金净值信息，确定基金份额申购、赎回的价格；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9）进行基金会计核算并编制基金财务会计报告；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10）编制季度报告、中期报告和年度报告；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11）严格按照《基金法》、《基金合同》及其他有关规定，履行信息披露及报告义务；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12）保守基金商业秘密，不泄露基金投资计划、投资意向等。除《基金法》、《基金合同》及其他有关规定另有规定外，在基金信息公开披露前应予保密，不向他人泄露；</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13）按《基金合同》的约定确定基金收益分配方案，及时向基金份额持有人分配基金收益；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14）按规定受理申购与赎回申请，及时、足额支付赎回款项；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15）依据《基金法》、《基金合同》及其他有关规定召集基金份额持有人大会或配合基金托管人、基金份额持有人依法召集基金份额持有人大会；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16）按规定保存基金财产管理业务活动的会计账册、报表、记录和其他相关资料15年以上；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18）组织并参加基金财产清算小组，参与基金财产的保管、清理、估价、变现和分配；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19）面临解散、依法被撤销或者被依法宣告破产时，及时报告中国证监会并通知基金托管人；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20）因违反《基金合同》导致基金财产的损失或损害基金份额持有人合法权益时，应当承担赔偿责任，其赔偿责任不因其退任而免除；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22）当基金管理人将其义务委托第三方处理时，应当对第三方处理有关基金事务的行为承担责任；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23）以基金管理人名义，代表基金份额持有人利益行使诉讼权利或实施其他法律行为；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25）执行生效的基金份额持有人大会的决议；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26）建立并保存基金份额持有人名册；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27）法律法规及中国证监会规定的和《基金合同》约定的其他义务。</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2、基金托管人的权利与义务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（1）根据《基金法》、《运作办法》及其他有关规定，基金托管人的权利包括但不限于：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1）自《基金合同》生效之日起，依法律法规和《基金合同》的规定安全保管基金财产；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2）依《基金合同》约定获得基金托管费以及法律法规规定或监管部门批准的其他费用；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4）根据相关市场规则，为基金开设资金账户、证券账户、期货结算账户等投资所需账户，为基金办理证券交易资金清算；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5）提议召开或召集基金份额持有人大会；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6）在基金管理人更换时，提名新的基金管理人；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7）法律法规及中国证监会规定的和《基金合同》约定的其他权利。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（2）根据《基金法》、《运作办法》及其他有关规定，基金托管人的义务包括但不限于：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1）以诚实信用、勤勉尽责的原则持有并安全保管基金财产；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2）设立专门的基金托管部门，具有符合要求的营业场所，配备足够的、合格的熟悉基金托管业务的专职人员，负责基金财产托管事宜；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5）保管由基金管理人代表基金签订的与基金有关的重大合同及有关凭证；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6）按规定开设基金财产的资金账户、证券账户等投资所需账户，按照《基金合同》的约定，根据基金管理人的投资指令，及时办理清算、交割事宜；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7）保守基金商业秘密，除《基金法》、《基金合同》及其他有关规定另有规定外，在基金信息公开披露前予以保密，不得向他人泄露；</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8）复核、审查基金管理人计算的基金资产净值、基金份额净值、基金份额申购、赎回价格；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9）办理与基金托管业务活动有关的信息披露事项；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11）保存基金托管业务活动的记录、账册、报表和其他相关资料15年以上；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12）保存基金份额持有人名册；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13）按规定制作相关账册并与基金管理人核对；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14）依据基金管理人的指令或有关规定向基金份额持有人支付基金收益和赎回款项；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15）依据《基金法》、《基金合同》及其他有关规定，召集基金份额持有人大会或配合基金管理人、基金份额持有人依法召集基金份额持有人大会；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16）按照法律法规和《基金合同》的规定监督基金管理人的投资运作；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17）参加基金财产清算小组，参与基金财产的保管、清理、估价、变现和分配；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18）面临解散、依法被撤销或者被依法宣告破产时，及时报告中国证监会和银行业监督管理机构，并通知基金管理人；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19）因违反《基金合同》导致基金财产损失时，应承担赔偿责任，其赔偿责任不因其退任而免除；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21）执行生效的基金份额持有人大会的决议；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22）法律法规及中国证监会规定的和《基金合同》约定的其他义务。</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3、基金份额持有人的权利与义务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每份基金份额具有同等的合法权益。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（1）根据《基金法》、《运作办法》及其他有关规定，基金份额持有人的权利包括但不限于：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1）分享基金财产收益；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2）参与分配清算后的剩余基金财产；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3）依法并按照基金合同和招募说明书的规定转让或者申请赎回其持有的基金份额；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4）按照规定要求召开基金份额持有人大会或者召集基金份额持有人大会；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5）出席或者委派代表出席基金份额持有人大会，对基金份额持有人大会审议事项行使表决权；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6）查阅或者复制公开披露的基金信息资料；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7）监督基金管理人的投资运作；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8）对基金管理人、基金托管人、基金服务机构损害其合法权益的行为依法提起诉讼或仲裁；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9）法律法规及中国证监会规定的和《基金合同》约定的其他权利。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（2）根据《基金法》、《运作办法》及其他有关规定，基金份额持有人的义务包括但不限于：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1）认真阅读并遵守《基金合同》、招募说明书等信息披露文件；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2）了解所投资基金产品，了解自身风险承受能力，自主判断基金的投资价值，自主做出投资决策，自行承担投资风险；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3）关注基金信息披露，及时行使权利和履行义务；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4）交纳基金认购、申购款项及法律法规和《基金合同》所规定的费用；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5）在其持有的基金份额范围内，承担基金亏损或者《基金合同》终止的有限责任；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6）不从事任何有损基金及其他《基金合同》当事人合法权益的活动；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7）执行生效的基金份额持有人大会的决议；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8）返还在基金交易过程中因任何原因获得的不当得利；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9）遵守基金管理人、基金托管人、销售机构和登记机构的相关交易及业务规则；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10）提供基金管理人和监管机构依法要求提供的信息，以及不时的更新和补充，并保证其真实性；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11）法律法规及中国证监会规定的和《基金合同》约定的其他义务。</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（二）基金份额持有人大会召集、议事及表决的程序和规则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基金份额持有人大会由基金份额持有人组成，基金份额持有人的合法授权代表有权代表基金份额持有人出席会议并表决。基金份额持有人持有的每一基金份额拥有平等的投票权。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本基金份额持有人大会不设日常机构。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1、召开事由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（1）当出现或需要决定下列事由之一的，应当召开基金份额持有人大会，法律法规和中国证监会另有规定的除外：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1）终止《基金合同》，基金合同另有约定的除外；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2）更换基金管理人；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3）更换基金托管人；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4）转换基金运作方式；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5）调整基金管理人、基金托管人的报酬标准；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6）变更基金类别；</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7）本基金与其他基金的合并；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8）变更基金投资目标、范围或策略，基金合同另有约定的除外；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9）变更基金份额持有人大会程序，基金合同另有约定的除外；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10）基金管理人或基金托管人要求召开基金份额持有人大会；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11）终止基金份额上市，但因基金不再具备上市条件而被上海证券交易所终止上市的除外，基金合同另有约定的除外；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12）单独或合计持有本基金总份额10%以上（含10%）基金份额的基金份额持有人（以基金管理人收到提议当日的基金份额计算，下同）就同一事项书面要求召开基金份额持有人大会；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13）对基金合同当事人权利和义务产生重大影响的其他事项；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14）法律法规、《基金合同》或中国证监会规定的其他应当召开基金份额持有人大会的事项。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（2）在法律法规规定和《基金合同》约定的范围内且对基金份额持有人利益无实质性不利影响的前提下，以下情况可由基金管理人和基金托管人协商后修改，不需召开基金份额持有人大会：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1）法律法规要求增加的基金费用的收取；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2）在法律法规和《基金合同》规定的范围内调整本基金的申购费率、调低赎回费率、在对现有基金份额持有人利益无实质性不利影响的前提下变更收费方式；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3）因相应的法律法规、上海证券交易所或登记机构的相关业务规则发生变动而应当对《基金合同》进行修改；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4）对《基金合同》的修改对基金份额持有人利益无实质性不利影响或修改不涉及《基金合同》当事人权利义务关系发生重大变化；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5）在法律法规允许的情况下，且在对现有基金份额持有人利益无实质性不利影响的前提下，基金推出新业务或服务；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6）在符合法律法规及本基金合同规定、并且对基金份额持有人利益无实质不利影响的前提下，调整本基金份额类别的设置；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7）在不违反法律法规及对基金份额持有人利益无实质性不利影响的前提下，基金管理人、登记机构、销售机构调整有关基金认购、申购、赎回、转换、收益分配、非交易过户、转托管、上市交易等业务的规则；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8）按照法律法规和《基金合同》规定不需召开基金份额持有人大会的其他情形。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2、会议召集人及召集方式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（1）除法律法规规定或《基金合同》另有约定外，基金份额持有人大会由基金管理人召集；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（2）基金管理人未按规定召集或不能召集时，由基金托管人召集；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（6）基金份额持有人会议的召集人负责选择确定开会时间、地点、方式和权益登记日。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3、召开基金份额持有人大会的通知时间、通知内容、通知方式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（1）召开基金份额持有人大会，召集人应于会议召开前30日，在指定媒介公告。基金份额持有人大会通知应至少载明以下内容：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1）会议召开的时间、地点和会议形式；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2）会议拟审议的事项、议事程序和表决方式；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3）有权出席基金份额持有人大会的基金份额持有人的权益登记日；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4）授权委托证明的内容要求（包括但不限于代理人身份，代理权限和代理有效期限等）、送达时间和地点；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5）会务常设联系人姓名及联系电话；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6）出席会议者必须准备的文件和必须履行的手续；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7）召集人需要通知的其他事项。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4、基金份额持有人出席会议的方式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基金份额持有人大会可通过现场开会方式、通讯开会方式或法律法规、监管机构允许的其他方式召开，会议的召开方式由会议召集人确定。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（2）通讯开会。通讯开会系指基金份额持有人将其对表决事项的投票以会议通知载明的形式或基金合同约定的其他方式在表决截止日以前送达至召集人指定的地址或系统。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在同时符合以下条件时，通讯开会的方式视为有效：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1）会议召集人按《基金合同》约定公布会议通知后，在2个工作日内连续公布相关提示性公告；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5、议事内容与程序</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（1）议事内容及提案权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基金份额持有人大会的召集人发出召集会议的通知后，对原有提案的修改应当在基金份额持有人大会召开前及时公告。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基金份额持有人大会不得对未事先公告的议事内容进行表决。</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（2）议事程序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1）现场开会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或代理人作为该次基金份额持有人大会的主持人。基金管理人和基金托管人拒不出席或主持基金份额持有人大会，不影响基金份额持有人大会作出的决议的效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会议召集人应当制作出席会议人员的签名册。签名册载明参加会议人员姓名（或单位名称）、身份证明文件号码、持有或代表有表决权的基金份额、委托人姓名（或单位名称）和联系方式等事项。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2）通讯开会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6、表决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基金份额持有人所持每份基金份额有一票表决权。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基金份额持有人大会决议分为一般决议和特别决议：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基金份额持有人大会采取记名方式进行投票表决。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基金份额持有人大会的各项提案或同一项提案内并列的各项议题应当分开审议、逐项表决。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7、计票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（1）现场开会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2）监票人应当在基金份额持有人表决后立即进行清点并由大会主持人当场公布计票结果。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4）计票过程应由公证机关予以公证，基金管理人或基金托管人拒不出席大会的，不影响计票的效力。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（2）通讯开会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8、生效与公告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基金份额持有人大会的决议，召集人应当自通过之日起5日内报中国证监会备案。基金份额持有人大会的决议自表决通过之日起生效。法律法规另有规定的，从其规定。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基金份额持有人大会决议自生效之日起依照《信息披露办法》的规定在指定媒介上公告。如果采用通讯方式进行表决，在公告基金份额持有人大会决议时，必须将公证书全文、公证机构、公证员姓名等一同公告。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基金管理人、基金托管人和基金份额持有人应当执行生效的基金份额持有人大会的决议。生效的基金份额持有人大会决议对全体基金份额持有人、基金管理人、基金托管人均有约束力。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（三）基金合同解除和终止的事由、程序</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1、《基金合同》的变更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（2）关于《基金合同》变更的基金份额持有人大会决议自生效后方可执行，并自决议生效后依照《信息披露办法》的规定在指定媒介公告。</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2、《基金合同》的终止事由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有下列情形之一的，经履行相关程序后，《基金合同》应当终止：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（1）基金份额持有人大会决定终止的；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（2）基金管理人、基金托管人职责终止，在6个月内没有新基金管理人、新基金托管人承接的；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（3）连续50个工作日出现基金份额持有人数量不满200人或者基金资产净值低于5000万元情形的，基金管理人提前终止基金合同，不需召开基金份额持有人大会；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（4）《基金合同》约定的其他情形；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（5）相关法律法规和中国证监会规定的其他情况。</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3、基金财产的清算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（4）基金财产清算程序：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1）《基金合同》终止情形出现时，由基金财产清算小组统一接管基金；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2）对基金财产和债权债务进行清理和确认；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3）对基金财产进行估值和变现；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4）制作清算报告；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5）聘请会计师事务所对清算报告进行外部审计，聘请律师事务所对清算报告出具法律意见书；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6）将清算报告报中国证监会备案并公告；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7）对基金剩余财产进行分配。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（5）基金财产清算的期限为6个月，但因本基金所持证券的流动性受到限制而不能及时变现的，清算期限相应顺延。</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4、清算费用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5、基金财产清算剩余资产的分配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6、基金财产清算的公告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7、基金财产清算账册及文件的保存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基金财产清算账册及有关文件由基金托管人保存15年以上。</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（四）争议解决方式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争议处理期间，基金合同当事人应恪守各自的职责，继续忠实、勤勉、尽责地履行基金合同规定的义务，维护基金份额持有人的合法权益。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《基金合同》受中国法律（不含港澳台地区立法）管辖。</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（五）基金合同存放及投资者取得基金合同的方式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《基金合同》正本一式六份，除上报有关监管机构一式二份外，基金管理人、基金托管人各持有二份，每份具有同等的法律效力。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《基金合同》可印制成册，供投资者在基金管理人、基金托管人、销售机构的办公场所和营业场所查阅。</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3" w:name="_Toc123063683"/>
      <w:r>
        <w:rPr>
          <w:rFonts w:ascii="Times New Roman" w:hAnsi="Times New Roman"/>
          <w:sz w:val="30"/>
        </w:rPr>
        <w:t>二十一、托管协议的内容摘要</w:t>
      </w:r>
      <w:bookmarkEnd w:id="23"/>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（一）托管协议当事人</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1、基金管理人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名称：交银施罗德基金管理有限公司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注册地址：中国（上海）自由贸易试验区银城中路188号交通银行大楼二层（裙）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办公地址：上海市浦东新区世纪大道8号国金中心二期21-22楼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邮政编码：200120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法定代表人：阮红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成立日期： 2005年8月4日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批准设立机关及批准设立文号：中国证监会证监基金字[2005]128号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组织形式：有限责任公司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注册资本： 2亿元人民币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存续期间：持续经营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经营范围：基金募集、基金销售、资产管理和中国证监会许可的其它业务</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2、基金托管人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名称：中国农业银行股份有限公司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注册地址：北京市东城区建国门内大街69号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办公地址：北京市西城区复兴门内大街28号凯晨世贸中心东座九层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邮政编码：100031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w:t>
      </w:r>
      <w:r>
        <w:rPr>
          <w:rFonts w:hint="eastAsia" w:ascii="宋体" w:hAnsi="宋体"/>
          <w:sz w:val="24"/>
        </w:rPr>
        <w:t>谷澍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成立时间：2009年1月15日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基金托管资格批准文号：中国证监会证监基字[1998]23号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批准设立机关和批准设立文号：中国银监会银监复[2009]13号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注册资本：34,998,303.4万元人民币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存续期间：持续经营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（二）基金托管人对基金管理人的业务监督和核查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投资范围为具有良好流动性的金融工具，包括国内依法发行上市的股票（含中小板、创业板及其他经中国证监会核准上市的股票、存托凭证）、港股通标的股票、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的投资组合比例为：本基金封闭期结束，转为开放式运作后，股票投资（含存托凭证）占基金资产的比例为50%-95%（其中投资于港股通标的股票的比例占股票资产的0%-50%）；封闭期内，股票投资（含存托凭证）占基金资产的比例为50%-100%（其中投资于港股通标的股票的比例占股票资产的0%-50%）；但本基金封闭期结束前三个月至转开放式运作后三个月内，基金投资不受前述下限比例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封闭期结束，转为开放式运作后，每个交易日日终，在扣除股指期货合约需缴纳的交易保证金后，本基金保留的现金或者投资于到期日在一年以内的政府债券的比例合计不低于基金资产净值的5%；在封闭期内，本基金不受前述5%的限制，但每个交易日日终在扣除股指期货合约需缴纳的交易保证金后，应当保持不低于交易保证金一倍的现金；其中现金不包括结算备付金、存出保证金、应收申购款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2、基金托管人根据有关法律法规的规定及基金合同的约定，对基金投资、融资比例进行监督。基金托管人按下述比例和调整期限进行监督：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本基金封闭期结束，转为开放式运作后，股票投资（含存托凭证）占基金资产的比例为50%-95%（其中投资于港股通标的股票的比例占股票资产的0%-50%）；封闭期内，股票投资（含存托凭证）占基金资产的比例为50%-100%（其中投资于港股通标的股票的比例占股票资产的0%-50%）；但本基金封闭期结束前三个月至转开放式运作后三个月内，基金投资不受前述下限比例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本基金封闭期结束，转为开放式运作后，每个交易日日终，在扣除股指期货合约需缴纳的交易保证金后，本基金持有的现金或到期日在一年以内的政府债券不低于基金资产净值的5%；在封闭期内，本基金不受前述5%的限制，但每个交易日日终在扣除股指期货合约需缴纳的交易保证金后，应当保持不低于交易保证金一倍的现金；其中现金不包括结算备付金、存出保证金、应收申购款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（3）本基金持有一家公司发行的证券（同一家公司在内地和香港同时上市的A+H 股合计计算），其市值不超过基金资产净值的10%；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（4）本基金管理人管理的、且由本基金托管人托管的全部基金持有一家公司发行的证券（同一家公司在内地和香港同时上市的A+H 股合计计算），不超过该证券的10%，完全按照有关指数的构成比例进行证券投资的基金品种可以不受此条款规定的比例限制；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（5）本基金投资于同一原始权益人的各类资产支持证券的比例，不得超过基金资产净值的10％；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（6）本基金持有的全部资产支持证券，其市值不得超过基金资产净值的20％；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（7、本基金持有的同一（指同一信用级别）资产支持证券的比例，不得超过该资产支持证券规模的10％；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（8）本基金管理人管理的、且由本基金托管人托管的全部基金投资于同一原始权益人的各类资产支持证券，不得超过其各类资产支持证券合计规模的10％；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（9）本基金应投资于信用级别评级为BBB以上（含BBB）的资产支持证券。基金持有资产支持证券期间，如果其信用等级下降、不再符合投资标准，应在评级报告发布之日起3个月内予以全部卖出；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（10）基金财产参与股票发行申购，本基金所申报的金额不超过本基金的总资产，本基金所申报的股票数量不超过拟发行股票公司本次发行股票的总量；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（11）本基金进入全国银行间同业市场进行债券回购的资金余额不得超过基金资产净值的40%，进入全国银行间同业市场进行债券回购的最长期限为1年，债券回购到期后不得展期；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本基金管理人管理的、且由本基金托管人托管的全部开放式基金（包括开放式基金以及处于开放期的定期开放基金）持有一家上市公司发行的可流通股票，不得超过该上市公司可流通股票的15%；本基金管理人管理的、且由本基金托管人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本基金封闭期结束，转为开放式运作后，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（14）本基金与私募类证券资管产品及中国证监会认定的其他主体为交易对手开展逆回购交易的，可接受质押品的资质要求应当与基金合同约定的投资范围保持一致；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（15）在封闭期内，本基金的基金资产总值不得超过基金资产净值的200%；在封闭期结束，转为开放式运作后，本基金的基金资产总值不得超过基金资产净值的140%；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（16）本基金参与股指期货交易，则：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1）本基金在任何交易日日终，持有的买入股指期货合约价值，不得超过基金资产净值的10%；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本基金在封闭期内的任何交易日日终，持有的买入股指期货合约价值与有价证券市值之和，不得超过基金资产净值的100%；本基金封闭期结束，转为开放式运作后，任何交易日日终，持有的买入股指期货合约价值与有价证券市值之和，不得超过基金资产净值的95%。其中，有价证券指股票、债券（不含到期日在一年以内的政府债券）、资产支持证券、买入返售金融资产（不含质押式回购）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3）本基金在任何交易日日终，持有的卖出股指期货合约价值不得超过基金持有的股票总市值的20%；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4）本基金所持有的股票市值和买入、卖出股指期货合约价值，合计（轧差计算）应当符合基金合同关于股票投资比例的有关约定；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5）本基金在任何交易日内交易（不包括平仓）的股指期货合约的成交金额不得超过上一交易日基金资产净值的20%；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（17）本基金投资存托凭证的比例限制依照境内上市交易的股票执行；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（18）法律法规及中国证监会规定的和《基金合同》约定的其他投资限制。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除上述第（2）项、第（9）项、第（13）项、第（14）项情形以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法律法规对上述投资组合比例限制进行变更的，以变更后的规定为准。法律法规或监管部门取消上述限制，如适用于本基金，基金管理人在履行适当程序后，则本基金投资不再受相关限制。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3、基金托管人根据有关法律法规的规定及基金合同的约定，对本协议第十五条第（十一）项基金投资禁止行为进行监督。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并有权向中国证监会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2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5、基金托管人根据有关法律法规的规定及基金合同的约定，对基金管理人投资银行存款进行监督。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基金投资银行存款的，基金管理人应根据法律法规的规定及基金合同的约定，建立投资制度、审慎选择存款银行，做好风险控制；并按照基金托管人的要求配合基金托管人完成相关业务办理。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如果基金管理人未经基金托管人的审核擅自将不实的业绩表现数据印制在宣传推介材料上，则基金托管人对此不承担任何责任，并将在发现后立即报告中国证监会。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7、基金托管人根据有关法律法规的规定及基金合同的约定，对基金投资流通受限证券进行监督。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（1）基金投资流通受限证券，应遵守《关于基金投资非公开发行股票等流通受限证券有关问题的通知》等有关法律法规规定。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（4）在投资流通受限证券之前，基金管理人应至少提前一个交易日向基金托管人提供有关流通受限证券的相关信息，具体应当包括但不限于如下文件（如有）：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（三）基金管理人对基金托管人的业务核查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对基金托管人履行托管职责情况进行核查，核查事项包括基金托管人安全保管基金财产、开设基金财产的资金账户、证券账户等投资所需账户、协助开立股指期货业务相关账户及交易编码、复核基金管理人计算的基金资产净值和基金份额净值、根据基金管理人指令办理清算交收、相关信息披露和监督基金投资运作等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（四）基金财产的保管</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1、基金财产保管的原则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（1）基金财产应独立于基金管理人、基金托管人的固有财产。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（2）基金托管人应安全保管基金财产。未经基金管理人依据合法程序作出的合法合规指令，基金托管人不得自行运用、处分、分配基金的任何财产。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（3）基金托管人按照规定开设基金财产的资金账户、证券账户等投资所需账户、协助开立股指期货业务相关账户及交易编码。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（4）基金托管人对所托管的不同基金财产分别设置账户，与基金托管人的其他业务和其他基金的托管业务实行严格的分账管理，确保基金财产的完整与独立。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（5）基金托管人根据基金管理人的指令，按照基金合同和本协议的约定保管基金财产，如有特殊情况双方可另行协商解决。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（7）除依据法律法规和基金合同的规定外，基金托管人不得委托第三人托管基金财产。</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2、基金募集期间及募集资金的验资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（1）基金募集期间的认购款项应存于专用账户。该账户由基金管理人或基金管理人委托的登记机构开立并管理。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募集期满或基金停止募集时，募集的基金份额总额、基金募集金额、基金份额持有人人数符合《基金法》、《运作办法》等有关规定后，基金管理人应将募集到的属于基金财产的全部资金划入基金托管人为本基金开立的基金托管资金账户，同时在规定时间内，聘请具有从事证券、期货相关业务资格的会计师事务所进行验资，出具验资报告。出具的验资报告由参加验资的2名或2名以上中国注册会计师签字方为有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（3）若基金募集期限届满，未能达到基金备案的条件，由基金管理人按规定办理退款等事宜，基金托管人应提供充分协助。</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3、基金资金账户的开立和管理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（1）基金托管人应负责本基金的资金账户的开设和管理。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托管人应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（3）基金托管资金账户的开立和使用，限于满足开展本基金业务的需要。基金托管人和基金管理人不得假借本基金的名义开立任何其他银行账户；亦不得使用基金的任何账户进行本基金业务以外的活动。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（4）基金托管资金账户的开立和管理应符合相关法律法规的有关规定。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（5）在符合法律法规规定的条件下，基金托管人可以通过基金托管人专用账户办理基金资产的支付。</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4、基金证券账户和结算备付金账户的开立和管理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（1）基金托管人在中国证券登记结算有限责任公司上海分公司、深圳分公司为本基金开立基金托管人与基金联名的证券账户。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（2）基金证券账户的开立和使用，限于满足开展本基金业务的需要。基金托管人和基金管理人不得出借或未经对方同意擅自转让基金的任何证券账户，亦不得使用基金的任何账户进行本基金业务以外的活动。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（4）基金证券账户的开立和证券账户卡的保管由基金托管人负责，账户资产的管理和运用由基金管理人负责。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5、债券托管专户的开设和管理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生效后，基金托管人根据中国人民银行、中央国债登记结算有限责任公司、银行间市场清算所股份有限公司的有关规定，以本基金的名义在中央国债登记结算有限责任公司、银行间市场清算所股份有限公司开立债券托管与结算账户，并代表基金进行银行间市场债券的结算。基金管理人代表基金签订全国银行间债券市场债券回购主协议。</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6、其他账户的开立和管理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（1）因业务发展需要而开立的其他账户，可以根据法律法规和基金合同的规定，在基金管理人和基金托管人商议后开立。新账户按有关规则使用并管理。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（2）法律法规等有关规定对相关账户的开立和管理另有规定的，从其规定办理。</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7、基金财产投资的有关有价凭证等的保管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8、与基金财产有关的重大合同的保管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（五）基金资产净值计算与复核</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1、基金资产净值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基金资产净值是指基金资产总值减去基金负债后的价值。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净值是按照每个工作日闭市后，基金资产净值除以当日基金份额的余额数量计算，精确到0.0001元，小数点后第5位四舍五入。基金管理人可以设立大额赎回情形下的净值精度应急调整机制，具体可参见相关公告。国家另有规定的，从其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基金管理人于每个工作日计算基金资产净值及基金份额净值，并按规定公告。如遇特殊情况，经履行适当程序，可以适当延迟计算或公告。</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2、复核程序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月末、年中和年末估值复核与基金会计账目的核对同时进行。</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（六）基金份额持有人名册的登记与保管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（七）争议解决方式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争议处理期间，双方当事人应恪守基金管理人和基金托管人职责，各自继续忠实、勤勉、尽责地履行基金合同和本托管协议规定的义务，维护基金份额持有人的合法权益。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本协议受中国法律（不含港澳台地区立法）管辖。</w:t>
      </w:r>
    </w:p>
    <w:p>
      <w:pPr>
        <w:autoSpaceDE w:val="0"/>
        <w:autoSpaceDN w:val="0"/>
        <w:adjustRightInd w:val="0"/>
        <w:snapToGrid w:val="0"/>
        <w:spacing w:line="360" w:lineRule="auto"/>
        <w:ind w:firstLine="480" w:firstLineChars="200"/>
        <w:jc w:val="left"/>
        <w:outlineLvl w:val="1"/>
        <w:rPr>
          <w:rFonts w:ascii="宋体" w:hAnsi="宋体"/>
          <w:szCs w:val="24"/>
        </w:rPr>
      </w:pPr>
      <w:r>
        <w:rPr>
          <w:rFonts w:hint="eastAsia" w:ascii="宋体" w:hAnsi="宋体"/>
          <w:b/>
          <w:kern w:val="0"/>
          <w:sz w:val="24"/>
        </w:rPr>
        <w:t>（八）托管协议的变更与终止</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1、托管协议的变更程序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本协议双方当事人经协商一致，可以对协议进行修改。修改后的新协议，其内容不得与基金合同的规定有任何冲突。基金托管协议的变更应报中国证监会备案。</w:t>
      </w:r>
    </w:p>
    <w:p>
      <w:pPr>
        <w:autoSpaceDE w:val="0"/>
        <w:autoSpaceDN w:val="0"/>
        <w:adjustRightInd w:val="0"/>
        <w:snapToGrid w:val="0"/>
        <w:spacing w:line="360" w:lineRule="auto"/>
        <w:ind w:firstLine="480" w:firstLineChars="200"/>
        <w:jc w:val="left"/>
        <w:outlineLvl w:val="2"/>
        <w:rPr>
          <w:rFonts w:ascii="宋体" w:hAnsi="宋体"/>
          <w:szCs w:val="24"/>
        </w:rPr>
      </w:pPr>
      <w:r>
        <w:rPr>
          <w:rFonts w:ascii="宋体" w:hAnsi="宋体"/>
          <w:sz w:val="24"/>
        </w:rPr>
        <w:t>2、基金托管协议终止的情形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（1）基金合同终止；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（2）基金托管人解散、依法被撤销、破产或由其他基金托管人接管基金资产；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（3）基金管理人解散、依法被撤销、破产或由其他基金管理人接管基金管理权；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（4）发生法律法规、中国证监会或基金合同规定的其他终止事项。</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4" w:name="_Toc123063684"/>
      <w:r>
        <w:rPr>
          <w:rFonts w:ascii="Times New Roman" w:hAnsi="Times New Roman"/>
          <w:sz w:val="30"/>
        </w:rPr>
        <w:t>二十二、对基金份额持有人的服务</w:t>
      </w:r>
      <w:bookmarkEnd w:id="24"/>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基金管理人承诺为基金份额持有人提供一系列的服务。基金管理人根据基金份额持有人的需要和市场的变化，有权增加或变更服务项目。主要服务内容如下：</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（一）持有人交易资料的寄送服务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1、基金合同生效后的每次交易结束后，投资人可在T+2个工作日后通过销售机构的网点查询和打印确认单；</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2、本基金管理人将向持有人提供电子或纸质对账单，需要订阅或取消的客户可与本基金管理人客户服务中心（400-700-5000，021-61055000）联系。</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（二）网上直销服务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管理人已开通基金网上直销服务，个人投资者可以直接通过本基金管理人的网上直销交易平台办理开户手续，在本基金开放日常申购和赎回等业务后通过网上直销交易平台办理本基金的申购和赎回等业务，有关详情可参见相关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本公司基金网上直销业务已开通的银行卡及各银行卡交易金额限额请参阅本公司网站。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在条件成熟的时候，本基金管理人将根据基金网上直销业务的发展状况，适时调整可用于网上直销交易平台的银行卡种类，敬请个人投资者留意相关公告。</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（三）信息咨询、查询服务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投资人如果想查询基金账户余额、基金产品与服务等信息，请拨打本基金管理人客户服务电话（400-700-5000，021-61055000）或登录本基金管理人网站（www.fund001.com）进行咨询、查询。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人客户服务电话修改基金查询密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投资人可以拨打本基金管理人客户服务电话投诉直销机构的人员和服务。</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（四）基金红利再投资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收益分配时，基金份额持有人持有的基金份额可选择现金红利或选择红利再投将现金红利自动转为基金份额进行再投资，若投资人不选择，本基金默认的收益分配方式是现金分红；登记在基金份额持有人上海证券账户下的基金份额，只能选择现金分红的方式，具体权益分配程序等有关事项遵循上海证券交易所及中国证券登记结算有限责任公司的相关规定。</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（五）定期定额投资计划</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待技术条件成熟时，基金管理人可通过销售机构为投资人提供定期定额投资的服务。通过定期定额投资计划，投资人可以定期定额申购基金份额，具体实施方法另行公告。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服务联系方式：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本基金管理人的互联网地址及电子信箱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网址：www.fund001.com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电子信箱：services@jysld.com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投资者也可登录本基金管理人网站，直接提出有关本基金的问题和建议。</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b/>
          <w:kern w:val="0"/>
          <w:sz w:val="24"/>
        </w:rPr>
        <w:t>（六）如本招募说明书存在任何您/贵机构无法理解的内容，请通过上述方式联系基金管理人。请确保投资前，您/贵机构已经全面理解了本招募说明书。</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5" w:name="_Toc123063685"/>
      <w:r>
        <w:rPr>
          <w:rFonts w:ascii="Times New Roman" w:hAnsi="Times New Roman"/>
          <w:sz w:val="30"/>
        </w:rPr>
        <w:t>二十三、其他应披露事项</w:t>
      </w:r>
      <w:bookmarkEnd w:id="25"/>
      <w:bookmarkStart w:id="28" w:name="_GoBack"/>
      <w:bookmarkEnd w:id="28"/>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基金合同如有未尽事宜，由基金合同当事人各方按有关法律法规协商解决。</w:t>
      </w:r>
    </w:p>
    <w:tbl>
      <w:tblPr>
        <w:tblStyle w:val="14"/>
        <w:tblW w:w="5000" w:type="pct"/>
        <w:tblInd w:w="0" w:type="dxa"/>
        <w:tblLayout w:type="autofit"/>
        <w:tblCellMar>
          <w:top w:w="0" w:type="dxa"/>
          <w:left w:w="0" w:type="dxa"/>
          <w:bottom w:w="0" w:type="dxa"/>
          <w:right w:w="0" w:type="dxa"/>
        </w:tblCellMar>
      </w:tblPr>
      <w:tblGrid>
        <w:gridCol w:w="1008"/>
        <w:gridCol w:w="3024"/>
        <w:gridCol w:w="3024"/>
        <w:gridCol w:w="1614"/>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交银施罗德基金管理有限公司关于暂停部分销售机构办理相关销售业务的公告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2021-12-07</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交银施罗德基金管理有限公司关于恢复代销机构合作业务的公告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2021-12-11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交银施罗德瑞思三年封闭运作混合型证券投资基金(更新)招募说明书(2021年第1号)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2021-12-30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交银施罗德瑞思三年封闭运作混合型证券投资基金基金产品资料概要更新(2021年第1号)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2021-12-30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交银施罗德瑞思三年封闭运作混合型证券投资基金2021年第4季度报告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2022-01-21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交银施罗德瑞思三年封闭运作混合型证券投资基金2021年年度报告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2022-03-30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交银施罗德瑞思三年封闭运作混合型证券投资基金2022年第1季度报告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2022-04-21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交银施罗德基金管理有限公司关于增加申万宏源西部证券有限公司为旗下基金销售机构的公告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2022-06-02</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交银施罗德瑞思三年封闭运作混合型证券投资基金2022年第2季度报告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2022-07-20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交银施罗德基金管理有限公司关于高级管理人员变更的公告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2022-07-30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交银施罗德基金管理有限公司关于旗下部分基金投资非公开发行股票的公告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2022-08-18</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交银施罗德瑞思三年封闭运作混合型证券投资基金2022年中期报告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2022-08-30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交银施罗德基金管理有限公司关于调整直销中心柜台投资者最低认申购金额限制的公告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2022-09-03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交银施罗德瑞思三年封闭运作混合型证券投资基金2022年第3季度报告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2022-10-25</w:t>
            </w:r>
          </w:p>
        </w:tc>
      </w:tr>
    </w:tbl>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6" w:name="_Toc123063686"/>
      <w:r>
        <w:rPr>
          <w:rFonts w:ascii="Times New Roman" w:hAnsi="Times New Roman"/>
          <w:sz w:val="30"/>
        </w:rPr>
        <w:t>二十四、招募说明书的存放及查阅方式</w:t>
      </w:r>
      <w:bookmarkEnd w:id="26"/>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招募说明书存放在基金管理人、基金托管人和基金销售机构的办公场所和营业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投资人还可以直接登录基金管理人的网站(www.fund001.com)查阅和下载招募说明书。</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7" w:name="_Toc123063687"/>
      <w:r>
        <w:rPr>
          <w:rFonts w:ascii="Times New Roman" w:hAnsi="Times New Roman"/>
          <w:sz w:val="30"/>
        </w:rPr>
        <w:t>二十五、备查文件</w:t>
      </w:r>
      <w:bookmarkEnd w:id="27"/>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以下备查文件存放在基金管理人的办公场所，在办公时间可供免费查阅。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（一）中国证监会准予交银施罗德瑞思三年封闭运作混合型证券投资基金募集注册的文件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（二）《交银施罗德瑞思</w:t>
      </w:r>
      <w:r>
        <w:rPr>
          <w:rFonts w:hint="eastAsia" w:ascii="宋体" w:hAnsi="宋体"/>
          <w:sz w:val="24"/>
        </w:rPr>
        <w:t>混合型证券投资基金（LOF）</w:t>
      </w:r>
      <w:r>
        <w:rPr>
          <w:rFonts w:ascii="宋体" w:hAnsi="宋体"/>
          <w:sz w:val="24"/>
        </w:rPr>
        <w:t>基金合同》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（三）《交银施罗德瑞思</w:t>
      </w:r>
      <w:r>
        <w:rPr>
          <w:rFonts w:hint="eastAsia" w:ascii="宋体" w:hAnsi="宋体"/>
          <w:sz w:val="24"/>
        </w:rPr>
        <w:t>混合型证券投资基金（LOF）</w:t>
      </w:r>
      <w:r>
        <w:rPr>
          <w:rFonts w:ascii="宋体" w:hAnsi="宋体"/>
          <w:sz w:val="24"/>
        </w:rPr>
        <w:t>托管协议》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（四）基金管理人业务资格批件、营业执照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（五）基金托管人业务资格批件、营业执照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（六）关于申请募集注册交银施罗德瑞思三年封闭运作混合型证券投资基金的法律意见书</w:t>
      </w:r>
    </w:p>
    <w:sectPr>
      <w:footerReference r:id="rId7" w:type="default"/>
      <w:pgSz w:w="11920" w:h="16840"/>
      <w:pgMar w:top="1360" w:right="1580" w:bottom="280" w:left="1680" w:header="0" w:footer="11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200" w:lineRule="exact"/>
      <w:jc w:val="left"/>
      <w:rPr>
        <w:rFonts w:ascii="Times New Roman" w:hAnsi="Times New Roman"/>
        <w:kern w:val="0"/>
        <w:sz w:val="20"/>
        <w:szCs w:val="20"/>
      </w:rPr>
    </w:pPr>
    <w:r>
      <w:pict>
        <v:shape id="_x0000_s3073" o:spid="_x0000_s3073" o:spt="202" type="#_x0000_t202" style="position:absolute;left:0pt;margin-left:293.4pt;margin-top:782.6pt;height:11pt;width:21.6pt;mso-position-horizontal-relative:page;mso-position-vertical-relative:page;z-index:-251656192;mso-width-relative:page;mso-height-relative:page;" filled="f" stroked="f" coordsize="21600,21600" o:allowincell="f">
          <v:path/>
          <v:fill on="f" focussize="0,0"/>
          <v:stroke on="f" joinstyle="miter"/>
          <v:imagedata o:title=""/>
          <o:lock v:ext="edit"/>
          <v:textbox inset="0mm,0mm,0mm,0mm">
            <w:txbxContent>
              <w:p>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Pr>
                    <w:rFonts w:ascii="Times New Roman" w:hAnsi="Times New Roman"/>
                    <w:kern w:val="0"/>
                    <w:sz w:val="18"/>
                    <w:szCs w:val="18"/>
                  </w:rPr>
                  <w:t>5</w:t>
                </w:r>
                <w:r>
                  <w:rPr>
                    <w:rFonts w:ascii="Times New Roman" w:hAnsi="Times New Roman"/>
                    <w:kern w:val="0"/>
                    <w:sz w:val="18"/>
                    <w:szCs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200" w:lineRule="exact"/>
      <w:jc w:val="left"/>
      <w:rPr>
        <w:rFonts w:ascii="Times New Roman" w:hAnsi="Times New Roman"/>
        <w:kern w:val="0"/>
        <w:sz w:val="20"/>
        <w:szCs w:val="20"/>
      </w:rPr>
    </w:pPr>
    <w:r>
      <w:pict>
        <v:shape id="_x0000_s3074" o:spid="_x0000_s3074" o:spt="202" type="#_x0000_t202" style="position:absolute;left:0pt;margin-left:291.25pt;margin-top:773.85pt;height:11pt;width:33.5pt;mso-position-horizontal-relative:page;mso-position-vertical-relative:page;z-index:-251656192;mso-width-relative:page;mso-height-relative:page;" filled="f" stroked="f" coordsize="21600,21600" o:allowincell="f">
          <v:path/>
          <v:fill on="f" focussize="0,0"/>
          <v:stroke on="f" joinstyle="miter"/>
          <v:imagedata o:title=""/>
          <o:lock v:ext="edit"/>
          <v:textbox inset="0mm,0mm,0mm,0mm">
            <w:txbxContent>
              <w:p>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Pr>
                    <w:rFonts w:ascii="Times New Roman" w:hAnsi="Times New Roman"/>
                    <w:kern w:val="0"/>
                    <w:sz w:val="18"/>
                    <w:szCs w:val="18"/>
                  </w:rPr>
                  <w:t>13</w:t>
                </w:r>
                <w:r>
                  <w:rPr>
                    <w:rFonts w:ascii="Times New Roman" w:hAnsi="Times New Roman"/>
                    <w:kern w:val="0"/>
                    <w:sz w:val="18"/>
                    <w:szCs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pict>
        <v:shape id="图片 3" o:spid="_x0000_s3077" o:spt="75" alt="logo1" type="#_x0000_t75" style="position:absolute;left:0pt;margin-left:1.5pt;margin-top:-12pt;height:18.75pt;width:135pt;z-index:251659264;mso-width-relative:page;mso-height-relative:page;" filled="f" o:preferrelative="t" stroked="f" coordsize="21600,21600">
          <v:path/>
          <v:fill on="f" focussize="0,0"/>
          <v:stroke on="f" joinstyle="miter"/>
          <v:imagedata r:id="rId1" o:title="logo1"/>
          <o:lock v:ext="edit" aspectratio="t"/>
        </v:shape>
      </w:pict>
    </w:r>
  </w:p>
  <w:p>
    <w:pPr>
      <w:pStyle w:val="9"/>
      <w:jc w:val="right"/>
      <w:rPr>
        <w:rFonts w:ascii="宋体" w:hAnsi="宋体"/>
      </w:rPr>
    </w:pPr>
    <w:r>
      <w:rPr>
        <w:rFonts w:hint="eastAsia" w:ascii="宋体" w:hAnsi="宋体"/>
      </w:rPr>
      <w:t>交银施罗德瑞思三年封闭运作混合型证券投资基金(更新)招募说明书(2022年第1号)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p>
  <w:p>
    <w:pPr>
      <w:pStyle w:val="10"/>
      <w:jc w:val="right"/>
    </w:pPr>
  </w:p>
  <w:p>
    <w:pPr>
      <w:pStyle w:val="9"/>
      <w:jc w:val="right"/>
    </w:pPr>
  </w:p>
  <w:p>
    <w:pPr>
      <w:pStyle w:val="9"/>
      <w:jc w:val="right"/>
    </w:pPr>
    <w:r>
      <w:pict>
        <v:shape id="图片 1" o:spid="_x0000_s3076" o:spt="75" alt="logo1" type="#_x0000_t75" style="position:absolute;left:0pt;margin-left:1.5pt;margin-top:-12pt;height:18.75pt;width:135pt;z-index:251659264;mso-width-relative:page;mso-height-relative:page;" filled="f" o:preferrelative="t" stroked="f" coordsize="21600,21600">
          <v:path/>
          <v:fill on="f" focussize="0,0"/>
          <v:stroke on="f" joinstyle="miter"/>
          <v:imagedata r:id="rId1" o:title="logo1"/>
          <o:lock v:ext="edit" aspectratio="t"/>
        </v:shape>
      </w:pict>
    </w:r>
  </w:p>
  <w:p>
    <w:pPr>
      <w:pStyle w:val="9"/>
      <w:jc w:val="right"/>
      <w:rPr>
        <w:rFonts w:ascii="宋体" w:hAnsi="宋体"/>
      </w:rPr>
    </w:pPr>
    <w:r>
      <w:rPr>
        <w:rFonts w:hint="eastAsia" w:ascii="宋体" w:hAnsi="宋体"/>
      </w:rPr>
      <w:t>交银施罗德瑞思混合型证券投资基金（LOF）(更新)招募说明书(2023年第1号)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p>
    <w:pPr>
      <w:pStyle w:val="9"/>
      <w:jc w:val="right"/>
    </w:pPr>
  </w:p>
  <w:p>
    <w:pPr>
      <w:pStyle w:val="9"/>
      <w:jc w:val="right"/>
    </w:pPr>
  </w:p>
  <w:p>
    <w:pPr>
      <w:pStyle w:val="9"/>
      <w:jc w:val="right"/>
    </w:pPr>
    <w:r>
      <w:pict>
        <v:shape id="图片 4" o:spid="_x0000_s3075" o:spt="75" alt="logo1" type="#_x0000_t75" style="position:absolute;left:0pt;margin-left:1.5pt;margin-top:-12pt;height:18.75pt;width:135pt;z-index:251659264;mso-width-relative:page;mso-height-relative:page;" filled="f" o:preferrelative="t" stroked="f" coordsize="21600,21600">
          <v:path/>
          <v:fill on="f" focussize="0,0"/>
          <v:stroke on="f" joinstyle="miter"/>
          <v:imagedata r:id="rId1" o:title="logo1"/>
          <o:lock v:ext="edit" aspectratio="t"/>
        </v:shape>
      </w:pict>
    </w:r>
  </w:p>
  <w:p>
    <w:pPr>
      <w:pStyle w:val="9"/>
      <w:jc w:val="right"/>
      <w:rPr>
        <w:rFonts w:ascii="宋体" w:hAnsi="宋体"/>
      </w:rPr>
    </w:pPr>
    <w:r>
      <w:rPr>
        <w:rFonts w:hint="eastAsia" w:ascii="宋体" w:hAnsi="宋体"/>
      </w:rPr>
      <w:t>交银施罗德瑞思混合型证券投资基金（LOF）(更新)招募说明书(2023年第1号)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7D73EE"/>
    <w:multiLevelType w:val="multilevel"/>
    <w:tmpl w:val="547D73EE"/>
    <w:lvl w:ilvl="0" w:tentative="0">
      <w:start w:val="1"/>
      <w:numFmt w:val="decimal"/>
      <w:pStyle w:val="24"/>
      <w:suff w:val="space"/>
      <w:lvlText w:val="§%1"/>
      <w:lvlJc w:val="left"/>
      <w:pPr>
        <w:ind w:left="425" w:hanging="425"/>
      </w:pPr>
      <w:rPr>
        <w:rFonts w:hint="eastAsia"/>
      </w:rPr>
    </w:lvl>
    <w:lvl w:ilvl="1" w:tentative="0">
      <w:start w:val="1"/>
      <w:numFmt w:val="decimal"/>
      <w:pStyle w:val="25"/>
      <w:suff w:val="space"/>
      <w:lvlText w:val="%1.%2"/>
      <w:lvlJc w:val="left"/>
      <w:pPr>
        <w:ind w:left="738" w:hanging="454"/>
      </w:pPr>
      <w:rPr>
        <w:rFonts w:hint="eastAsia"/>
      </w:rPr>
    </w:lvl>
    <w:lvl w:ilvl="2" w:tentative="0">
      <w:start w:val="1"/>
      <w:numFmt w:val="decimal"/>
      <w:pStyle w:val="26"/>
      <w:suff w:val="space"/>
      <w:lvlText w:val="%1.%2.%3"/>
      <w:lvlJc w:val="left"/>
      <w:pPr>
        <w:ind w:left="624" w:hanging="624"/>
      </w:pPr>
    </w:lvl>
    <w:lvl w:ilvl="3" w:tentative="0">
      <w:start w:val="1"/>
      <w:numFmt w:val="decimal"/>
      <w:pStyle w:val="28"/>
      <w:suff w:val="space"/>
      <w:lvlText w:val="%1.%2.%3.%4"/>
      <w:lvlJc w:val="left"/>
      <w:pPr>
        <w:ind w:left="794" w:hanging="794"/>
      </w:pPr>
      <w:rPr>
        <w:rFonts w:hint="eastAsia"/>
      </w:rPr>
    </w:lvl>
    <w:lvl w:ilvl="4" w:tentative="0">
      <w:start w:val="1"/>
      <w:numFmt w:val="decimal"/>
      <w:pStyle w:val="27"/>
      <w:suff w:val="space"/>
      <w:lvlText w:val="%1.%2.%3.%4.%5"/>
      <w:lvlJc w:val="left"/>
      <w:pPr>
        <w:ind w:left="1021" w:hanging="1021"/>
      </w:pPr>
      <w:rPr>
        <w:rFonts w:hint="eastAsia"/>
      </w:rPr>
    </w:lvl>
    <w:lvl w:ilvl="5" w:tentative="0">
      <w:start w:val="1"/>
      <w:numFmt w:val="decimal"/>
      <w:pStyle w:val="21"/>
      <w:suff w:val="space"/>
      <w:lvlText w:val="%1.%2.%3.%4.%5.%6"/>
      <w:lvlJc w:val="left"/>
      <w:pPr>
        <w:ind w:left="1021" w:hanging="1021"/>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NotTrackMoves/>
  <w:trackRevisions w:val="1"/>
  <w:documentProtection w:enforcement="0"/>
  <w:defaultTabStop w:val="720"/>
  <w:drawingGridHorizontalSpacing w:val="105"/>
  <w:drawingGridVerticalSpacing w:val="120"/>
  <w:displayHorizontalDrawingGridEvery w:val="0"/>
  <w:displayVerticalDrawingGridEvery w:val="3"/>
  <w:doNotShadeFormData w:val="1"/>
  <w:characterSpacingControl w:val="doNotCompress"/>
  <w:doNotValidateAgainstSchema/>
  <w:doNotDemarcateInvalidXml/>
  <w:hdrShapeDefaults>
    <o:shapelayout v:ext="edit">
      <o:idmap v:ext="edit" data="3"/>
    </o:shapelayout>
  </w:hdrShapeDefaults>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0C9"/>
    <w:rsid w:val="000002A2"/>
    <w:rsid w:val="00001EEA"/>
    <w:rsid w:val="00003EC9"/>
    <w:rsid w:val="0000560A"/>
    <w:rsid w:val="0001266E"/>
    <w:rsid w:val="00026A29"/>
    <w:rsid w:val="00026D00"/>
    <w:rsid w:val="00027C73"/>
    <w:rsid w:val="00030964"/>
    <w:rsid w:val="00030F3E"/>
    <w:rsid w:val="000368A2"/>
    <w:rsid w:val="00044AFD"/>
    <w:rsid w:val="00044E2C"/>
    <w:rsid w:val="000457B7"/>
    <w:rsid w:val="0004614E"/>
    <w:rsid w:val="00046212"/>
    <w:rsid w:val="000500B8"/>
    <w:rsid w:val="000506ED"/>
    <w:rsid w:val="000543D5"/>
    <w:rsid w:val="00055792"/>
    <w:rsid w:val="00055F52"/>
    <w:rsid w:val="00061C0D"/>
    <w:rsid w:val="0006212F"/>
    <w:rsid w:val="0006220F"/>
    <w:rsid w:val="000647B8"/>
    <w:rsid w:val="0006506B"/>
    <w:rsid w:val="0006551A"/>
    <w:rsid w:val="000700AC"/>
    <w:rsid w:val="000705A6"/>
    <w:rsid w:val="0007638A"/>
    <w:rsid w:val="00076B6E"/>
    <w:rsid w:val="000816EA"/>
    <w:rsid w:val="00081744"/>
    <w:rsid w:val="000828CE"/>
    <w:rsid w:val="000833CB"/>
    <w:rsid w:val="00083491"/>
    <w:rsid w:val="00084078"/>
    <w:rsid w:val="000843B3"/>
    <w:rsid w:val="000869C2"/>
    <w:rsid w:val="00087F4C"/>
    <w:rsid w:val="00090648"/>
    <w:rsid w:val="00094253"/>
    <w:rsid w:val="00095030"/>
    <w:rsid w:val="000A01A0"/>
    <w:rsid w:val="000A352B"/>
    <w:rsid w:val="000B0F8B"/>
    <w:rsid w:val="000B359E"/>
    <w:rsid w:val="000B3894"/>
    <w:rsid w:val="000B4E04"/>
    <w:rsid w:val="000C1E1E"/>
    <w:rsid w:val="000C38F1"/>
    <w:rsid w:val="000C5E77"/>
    <w:rsid w:val="000C68E9"/>
    <w:rsid w:val="000D0ADE"/>
    <w:rsid w:val="000D179E"/>
    <w:rsid w:val="000D66DC"/>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023FB"/>
    <w:rsid w:val="0011339C"/>
    <w:rsid w:val="001135B0"/>
    <w:rsid w:val="00113FAA"/>
    <w:rsid w:val="00115AE5"/>
    <w:rsid w:val="00116489"/>
    <w:rsid w:val="0011648B"/>
    <w:rsid w:val="001166C1"/>
    <w:rsid w:val="00116874"/>
    <w:rsid w:val="001177A3"/>
    <w:rsid w:val="001240EB"/>
    <w:rsid w:val="0012443D"/>
    <w:rsid w:val="00127053"/>
    <w:rsid w:val="0013182D"/>
    <w:rsid w:val="00131CEE"/>
    <w:rsid w:val="0013315B"/>
    <w:rsid w:val="00134FCF"/>
    <w:rsid w:val="00135AD8"/>
    <w:rsid w:val="0013630D"/>
    <w:rsid w:val="001367F2"/>
    <w:rsid w:val="001412E8"/>
    <w:rsid w:val="0014250F"/>
    <w:rsid w:val="00144B52"/>
    <w:rsid w:val="00153D66"/>
    <w:rsid w:val="0015725E"/>
    <w:rsid w:val="00162F69"/>
    <w:rsid w:val="00164946"/>
    <w:rsid w:val="00165756"/>
    <w:rsid w:val="0017362C"/>
    <w:rsid w:val="0017392F"/>
    <w:rsid w:val="0018184C"/>
    <w:rsid w:val="0018198F"/>
    <w:rsid w:val="00181C62"/>
    <w:rsid w:val="00183642"/>
    <w:rsid w:val="001860C4"/>
    <w:rsid w:val="00186FAE"/>
    <w:rsid w:val="001917D4"/>
    <w:rsid w:val="001917FC"/>
    <w:rsid w:val="00191D7F"/>
    <w:rsid w:val="001925A2"/>
    <w:rsid w:val="00195218"/>
    <w:rsid w:val="00197A55"/>
    <w:rsid w:val="00197F7E"/>
    <w:rsid w:val="001A1623"/>
    <w:rsid w:val="001A2263"/>
    <w:rsid w:val="001B4531"/>
    <w:rsid w:val="001B5BDB"/>
    <w:rsid w:val="001B75F9"/>
    <w:rsid w:val="001C2B9E"/>
    <w:rsid w:val="001C2CF7"/>
    <w:rsid w:val="001C38DA"/>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4DEA"/>
    <w:rsid w:val="001F4ECB"/>
    <w:rsid w:val="001F7353"/>
    <w:rsid w:val="00201F27"/>
    <w:rsid w:val="00201F9B"/>
    <w:rsid w:val="00203597"/>
    <w:rsid w:val="002076AC"/>
    <w:rsid w:val="002127DA"/>
    <w:rsid w:val="00212B27"/>
    <w:rsid w:val="00212BBA"/>
    <w:rsid w:val="0021469C"/>
    <w:rsid w:val="002148DF"/>
    <w:rsid w:val="00215523"/>
    <w:rsid w:val="00216962"/>
    <w:rsid w:val="00217CA4"/>
    <w:rsid w:val="00221112"/>
    <w:rsid w:val="00221A1B"/>
    <w:rsid w:val="002220A4"/>
    <w:rsid w:val="00223C19"/>
    <w:rsid w:val="00224421"/>
    <w:rsid w:val="00226503"/>
    <w:rsid w:val="00226A60"/>
    <w:rsid w:val="0023578C"/>
    <w:rsid w:val="00235AC5"/>
    <w:rsid w:val="002377E0"/>
    <w:rsid w:val="00240BB6"/>
    <w:rsid w:val="002432CA"/>
    <w:rsid w:val="00243D40"/>
    <w:rsid w:val="00245250"/>
    <w:rsid w:val="002477CB"/>
    <w:rsid w:val="00247BF6"/>
    <w:rsid w:val="00250A33"/>
    <w:rsid w:val="00251126"/>
    <w:rsid w:val="002524D2"/>
    <w:rsid w:val="00252802"/>
    <w:rsid w:val="00261A50"/>
    <w:rsid w:val="002634C3"/>
    <w:rsid w:val="00265B3A"/>
    <w:rsid w:val="0027052E"/>
    <w:rsid w:val="00271E9D"/>
    <w:rsid w:val="00271F7D"/>
    <w:rsid w:val="00274E85"/>
    <w:rsid w:val="002777F6"/>
    <w:rsid w:val="00277907"/>
    <w:rsid w:val="00280C42"/>
    <w:rsid w:val="00281B73"/>
    <w:rsid w:val="002833C9"/>
    <w:rsid w:val="00285E5C"/>
    <w:rsid w:val="0029057D"/>
    <w:rsid w:val="00290B63"/>
    <w:rsid w:val="00290E73"/>
    <w:rsid w:val="00293415"/>
    <w:rsid w:val="00294689"/>
    <w:rsid w:val="0029539A"/>
    <w:rsid w:val="002A1A82"/>
    <w:rsid w:val="002A2FB0"/>
    <w:rsid w:val="002A4D32"/>
    <w:rsid w:val="002A5F87"/>
    <w:rsid w:val="002B017B"/>
    <w:rsid w:val="002B0DC0"/>
    <w:rsid w:val="002B2664"/>
    <w:rsid w:val="002B4E21"/>
    <w:rsid w:val="002B5000"/>
    <w:rsid w:val="002B78AA"/>
    <w:rsid w:val="002C383C"/>
    <w:rsid w:val="002D15BB"/>
    <w:rsid w:val="002D1C13"/>
    <w:rsid w:val="002D3109"/>
    <w:rsid w:val="002D378C"/>
    <w:rsid w:val="002D6413"/>
    <w:rsid w:val="002D6F14"/>
    <w:rsid w:val="002D74D5"/>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23F65"/>
    <w:rsid w:val="00326147"/>
    <w:rsid w:val="0033051E"/>
    <w:rsid w:val="0033401D"/>
    <w:rsid w:val="00334456"/>
    <w:rsid w:val="00336150"/>
    <w:rsid w:val="00336E99"/>
    <w:rsid w:val="00342417"/>
    <w:rsid w:val="003454EC"/>
    <w:rsid w:val="00346537"/>
    <w:rsid w:val="00347B94"/>
    <w:rsid w:val="003527DD"/>
    <w:rsid w:val="003547A2"/>
    <w:rsid w:val="00355171"/>
    <w:rsid w:val="00362702"/>
    <w:rsid w:val="00362A37"/>
    <w:rsid w:val="00362CF0"/>
    <w:rsid w:val="00362D5D"/>
    <w:rsid w:val="00364AC5"/>
    <w:rsid w:val="00365D15"/>
    <w:rsid w:val="0036702F"/>
    <w:rsid w:val="00367F3A"/>
    <w:rsid w:val="00370BDF"/>
    <w:rsid w:val="00371441"/>
    <w:rsid w:val="00372FA2"/>
    <w:rsid w:val="003735E9"/>
    <w:rsid w:val="003739FE"/>
    <w:rsid w:val="003749D5"/>
    <w:rsid w:val="0038254F"/>
    <w:rsid w:val="003828EC"/>
    <w:rsid w:val="00383488"/>
    <w:rsid w:val="003843BB"/>
    <w:rsid w:val="003859DA"/>
    <w:rsid w:val="00386153"/>
    <w:rsid w:val="00386BA7"/>
    <w:rsid w:val="00390B48"/>
    <w:rsid w:val="0039213A"/>
    <w:rsid w:val="00393BF6"/>
    <w:rsid w:val="00395D4D"/>
    <w:rsid w:val="00396D64"/>
    <w:rsid w:val="00397A06"/>
    <w:rsid w:val="003A0FAF"/>
    <w:rsid w:val="003A38BD"/>
    <w:rsid w:val="003A38C8"/>
    <w:rsid w:val="003A6045"/>
    <w:rsid w:val="003A72D0"/>
    <w:rsid w:val="003B22FD"/>
    <w:rsid w:val="003B3004"/>
    <w:rsid w:val="003B3A47"/>
    <w:rsid w:val="003B4168"/>
    <w:rsid w:val="003B42FF"/>
    <w:rsid w:val="003B62D2"/>
    <w:rsid w:val="003B66A3"/>
    <w:rsid w:val="003C27F7"/>
    <w:rsid w:val="003C62C1"/>
    <w:rsid w:val="003C6FA4"/>
    <w:rsid w:val="003D0B3E"/>
    <w:rsid w:val="003D1749"/>
    <w:rsid w:val="003D2352"/>
    <w:rsid w:val="003D3863"/>
    <w:rsid w:val="003D3D0A"/>
    <w:rsid w:val="003E0800"/>
    <w:rsid w:val="003E1584"/>
    <w:rsid w:val="003E33DE"/>
    <w:rsid w:val="003E3593"/>
    <w:rsid w:val="003E5508"/>
    <w:rsid w:val="003E585F"/>
    <w:rsid w:val="003E6049"/>
    <w:rsid w:val="003E67F9"/>
    <w:rsid w:val="003F0D27"/>
    <w:rsid w:val="003F1C98"/>
    <w:rsid w:val="003F317C"/>
    <w:rsid w:val="003F4813"/>
    <w:rsid w:val="00406654"/>
    <w:rsid w:val="0041100B"/>
    <w:rsid w:val="004114F3"/>
    <w:rsid w:val="00412894"/>
    <w:rsid w:val="004130C3"/>
    <w:rsid w:val="00413E71"/>
    <w:rsid w:val="00421363"/>
    <w:rsid w:val="00421921"/>
    <w:rsid w:val="00422100"/>
    <w:rsid w:val="004254D3"/>
    <w:rsid w:val="0042746B"/>
    <w:rsid w:val="00433B69"/>
    <w:rsid w:val="00435AB2"/>
    <w:rsid w:val="004369AD"/>
    <w:rsid w:val="00436DD6"/>
    <w:rsid w:val="00444FB7"/>
    <w:rsid w:val="00450674"/>
    <w:rsid w:val="004533FE"/>
    <w:rsid w:val="00454715"/>
    <w:rsid w:val="00454D80"/>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A084F"/>
    <w:rsid w:val="004A1FA1"/>
    <w:rsid w:val="004A3225"/>
    <w:rsid w:val="004A3F90"/>
    <w:rsid w:val="004A5F59"/>
    <w:rsid w:val="004A6F1F"/>
    <w:rsid w:val="004B17D8"/>
    <w:rsid w:val="004B2323"/>
    <w:rsid w:val="004B62C3"/>
    <w:rsid w:val="004C0BC8"/>
    <w:rsid w:val="004C461A"/>
    <w:rsid w:val="004C7D23"/>
    <w:rsid w:val="004D0783"/>
    <w:rsid w:val="004D11CB"/>
    <w:rsid w:val="004D49E3"/>
    <w:rsid w:val="004D7163"/>
    <w:rsid w:val="004E0366"/>
    <w:rsid w:val="004E1C30"/>
    <w:rsid w:val="004E3342"/>
    <w:rsid w:val="004E45AC"/>
    <w:rsid w:val="004E4672"/>
    <w:rsid w:val="004E5593"/>
    <w:rsid w:val="004E7A1E"/>
    <w:rsid w:val="004E7F1A"/>
    <w:rsid w:val="004F0352"/>
    <w:rsid w:val="004F0740"/>
    <w:rsid w:val="004F415D"/>
    <w:rsid w:val="004F4980"/>
    <w:rsid w:val="004F66F4"/>
    <w:rsid w:val="004F7710"/>
    <w:rsid w:val="00502A45"/>
    <w:rsid w:val="0050542C"/>
    <w:rsid w:val="00512DC1"/>
    <w:rsid w:val="00514C6B"/>
    <w:rsid w:val="005161EC"/>
    <w:rsid w:val="0051709F"/>
    <w:rsid w:val="005175EB"/>
    <w:rsid w:val="00521A18"/>
    <w:rsid w:val="00522079"/>
    <w:rsid w:val="00522622"/>
    <w:rsid w:val="0052450E"/>
    <w:rsid w:val="00525410"/>
    <w:rsid w:val="00530703"/>
    <w:rsid w:val="00530763"/>
    <w:rsid w:val="00534EFD"/>
    <w:rsid w:val="005362F2"/>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74C59"/>
    <w:rsid w:val="00576CE2"/>
    <w:rsid w:val="005770AC"/>
    <w:rsid w:val="00577C1A"/>
    <w:rsid w:val="00577FAA"/>
    <w:rsid w:val="0058041D"/>
    <w:rsid w:val="005826AA"/>
    <w:rsid w:val="00583CE7"/>
    <w:rsid w:val="005856E9"/>
    <w:rsid w:val="005867BB"/>
    <w:rsid w:val="00587452"/>
    <w:rsid w:val="00591C2A"/>
    <w:rsid w:val="00592461"/>
    <w:rsid w:val="00592539"/>
    <w:rsid w:val="00596A05"/>
    <w:rsid w:val="00596D6D"/>
    <w:rsid w:val="00597284"/>
    <w:rsid w:val="00597F8F"/>
    <w:rsid w:val="005A1EA2"/>
    <w:rsid w:val="005A2467"/>
    <w:rsid w:val="005A5858"/>
    <w:rsid w:val="005A6E51"/>
    <w:rsid w:val="005A7C7F"/>
    <w:rsid w:val="005A7D88"/>
    <w:rsid w:val="005B130C"/>
    <w:rsid w:val="005B14FF"/>
    <w:rsid w:val="005B3B71"/>
    <w:rsid w:val="005B4B1B"/>
    <w:rsid w:val="005B4F0F"/>
    <w:rsid w:val="005B58F0"/>
    <w:rsid w:val="005C0E62"/>
    <w:rsid w:val="005C0F5B"/>
    <w:rsid w:val="005C2E15"/>
    <w:rsid w:val="005C403B"/>
    <w:rsid w:val="005C63CB"/>
    <w:rsid w:val="005D0AA6"/>
    <w:rsid w:val="005D165F"/>
    <w:rsid w:val="005D21F3"/>
    <w:rsid w:val="005D3CF8"/>
    <w:rsid w:val="005D5D89"/>
    <w:rsid w:val="005E0D2D"/>
    <w:rsid w:val="005E3FB6"/>
    <w:rsid w:val="005F4583"/>
    <w:rsid w:val="005F4ABB"/>
    <w:rsid w:val="005F6066"/>
    <w:rsid w:val="005F6562"/>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824"/>
    <w:rsid w:val="00624214"/>
    <w:rsid w:val="00625419"/>
    <w:rsid w:val="00626D1A"/>
    <w:rsid w:val="00627429"/>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61FC1"/>
    <w:rsid w:val="00663FED"/>
    <w:rsid w:val="00664B64"/>
    <w:rsid w:val="006678E3"/>
    <w:rsid w:val="00667A9C"/>
    <w:rsid w:val="006712E8"/>
    <w:rsid w:val="00672A09"/>
    <w:rsid w:val="00673C78"/>
    <w:rsid w:val="00677DA7"/>
    <w:rsid w:val="00680212"/>
    <w:rsid w:val="00680C90"/>
    <w:rsid w:val="00681036"/>
    <w:rsid w:val="006823AD"/>
    <w:rsid w:val="00682C29"/>
    <w:rsid w:val="00685872"/>
    <w:rsid w:val="00685A83"/>
    <w:rsid w:val="00685AD7"/>
    <w:rsid w:val="00687C85"/>
    <w:rsid w:val="00691963"/>
    <w:rsid w:val="00692124"/>
    <w:rsid w:val="00692D96"/>
    <w:rsid w:val="00693C96"/>
    <w:rsid w:val="00696339"/>
    <w:rsid w:val="00696982"/>
    <w:rsid w:val="006A3F85"/>
    <w:rsid w:val="006A48FA"/>
    <w:rsid w:val="006A56F1"/>
    <w:rsid w:val="006A6E5C"/>
    <w:rsid w:val="006B0972"/>
    <w:rsid w:val="006B3153"/>
    <w:rsid w:val="006B5871"/>
    <w:rsid w:val="006B6BB1"/>
    <w:rsid w:val="006B7212"/>
    <w:rsid w:val="006C14C3"/>
    <w:rsid w:val="006C4AA2"/>
    <w:rsid w:val="006C4B6F"/>
    <w:rsid w:val="006C589D"/>
    <w:rsid w:val="006C769C"/>
    <w:rsid w:val="006C7A95"/>
    <w:rsid w:val="006D11E8"/>
    <w:rsid w:val="006D4B0E"/>
    <w:rsid w:val="006D753C"/>
    <w:rsid w:val="006E0A00"/>
    <w:rsid w:val="006E306D"/>
    <w:rsid w:val="006E3A00"/>
    <w:rsid w:val="006E4BEC"/>
    <w:rsid w:val="006E6968"/>
    <w:rsid w:val="006F04C6"/>
    <w:rsid w:val="006F08A0"/>
    <w:rsid w:val="006F2A97"/>
    <w:rsid w:val="006F7AD7"/>
    <w:rsid w:val="00702627"/>
    <w:rsid w:val="0070359F"/>
    <w:rsid w:val="0070464C"/>
    <w:rsid w:val="00705474"/>
    <w:rsid w:val="00705B46"/>
    <w:rsid w:val="007076B2"/>
    <w:rsid w:val="00711BBB"/>
    <w:rsid w:val="0071340A"/>
    <w:rsid w:val="00713FC7"/>
    <w:rsid w:val="00716FD1"/>
    <w:rsid w:val="00720D0F"/>
    <w:rsid w:val="007218A9"/>
    <w:rsid w:val="0072241C"/>
    <w:rsid w:val="007245A5"/>
    <w:rsid w:val="00731628"/>
    <w:rsid w:val="00734108"/>
    <w:rsid w:val="007343AD"/>
    <w:rsid w:val="0073448D"/>
    <w:rsid w:val="00735087"/>
    <w:rsid w:val="00736FA0"/>
    <w:rsid w:val="0074053E"/>
    <w:rsid w:val="0075000E"/>
    <w:rsid w:val="00752156"/>
    <w:rsid w:val="00753A7A"/>
    <w:rsid w:val="00756E77"/>
    <w:rsid w:val="007577C2"/>
    <w:rsid w:val="0076038F"/>
    <w:rsid w:val="00760D77"/>
    <w:rsid w:val="007617E5"/>
    <w:rsid w:val="0077124E"/>
    <w:rsid w:val="00772FA7"/>
    <w:rsid w:val="0077578C"/>
    <w:rsid w:val="00781ACA"/>
    <w:rsid w:val="007823CF"/>
    <w:rsid w:val="00783E35"/>
    <w:rsid w:val="00784F67"/>
    <w:rsid w:val="00786754"/>
    <w:rsid w:val="00786D49"/>
    <w:rsid w:val="00787061"/>
    <w:rsid w:val="00790F0A"/>
    <w:rsid w:val="00790F5E"/>
    <w:rsid w:val="007927A6"/>
    <w:rsid w:val="00797F6E"/>
    <w:rsid w:val="007A1F4C"/>
    <w:rsid w:val="007A53F8"/>
    <w:rsid w:val="007B05BD"/>
    <w:rsid w:val="007B31A5"/>
    <w:rsid w:val="007B3327"/>
    <w:rsid w:val="007B3533"/>
    <w:rsid w:val="007B4996"/>
    <w:rsid w:val="007B6926"/>
    <w:rsid w:val="007B6FA3"/>
    <w:rsid w:val="007B705D"/>
    <w:rsid w:val="007C5764"/>
    <w:rsid w:val="007C61D0"/>
    <w:rsid w:val="007C6FAA"/>
    <w:rsid w:val="007C768F"/>
    <w:rsid w:val="007D251F"/>
    <w:rsid w:val="007D4FA2"/>
    <w:rsid w:val="007E0874"/>
    <w:rsid w:val="007E0FAD"/>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10333"/>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3042"/>
    <w:rsid w:val="00843C37"/>
    <w:rsid w:val="00844886"/>
    <w:rsid w:val="00844C2D"/>
    <w:rsid w:val="00846D68"/>
    <w:rsid w:val="008518E5"/>
    <w:rsid w:val="00852B15"/>
    <w:rsid w:val="00856135"/>
    <w:rsid w:val="00857A96"/>
    <w:rsid w:val="00861FE5"/>
    <w:rsid w:val="0086376D"/>
    <w:rsid w:val="008703C2"/>
    <w:rsid w:val="0087209F"/>
    <w:rsid w:val="008806CC"/>
    <w:rsid w:val="008849E6"/>
    <w:rsid w:val="0088513E"/>
    <w:rsid w:val="00886300"/>
    <w:rsid w:val="0089099F"/>
    <w:rsid w:val="00890AAF"/>
    <w:rsid w:val="00892F7A"/>
    <w:rsid w:val="00894CEB"/>
    <w:rsid w:val="00896A62"/>
    <w:rsid w:val="00897B88"/>
    <w:rsid w:val="008A113D"/>
    <w:rsid w:val="008A678B"/>
    <w:rsid w:val="008B0034"/>
    <w:rsid w:val="008B0702"/>
    <w:rsid w:val="008B2397"/>
    <w:rsid w:val="008B33B5"/>
    <w:rsid w:val="008B3CD6"/>
    <w:rsid w:val="008B6003"/>
    <w:rsid w:val="008B691D"/>
    <w:rsid w:val="008C4D11"/>
    <w:rsid w:val="008D54FA"/>
    <w:rsid w:val="008D5C05"/>
    <w:rsid w:val="008D6490"/>
    <w:rsid w:val="008D6FFD"/>
    <w:rsid w:val="008E1191"/>
    <w:rsid w:val="008E342E"/>
    <w:rsid w:val="008E4D9C"/>
    <w:rsid w:val="008E566D"/>
    <w:rsid w:val="008E588C"/>
    <w:rsid w:val="008F52D9"/>
    <w:rsid w:val="008F6BC6"/>
    <w:rsid w:val="00902B4C"/>
    <w:rsid w:val="00903FC5"/>
    <w:rsid w:val="0090403F"/>
    <w:rsid w:val="009071FF"/>
    <w:rsid w:val="009108DB"/>
    <w:rsid w:val="009112EB"/>
    <w:rsid w:val="00913191"/>
    <w:rsid w:val="009131F2"/>
    <w:rsid w:val="00916431"/>
    <w:rsid w:val="00917DBE"/>
    <w:rsid w:val="0092605A"/>
    <w:rsid w:val="0092689A"/>
    <w:rsid w:val="0093228E"/>
    <w:rsid w:val="009325E1"/>
    <w:rsid w:val="00933602"/>
    <w:rsid w:val="009338B2"/>
    <w:rsid w:val="009351EF"/>
    <w:rsid w:val="0093698F"/>
    <w:rsid w:val="00940914"/>
    <w:rsid w:val="009409E8"/>
    <w:rsid w:val="00942250"/>
    <w:rsid w:val="00942706"/>
    <w:rsid w:val="00942E51"/>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49DC"/>
    <w:rsid w:val="00966EB2"/>
    <w:rsid w:val="00970C67"/>
    <w:rsid w:val="00974456"/>
    <w:rsid w:val="00991483"/>
    <w:rsid w:val="0099296D"/>
    <w:rsid w:val="009935AA"/>
    <w:rsid w:val="00993F94"/>
    <w:rsid w:val="009951B2"/>
    <w:rsid w:val="009A039C"/>
    <w:rsid w:val="009A2859"/>
    <w:rsid w:val="009A4E90"/>
    <w:rsid w:val="009A50B8"/>
    <w:rsid w:val="009A737B"/>
    <w:rsid w:val="009B1823"/>
    <w:rsid w:val="009B406F"/>
    <w:rsid w:val="009B443A"/>
    <w:rsid w:val="009B4D09"/>
    <w:rsid w:val="009B6DD1"/>
    <w:rsid w:val="009C1332"/>
    <w:rsid w:val="009C4A4F"/>
    <w:rsid w:val="009C6D34"/>
    <w:rsid w:val="009D2DDC"/>
    <w:rsid w:val="009D2E97"/>
    <w:rsid w:val="009D328E"/>
    <w:rsid w:val="009D3438"/>
    <w:rsid w:val="009D3B88"/>
    <w:rsid w:val="009D40B6"/>
    <w:rsid w:val="009D4D3A"/>
    <w:rsid w:val="009D7AD4"/>
    <w:rsid w:val="009E1231"/>
    <w:rsid w:val="009E1A57"/>
    <w:rsid w:val="009E36CA"/>
    <w:rsid w:val="009E4B6B"/>
    <w:rsid w:val="009E6470"/>
    <w:rsid w:val="009E7175"/>
    <w:rsid w:val="009F08CB"/>
    <w:rsid w:val="009F1E5E"/>
    <w:rsid w:val="009F497B"/>
    <w:rsid w:val="009F5331"/>
    <w:rsid w:val="009F6453"/>
    <w:rsid w:val="009F6AD6"/>
    <w:rsid w:val="009F6F30"/>
    <w:rsid w:val="009F7BFB"/>
    <w:rsid w:val="00A0081F"/>
    <w:rsid w:val="00A01B61"/>
    <w:rsid w:val="00A03BCB"/>
    <w:rsid w:val="00A048F3"/>
    <w:rsid w:val="00A04CA6"/>
    <w:rsid w:val="00A052DD"/>
    <w:rsid w:val="00A06E6F"/>
    <w:rsid w:val="00A07BE6"/>
    <w:rsid w:val="00A07EB0"/>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2598"/>
    <w:rsid w:val="00A33EF8"/>
    <w:rsid w:val="00A3432E"/>
    <w:rsid w:val="00A40DFB"/>
    <w:rsid w:val="00A435BF"/>
    <w:rsid w:val="00A448B0"/>
    <w:rsid w:val="00A46981"/>
    <w:rsid w:val="00A5210B"/>
    <w:rsid w:val="00A524EC"/>
    <w:rsid w:val="00A52F4A"/>
    <w:rsid w:val="00A531D6"/>
    <w:rsid w:val="00A53F75"/>
    <w:rsid w:val="00A54346"/>
    <w:rsid w:val="00A55211"/>
    <w:rsid w:val="00A569C9"/>
    <w:rsid w:val="00A57E0C"/>
    <w:rsid w:val="00A6039D"/>
    <w:rsid w:val="00A631B5"/>
    <w:rsid w:val="00A63351"/>
    <w:rsid w:val="00A6487D"/>
    <w:rsid w:val="00A65DF5"/>
    <w:rsid w:val="00A66D3E"/>
    <w:rsid w:val="00A676CE"/>
    <w:rsid w:val="00A7001C"/>
    <w:rsid w:val="00A70A43"/>
    <w:rsid w:val="00A75807"/>
    <w:rsid w:val="00A77913"/>
    <w:rsid w:val="00A8209D"/>
    <w:rsid w:val="00A82740"/>
    <w:rsid w:val="00A860C9"/>
    <w:rsid w:val="00A9137F"/>
    <w:rsid w:val="00A9483B"/>
    <w:rsid w:val="00A94F2C"/>
    <w:rsid w:val="00A972E1"/>
    <w:rsid w:val="00AA3F8C"/>
    <w:rsid w:val="00AA6E6B"/>
    <w:rsid w:val="00AB3052"/>
    <w:rsid w:val="00AB4248"/>
    <w:rsid w:val="00AB4520"/>
    <w:rsid w:val="00AB572D"/>
    <w:rsid w:val="00AB5A86"/>
    <w:rsid w:val="00AB6170"/>
    <w:rsid w:val="00AB707C"/>
    <w:rsid w:val="00AC0B37"/>
    <w:rsid w:val="00AC2185"/>
    <w:rsid w:val="00AC3068"/>
    <w:rsid w:val="00AC3C48"/>
    <w:rsid w:val="00AC4067"/>
    <w:rsid w:val="00AC53DF"/>
    <w:rsid w:val="00AC54F8"/>
    <w:rsid w:val="00AC692A"/>
    <w:rsid w:val="00AD0F08"/>
    <w:rsid w:val="00AD1585"/>
    <w:rsid w:val="00AD1747"/>
    <w:rsid w:val="00AD235B"/>
    <w:rsid w:val="00AD560B"/>
    <w:rsid w:val="00AD5BBB"/>
    <w:rsid w:val="00AE02B5"/>
    <w:rsid w:val="00AE0494"/>
    <w:rsid w:val="00AE0B28"/>
    <w:rsid w:val="00AE0C8D"/>
    <w:rsid w:val="00AE0D50"/>
    <w:rsid w:val="00AE1947"/>
    <w:rsid w:val="00AE242E"/>
    <w:rsid w:val="00AE2D8E"/>
    <w:rsid w:val="00AE4C9F"/>
    <w:rsid w:val="00AE7A40"/>
    <w:rsid w:val="00AE7EF9"/>
    <w:rsid w:val="00AF4A88"/>
    <w:rsid w:val="00AF60FC"/>
    <w:rsid w:val="00AF619D"/>
    <w:rsid w:val="00B01A75"/>
    <w:rsid w:val="00B02D39"/>
    <w:rsid w:val="00B03711"/>
    <w:rsid w:val="00B03B6B"/>
    <w:rsid w:val="00B04CC3"/>
    <w:rsid w:val="00B17DE2"/>
    <w:rsid w:val="00B20007"/>
    <w:rsid w:val="00B2096A"/>
    <w:rsid w:val="00B20E8D"/>
    <w:rsid w:val="00B32541"/>
    <w:rsid w:val="00B3267F"/>
    <w:rsid w:val="00B35F87"/>
    <w:rsid w:val="00B379DA"/>
    <w:rsid w:val="00B37A67"/>
    <w:rsid w:val="00B41203"/>
    <w:rsid w:val="00B41500"/>
    <w:rsid w:val="00B5297F"/>
    <w:rsid w:val="00B52E16"/>
    <w:rsid w:val="00B53812"/>
    <w:rsid w:val="00B53C36"/>
    <w:rsid w:val="00B600DB"/>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BAC"/>
    <w:rsid w:val="00B97B35"/>
    <w:rsid w:val="00BA3196"/>
    <w:rsid w:val="00BA3509"/>
    <w:rsid w:val="00BA5877"/>
    <w:rsid w:val="00BB124C"/>
    <w:rsid w:val="00BB17E3"/>
    <w:rsid w:val="00BB1CDB"/>
    <w:rsid w:val="00BB2110"/>
    <w:rsid w:val="00BB3645"/>
    <w:rsid w:val="00BB49FA"/>
    <w:rsid w:val="00BB547E"/>
    <w:rsid w:val="00BB69B7"/>
    <w:rsid w:val="00BC2581"/>
    <w:rsid w:val="00BC3F24"/>
    <w:rsid w:val="00BC3F55"/>
    <w:rsid w:val="00BC481A"/>
    <w:rsid w:val="00BC4D26"/>
    <w:rsid w:val="00BC555D"/>
    <w:rsid w:val="00BC658E"/>
    <w:rsid w:val="00BD0218"/>
    <w:rsid w:val="00BD1869"/>
    <w:rsid w:val="00BD200B"/>
    <w:rsid w:val="00BD63DF"/>
    <w:rsid w:val="00BD64D4"/>
    <w:rsid w:val="00BD7C4B"/>
    <w:rsid w:val="00BE33E8"/>
    <w:rsid w:val="00BF2BEB"/>
    <w:rsid w:val="00BF3197"/>
    <w:rsid w:val="00BF5E23"/>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4FBE"/>
    <w:rsid w:val="00C150A5"/>
    <w:rsid w:val="00C215D0"/>
    <w:rsid w:val="00C22B21"/>
    <w:rsid w:val="00C23593"/>
    <w:rsid w:val="00C23845"/>
    <w:rsid w:val="00C31846"/>
    <w:rsid w:val="00C32A33"/>
    <w:rsid w:val="00C367FB"/>
    <w:rsid w:val="00C41389"/>
    <w:rsid w:val="00C41BB7"/>
    <w:rsid w:val="00C42379"/>
    <w:rsid w:val="00C44004"/>
    <w:rsid w:val="00C445F4"/>
    <w:rsid w:val="00C54DF3"/>
    <w:rsid w:val="00C610B6"/>
    <w:rsid w:val="00C6257F"/>
    <w:rsid w:val="00C63117"/>
    <w:rsid w:val="00C640C7"/>
    <w:rsid w:val="00C65784"/>
    <w:rsid w:val="00C67BDD"/>
    <w:rsid w:val="00C70F24"/>
    <w:rsid w:val="00C717F6"/>
    <w:rsid w:val="00C72FD7"/>
    <w:rsid w:val="00C8155C"/>
    <w:rsid w:val="00C907F0"/>
    <w:rsid w:val="00C93A91"/>
    <w:rsid w:val="00C95601"/>
    <w:rsid w:val="00CA1947"/>
    <w:rsid w:val="00CA1C91"/>
    <w:rsid w:val="00CA323D"/>
    <w:rsid w:val="00CA54A0"/>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F41D0"/>
    <w:rsid w:val="00D00CF9"/>
    <w:rsid w:val="00D012FF"/>
    <w:rsid w:val="00D04CD8"/>
    <w:rsid w:val="00D04DEC"/>
    <w:rsid w:val="00D114ED"/>
    <w:rsid w:val="00D1261E"/>
    <w:rsid w:val="00D13F32"/>
    <w:rsid w:val="00D14B5E"/>
    <w:rsid w:val="00D1685E"/>
    <w:rsid w:val="00D171BA"/>
    <w:rsid w:val="00D25B74"/>
    <w:rsid w:val="00D25CA1"/>
    <w:rsid w:val="00D31474"/>
    <w:rsid w:val="00D32933"/>
    <w:rsid w:val="00D3579F"/>
    <w:rsid w:val="00D359EC"/>
    <w:rsid w:val="00D36B62"/>
    <w:rsid w:val="00D37BF5"/>
    <w:rsid w:val="00D421A7"/>
    <w:rsid w:val="00D42987"/>
    <w:rsid w:val="00D42C18"/>
    <w:rsid w:val="00D43F5E"/>
    <w:rsid w:val="00D44623"/>
    <w:rsid w:val="00D47CF6"/>
    <w:rsid w:val="00D50820"/>
    <w:rsid w:val="00D511C3"/>
    <w:rsid w:val="00D5481D"/>
    <w:rsid w:val="00D55B2D"/>
    <w:rsid w:val="00D60045"/>
    <w:rsid w:val="00D628AE"/>
    <w:rsid w:val="00D647C9"/>
    <w:rsid w:val="00D6632B"/>
    <w:rsid w:val="00D67995"/>
    <w:rsid w:val="00D7163F"/>
    <w:rsid w:val="00D7298C"/>
    <w:rsid w:val="00D73998"/>
    <w:rsid w:val="00D76FD9"/>
    <w:rsid w:val="00D800BD"/>
    <w:rsid w:val="00D816C8"/>
    <w:rsid w:val="00D81BC5"/>
    <w:rsid w:val="00D827CE"/>
    <w:rsid w:val="00D84DEB"/>
    <w:rsid w:val="00D877A6"/>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C1386"/>
    <w:rsid w:val="00DC7A46"/>
    <w:rsid w:val="00DD0F54"/>
    <w:rsid w:val="00DD4F7A"/>
    <w:rsid w:val="00DD5050"/>
    <w:rsid w:val="00DD5306"/>
    <w:rsid w:val="00DD5903"/>
    <w:rsid w:val="00DD5E1E"/>
    <w:rsid w:val="00DE229B"/>
    <w:rsid w:val="00DE3A2B"/>
    <w:rsid w:val="00DE4A81"/>
    <w:rsid w:val="00DE7AB8"/>
    <w:rsid w:val="00DF3188"/>
    <w:rsid w:val="00DF5529"/>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7515"/>
    <w:rsid w:val="00E20591"/>
    <w:rsid w:val="00E22766"/>
    <w:rsid w:val="00E2572E"/>
    <w:rsid w:val="00E2692D"/>
    <w:rsid w:val="00E271C2"/>
    <w:rsid w:val="00E27AC2"/>
    <w:rsid w:val="00E30031"/>
    <w:rsid w:val="00E329A6"/>
    <w:rsid w:val="00E34CB5"/>
    <w:rsid w:val="00E36419"/>
    <w:rsid w:val="00E37789"/>
    <w:rsid w:val="00E42265"/>
    <w:rsid w:val="00E45DAA"/>
    <w:rsid w:val="00E46560"/>
    <w:rsid w:val="00E47307"/>
    <w:rsid w:val="00E47601"/>
    <w:rsid w:val="00E50DB1"/>
    <w:rsid w:val="00E51053"/>
    <w:rsid w:val="00E51A6B"/>
    <w:rsid w:val="00E51A9F"/>
    <w:rsid w:val="00E52CA8"/>
    <w:rsid w:val="00E550CE"/>
    <w:rsid w:val="00E60B86"/>
    <w:rsid w:val="00E62E45"/>
    <w:rsid w:val="00E62F7D"/>
    <w:rsid w:val="00E700B8"/>
    <w:rsid w:val="00E702B9"/>
    <w:rsid w:val="00E70588"/>
    <w:rsid w:val="00E75FA1"/>
    <w:rsid w:val="00E76419"/>
    <w:rsid w:val="00E77787"/>
    <w:rsid w:val="00E77CD7"/>
    <w:rsid w:val="00E82017"/>
    <w:rsid w:val="00E82792"/>
    <w:rsid w:val="00E844D7"/>
    <w:rsid w:val="00E92E9D"/>
    <w:rsid w:val="00E93B3C"/>
    <w:rsid w:val="00E96A7F"/>
    <w:rsid w:val="00EA031A"/>
    <w:rsid w:val="00EA0CE9"/>
    <w:rsid w:val="00EA1A40"/>
    <w:rsid w:val="00EA330D"/>
    <w:rsid w:val="00EA5190"/>
    <w:rsid w:val="00EA5F4C"/>
    <w:rsid w:val="00EA6109"/>
    <w:rsid w:val="00EB2688"/>
    <w:rsid w:val="00EB6181"/>
    <w:rsid w:val="00EB664F"/>
    <w:rsid w:val="00EB7E37"/>
    <w:rsid w:val="00EC0291"/>
    <w:rsid w:val="00EC12E8"/>
    <w:rsid w:val="00EC1357"/>
    <w:rsid w:val="00EC5ACF"/>
    <w:rsid w:val="00ED22A8"/>
    <w:rsid w:val="00ED2479"/>
    <w:rsid w:val="00ED4EB4"/>
    <w:rsid w:val="00ED5D09"/>
    <w:rsid w:val="00ED7107"/>
    <w:rsid w:val="00EE2221"/>
    <w:rsid w:val="00EE276F"/>
    <w:rsid w:val="00EE2982"/>
    <w:rsid w:val="00EE634F"/>
    <w:rsid w:val="00EE76F7"/>
    <w:rsid w:val="00EF369D"/>
    <w:rsid w:val="00EF38A7"/>
    <w:rsid w:val="00EF6A39"/>
    <w:rsid w:val="00F00B38"/>
    <w:rsid w:val="00F0376E"/>
    <w:rsid w:val="00F044B3"/>
    <w:rsid w:val="00F05E83"/>
    <w:rsid w:val="00F07DC4"/>
    <w:rsid w:val="00F07E05"/>
    <w:rsid w:val="00F10842"/>
    <w:rsid w:val="00F13C42"/>
    <w:rsid w:val="00F161F7"/>
    <w:rsid w:val="00F206E8"/>
    <w:rsid w:val="00F21755"/>
    <w:rsid w:val="00F21F2E"/>
    <w:rsid w:val="00F23947"/>
    <w:rsid w:val="00F23B61"/>
    <w:rsid w:val="00F276F1"/>
    <w:rsid w:val="00F32680"/>
    <w:rsid w:val="00F33A66"/>
    <w:rsid w:val="00F34368"/>
    <w:rsid w:val="00F34E5A"/>
    <w:rsid w:val="00F35452"/>
    <w:rsid w:val="00F42DEB"/>
    <w:rsid w:val="00F45532"/>
    <w:rsid w:val="00F45ED2"/>
    <w:rsid w:val="00F53C4F"/>
    <w:rsid w:val="00F55E5A"/>
    <w:rsid w:val="00F56A51"/>
    <w:rsid w:val="00F61899"/>
    <w:rsid w:val="00F66CD4"/>
    <w:rsid w:val="00F66E01"/>
    <w:rsid w:val="00F7129A"/>
    <w:rsid w:val="00F7180D"/>
    <w:rsid w:val="00F727A7"/>
    <w:rsid w:val="00F729D7"/>
    <w:rsid w:val="00F774CD"/>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C05EE"/>
    <w:rsid w:val="00FC2EC6"/>
    <w:rsid w:val="00FC339A"/>
    <w:rsid w:val="00FC36E0"/>
    <w:rsid w:val="00FC546F"/>
    <w:rsid w:val="00FC6F5E"/>
    <w:rsid w:val="00FC711A"/>
    <w:rsid w:val="00FC7D31"/>
    <w:rsid w:val="00FD13AC"/>
    <w:rsid w:val="00FD2D28"/>
    <w:rsid w:val="00FD6BFE"/>
    <w:rsid w:val="00FE3FF3"/>
    <w:rsid w:val="00FE6D8B"/>
    <w:rsid w:val="00FF459F"/>
    <w:rsid w:val="00FF4D4F"/>
    <w:rsid w:val="15245DF6"/>
    <w:rsid w:val="1A113708"/>
    <w:rsid w:val="1D377C57"/>
    <w:rsid w:val="3A340A36"/>
    <w:rsid w:val="3DC57279"/>
    <w:rsid w:val="463D1C13"/>
    <w:rsid w:val="4D8212ED"/>
    <w:rsid w:val="55AA464C"/>
    <w:rsid w:val="575C580B"/>
    <w:rsid w:val="696F470B"/>
    <w:rsid w:val="75CB3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9"/>
    <w:qFormat/>
    <w:uiPriority w:val="9"/>
    <w:pPr>
      <w:keepNext/>
      <w:keepLines/>
      <w:spacing w:before="100" w:beforeLines="100" w:after="100" w:afterLines="100" w:line="360" w:lineRule="auto"/>
      <w:jc w:val="center"/>
      <w:outlineLvl w:val="0"/>
    </w:pPr>
    <w:rPr>
      <w:b/>
      <w:bCs/>
      <w:kern w:val="44"/>
      <w:sz w:val="28"/>
      <w:szCs w:val="44"/>
    </w:rPr>
  </w:style>
  <w:style w:type="paragraph" w:styleId="3">
    <w:name w:val="heading 2"/>
    <w:basedOn w:val="1"/>
    <w:next w:val="1"/>
    <w:link w:val="37"/>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4"/>
    <w:basedOn w:val="1"/>
    <w:next w:val="1"/>
    <w:link w:val="38"/>
    <w:unhideWhenUsed/>
    <w:qFormat/>
    <w:uiPriority w:val="9"/>
    <w:pPr>
      <w:keepNext/>
      <w:keepLines/>
      <w:spacing w:before="280" w:after="290" w:line="376" w:lineRule="auto"/>
      <w:outlineLvl w:val="3"/>
    </w:pPr>
    <w:rPr>
      <w:rFonts w:ascii="Cambria" w:hAnsi="Cambria"/>
      <w:b/>
      <w:bCs/>
      <w:sz w:val="28"/>
      <w:szCs w:val="28"/>
    </w:rPr>
  </w:style>
  <w:style w:type="character" w:default="1" w:styleId="17">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5"/>
    <w:unhideWhenUsed/>
    <w:qFormat/>
    <w:uiPriority w:val="99"/>
    <w:rPr>
      <w:rFonts w:ascii="宋体"/>
      <w:sz w:val="18"/>
      <w:szCs w:val="18"/>
    </w:rPr>
  </w:style>
  <w:style w:type="paragraph" w:styleId="6">
    <w:name w:val="annotation text"/>
    <w:basedOn w:val="1"/>
    <w:link w:val="31"/>
    <w:unhideWhenUsed/>
    <w:qFormat/>
    <w:uiPriority w:val="0"/>
    <w:pPr>
      <w:jc w:val="left"/>
    </w:pPr>
  </w:style>
  <w:style w:type="paragraph" w:styleId="7">
    <w:name w:val="Balloon Text"/>
    <w:basedOn w:val="1"/>
    <w:semiHidden/>
    <w:qFormat/>
    <w:uiPriority w:val="0"/>
    <w:rPr>
      <w:sz w:val="18"/>
      <w:szCs w:val="18"/>
    </w:rPr>
  </w:style>
  <w:style w:type="paragraph" w:styleId="8">
    <w:name w:val="footer"/>
    <w:basedOn w:val="1"/>
    <w:link w:val="36"/>
    <w:unhideWhenUsed/>
    <w:qFormat/>
    <w:uiPriority w:val="99"/>
    <w:pPr>
      <w:tabs>
        <w:tab w:val="center" w:pos="4153"/>
        <w:tab w:val="right" w:pos="8306"/>
      </w:tabs>
      <w:snapToGrid w:val="0"/>
      <w:jc w:val="left"/>
    </w:pPr>
    <w:rPr>
      <w:kern w:val="0"/>
      <w:sz w:val="18"/>
      <w:szCs w:val="18"/>
    </w:rPr>
  </w:style>
  <w:style w:type="paragraph" w:styleId="9">
    <w:name w:val="header"/>
    <w:basedOn w:val="1"/>
    <w:link w:val="3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unhideWhenUsed/>
    <w:qFormat/>
    <w:uiPriority w:val="39"/>
  </w:style>
  <w:style w:type="paragraph" w:styleId="11">
    <w:name w:val="Subtitle"/>
    <w:basedOn w:val="1"/>
    <w:next w:val="1"/>
    <w:link w:val="34"/>
    <w:qFormat/>
    <w:uiPriority w:val="0"/>
    <w:pPr>
      <w:spacing w:before="240" w:after="60" w:line="312" w:lineRule="auto"/>
      <w:jc w:val="center"/>
      <w:outlineLvl w:val="1"/>
    </w:pPr>
    <w:rPr>
      <w:rFonts w:ascii="Cambria" w:hAnsi="Cambria"/>
      <w:b/>
      <w:bCs/>
      <w:kern w:val="28"/>
      <w:sz w:val="32"/>
      <w:szCs w:val="32"/>
    </w:rPr>
  </w:style>
  <w:style w:type="paragraph" w:styleId="12">
    <w:name w:val="toc 2"/>
    <w:basedOn w:val="1"/>
    <w:next w:val="1"/>
    <w:unhideWhenUsed/>
    <w:qFormat/>
    <w:uiPriority w:val="39"/>
    <w:pPr>
      <w:ind w:left="480" w:leftChars="200"/>
    </w:pPr>
  </w:style>
  <w:style w:type="paragraph" w:styleId="13">
    <w:name w:val="annotation subject"/>
    <w:basedOn w:val="6"/>
    <w:next w:val="6"/>
    <w:link w:val="32"/>
    <w:unhideWhenUsed/>
    <w:qFormat/>
    <w:uiPriority w:val="99"/>
    <w:rPr>
      <w:b/>
      <w:bCs/>
    </w:rPr>
  </w:style>
  <w:style w:type="table" w:styleId="15">
    <w:name w:val="Table Grid"/>
    <w:basedOn w:val="1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6">
    <w:name w:val="Light Shading Accent 5"/>
    <w:basedOn w:val="14"/>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l2br w:val="nil"/>
          <w:tr2bl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character" w:styleId="18">
    <w:name w:val="Hyperlink"/>
    <w:unhideWhenUsed/>
    <w:qFormat/>
    <w:uiPriority w:val="99"/>
    <w:rPr>
      <w:color w:val="0000FF"/>
      <w:u w:val="single"/>
    </w:rPr>
  </w:style>
  <w:style w:type="character" w:styleId="19">
    <w:name w:val="annotation reference"/>
    <w:unhideWhenUsed/>
    <w:qFormat/>
    <w:uiPriority w:val="0"/>
    <w:rPr>
      <w:sz w:val="21"/>
      <w:szCs w:val="21"/>
    </w:rPr>
  </w:style>
  <w:style w:type="paragraph" w:customStyle="1" w:styleId="20">
    <w:name w:val="_Style 19"/>
    <w:basedOn w:val="2"/>
    <w:next w:val="1"/>
    <w:qFormat/>
    <w:uiPriority w:val="39"/>
    <w:pPr>
      <w:widowControl/>
      <w:spacing w:before="480" w:beforeLines="0" w:line="276" w:lineRule="auto"/>
      <w:jc w:val="left"/>
      <w:outlineLvl w:val="9"/>
    </w:pPr>
    <w:rPr>
      <w:rFonts w:ascii="Cambria" w:hAnsi="Cambria"/>
      <w:color w:val="365F91"/>
      <w:kern w:val="0"/>
      <w:szCs w:val="28"/>
    </w:rPr>
  </w:style>
  <w:style w:type="paragraph" w:customStyle="1" w:styleId="21">
    <w:name w:val="XBRLTitle6"/>
    <w:basedOn w:val="11"/>
    <w:next w:val="4"/>
    <w:qFormat/>
    <w:uiPriority w:val="0"/>
    <w:pPr>
      <w:keepNext/>
      <w:keepLines/>
      <w:numPr>
        <w:ilvl w:val="5"/>
        <w:numId w:val="1"/>
      </w:numPr>
      <w:ind w:left="0" w:firstLine="0"/>
      <w:jc w:val="left"/>
    </w:pPr>
    <w:rPr>
      <w:bCs w:val="0"/>
      <w:sz w:val="24"/>
    </w:rPr>
  </w:style>
  <w:style w:type="paragraph" w:customStyle="1" w:styleId="22">
    <w:name w:val="_Style 21"/>
    <w:semiHidden/>
    <w:qFormat/>
    <w:uiPriority w:val="99"/>
    <w:rPr>
      <w:rFonts w:ascii="Calibri" w:hAnsi="Calibri" w:eastAsia="宋体" w:cs="Times New Roman"/>
      <w:kern w:val="2"/>
      <w:sz w:val="21"/>
      <w:szCs w:val="22"/>
      <w:lang w:val="en-US" w:eastAsia="zh-CN" w:bidi="ar-SA"/>
    </w:rPr>
  </w:style>
  <w:style w:type="paragraph" w:customStyle="1" w:styleId="2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4">
    <w:name w:val="XBRLTitle1"/>
    <w:basedOn w:val="2"/>
    <w:next w:val="3"/>
    <w:qFormat/>
    <w:uiPriority w:val="0"/>
    <w:pPr>
      <w:numPr>
        <w:ilvl w:val="0"/>
        <w:numId w:val="1"/>
      </w:numPr>
      <w:spacing w:before="340" w:beforeLines="50" w:after="330" w:afterLines="50" w:line="240" w:lineRule="auto"/>
    </w:pPr>
    <w:rPr>
      <w:rFonts w:ascii="Cambria" w:hAnsi="Cambria"/>
    </w:rPr>
  </w:style>
  <w:style w:type="paragraph" w:customStyle="1" w:styleId="25">
    <w:name w:val="XBRLTitle2"/>
    <w:basedOn w:val="11"/>
    <w:next w:val="4"/>
    <w:qFormat/>
    <w:uiPriority w:val="0"/>
    <w:pPr>
      <w:keepNext/>
      <w:keepLines/>
      <w:numPr>
        <w:ilvl w:val="1"/>
        <w:numId w:val="1"/>
      </w:numPr>
      <w:jc w:val="left"/>
    </w:pPr>
    <w:rPr>
      <w:bCs w:val="0"/>
      <w:sz w:val="24"/>
    </w:rPr>
  </w:style>
  <w:style w:type="paragraph" w:customStyle="1" w:styleId="26">
    <w:name w:val="XBRLTitle3"/>
    <w:basedOn w:val="11"/>
    <w:next w:val="4"/>
    <w:qFormat/>
    <w:uiPriority w:val="0"/>
    <w:pPr>
      <w:keepNext/>
      <w:keepLines/>
      <w:numPr>
        <w:ilvl w:val="2"/>
        <w:numId w:val="1"/>
      </w:numPr>
      <w:ind w:left="0" w:firstLine="0"/>
      <w:jc w:val="left"/>
    </w:pPr>
    <w:rPr>
      <w:bCs w:val="0"/>
      <w:sz w:val="24"/>
    </w:rPr>
  </w:style>
  <w:style w:type="paragraph" w:customStyle="1" w:styleId="27">
    <w:name w:val="XBRLTitle5"/>
    <w:basedOn w:val="11"/>
    <w:next w:val="4"/>
    <w:qFormat/>
    <w:uiPriority w:val="0"/>
    <w:pPr>
      <w:keepNext/>
      <w:keepLines/>
      <w:numPr>
        <w:ilvl w:val="4"/>
        <w:numId w:val="1"/>
      </w:numPr>
      <w:ind w:left="0" w:firstLine="0"/>
      <w:jc w:val="left"/>
    </w:pPr>
    <w:rPr>
      <w:bCs w:val="0"/>
      <w:sz w:val="24"/>
    </w:rPr>
  </w:style>
  <w:style w:type="paragraph" w:customStyle="1" w:styleId="28">
    <w:name w:val="XBRLTitle4"/>
    <w:basedOn w:val="11"/>
    <w:next w:val="4"/>
    <w:qFormat/>
    <w:uiPriority w:val="0"/>
    <w:pPr>
      <w:keepNext/>
      <w:keepLines/>
      <w:numPr>
        <w:ilvl w:val="3"/>
        <w:numId w:val="1"/>
      </w:numPr>
      <w:ind w:left="0" w:firstLine="0"/>
      <w:jc w:val="left"/>
    </w:pPr>
    <w:rPr>
      <w:bCs w:val="0"/>
      <w:sz w:val="24"/>
    </w:rPr>
  </w:style>
  <w:style w:type="character" w:customStyle="1" w:styleId="29">
    <w:name w:val="副标题 Char1"/>
    <w:qFormat/>
    <w:uiPriority w:val="0"/>
    <w:rPr>
      <w:rFonts w:ascii="Cambria" w:hAnsi="Cambria"/>
      <w:b/>
      <w:kern w:val="28"/>
      <w:sz w:val="24"/>
      <w:szCs w:val="32"/>
    </w:rPr>
  </w:style>
  <w:style w:type="character" w:customStyle="1" w:styleId="30">
    <w:name w:val="txtcontent11"/>
    <w:qFormat/>
    <w:uiPriority w:val="0"/>
    <w:rPr>
      <w:rFonts w:hint="default" w:ascii="ˎ̥" w:hAnsi="ˎ̥"/>
      <w:color w:val="000000"/>
      <w:sz w:val="21"/>
      <w:szCs w:val="21"/>
    </w:rPr>
  </w:style>
  <w:style w:type="character" w:customStyle="1" w:styleId="31">
    <w:name w:val="批注文字 Char"/>
    <w:link w:val="6"/>
    <w:qFormat/>
    <w:uiPriority w:val="0"/>
    <w:rPr>
      <w:kern w:val="2"/>
      <w:sz w:val="21"/>
      <w:szCs w:val="22"/>
    </w:rPr>
  </w:style>
  <w:style w:type="character" w:customStyle="1" w:styleId="32">
    <w:name w:val="批注主题 Char"/>
    <w:link w:val="13"/>
    <w:semiHidden/>
    <w:qFormat/>
    <w:uiPriority w:val="99"/>
    <w:rPr>
      <w:b/>
      <w:bCs/>
      <w:kern w:val="2"/>
      <w:sz w:val="21"/>
      <w:szCs w:val="22"/>
    </w:rPr>
  </w:style>
  <w:style w:type="character" w:customStyle="1" w:styleId="33">
    <w:name w:val="页眉 Char"/>
    <w:link w:val="9"/>
    <w:qFormat/>
    <w:uiPriority w:val="99"/>
    <w:rPr>
      <w:sz w:val="18"/>
      <w:szCs w:val="18"/>
    </w:rPr>
  </w:style>
  <w:style w:type="character" w:customStyle="1" w:styleId="34">
    <w:name w:val="副标题 Char"/>
    <w:link w:val="11"/>
    <w:qFormat/>
    <w:uiPriority w:val="0"/>
    <w:rPr>
      <w:rFonts w:ascii="Cambria" w:hAnsi="Cambria" w:cs="Times New Roman"/>
      <w:b/>
      <w:bCs/>
      <w:kern w:val="28"/>
      <w:sz w:val="32"/>
      <w:szCs w:val="32"/>
    </w:rPr>
  </w:style>
  <w:style w:type="character" w:customStyle="1" w:styleId="35">
    <w:name w:val="文档结构图 Char"/>
    <w:link w:val="5"/>
    <w:semiHidden/>
    <w:qFormat/>
    <w:uiPriority w:val="99"/>
    <w:rPr>
      <w:rFonts w:ascii="宋体"/>
      <w:kern w:val="2"/>
      <w:sz w:val="18"/>
      <w:szCs w:val="18"/>
    </w:rPr>
  </w:style>
  <w:style w:type="character" w:customStyle="1" w:styleId="36">
    <w:name w:val="页脚 Char"/>
    <w:link w:val="8"/>
    <w:qFormat/>
    <w:uiPriority w:val="99"/>
    <w:rPr>
      <w:sz w:val="18"/>
      <w:szCs w:val="18"/>
    </w:rPr>
  </w:style>
  <w:style w:type="character" w:customStyle="1" w:styleId="37">
    <w:name w:val="标题 2 Char"/>
    <w:link w:val="3"/>
    <w:semiHidden/>
    <w:qFormat/>
    <w:uiPriority w:val="9"/>
    <w:rPr>
      <w:rFonts w:ascii="Cambria" w:hAnsi="Cambria" w:eastAsia="宋体" w:cs="Times New Roman"/>
      <w:b/>
      <w:bCs/>
      <w:kern w:val="2"/>
      <w:sz w:val="32"/>
      <w:szCs w:val="32"/>
    </w:rPr>
  </w:style>
  <w:style w:type="character" w:customStyle="1" w:styleId="38">
    <w:name w:val="标题 4 Char"/>
    <w:link w:val="4"/>
    <w:semiHidden/>
    <w:qFormat/>
    <w:uiPriority w:val="9"/>
    <w:rPr>
      <w:rFonts w:ascii="Cambria" w:hAnsi="Cambria" w:eastAsia="宋体" w:cs="Times New Roman"/>
      <w:b/>
      <w:bCs/>
      <w:kern w:val="2"/>
      <w:sz w:val="28"/>
      <w:szCs w:val="28"/>
    </w:rPr>
  </w:style>
  <w:style w:type="character" w:customStyle="1" w:styleId="39">
    <w:name w:val="标题 1 Char"/>
    <w:link w:val="2"/>
    <w:qFormat/>
    <w:uiPriority w:val="9"/>
    <w:rPr>
      <w:b/>
      <w:bCs/>
      <w:kern w:val="44"/>
      <w:sz w:val="28"/>
      <w:szCs w:val="44"/>
    </w:rPr>
  </w:style>
  <w:style w:type="paragraph" w:customStyle="1" w:styleId="40">
    <w:name w:val="修订1"/>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7"/>
    <customShpInfo spid="_x0000_s3076"/>
    <customShpInfo spid="_x0000_s3073"/>
    <customShpInfo spid="_x0000_s3075"/>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146</Pages>
  <Words>15245</Words>
  <Characters>86899</Characters>
  <Lines>724</Lines>
  <Paragraphs>203</Paragraphs>
  <TotalTime>134</TotalTime>
  <ScaleCrop>false</ScaleCrop>
  <LinksUpToDate>false</LinksUpToDate>
  <CharactersWithSpaces>101941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2022-12-27T12:00:00Z</dcterms:created>
  <dc:creator>系统用户</dc:creator>
  <cp:lastModifiedBy>喻秋燕</cp:lastModifiedBy>
  <cp:lastPrinted>2013-02-18T03:10:00Z</cp:lastPrinted>
  <dcterms:modified xsi:type="dcterms:W3CDTF">2023-02-07T06:59:24Z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