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F3" w:rsidRDefault="00896A32">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交银施罗德基金管理有限公司关于交银施罗德稳安</w:t>
      </w:r>
      <w:r w:rsidR="00E64B5C">
        <w:rPr>
          <w:rFonts w:eastAsiaTheme="minorEastAsia" w:cs="宋体" w:hint="eastAsia"/>
          <w:b/>
          <w:kern w:val="0"/>
          <w:sz w:val="30"/>
          <w:szCs w:val="30"/>
        </w:rPr>
        <w:t>60</w:t>
      </w:r>
      <w:r w:rsidR="00E64B5C">
        <w:rPr>
          <w:rFonts w:eastAsiaTheme="minorEastAsia" w:cs="宋体" w:hint="eastAsia"/>
          <w:b/>
          <w:kern w:val="0"/>
          <w:sz w:val="30"/>
          <w:szCs w:val="30"/>
        </w:rPr>
        <w:t>天</w:t>
      </w:r>
      <w:r>
        <w:rPr>
          <w:rFonts w:eastAsiaTheme="minorEastAsia" w:cs="宋体" w:hint="eastAsia"/>
          <w:b/>
          <w:kern w:val="0"/>
          <w:sz w:val="30"/>
          <w:szCs w:val="30"/>
        </w:rPr>
        <w:t>滚动持有债券型证券投资基金基金合同生效公告</w:t>
      </w:r>
      <w:bookmarkStart w:id="0" w:name="_GoBack"/>
      <w:bookmarkEnd w:id="0"/>
    </w:p>
    <w:p w:rsidR="00DD5FF3" w:rsidRDefault="00896A32">
      <w:pPr>
        <w:jc w:val="center"/>
        <w:rPr>
          <w:rFonts w:eastAsiaTheme="minorEastAsia" w:cs="宋体"/>
          <w:kern w:val="0"/>
          <w:sz w:val="24"/>
          <w:szCs w:val="24"/>
        </w:rPr>
      </w:pPr>
      <w:r>
        <w:rPr>
          <w:rFonts w:eastAsiaTheme="minorEastAsia" w:hint="eastAsia"/>
          <w:color w:val="000000"/>
          <w:sz w:val="24"/>
          <w:szCs w:val="24"/>
        </w:rPr>
        <w:t>公告送出日期：</w:t>
      </w:r>
      <w:r w:rsidR="00E64B5C">
        <w:rPr>
          <w:rFonts w:eastAsiaTheme="minorEastAsia"/>
          <w:bCs/>
          <w:sz w:val="24"/>
          <w:szCs w:val="24"/>
        </w:rPr>
        <w:t>2023</w:t>
      </w:r>
      <w:r>
        <w:rPr>
          <w:rFonts w:eastAsiaTheme="minorEastAsia" w:hint="eastAsia"/>
          <w:bCs/>
          <w:sz w:val="24"/>
          <w:szCs w:val="24"/>
        </w:rPr>
        <w:t>年</w:t>
      </w:r>
      <w:r w:rsidR="00E64B5C">
        <w:rPr>
          <w:rFonts w:eastAsiaTheme="minorEastAsia"/>
          <w:bCs/>
          <w:sz w:val="24"/>
          <w:szCs w:val="24"/>
        </w:rPr>
        <w:t>1</w:t>
      </w:r>
      <w:r>
        <w:rPr>
          <w:rFonts w:eastAsiaTheme="minorEastAsia" w:hint="eastAsia"/>
          <w:bCs/>
          <w:sz w:val="24"/>
          <w:szCs w:val="24"/>
        </w:rPr>
        <w:t>月</w:t>
      </w:r>
      <w:r w:rsidR="00E64B5C">
        <w:rPr>
          <w:rFonts w:eastAsiaTheme="minorEastAsia"/>
          <w:bCs/>
          <w:sz w:val="24"/>
          <w:szCs w:val="24"/>
        </w:rPr>
        <w:t>10</w:t>
      </w:r>
      <w:r>
        <w:rPr>
          <w:rFonts w:eastAsiaTheme="minorEastAsia" w:hint="eastAsia"/>
          <w:bCs/>
          <w:sz w:val="24"/>
          <w:szCs w:val="24"/>
        </w:rPr>
        <w:t>日</w:t>
      </w:r>
    </w:p>
    <w:p w:rsidR="00DD5FF3" w:rsidRDefault="00DD5FF3">
      <w:pPr>
        <w:spacing w:line="560" w:lineRule="exact"/>
        <w:rPr>
          <w:rFonts w:eastAsiaTheme="minorEastAsia"/>
          <w:color w:val="00000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DD5FF3" w:rsidRDefault="00896A32">
            <w:pPr>
              <w:rPr>
                <w:rFonts w:eastAsiaTheme="minorEastAsia"/>
                <w:sz w:val="24"/>
                <w:szCs w:val="24"/>
              </w:rPr>
            </w:pPr>
            <w:r>
              <w:rPr>
                <w:rFonts w:eastAsiaTheme="minorEastAsia" w:hint="eastAsia"/>
                <w:sz w:val="24"/>
                <w:szCs w:val="24"/>
              </w:rPr>
              <w:t>交银施罗德稳安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滚动持有债券型证券投资基金</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DD5FF3" w:rsidRDefault="00E64B5C">
            <w:pPr>
              <w:rPr>
                <w:rFonts w:eastAsiaTheme="minorEastAsia"/>
                <w:sz w:val="24"/>
                <w:szCs w:val="24"/>
              </w:rPr>
            </w:pPr>
            <w:r w:rsidRPr="00E64B5C">
              <w:rPr>
                <w:rFonts w:eastAsiaTheme="minorEastAsia"/>
                <w:sz w:val="24"/>
                <w:szCs w:val="24"/>
              </w:rPr>
              <w:t>017432</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DD5FF3" w:rsidRDefault="00E64B5C" w:rsidP="00E64B5C">
            <w:pPr>
              <w:rPr>
                <w:rFonts w:eastAsiaTheme="minorEastAsia"/>
                <w:sz w:val="24"/>
                <w:szCs w:val="24"/>
              </w:rPr>
            </w:pPr>
            <w:r>
              <w:rPr>
                <w:rFonts w:eastAsiaTheme="minorEastAsia"/>
                <w:sz w:val="24"/>
                <w:szCs w:val="24"/>
              </w:rPr>
              <w:t>2023</w:t>
            </w:r>
            <w:r w:rsidR="00896A32">
              <w:rPr>
                <w:rFonts w:eastAsiaTheme="minorEastAsia" w:hint="eastAsia"/>
                <w:sz w:val="24"/>
                <w:szCs w:val="24"/>
              </w:rPr>
              <w:t>年</w:t>
            </w:r>
            <w:r>
              <w:rPr>
                <w:rFonts w:eastAsiaTheme="minorEastAsia"/>
                <w:sz w:val="24"/>
                <w:szCs w:val="24"/>
              </w:rPr>
              <w:t>1</w:t>
            </w:r>
            <w:r w:rsidR="00896A32">
              <w:rPr>
                <w:rFonts w:eastAsiaTheme="minorEastAsia" w:hint="eastAsia"/>
                <w:sz w:val="24"/>
                <w:szCs w:val="24"/>
              </w:rPr>
              <w:t>月</w:t>
            </w:r>
            <w:r>
              <w:rPr>
                <w:rFonts w:eastAsiaTheme="minorEastAsia"/>
                <w:sz w:val="24"/>
                <w:szCs w:val="24"/>
              </w:rPr>
              <w:t>9</w:t>
            </w:r>
            <w:r w:rsidR="00896A32">
              <w:rPr>
                <w:rFonts w:eastAsiaTheme="minorEastAsia" w:hint="eastAsia"/>
                <w:sz w:val="24"/>
                <w:szCs w:val="24"/>
              </w:rPr>
              <w:t>日</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交银施罗德基金管理有限公司</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DD5FF3" w:rsidRDefault="00896A32">
            <w:pPr>
              <w:rPr>
                <w:rFonts w:eastAsiaTheme="minorEastAsia"/>
                <w:sz w:val="24"/>
                <w:szCs w:val="24"/>
              </w:rPr>
            </w:pPr>
            <w:r>
              <w:rPr>
                <w:rFonts w:eastAsiaTheme="minorEastAsia" w:hint="eastAsia"/>
                <w:sz w:val="24"/>
                <w:szCs w:val="24"/>
              </w:rPr>
              <w:t>招商银行股份有限公司</w:t>
            </w:r>
          </w:p>
        </w:tc>
      </w:tr>
      <w:tr w:rsidR="00DD5FF3" w:rsidTr="0008372F">
        <w:trPr>
          <w:trHeight w:val="1028"/>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w:t>
            </w:r>
            <w:r>
              <w:rPr>
                <w:rFonts w:eastAsiaTheme="minorEastAsia" w:hint="eastAsia"/>
                <w:sz w:val="24"/>
                <w:szCs w:val="24"/>
              </w:rPr>
              <w:t>交银施罗德稳安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滚动持有债券型证券投资基金</w:t>
            </w:r>
            <w:r>
              <w:rPr>
                <w:rFonts w:eastAsiaTheme="minorEastAsia"/>
                <w:sz w:val="24"/>
                <w:szCs w:val="24"/>
              </w:rPr>
              <w:t>基金合同》、《</w:t>
            </w:r>
            <w:r>
              <w:rPr>
                <w:rFonts w:eastAsiaTheme="minorEastAsia" w:hint="eastAsia"/>
                <w:sz w:val="24"/>
                <w:szCs w:val="24"/>
              </w:rPr>
              <w:t>交银施罗德稳安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滚动持有债券型证券投资基金</w:t>
            </w:r>
            <w:r>
              <w:rPr>
                <w:rFonts w:eastAsiaTheme="minorEastAsia"/>
                <w:sz w:val="24"/>
                <w:szCs w:val="24"/>
              </w:rPr>
              <w:t>招募说明书》等</w:t>
            </w:r>
          </w:p>
        </w:tc>
      </w:tr>
      <w:tr w:rsidR="00DD5FF3">
        <w:trPr>
          <w:trHeight w:val="386"/>
          <w:jc w:val="center"/>
        </w:trPr>
        <w:tc>
          <w:tcPr>
            <w:tcW w:w="1664" w:type="pct"/>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r>
              <w:rPr>
                <w:rFonts w:eastAsiaTheme="minorEastAsia"/>
                <w:sz w:val="24"/>
                <w:szCs w:val="24"/>
              </w:rPr>
              <w:t>A</w:t>
            </w:r>
          </w:p>
        </w:tc>
        <w:tc>
          <w:tcPr>
            <w:tcW w:w="1668" w:type="pct"/>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r>
              <w:rPr>
                <w:rFonts w:eastAsiaTheme="minorEastAsia"/>
                <w:sz w:val="24"/>
                <w:szCs w:val="24"/>
              </w:rPr>
              <w:t>C</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DD5FF3" w:rsidRDefault="00E64B5C">
            <w:pPr>
              <w:rPr>
                <w:rFonts w:eastAsiaTheme="minorEastAsia"/>
                <w:sz w:val="24"/>
                <w:szCs w:val="24"/>
              </w:rPr>
            </w:pPr>
            <w:r w:rsidRPr="00E64B5C">
              <w:rPr>
                <w:rFonts w:eastAsiaTheme="minorEastAsia"/>
                <w:sz w:val="24"/>
                <w:szCs w:val="24"/>
              </w:rPr>
              <w:t>017432</w:t>
            </w:r>
          </w:p>
        </w:tc>
        <w:tc>
          <w:tcPr>
            <w:tcW w:w="1668" w:type="pct"/>
            <w:vAlign w:val="center"/>
          </w:tcPr>
          <w:p w:rsidR="00DD5FF3" w:rsidRDefault="00E64B5C">
            <w:pPr>
              <w:rPr>
                <w:rFonts w:eastAsiaTheme="minorEastAsia"/>
                <w:sz w:val="24"/>
                <w:szCs w:val="24"/>
              </w:rPr>
            </w:pPr>
            <w:r w:rsidRPr="00E64B5C">
              <w:rPr>
                <w:rFonts w:eastAsiaTheme="minorEastAsia"/>
                <w:sz w:val="24"/>
                <w:szCs w:val="24"/>
              </w:rPr>
              <w:t>017433</w:t>
            </w:r>
          </w:p>
        </w:tc>
      </w:tr>
    </w:tbl>
    <w:p w:rsidR="00DD5FF3" w:rsidRDefault="00896A32">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DD5FF3">
        <w:trPr>
          <w:trHeight w:hRule="exact" w:val="680"/>
        </w:trPr>
        <w:tc>
          <w:tcPr>
            <w:tcW w:w="3397" w:type="dxa"/>
            <w:gridSpan w:val="2"/>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rsidR="00DD5FF3" w:rsidRDefault="00896A32">
            <w:pPr>
              <w:rPr>
                <w:rFonts w:eastAsiaTheme="minorEastAsia"/>
                <w:sz w:val="24"/>
                <w:szCs w:val="24"/>
              </w:rPr>
            </w:pPr>
            <w:r>
              <w:rPr>
                <w:rFonts w:eastAsiaTheme="minorEastAsia" w:hint="eastAsia"/>
                <w:sz w:val="24"/>
                <w:szCs w:val="24"/>
              </w:rPr>
              <w:t>证监许可</w:t>
            </w:r>
            <w:r w:rsidR="00E64B5C" w:rsidRPr="00E64B5C">
              <w:rPr>
                <w:rFonts w:eastAsiaTheme="minorEastAsia" w:hint="eastAsia"/>
                <w:sz w:val="24"/>
                <w:szCs w:val="24"/>
              </w:rPr>
              <w:t>【</w:t>
            </w:r>
            <w:r w:rsidR="00E64B5C" w:rsidRPr="00E64B5C">
              <w:rPr>
                <w:rFonts w:eastAsiaTheme="minorEastAsia" w:hint="eastAsia"/>
                <w:sz w:val="24"/>
                <w:szCs w:val="24"/>
              </w:rPr>
              <w:t>2022</w:t>
            </w:r>
            <w:r w:rsidR="00E64B5C" w:rsidRPr="00E64B5C">
              <w:rPr>
                <w:rFonts w:eastAsiaTheme="minorEastAsia" w:hint="eastAsia"/>
                <w:sz w:val="24"/>
                <w:szCs w:val="24"/>
              </w:rPr>
              <w:t>】</w:t>
            </w:r>
            <w:r w:rsidR="00E64B5C" w:rsidRPr="00E64B5C">
              <w:rPr>
                <w:rFonts w:eastAsiaTheme="minorEastAsia" w:hint="eastAsia"/>
                <w:sz w:val="24"/>
                <w:szCs w:val="24"/>
              </w:rPr>
              <w:t>2832</w:t>
            </w:r>
            <w:r w:rsidR="00E64B5C" w:rsidRPr="00E64B5C">
              <w:rPr>
                <w:rFonts w:eastAsiaTheme="minorEastAsia" w:hint="eastAsia"/>
                <w:sz w:val="24"/>
                <w:szCs w:val="24"/>
              </w:rPr>
              <w:t>号</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rsidR="00DD5FF3" w:rsidRDefault="00896A32">
            <w:pPr>
              <w:rPr>
                <w:rFonts w:eastAsiaTheme="minorEastAsia"/>
                <w:sz w:val="24"/>
                <w:szCs w:val="24"/>
              </w:rPr>
            </w:pPr>
            <w:r>
              <w:rPr>
                <w:rFonts w:eastAsiaTheme="minorEastAsia" w:hint="eastAsia"/>
                <w:sz w:val="24"/>
                <w:szCs w:val="24"/>
              </w:rPr>
              <w:t>自</w:t>
            </w:r>
            <w:r w:rsidR="00E64B5C">
              <w:rPr>
                <w:rFonts w:eastAsiaTheme="minorEastAsia"/>
                <w:sz w:val="24"/>
                <w:szCs w:val="24"/>
              </w:rPr>
              <w:t>2022</w:t>
            </w:r>
            <w:r w:rsidR="00E64B5C">
              <w:rPr>
                <w:rFonts w:eastAsiaTheme="minorEastAsia" w:hint="eastAsia"/>
                <w:sz w:val="24"/>
                <w:szCs w:val="24"/>
              </w:rPr>
              <w:t>年</w:t>
            </w:r>
            <w:r w:rsidR="00E64B5C">
              <w:rPr>
                <w:rFonts w:eastAsiaTheme="minorEastAsia"/>
                <w:sz w:val="24"/>
                <w:szCs w:val="24"/>
              </w:rPr>
              <w:t>12</w:t>
            </w:r>
            <w:r>
              <w:rPr>
                <w:rFonts w:eastAsiaTheme="minorEastAsia" w:hint="eastAsia"/>
                <w:sz w:val="24"/>
                <w:szCs w:val="24"/>
              </w:rPr>
              <w:t>月</w:t>
            </w:r>
            <w:r w:rsidR="00E64B5C">
              <w:rPr>
                <w:rFonts w:eastAsiaTheme="minorEastAsia"/>
                <w:sz w:val="24"/>
                <w:szCs w:val="24"/>
              </w:rPr>
              <w:t>5</w:t>
            </w:r>
            <w:r>
              <w:rPr>
                <w:rFonts w:eastAsiaTheme="minorEastAsia" w:hint="eastAsia"/>
                <w:sz w:val="24"/>
                <w:szCs w:val="24"/>
              </w:rPr>
              <w:t>日</w:t>
            </w:r>
          </w:p>
          <w:p w:rsidR="00DD5FF3" w:rsidRDefault="00896A32" w:rsidP="00E64B5C">
            <w:pPr>
              <w:rPr>
                <w:rFonts w:eastAsiaTheme="minorEastAsia"/>
                <w:sz w:val="24"/>
                <w:szCs w:val="24"/>
              </w:rPr>
            </w:pPr>
            <w:r>
              <w:rPr>
                <w:rFonts w:eastAsiaTheme="minorEastAsia" w:hint="eastAsia"/>
                <w:sz w:val="24"/>
                <w:szCs w:val="24"/>
              </w:rPr>
              <w:t>至</w:t>
            </w:r>
            <w:r w:rsidR="00E64B5C">
              <w:rPr>
                <w:rFonts w:eastAsiaTheme="minorEastAsia"/>
                <w:sz w:val="24"/>
                <w:szCs w:val="24"/>
              </w:rPr>
              <w:t>2023</w:t>
            </w:r>
            <w:r>
              <w:rPr>
                <w:rFonts w:eastAsiaTheme="minorEastAsia" w:hint="eastAsia"/>
                <w:sz w:val="24"/>
                <w:szCs w:val="24"/>
              </w:rPr>
              <w:t>年</w:t>
            </w:r>
            <w:r w:rsidR="00E64B5C">
              <w:rPr>
                <w:rFonts w:eastAsiaTheme="minorEastAsia"/>
                <w:sz w:val="24"/>
                <w:szCs w:val="24"/>
              </w:rPr>
              <w:t>1</w:t>
            </w:r>
            <w:r>
              <w:rPr>
                <w:rFonts w:eastAsiaTheme="minorEastAsia" w:hint="eastAsia"/>
                <w:sz w:val="24"/>
                <w:szCs w:val="24"/>
              </w:rPr>
              <w:t>月</w:t>
            </w:r>
            <w:r w:rsidR="00E64B5C">
              <w:rPr>
                <w:rFonts w:eastAsiaTheme="minorEastAsia"/>
                <w:sz w:val="24"/>
                <w:szCs w:val="24"/>
              </w:rPr>
              <w:t>5</w:t>
            </w:r>
            <w:r>
              <w:rPr>
                <w:rFonts w:eastAsiaTheme="minorEastAsia"/>
                <w:sz w:val="24"/>
                <w:szCs w:val="24"/>
              </w:rPr>
              <w:t>日止</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rsidR="00DD5FF3" w:rsidRDefault="00896A32">
            <w:pPr>
              <w:rPr>
                <w:rFonts w:eastAsiaTheme="minorEastAsia"/>
                <w:sz w:val="24"/>
                <w:szCs w:val="24"/>
              </w:rPr>
            </w:pPr>
            <w:r>
              <w:rPr>
                <w:rFonts w:eastAsiaTheme="minorEastAsia" w:hint="eastAsia"/>
                <w:sz w:val="24"/>
                <w:szCs w:val="24"/>
              </w:rPr>
              <w:t>普华永道中天会计师事务所（特殊普通合伙）</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529" w:type="dxa"/>
            <w:gridSpan w:val="3"/>
            <w:vAlign w:val="center"/>
          </w:tcPr>
          <w:p w:rsidR="00DD5FF3" w:rsidRDefault="00E64B5C" w:rsidP="002030C0">
            <w:pPr>
              <w:jc w:val="right"/>
              <w:rPr>
                <w:rFonts w:eastAsiaTheme="minorEastAsia"/>
                <w:sz w:val="24"/>
                <w:szCs w:val="24"/>
              </w:rPr>
            </w:pPr>
            <w:r>
              <w:rPr>
                <w:rFonts w:eastAsiaTheme="minorEastAsia"/>
                <w:sz w:val="24"/>
                <w:szCs w:val="24"/>
              </w:rPr>
              <w:t>2023</w:t>
            </w:r>
            <w:r w:rsidR="00896A32">
              <w:rPr>
                <w:rFonts w:eastAsiaTheme="minorEastAsia" w:hint="eastAsia"/>
                <w:sz w:val="24"/>
                <w:szCs w:val="24"/>
              </w:rPr>
              <w:t>年</w:t>
            </w:r>
            <w:r>
              <w:rPr>
                <w:rFonts w:eastAsiaTheme="minorEastAsia"/>
                <w:sz w:val="24"/>
                <w:szCs w:val="24"/>
              </w:rPr>
              <w:t>1</w:t>
            </w:r>
            <w:r w:rsidR="00896A32">
              <w:rPr>
                <w:rFonts w:eastAsiaTheme="minorEastAsia" w:hint="eastAsia"/>
                <w:sz w:val="24"/>
                <w:szCs w:val="24"/>
              </w:rPr>
              <w:t>月</w:t>
            </w:r>
            <w:r>
              <w:rPr>
                <w:rFonts w:eastAsiaTheme="minorEastAsia"/>
                <w:sz w:val="24"/>
                <w:szCs w:val="24"/>
              </w:rPr>
              <w:t>9</w:t>
            </w:r>
            <w:r w:rsidR="00896A32">
              <w:rPr>
                <w:rFonts w:eastAsiaTheme="minorEastAsia" w:hint="eastAsia"/>
                <w:sz w:val="24"/>
                <w:szCs w:val="24"/>
              </w:rPr>
              <w:t>日</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529" w:type="dxa"/>
            <w:gridSpan w:val="3"/>
            <w:shd w:val="clear" w:color="auto" w:fill="auto"/>
            <w:vAlign w:val="center"/>
          </w:tcPr>
          <w:p w:rsidR="00DD5FF3" w:rsidRDefault="0027705F">
            <w:pPr>
              <w:jc w:val="right"/>
              <w:rPr>
                <w:rFonts w:eastAsiaTheme="minorEastAsia"/>
                <w:sz w:val="24"/>
                <w:szCs w:val="24"/>
              </w:rPr>
            </w:pPr>
            <w:r>
              <w:rPr>
                <w:rFonts w:eastAsiaTheme="minorEastAsia" w:hint="eastAsia"/>
                <w:sz w:val="24"/>
                <w:szCs w:val="24"/>
              </w:rPr>
              <w:t>347</w:t>
            </w:r>
          </w:p>
        </w:tc>
      </w:tr>
      <w:tr w:rsidR="00DD5FF3" w:rsidTr="0008372F">
        <w:trPr>
          <w:trHeight w:hRule="exact" w:val="1192"/>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r>
              <w:rPr>
                <w:rFonts w:eastAsiaTheme="minorEastAsia" w:hint="eastAsia"/>
                <w:sz w:val="24"/>
                <w:szCs w:val="24"/>
              </w:rPr>
              <w:t>A</w:t>
            </w:r>
          </w:p>
        </w:tc>
        <w:tc>
          <w:tcPr>
            <w:tcW w:w="1843" w:type="dxa"/>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r>
              <w:rPr>
                <w:rFonts w:eastAsiaTheme="minorEastAsia"/>
                <w:sz w:val="24"/>
                <w:szCs w:val="24"/>
              </w:rPr>
              <w:t>C</w:t>
            </w:r>
          </w:p>
        </w:tc>
        <w:tc>
          <w:tcPr>
            <w:tcW w:w="1843" w:type="dxa"/>
            <w:vAlign w:val="center"/>
          </w:tcPr>
          <w:p w:rsidR="00DD5FF3" w:rsidRDefault="00896A32">
            <w:pPr>
              <w:rPr>
                <w:rFonts w:eastAsiaTheme="minorEastAsia"/>
                <w:sz w:val="24"/>
                <w:szCs w:val="24"/>
              </w:rPr>
            </w:pPr>
            <w:r>
              <w:rPr>
                <w:rFonts w:eastAsiaTheme="minorEastAsia" w:hint="eastAsia"/>
                <w:sz w:val="24"/>
                <w:szCs w:val="24"/>
              </w:rPr>
              <w:t>交银稳安</w:t>
            </w:r>
            <w:r w:rsidR="00E64B5C">
              <w:rPr>
                <w:rFonts w:eastAsiaTheme="minorEastAsia" w:hint="eastAsia"/>
                <w:sz w:val="24"/>
                <w:szCs w:val="24"/>
              </w:rPr>
              <w:t>60</w:t>
            </w:r>
            <w:r w:rsidR="00E64B5C">
              <w:rPr>
                <w:rFonts w:eastAsiaTheme="minorEastAsia" w:hint="eastAsia"/>
                <w:sz w:val="24"/>
                <w:szCs w:val="24"/>
              </w:rPr>
              <w:t>天</w:t>
            </w:r>
            <w:r>
              <w:rPr>
                <w:rFonts w:eastAsiaTheme="minorEastAsia" w:hint="eastAsia"/>
                <w:sz w:val="24"/>
                <w:szCs w:val="24"/>
              </w:rPr>
              <w:t>滚动持有债券</w:t>
            </w:r>
            <w:r>
              <w:rPr>
                <w:rFonts w:eastAsiaTheme="minorEastAsia"/>
                <w:sz w:val="24"/>
                <w:szCs w:val="24"/>
              </w:rPr>
              <w:t>合计</w:t>
            </w:r>
          </w:p>
        </w:tc>
      </w:tr>
      <w:tr w:rsidR="00DD5FF3" w:rsidTr="0008372F">
        <w:trPr>
          <w:trHeight w:hRule="exact" w:val="680"/>
        </w:trPr>
        <w:tc>
          <w:tcPr>
            <w:tcW w:w="3397" w:type="dxa"/>
            <w:gridSpan w:val="2"/>
            <w:vAlign w:val="center"/>
          </w:tcPr>
          <w:p w:rsidR="00DD5FF3" w:rsidRDefault="00896A32">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DD5FF3" w:rsidRPr="00B12637" w:rsidRDefault="0027705F">
            <w:pPr>
              <w:widowControl/>
              <w:jc w:val="right"/>
              <w:rPr>
                <w:rFonts w:eastAsiaTheme="minorEastAsia"/>
                <w:color w:val="000000"/>
                <w:sz w:val="24"/>
                <w:szCs w:val="24"/>
              </w:rPr>
            </w:pPr>
            <w:r w:rsidRPr="0027705F">
              <w:rPr>
                <w:rFonts w:eastAsiaTheme="minorEastAsia"/>
                <w:color w:val="000000"/>
                <w:sz w:val="24"/>
                <w:szCs w:val="24"/>
              </w:rPr>
              <w:t>472,473.05</w:t>
            </w:r>
          </w:p>
        </w:tc>
        <w:tc>
          <w:tcPr>
            <w:tcW w:w="1843" w:type="dxa"/>
            <w:vAlign w:val="center"/>
          </w:tcPr>
          <w:p w:rsidR="00DD5FF3" w:rsidRPr="00B12637" w:rsidRDefault="0027705F">
            <w:pPr>
              <w:jc w:val="right"/>
              <w:rPr>
                <w:rFonts w:eastAsiaTheme="minorEastAsia"/>
                <w:color w:val="000000"/>
                <w:sz w:val="24"/>
                <w:szCs w:val="24"/>
              </w:rPr>
            </w:pPr>
            <w:r w:rsidRPr="0027705F">
              <w:rPr>
                <w:rFonts w:eastAsiaTheme="minorEastAsia"/>
                <w:color w:val="000000"/>
                <w:sz w:val="24"/>
                <w:szCs w:val="24"/>
              </w:rPr>
              <w:t>205,518,794.60</w:t>
            </w:r>
          </w:p>
        </w:tc>
        <w:tc>
          <w:tcPr>
            <w:tcW w:w="1843" w:type="dxa"/>
            <w:vAlign w:val="center"/>
          </w:tcPr>
          <w:p w:rsidR="00DD5FF3" w:rsidRPr="00B12637" w:rsidRDefault="0027705F">
            <w:pPr>
              <w:widowControl/>
              <w:jc w:val="right"/>
              <w:rPr>
                <w:rFonts w:eastAsiaTheme="minorEastAsia"/>
                <w:color w:val="000000"/>
                <w:sz w:val="24"/>
                <w:szCs w:val="24"/>
              </w:rPr>
            </w:pPr>
            <w:r w:rsidRPr="0027705F">
              <w:rPr>
                <w:rFonts w:eastAsiaTheme="minorEastAsia"/>
                <w:color w:val="000000"/>
                <w:sz w:val="24"/>
                <w:szCs w:val="24"/>
              </w:rPr>
              <w:t>205,991,267.65</w:t>
            </w:r>
          </w:p>
        </w:tc>
      </w:tr>
      <w:tr w:rsidR="00DD5FF3" w:rsidTr="0008372F">
        <w:trPr>
          <w:trHeight w:hRule="exact" w:val="742"/>
        </w:trPr>
        <w:tc>
          <w:tcPr>
            <w:tcW w:w="3397" w:type="dxa"/>
            <w:gridSpan w:val="2"/>
            <w:vAlign w:val="center"/>
          </w:tcPr>
          <w:p w:rsidR="00DD5FF3" w:rsidRDefault="00896A32">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DD5FF3" w:rsidRPr="00B12637" w:rsidRDefault="0027705F">
            <w:pPr>
              <w:widowControl/>
              <w:jc w:val="right"/>
              <w:rPr>
                <w:rFonts w:eastAsiaTheme="minorEastAsia"/>
                <w:color w:val="000000"/>
                <w:sz w:val="24"/>
                <w:szCs w:val="24"/>
              </w:rPr>
            </w:pPr>
            <w:r w:rsidRPr="0027705F">
              <w:rPr>
                <w:rFonts w:eastAsiaTheme="minorEastAsia"/>
                <w:color w:val="000000"/>
                <w:sz w:val="24"/>
                <w:szCs w:val="24"/>
              </w:rPr>
              <w:t>463.09</w:t>
            </w:r>
          </w:p>
        </w:tc>
        <w:tc>
          <w:tcPr>
            <w:tcW w:w="1843" w:type="dxa"/>
            <w:vAlign w:val="center"/>
          </w:tcPr>
          <w:p w:rsidR="00DD5FF3" w:rsidRPr="00B12637" w:rsidRDefault="0027705F">
            <w:pPr>
              <w:jc w:val="right"/>
              <w:rPr>
                <w:rFonts w:eastAsiaTheme="minorEastAsia"/>
                <w:sz w:val="24"/>
                <w:szCs w:val="24"/>
              </w:rPr>
            </w:pPr>
            <w:r w:rsidRPr="0027705F">
              <w:rPr>
                <w:rFonts w:eastAsiaTheme="minorEastAsia"/>
                <w:color w:val="000000"/>
                <w:sz w:val="24"/>
                <w:szCs w:val="24"/>
              </w:rPr>
              <w:t>132,922.56</w:t>
            </w:r>
          </w:p>
        </w:tc>
        <w:tc>
          <w:tcPr>
            <w:tcW w:w="1843" w:type="dxa"/>
            <w:vAlign w:val="center"/>
          </w:tcPr>
          <w:p w:rsidR="00DD5FF3" w:rsidRPr="00B12637" w:rsidRDefault="0027705F">
            <w:pPr>
              <w:widowControl/>
              <w:jc w:val="right"/>
              <w:rPr>
                <w:rFonts w:eastAsiaTheme="minorEastAsia"/>
                <w:color w:val="000000"/>
                <w:sz w:val="24"/>
                <w:szCs w:val="24"/>
              </w:rPr>
            </w:pPr>
            <w:r w:rsidRPr="0027705F">
              <w:rPr>
                <w:rFonts w:eastAsiaTheme="minorEastAsia"/>
                <w:color w:val="000000"/>
                <w:sz w:val="24"/>
                <w:szCs w:val="24"/>
              </w:rPr>
              <w:t>133,385.65</w:t>
            </w:r>
          </w:p>
        </w:tc>
      </w:tr>
      <w:tr w:rsidR="0027705F" w:rsidTr="0008372F">
        <w:trPr>
          <w:trHeight w:hRule="exact" w:val="680"/>
        </w:trPr>
        <w:tc>
          <w:tcPr>
            <w:tcW w:w="1413" w:type="dxa"/>
            <w:vMerge w:val="restart"/>
            <w:vAlign w:val="center"/>
          </w:tcPr>
          <w:p w:rsidR="0027705F" w:rsidRDefault="0027705F" w:rsidP="0027705F">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27705F" w:rsidRDefault="0027705F" w:rsidP="0027705F">
            <w:pPr>
              <w:rPr>
                <w:rFonts w:eastAsiaTheme="minorEastAsia"/>
                <w:sz w:val="24"/>
                <w:szCs w:val="24"/>
              </w:rPr>
            </w:pPr>
            <w:r>
              <w:rPr>
                <w:rFonts w:eastAsiaTheme="minorEastAsia" w:hint="eastAsia"/>
                <w:sz w:val="24"/>
                <w:szCs w:val="24"/>
              </w:rPr>
              <w:t>有效认购份额</w:t>
            </w:r>
          </w:p>
        </w:tc>
        <w:tc>
          <w:tcPr>
            <w:tcW w:w="1843" w:type="dxa"/>
            <w:vAlign w:val="center"/>
          </w:tcPr>
          <w:p w:rsidR="0027705F" w:rsidRPr="00B12637" w:rsidRDefault="0027705F" w:rsidP="0027705F">
            <w:pPr>
              <w:spacing w:line="530" w:lineRule="exact"/>
              <w:jc w:val="right"/>
              <w:rPr>
                <w:rFonts w:eastAsiaTheme="minorEastAsia"/>
                <w:color w:val="000000"/>
                <w:sz w:val="24"/>
                <w:szCs w:val="24"/>
              </w:rPr>
            </w:pPr>
            <w:r w:rsidRPr="0027705F">
              <w:rPr>
                <w:rFonts w:eastAsiaTheme="minorEastAsia"/>
                <w:color w:val="000000"/>
                <w:sz w:val="24"/>
                <w:szCs w:val="24"/>
              </w:rPr>
              <w:t>472,473.05</w:t>
            </w:r>
          </w:p>
        </w:tc>
        <w:tc>
          <w:tcPr>
            <w:tcW w:w="1843" w:type="dxa"/>
            <w:vAlign w:val="center"/>
          </w:tcPr>
          <w:p w:rsidR="0027705F" w:rsidRPr="00B12637" w:rsidRDefault="0027705F" w:rsidP="0027705F">
            <w:pPr>
              <w:spacing w:line="530" w:lineRule="exact"/>
              <w:jc w:val="right"/>
              <w:rPr>
                <w:rFonts w:eastAsiaTheme="minorEastAsia"/>
                <w:color w:val="000000"/>
                <w:sz w:val="24"/>
                <w:szCs w:val="24"/>
              </w:rPr>
            </w:pPr>
            <w:r w:rsidRPr="0027705F">
              <w:rPr>
                <w:rFonts w:eastAsiaTheme="minorEastAsia"/>
                <w:color w:val="000000"/>
                <w:sz w:val="24"/>
                <w:szCs w:val="24"/>
              </w:rPr>
              <w:t>205,518,794.60</w:t>
            </w:r>
          </w:p>
        </w:tc>
        <w:tc>
          <w:tcPr>
            <w:tcW w:w="1843" w:type="dxa"/>
            <w:vAlign w:val="center"/>
          </w:tcPr>
          <w:p w:rsidR="0027705F" w:rsidRPr="00B12637" w:rsidRDefault="0027705F" w:rsidP="0027705F">
            <w:pPr>
              <w:spacing w:line="530" w:lineRule="exact"/>
              <w:jc w:val="right"/>
              <w:rPr>
                <w:rFonts w:eastAsiaTheme="minorEastAsia"/>
                <w:color w:val="000000"/>
                <w:sz w:val="24"/>
                <w:szCs w:val="24"/>
              </w:rPr>
            </w:pPr>
            <w:r w:rsidRPr="0027705F">
              <w:rPr>
                <w:rFonts w:eastAsiaTheme="minorEastAsia"/>
                <w:color w:val="000000"/>
                <w:sz w:val="24"/>
                <w:szCs w:val="24"/>
              </w:rPr>
              <w:t>205,991,267.65</w:t>
            </w:r>
          </w:p>
        </w:tc>
      </w:tr>
      <w:tr w:rsidR="0027705F" w:rsidTr="0008372F">
        <w:trPr>
          <w:trHeight w:hRule="exact" w:val="450"/>
        </w:trPr>
        <w:tc>
          <w:tcPr>
            <w:tcW w:w="1413" w:type="dxa"/>
            <w:vMerge/>
            <w:vAlign w:val="center"/>
          </w:tcPr>
          <w:p w:rsidR="0027705F" w:rsidRDefault="0027705F" w:rsidP="0027705F">
            <w:pPr>
              <w:spacing w:line="530" w:lineRule="exact"/>
              <w:rPr>
                <w:rFonts w:eastAsiaTheme="minorEastAsia"/>
                <w:color w:val="000000"/>
                <w:sz w:val="24"/>
                <w:szCs w:val="24"/>
              </w:rPr>
            </w:pPr>
          </w:p>
        </w:tc>
        <w:tc>
          <w:tcPr>
            <w:tcW w:w="1984" w:type="dxa"/>
            <w:vAlign w:val="center"/>
          </w:tcPr>
          <w:p w:rsidR="0027705F" w:rsidRDefault="0027705F" w:rsidP="0027705F">
            <w:pPr>
              <w:rPr>
                <w:rFonts w:eastAsiaTheme="minorEastAsia"/>
                <w:sz w:val="24"/>
                <w:szCs w:val="24"/>
              </w:rPr>
            </w:pPr>
            <w:r>
              <w:rPr>
                <w:rFonts w:eastAsiaTheme="minorEastAsia" w:hint="eastAsia"/>
                <w:sz w:val="24"/>
                <w:szCs w:val="24"/>
              </w:rPr>
              <w:t>利息结转的份额</w:t>
            </w:r>
          </w:p>
        </w:tc>
        <w:tc>
          <w:tcPr>
            <w:tcW w:w="1843" w:type="dxa"/>
            <w:vAlign w:val="center"/>
          </w:tcPr>
          <w:p w:rsidR="0027705F" w:rsidRPr="00B12637" w:rsidRDefault="0027705F" w:rsidP="0027705F">
            <w:pPr>
              <w:widowControl/>
              <w:jc w:val="right"/>
              <w:rPr>
                <w:rFonts w:eastAsiaTheme="minorEastAsia"/>
                <w:color w:val="000000"/>
                <w:sz w:val="24"/>
                <w:szCs w:val="24"/>
              </w:rPr>
            </w:pPr>
            <w:r w:rsidRPr="0027705F">
              <w:rPr>
                <w:rFonts w:eastAsiaTheme="minorEastAsia"/>
                <w:color w:val="000000"/>
                <w:sz w:val="24"/>
                <w:szCs w:val="24"/>
              </w:rPr>
              <w:t>463.09</w:t>
            </w:r>
          </w:p>
        </w:tc>
        <w:tc>
          <w:tcPr>
            <w:tcW w:w="1843" w:type="dxa"/>
            <w:vAlign w:val="center"/>
          </w:tcPr>
          <w:p w:rsidR="0027705F" w:rsidRPr="00B12637" w:rsidRDefault="0027705F" w:rsidP="0027705F">
            <w:pPr>
              <w:jc w:val="right"/>
              <w:rPr>
                <w:rFonts w:eastAsiaTheme="minorEastAsia"/>
                <w:sz w:val="24"/>
                <w:szCs w:val="24"/>
              </w:rPr>
            </w:pPr>
            <w:r w:rsidRPr="0027705F">
              <w:rPr>
                <w:rFonts w:eastAsiaTheme="minorEastAsia"/>
                <w:color w:val="000000"/>
                <w:sz w:val="24"/>
                <w:szCs w:val="24"/>
              </w:rPr>
              <w:t>132,922.56</w:t>
            </w:r>
          </w:p>
        </w:tc>
        <w:tc>
          <w:tcPr>
            <w:tcW w:w="1843" w:type="dxa"/>
            <w:vAlign w:val="center"/>
          </w:tcPr>
          <w:p w:rsidR="0027705F" w:rsidRPr="00B12637" w:rsidRDefault="0027705F" w:rsidP="0027705F">
            <w:pPr>
              <w:widowControl/>
              <w:jc w:val="right"/>
              <w:rPr>
                <w:rFonts w:eastAsiaTheme="minorEastAsia"/>
                <w:color w:val="000000"/>
                <w:sz w:val="24"/>
                <w:szCs w:val="24"/>
              </w:rPr>
            </w:pPr>
            <w:r w:rsidRPr="0027705F">
              <w:rPr>
                <w:rFonts w:eastAsiaTheme="minorEastAsia"/>
                <w:color w:val="000000"/>
                <w:sz w:val="24"/>
                <w:szCs w:val="24"/>
              </w:rPr>
              <w:t>133,385.65</w:t>
            </w:r>
          </w:p>
        </w:tc>
      </w:tr>
      <w:tr w:rsidR="00DD5FF3" w:rsidTr="0008372F">
        <w:trPr>
          <w:trHeight w:hRule="exact" w:val="489"/>
        </w:trPr>
        <w:tc>
          <w:tcPr>
            <w:tcW w:w="1413" w:type="dxa"/>
            <w:vMerge/>
            <w:vAlign w:val="center"/>
          </w:tcPr>
          <w:p w:rsidR="00DD5FF3" w:rsidRDefault="00DD5FF3">
            <w:pPr>
              <w:spacing w:line="530" w:lineRule="exact"/>
              <w:rPr>
                <w:rFonts w:eastAsiaTheme="minorEastAsia"/>
                <w:color w:val="000000"/>
                <w:sz w:val="24"/>
                <w:szCs w:val="24"/>
              </w:rPr>
            </w:pPr>
          </w:p>
        </w:tc>
        <w:tc>
          <w:tcPr>
            <w:tcW w:w="1984" w:type="dxa"/>
            <w:vAlign w:val="center"/>
          </w:tcPr>
          <w:p w:rsidR="00DD5FF3" w:rsidRDefault="00896A32">
            <w:pPr>
              <w:rPr>
                <w:rFonts w:eastAsiaTheme="minorEastAsia"/>
                <w:sz w:val="24"/>
                <w:szCs w:val="24"/>
              </w:rPr>
            </w:pPr>
            <w:r>
              <w:rPr>
                <w:rFonts w:eastAsiaTheme="minorEastAsia" w:hint="eastAsia"/>
                <w:sz w:val="24"/>
                <w:szCs w:val="24"/>
              </w:rPr>
              <w:t>合计</w:t>
            </w:r>
          </w:p>
        </w:tc>
        <w:tc>
          <w:tcPr>
            <w:tcW w:w="1843" w:type="dxa"/>
            <w:vAlign w:val="center"/>
          </w:tcPr>
          <w:p w:rsidR="00DD5FF3" w:rsidRPr="00B12637" w:rsidRDefault="0027705F">
            <w:pPr>
              <w:widowControl/>
              <w:jc w:val="right"/>
              <w:rPr>
                <w:rFonts w:eastAsiaTheme="minorEastAsia"/>
                <w:color w:val="000000"/>
                <w:sz w:val="24"/>
                <w:szCs w:val="24"/>
              </w:rPr>
            </w:pPr>
            <w:r w:rsidRPr="0027705F">
              <w:rPr>
                <w:rFonts w:eastAsiaTheme="minorEastAsia"/>
                <w:color w:val="000000"/>
                <w:sz w:val="24"/>
                <w:szCs w:val="24"/>
              </w:rPr>
              <w:t>472,936.14</w:t>
            </w:r>
          </w:p>
        </w:tc>
        <w:tc>
          <w:tcPr>
            <w:tcW w:w="1843" w:type="dxa"/>
            <w:vAlign w:val="center"/>
          </w:tcPr>
          <w:p w:rsidR="00DD5FF3" w:rsidRPr="00B12637" w:rsidRDefault="0027705F">
            <w:pPr>
              <w:jc w:val="right"/>
              <w:rPr>
                <w:rFonts w:eastAsiaTheme="minorEastAsia"/>
                <w:sz w:val="24"/>
                <w:szCs w:val="24"/>
              </w:rPr>
            </w:pPr>
            <w:r w:rsidRPr="0027705F">
              <w:rPr>
                <w:rFonts w:eastAsiaTheme="minorEastAsia"/>
                <w:sz w:val="24"/>
                <w:szCs w:val="24"/>
              </w:rPr>
              <w:t>205,651,717.16</w:t>
            </w:r>
          </w:p>
        </w:tc>
        <w:tc>
          <w:tcPr>
            <w:tcW w:w="1843" w:type="dxa"/>
            <w:vAlign w:val="center"/>
          </w:tcPr>
          <w:p w:rsidR="00DD5FF3" w:rsidRPr="00B12637" w:rsidRDefault="0027705F">
            <w:pPr>
              <w:jc w:val="right"/>
              <w:rPr>
                <w:rFonts w:eastAsiaTheme="minorEastAsia"/>
                <w:sz w:val="24"/>
                <w:szCs w:val="24"/>
              </w:rPr>
            </w:pPr>
            <w:r w:rsidRPr="0027705F">
              <w:rPr>
                <w:rFonts w:eastAsiaTheme="minorEastAsia"/>
                <w:color w:val="000000"/>
                <w:sz w:val="24"/>
                <w:szCs w:val="24"/>
              </w:rPr>
              <w:t>206,124,653.30</w:t>
            </w:r>
          </w:p>
        </w:tc>
      </w:tr>
      <w:tr w:rsidR="00DD5FF3" w:rsidTr="0008372F">
        <w:trPr>
          <w:trHeight w:hRule="exact" w:val="680"/>
        </w:trPr>
        <w:tc>
          <w:tcPr>
            <w:tcW w:w="1413" w:type="dxa"/>
            <w:vMerge w:val="restart"/>
            <w:vAlign w:val="center"/>
          </w:tcPr>
          <w:p w:rsidR="00DD5FF3" w:rsidRDefault="00896A32">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DD5FF3" w:rsidRDefault="00896A32">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r>
      <w:tr w:rsidR="00DD5FF3" w:rsidTr="0008372F">
        <w:trPr>
          <w:trHeight w:hRule="exact" w:val="680"/>
        </w:trPr>
        <w:tc>
          <w:tcPr>
            <w:tcW w:w="1413" w:type="dxa"/>
            <w:vMerge/>
            <w:vAlign w:val="center"/>
          </w:tcPr>
          <w:p w:rsidR="00DD5FF3" w:rsidRDefault="00DD5FF3">
            <w:pPr>
              <w:rPr>
                <w:rFonts w:eastAsiaTheme="minorEastAsia"/>
                <w:sz w:val="24"/>
                <w:szCs w:val="24"/>
              </w:rPr>
            </w:pPr>
          </w:p>
        </w:tc>
        <w:tc>
          <w:tcPr>
            <w:tcW w:w="1984" w:type="dxa"/>
            <w:vAlign w:val="center"/>
          </w:tcPr>
          <w:p w:rsidR="00DD5FF3" w:rsidRDefault="00896A32">
            <w:pPr>
              <w:rPr>
                <w:rFonts w:eastAsiaTheme="minorEastAsia"/>
                <w:sz w:val="24"/>
                <w:szCs w:val="24"/>
              </w:rPr>
            </w:pPr>
            <w:r>
              <w:rPr>
                <w:rFonts w:eastAsiaTheme="minorEastAsia" w:hint="eastAsia"/>
                <w:sz w:val="24"/>
                <w:szCs w:val="24"/>
              </w:rPr>
              <w:t>占基金总份额比例</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r>
      <w:tr w:rsidR="00DD5FF3" w:rsidTr="0008372F">
        <w:trPr>
          <w:trHeight w:hRule="exact" w:val="680"/>
        </w:trPr>
        <w:tc>
          <w:tcPr>
            <w:tcW w:w="1413" w:type="dxa"/>
            <w:vMerge/>
            <w:vAlign w:val="center"/>
          </w:tcPr>
          <w:p w:rsidR="00DD5FF3" w:rsidRDefault="00DD5FF3">
            <w:pPr>
              <w:rPr>
                <w:rFonts w:eastAsiaTheme="minorEastAsia"/>
                <w:sz w:val="24"/>
                <w:szCs w:val="24"/>
              </w:rPr>
            </w:pPr>
          </w:p>
        </w:tc>
        <w:tc>
          <w:tcPr>
            <w:tcW w:w="1984" w:type="dxa"/>
            <w:vAlign w:val="center"/>
          </w:tcPr>
          <w:p w:rsidR="00DD5FF3" w:rsidRDefault="00896A32">
            <w:pPr>
              <w:rPr>
                <w:rFonts w:eastAsiaTheme="minorEastAsia"/>
                <w:sz w:val="24"/>
                <w:szCs w:val="24"/>
              </w:rPr>
            </w:pPr>
            <w:r>
              <w:rPr>
                <w:rFonts w:eastAsiaTheme="minorEastAsia" w:hint="eastAsia"/>
                <w:sz w:val="24"/>
                <w:szCs w:val="24"/>
              </w:rPr>
              <w:t>其他需要说明的事项</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c>
          <w:tcPr>
            <w:tcW w:w="1843" w:type="dxa"/>
            <w:vAlign w:val="center"/>
          </w:tcPr>
          <w:p w:rsidR="00DD5FF3" w:rsidRPr="00B12637" w:rsidRDefault="00896A32">
            <w:pPr>
              <w:jc w:val="right"/>
              <w:rPr>
                <w:rFonts w:eastAsiaTheme="minorEastAsia"/>
                <w:sz w:val="24"/>
                <w:szCs w:val="24"/>
              </w:rPr>
            </w:pPr>
            <w:r w:rsidRPr="00B12637">
              <w:rPr>
                <w:rFonts w:eastAsiaTheme="minorEastAsia"/>
                <w:sz w:val="24"/>
                <w:szCs w:val="24"/>
              </w:rPr>
              <w:t>-</w:t>
            </w:r>
          </w:p>
        </w:tc>
      </w:tr>
      <w:tr w:rsidR="00F51B01" w:rsidTr="0008372F">
        <w:trPr>
          <w:trHeight w:hRule="exact" w:val="1015"/>
        </w:trPr>
        <w:tc>
          <w:tcPr>
            <w:tcW w:w="1413" w:type="dxa"/>
            <w:vMerge w:val="restart"/>
            <w:vAlign w:val="center"/>
          </w:tcPr>
          <w:p w:rsidR="00F51B01" w:rsidRDefault="00F51B01" w:rsidP="00F51B01">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F51B01" w:rsidRDefault="00F51B01" w:rsidP="00F51B01">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1.00</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300</w:t>
            </w:r>
            <w:r>
              <w:rPr>
                <w:rFonts w:eastAsiaTheme="minorEastAsia" w:hint="eastAsia"/>
                <w:color w:val="000000"/>
                <w:sz w:val="24"/>
                <w:szCs w:val="24"/>
              </w:rPr>
              <w:t>,</w:t>
            </w:r>
            <w:r w:rsidRPr="00500E2F">
              <w:rPr>
                <w:rFonts w:eastAsiaTheme="minorEastAsia"/>
                <w:color w:val="000000"/>
                <w:sz w:val="24"/>
                <w:szCs w:val="24"/>
              </w:rPr>
              <w:t>244.00</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300</w:t>
            </w:r>
            <w:r>
              <w:rPr>
                <w:rFonts w:eastAsiaTheme="minorEastAsia"/>
                <w:color w:val="000000"/>
                <w:sz w:val="24"/>
                <w:szCs w:val="24"/>
              </w:rPr>
              <w:t>,</w:t>
            </w:r>
            <w:r w:rsidRPr="00500E2F">
              <w:rPr>
                <w:rFonts w:eastAsiaTheme="minorEastAsia"/>
                <w:color w:val="000000"/>
                <w:sz w:val="24"/>
                <w:szCs w:val="24"/>
              </w:rPr>
              <w:t>245.00</w:t>
            </w:r>
          </w:p>
        </w:tc>
      </w:tr>
      <w:tr w:rsidR="00F51B01" w:rsidTr="0008372F">
        <w:trPr>
          <w:trHeight w:hRule="exact" w:val="1143"/>
        </w:trPr>
        <w:tc>
          <w:tcPr>
            <w:tcW w:w="1413" w:type="dxa"/>
            <w:vMerge/>
            <w:vAlign w:val="center"/>
          </w:tcPr>
          <w:p w:rsidR="00F51B01" w:rsidRDefault="00F51B01" w:rsidP="00F51B01">
            <w:pPr>
              <w:spacing w:line="560" w:lineRule="exact"/>
              <w:rPr>
                <w:rFonts w:eastAsiaTheme="minorEastAsia"/>
                <w:color w:val="000000"/>
                <w:sz w:val="24"/>
                <w:szCs w:val="24"/>
              </w:rPr>
            </w:pPr>
          </w:p>
        </w:tc>
        <w:tc>
          <w:tcPr>
            <w:tcW w:w="1984" w:type="dxa"/>
            <w:vAlign w:val="center"/>
          </w:tcPr>
          <w:p w:rsidR="00F51B01" w:rsidRDefault="00F51B01" w:rsidP="00F51B01">
            <w:pPr>
              <w:rPr>
                <w:rFonts w:eastAsiaTheme="minorEastAsia"/>
                <w:sz w:val="24"/>
                <w:szCs w:val="24"/>
              </w:rPr>
            </w:pPr>
            <w:r>
              <w:rPr>
                <w:rFonts w:eastAsiaTheme="minorEastAsia" w:hint="eastAsia"/>
                <w:sz w:val="24"/>
                <w:szCs w:val="24"/>
              </w:rPr>
              <w:t>占基金总份额比例</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0.0002114%</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0.1459963%</w:t>
            </w:r>
          </w:p>
        </w:tc>
        <w:tc>
          <w:tcPr>
            <w:tcW w:w="1843" w:type="dxa"/>
            <w:vAlign w:val="center"/>
          </w:tcPr>
          <w:p w:rsidR="00F51B01" w:rsidRPr="00500E2F" w:rsidRDefault="00F51B01" w:rsidP="00500E2F">
            <w:pPr>
              <w:widowControl/>
              <w:jc w:val="right"/>
              <w:rPr>
                <w:rFonts w:eastAsiaTheme="minorEastAsia"/>
                <w:color w:val="000000"/>
                <w:sz w:val="24"/>
                <w:szCs w:val="24"/>
              </w:rPr>
            </w:pPr>
            <w:r w:rsidRPr="00500E2F">
              <w:rPr>
                <w:rFonts w:eastAsiaTheme="minorEastAsia"/>
                <w:color w:val="000000"/>
                <w:sz w:val="24"/>
                <w:szCs w:val="24"/>
              </w:rPr>
              <w:t>0.14566</w:t>
            </w:r>
            <w:r>
              <w:rPr>
                <w:rFonts w:eastAsiaTheme="minorEastAsia"/>
                <w:color w:val="000000"/>
                <w:sz w:val="24"/>
                <w:szCs w:val="24"/>
              </w:rPr>
              <w:t>19</w:t>
            </w:r>
            <w:r w:rsidRPr="00500E2F">
              <w:rPr>
                <w:rFonts w:eastAsiaTheme="minorEastAsia"/>
                <w:color w:val="000000"/>
                <w:sz w:val="24"/>
                <w:szCs w:val="24"/>
              </w:rPr>
              <w:t>%</w:t>
            </w:r>
          </w:p>
        </w:tc>
      </w:tr>
      <w:tr w:rsidR="00DD5FF3" w:rsidTr="0008372F">
        <w:trPr>
          <w:trHeight w:hRule="exact" w:val="680"/>
        </w:trPr>
        <w:tc>
          <w:tcPr>
            <w:tcW w:w="7083" w:type="dxa"/>
            <w:gridSpan w:val="4"/>
            <w:vAlign w:val="center"/>
          </w:tcPr>
          <w:p w:rsidR="00DD5FF3" w:rsidRDefault="00896A32">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rsidR="00DD5FF3" w:rsidRDefault="00896A32">
            <w:pPr>
              <w:spacing w:line="560" w:lineRule="exact"/>
              <w:jc w:val="right"/>
              <w:rPr>
                <w:rFonts w:eastAsiaTheme="minorEastAsia" w:cs="宋体"/>
                <w:sz w:val="24"/>
                <w:szCs w:val="24"/>
              </w:rPr>
            </w:pPr>
            <w:r>
              <w:rPr>
                <w:rFonts w:eastAsiaTheme="minorEastAsia" w:hint="eastAsia"/>
                <w:sz w:val="24"/>
                <w:szCs w:val="24"/>
              </w:rPr>
              <w:t>是</w:t>
            </w:r>
          </w:p>
        </w:tc>
      </w:tr>
      <w:tr w:rsidR="00DD5FF3" w:rsidTr="0008372F">
        <w:trPr>
          <w:trHeight w:hRule="exact" w:val="680"/>
        </w:trPr>
        <w:tc>
          <w:tcPr>
            <w:tcW w:w="7083" w:type="dxa"/>
            <w:gridSpan w:val="4"/>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rsidR="00DD5FF3" w:rsidRDefault="00E64B5C" w:rsidP="00E64B5C">
            <w:pPr>
              <w:rPr>
                <w:rFonts w:eastAsiaTheme="minorEastAsia" w:cs="宋体"/>
                <w:sz w:val="24"/>
                <w:szCs w:val="24"/>
              </w:rPr>
            </w:pPr>
            <w:r>
              <w:rPr>
                <w:rFonts w:eastAsiaTheme="minorEastAsia"/>
                <w:sz w:val="24"/>
                <w:szCs w:val="24"/>
              </w:rPr>
              <w:t>2023</w:t>
            </w:r>
            <w:r w:rsidR="00896A32">
              <w:rPr>
                <w:rFonts w:eastAsiaTheme="minorEastAsia" w:hint="eastAsia"/>
                <w:sz w:val="24"/>
                <w:szCs w:val="24"/>
              </w:rPr>
              <w:t>年</w:t>
            </w:r>
            <w:r>
              <w:rPr>
                <w:rFonts w:eastAsiaTheme="minorEastAsia"/>
                <w:sz w:val="24"/>
                <w:szCs w:val="24"/>
              </w:rPr>
              <w:t>1</w:t>
            </w:r>
            <w:r w:rsidR="00896A32">
              <w:rPr>
                <w:rFonts w:eastAsiaTheme="minorEastAsia" w:hint="eastAsia"/>
                <w:sz w:val="24"/>
                <w:szCs w:val="24"/>
              </w:rPr>
              <w:t>月</w:t>
            </w:r>
            <w:r>
              <w:rPr>
                <w:rFonts w:eastAsiaTheme="minorEastAsia"/>
                <w:sz w:val="24"/>
                <w:szCs w:val="24"/>
              </w:rPr>
              <w:t>9</w:t>
            </w:r>
            <w:r w:rsidR="00896A32">
              <w:rPr>
                <w:rFonts w:eastAsiaTheme="minorEastAsia" w:hint="eastAsia"/>
                <w:sz w:val="24"/>
                <w:szCs w:val="24"/>
              </w:rPr>
              <w:t>日</w:t>
            </w:r>
          </w:p>
        </w:tc>
      </w:tr>
    </w:tbl>
    <w:p w:rsidR="00DD5FF3" w:rsidRDefault="00896A32">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DD5FF3" w:rsidRDefault="00896A32">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DD5FF3" w:rsidRDefault="00896A32">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DD5FF3" w:rsidRDefault="00DD5FF3">
      <w:pPr>
        <w:widowControl/>
        <w:jc w:val="left"/>
        <w:rPr>
          <w:rFonts w:eastAsiaTheme="minorEastAsia"/>
          <w:kern w:val="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w:t>
      </w:r>
      <w:r w:rsidR="0027011A" w:rsidRPr="0027011A">
        <w:rPr>
          <w:rFonts w:eastAsiaTheme="minorEastAsia" w:hint="eastAsia"/>
          <w:kern w:val="0"/>
          <w:sz w:val="24"/>
          <w:szCs w:val="24"/>
        </w:rPr>
        <w:t>基金管理人自本基金合同生效之日后的第</w:t>
      </w:r>
      <w:r w:rsidR="00E64B5C">
        <w:rPr>
          <w:rFonts w:eastAsiaTheme="minorEastAsia" w:hint="eastAsia"/>
          <w:kern w:val="0"/>
          <w:sz w:val="24"/>
          <w:szCs w:val="24"/>
        </w:rPr>
        <w:t>60</w:t>
      </w:r>
      <w:r w:rsidR="00E64B5C">
        <w:rPr>
          <w:rFonts w:eastAsiaTheme="minorEastAsia" w:hint="eastAsia"/>
          <w:kern w:val="0"/>
          <w:sz w:val="24"/>
          <w:szCs w:val="24"/>
        </w:rPr>
        <w:t>天</w:t>
      </w:r>
      <w:r w:rsidR="0027011A" w:rsidRPr="0027011A">
        <w:rPr>
          <w:rFonts w:eastAsiaTheme="minorEastAsia" w:hint="eastAsia"/>
          <w:kern w:val="0"/>
          <w:sz w:val="24"/>
          <w:szCs w:val="24"/>
        </w:rPr>
        <w:t>（如遇非工作日，则顺延至下一工作日）起开始办理赎回，具体业务办理时间在开放赎回业务的公告中规定。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DD5FF3" w:rsidRDefault="00DD5FF3">
      <w:pPr>
        <w:widowControl/>
        <w:spacing w:line="360" w:lineRule="auto"/>
        <w:ind w:firstLineChars="200" w:firstLine="480"/>
        <w:rPr>
          <w:rFonts w:eastAsiaTheme="minorEastAsia"/>
          <w:kern w:val="0"/>
          <w:sz w:val="24"/>
          <w:szCs w:val="24"/>
        </w:rPr>
      </w:pPr>
    </w:p>
    <w:p w:rsidR="00DD5FF3" w:rsidRDefault="00896A32">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DD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E0" w:rsidRDefault="00A215E0"/>
  </w:endnote>
  <w:endnote w:type="continuationSeparator" w:id="0">
    <w:p w:rsidR="00A215E0" w:rsidRDefault="00A21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E0" w:rsidRDefault="00A215E0"/>
  </w:footnote>
  <w:footnote w:type="continuationSeparator" w:id="0">
    <w:p w:rsidR="00A215E0" w:rsidRDefault="00A215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1E93"/>
    <w:rsid w:val="00043C9F"/>
    <w:rsid w:val="0004636C"/>
    <w:rsid w:val="00053224"/>
    <w:rsid w:val="0005479A"/>
    <w:rsid w:val="00063472"/>
    <w:rsid w:val="00064829"/>
    <w:rsid w:val="00064A42"/>
    <w:rsid w:val="000667FA"/>
    <w:rsid w:val="000710DE"/>
    <w:rsid w:val="00074E44"/>
    <w:rsid w:val="00077D6C"/>
    <w:rsid w:val="00077F66"/>
    <w:rsid w:val="0008372F"/>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1F5E88"/>
    <w:rsid w:val="00201E38"/>
    <w:rsid w:val="002030C0"/>
    <w:rsid w:val="00207C03"/>
    <w:rsid w:val="00221F2C"/>
    <w:rsid w:val="0022357A"/>
    <w:rsid w:val="00224161"/>
    <w:rsid w:val="00227191"/>
    <w:rsid w:val="00235DA6"/>
    <w:rsid w:val="00237088"/>
    <w:rsid w:val="00240036"/>
    <w:rsid w:val="00246F51"/>
    <w:rsid w:val="00251199"/>
    <w:rsid w:val="002514F3"/>
    <w:rsid w:val="0025568C"/>
    <w:rsid w:val="00261007"/>
    <w:rsid w:val="0026382B"/>
    <w:rsid w:val="0027011A"/>
    <w:rsid w:val="002708B9"/>
    <w:rsid w:val="00273B37"/>
    <w:rsid w:val="00275D2A"/>
    <w:rsid w:val="0027705F"/>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3C7"/>
    <w:rsid w:val="003545E4"/>
    <w:rsid w:val="00355193"/>
    <w:rsid w:val="00357AC9"/>
    <w:rsid w:val="00361B89"/>
    <w:rsid w:val="00366377"/>
    <w:rsid w:val="003675D8"/>
    <w:rsid w:val="003735A2"/>
    <w:rsid w:val="003770DB"/>
    <w:rsid w:val="00390E48"/>
    <w:rsid w:val="00391516"/>
    <w:rsid w:val="003946C0"/>
    <w:rsid w:val="00395A7F"/>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11A70"/>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69B"/>
    <w:rsid w:val="004F692B"/>
    <w:rsid w:val="00500E2F"/>
    <w:rsid w:val="005012DD"/>
    <w:rsid w:val="005025FA"/>
    <w:rsid w:val="00522FF9"/>
    <w:rsid w:val="00525C51"/>
    <w:rsid w:val="0052630B"/>
    <w:rsid w:val="00532682"/>
    <w:rsid w:val="0054292E"/>
    <w:rsid w:val="005434E3"/>
    <w:rsid w:val="00543DE4"/>
    <w:rsid w:val="00551804"/>
    <w:rsid w:val="00553FA4"/>
    <w:rsid w:val="00561DFB"/>
    <w:rsid w:val="00565CBB"/>
    <w:rsid w:val="00572E92"/>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B6B4E"/>
    <w:rsid w:val="005C0B8D"/>
    <w:rsid w:val="005C1B44"/>
    <w:rsid w:val="005D5CAA"/>
    <w:rsid w:val="005D6260"/>
    <w:rsid w:val="005D78BE"/>
    <w:rsid w:val="005E0049"/>
    <w:rsid w:val="005F0D33"/>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163B"/>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0486"/>
    <w:rsid w:val="00721018"/>
    <w:rsid w:val="0073131B"/>
    <w:rsid w:val="00732355"/>
    <w:rsid w:val="00736B3B"/>
    <w:rsid w:val="00740F43"/>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56FE"/>
    <w:rsid w:val="00896A32"/>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092"/>
    <w:rsid w:val="0093293C"/>
    <w:rsid w:val="00936738"/>
    <w:rsid w:val="009371A9"/>
    <w:rsid w:val="00943D25"/>
    <w:rsid w:val="00944CBC"/>
    <w:rsid w:val="0094692C"/>
    <w:rsid w:val="0094763A"/>
    <w:rsid w:val="0095670E"/>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D4953"/>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15E0"/>
    <w:rsid w:val="00A231CF"/>
    <w:rsid w:val="00A27B23"/>
    <w:rsid w:val="00A307CC"/>
    <w:rsid w:val="00A35BE9"/>
    <w:rsid w:val="00A35CE3"/>
    <w:rsid w:val="00A44BD2"/>
    <w:rsid w:val="00A52802"/>
    <w:rsid w:val="00A53800"/>
    <w:rsid w:val="00A57903"/>
    <w:rsid w:val="00A60BD3"/>
    <w:rsid w:val="00A61671"/>
    <w:rsid w:val="00A61873"/>
    <w:rsid w:val="00A66B74"/>
    <w:rsid w:val="00A74AFB"/>
    <w:rsid w:val="00A811B1"/>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2637"/>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87447"/>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1325E"/>
    <w:rsid w:val="00C1591D"/>
    <w:rsid w:val="00C20CF8"/>
    <w:rsid w:val="00C30E6A"/>
    <w:rsid w:val="00C35D35"/>
    <w:rsid w:val="00C40144"/>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5003"/>
    <w:rsid w:val="00CE701E"/>
    <w:rsid w:val="00CF3173"/>
    <w:rsid w:val="00D063DE"/>
    <w:rsid w:val="00D15C76"/>
    <w:rsid w:val="00D327FB"/>
    <w:rsid w:val="00D339BD"/>
    <w:rsid w:val="00D35283"/>
    <w:rsid w:val="00D517E1"/>
    <w:rsid w:val="00D5237D"/>
    <w:rsid w:val="00D530C2"/>
    <w:rsid w:val="00D57F49"/>
    <w:rsid w:val="00D60295"/>
    <w:rsid w:val="00D64B99"/>
    <w:rsid w:val="00D710AA"/>
    <w:rsid w:val="00D753E9"/>
    <w:rsid w:val="00D8024F"/>
    <w:rsid w:val="00D87CD4"/>
    <w:rsid w:val="00D921BA"/>
    <w:rsid w:val="00DA4A51"/>
    <w:rsid w:val="00DA77B6"/>
    <w:rsid w:val="00DA7F43"/>
    <w:rsid w:val="00DB1342"/>
    <w:rsid w:val="00DB2A12"/>
    <w:rsid w:val="00DC081C"/>
    <w:rsid w:val="00DC4FF4"/>
    <w:rsid w:val="00DD46CD"/>
    <w:rsid w:val="00DD477C"/>
    <w:rsid w:val="00DD5FF3"/>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4B5C"/>
    <w:rsid w:val="00E66738"/>
    <w:rsid w:val="00E761DE"/>
    <w:rsid w:val="00E76CE0"/>
    <w:rsid w:val="00E77B33"/>
    <w:rsid w:val="00E8215C"/>
    <w:rsid w:val="00E954A2"/>
    <w:rsid w:val="00EA0545"/>
    <w:rsid w:val="00EB06D4"/>
    <w:rsid w:val="00EB22F0"/>
    <w:rsid w:val="00EB4F68"/>
    <w:rsid w:val="00EC181E"/>
    <w:rsid w:val="00ED1B61"/>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1B01"/>
    <w:rsid w:val="00F53425"/>
    <w:rsid w:val="00F566ED"/>
    <w:rsid w:val="00F6092A"/>
    <w:rsid w:val="00F62236"/>
    <w:rsid w:val="00F6422F"/>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60006E4C"/>
    <w:rsid w:val="6AF91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C2E94-439E-4D8D-8825-E33A2A08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pPr>
      <w:snapToGrid w:val="0"/>
      <w:jc w:val="left"/>
    </w:pPr>
    <w:rPr>
      <w:rFonts w:eastAsia="宋体"/>
      <w:sz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styleId="ac">
    <w:name w:val="footnote reference"/>
    <w:basedOn w:val="a0"/>
    <w:qFormat/>
    <w:rPr>
      <w:vertAlign w:val="superscript"/>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4">
    <w:name w:val="脚注文本 Char"/>
    <w:basedOn w:val="a0"/>
    <w:link w:val="a8"/>
    <w:qFormat/>
    <w:rPr>
      <w:rFonts w:ascii="Times New Roman" w:eastAsia="宋体" w:hAnsi="Times New Roman" w:cs="Times New Roman"/>
      <w:sz w:val="18"/>
      <w:szCs w:val="20"/>
    </w:rPr>
  </w:style>
  <w:style w:type="character" w:customStyle="1" w:styleId="Char3">
    <w:name w:val="页眉 Char"/>
    <w:basedOn w:val="a0"/>
    <w:link w:val="a7"/>
    <w:uiPriority w:val="99"/>
    <w:qFormat/>
    <w:rPr>
      <w:rFonts w:ascii="Times New Roman" w:eastAsia="方正仿宋简体" w:hAnsi="Times New Roman" w:cs="Times New Roman"/>
      <w:sz w:val="18"/>
      <w:szCs w:val="18"/>
    </w:rPr>
  </w:style>
  <w:style w:type="character" w:customStyle="1" w:styleId="Char2">
    <w:name w:val="页脚 Char"/>
    <w:basedOn w:val="a0"/>
    <w:link w:val="a6"/>
    <w:uiPriority w:val="99"/>
    <w:qFormat/>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方正仿宋简体" w:hAnsi="Times New Roman" w:cs="Times New Roman"/>
      <w:sz w:val="18"/>
      <w:szCs w:val="18"/>
    </w:rPr>
  </w:style>
  <w:style w:type="character" w:customStyle="1" w:styleId="Char0">
    <w:name w:val="批注文字 Char"/>
    <w:basedOn w:val="a0"/>
    <w:link w:val="a4"/>
    <w:uiPriority w:val="99"/>
    <w:semiHidden/>
    <w:qFormat/>
    <w:rPr>
      <w:rFonts w:ascii="Times New Roman" w:eastAsia="方正仿宋简体" w:hAnsi="Times New Roman" w:cs="Times New Roman"/>
      <w:sz w:val="32"/>
      <w:szCs w:val="20"/>
    </w:rPr>
  </w:style>
  <w:style w:type="character" w:customStyle="1" w:styleId="Char5">
    <w:name w:val="批注主题 Char"/>
    <w:basedOn w:val="Char0"/>
    <w:link w:val="a9"/>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styleId="ad">
    <w:name w:val="Revision"/>
    <w:hidden/>
    <w:uiPriority w:val="99"/>
    <w:semiHidden/>
    <w:rsid w:val="00500E2F"/>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718566">
      <w:bodyDiv w:val="1"/>
      <w:marLeft w:val="0"/>
      <w:marRight w:val="0"/>
      <w:marTop w:val="0"/>
      <w:marBottom w:val="0"/>
      <w:divBdr>
        <w:top w:val="none" w:sz="0" w:space="0" w:color="auto"/>
        <w:left w:val="none" w:sz="0" w:space="0" w:color="auto"/>
        <w:bottom w:val="none" w:sz="0" w:space="0" w:color="auto"/>
        <w:right w:val="none" w:sz="0" w:space="0" w:color="auto"/>
      </w:divBdr>
    </w:div>
    <w:div w:id="181837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261</Words>
  <Characters>1494</Characters>
  <Application>Microsoft Office Word</Application>
  <DocSecurity>0</DocSecurity>
  <Lines>12</Lines>
  <Paragraphs>3</Paragraphs>
  <ScaleCrop>false</ScaleCrop>
  <Company>微软中国</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cp:revision>
  <cp:lastPrinted>2022-09-21T04:10:00Z</cp:lastPrinted>
  <dcterms:created xsi:type="dcterms:W3CDTF">2023-01-06T09:25:00Z</dcterms:created>
  <dcterms:modified xsi:type="dcterms:W3CDTF">2023-01-09T05:53:00Z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