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</w:t>
      </w:r>
      <w:r w:rsidR="00C25A95" w:rsidRPr="00C25A95">
        <w:rPr>
          <w:rFonts w:eastAsiaTheme="minorEastAsia" w:hAnsiTheme="minorEastAsia" w:hint="eastAsia"/>
          <w:b/>
          <w:kern w:val="0"/>
          <w:sz w:val="30"/>
          <w:szCs w:val="30"/>
        </w:rPr>
        <w:t>调整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大额申购（转换转入、定期定额投资）</w:t>
      </w:r>
      <w:r w:rsidR="00C4500C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C25A9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F45AB">
        <w:rPr>
          <w:rFonts w:eastAsiaTheme="minorEastAsia"/>
          <w:b/>
          <w:bCs/>
          <w:sz w:val="24"/>
          <w:szCs w:val="24"/>
        </w:rPr>
        <w:t>2022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C25A95">
        <w:rPr>
          <w:rFonts w:eastAsiaTheme="minorEastAsia"/>
          <w:b/>
          <w:bCs/>
          <w:sz w:val="24"/>
          <w:szCs w:val="24"/>
        </w:rPr>
        <w:t>7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C25A95">
        <w:rPr>
          <w:rFonts w:eastAsiaTheme="minorEastAsia"/>
          <w:b/>
          <w:bCs/>
          <w:sz w:val="24"/>
          <w:szCs w:val="24"/>
        </w:rPr>
        <w:t>9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2894"/>
        <w:gridCol w:w="3404"/>
      </w:tblGrid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8472DB" w:rsidP="00607CF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8472DB" w:rsidP="00607CF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FE41E3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607CF1">
        <w:tc>
          <w:tcPr>
            <w:tcW w:w="2491" w:type="dxa"/>
            <w:vMerge w:val="restart"/>
            <w:vAlign w:val="center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95940" w:rsidP="006F45AB"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的起始日、金额及原因说明</w:t>
            </w:r>
          </w:p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/>
        </w:tc>
        <w:tc>
          <w:tcPr>
            <w:tcW w:w="2894" w:type="dxa"/>
          </w:tcPr>
          <w:p w:rsidR="00C569C3" w:rsidRPr="00567DDA" w:rsidRDefault="00C95940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F45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C95940">
              <w:rPr>
                <w:rFonts w:eastAsiaTheme="minorEastAsia"/>
                <w:sz w:val="24"/>
                <w:szCs w:val="24"/>
              </w:rPr>
              <w:t>7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C95940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95940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大额转换转入起始日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C95940">
              <w:rPr>
                <w:rFonts w:eastAsiaTheme="minorEastAsia"/>
                <w:sz w:val="24"/>
                <w:szCs w:val="24"/>
              </w:rPr>
              <w:t>7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C95940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95940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C95940">
              <w:rPr>
                <w:rFonts w:eastAsiaTheme="minorEastAsia"/>
                <w:sz w:val="24"/>
                <w:szCs w:val="24"/>
              </w:rPr>
              <w:t>7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C95940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4" w:type="dxa"/>
            <w:vAlign w:val="center"/>
          </w:tcPr>
          <w:p w:rsidR="00C569C3" w:rsidRPr="00567DDA" w:rsidRDefault="00E756AF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6F45AB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404" w:type="dxa"/>
            <w:vAlign w:val="center"/>
          </w:tcPr>
          <w:p w:rsidR="00C569C3" w:rsidRPr="00567DDA" w:rsidRDefault="00E756AF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6F45AB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404" w:type="dxa"/>
          </w:tcPr>
          <w:p w:rsidR="00567DDA" w:rsidRPr="00567DDA" w:rsidRDefault="00E756AF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6F45AB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E756AF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大额申购（转换转入、定期定额投资）</w:t>
            </w:r>
            <w:r w:rsidR="00566A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限额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04" w:type="dxa"/>
          </w:tcPr>
          <w:p w:rsidR="00567DDA" w:rsidRPr="00567DDA" w:rsidRDefault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E756AF">
        <w:rPr>
          <w:rFonts w:eastAsiaTheme="minorEastAsia"/>
          <w:sz w:val="24"/>
          <w:szCs w:val="24"/>
        </w:rPr>
        <w:t>1</w:t>
      </w:r>
      <w:r w:rsidR="006F45AB">
        <w:rPr>
          <w:rFonts w:eastAsiaTheme="minorEastAsia"/>
          <w:sz w:val="24"/>
          <w:szCs w:val="24"/>
        </w:rPr>
        <w:t>000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E756AF">
        <w:rPr>
          <w:rFonts w:eastAsiaTheme="minorEastAsia"/>
          <w:sz w:val="24"/>
          <w:szCs w:val="24"/>
        </w:rPr>
        <w:t>1</w:t>
      </w:r>
      <w:r w:rsidR="006F45AB">
        <w:rPr>
          <w:rFonts w:eastAsiaTheme="minorEastAsia"/>
          <w:sz w:val="24"/>
          <w:szCs w:val="24"/>
        </w:rPr>
        <w:t>000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E756AF">
        <w:rPr>
          <w:rFonts w:eastAsiaTheme="minorEastAsia"/>
          <w:sz w:val="24"/>
          <w:szCs w:val="24"/>
        </w:rPr>
        <w:t>1</w:t>
      </w:r>
      <w:r w:rsidR="005B1035">
        <w:rPr>
          <w:rFonts w:eastAsiaTheme="minorEastAsia"/>
          <w:sz w:val="24"/>
          <w:szCs w:val="24"/>
        </w:rPr>
        <w:t>00</w:t>
      </w:r>
      <w:r w:rsidR="00846A58">
        <w:rPr>
          <w:rFonts w:eastAsiaTheme="minorEastAsia"/>
          <w:sz w:val="24"/>
          <w:szCs w:val="24"/>
        </w:rPr>
        <w:t>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E756AF">
        <w:rPr>
          <w:rFonts w:eastAsiaTheme="minorEastAsia"/>
          <w:sz w:val="24"/>
          <w:szCs w:val="24"/>
        </w:rPr>
        <w:t>1000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</w:t>
      </w:r>
      <w:r w:rsidR="00CF5EAE">
        <w:rPr>
          <w:rFonts w:eastAsiaTheme="minorEastAsia" w:hAnsiTheme="minorEastAsia" w:hint="eastAsia"/>
          <w:sz w:val="24"/>
          <w:szCs w:val="24"/>
        </w:rPr>
        <w:t>（</w:t>
      </w:r>
      <w:r w:rsidRPr="00567DDA">
        <w:rPr>
          <w:rFonts w:eastAsiaTheme="minorEastAsia" w:hAnsiTheme="minorEastAsia"/>
          <w:sz w:val="24"/>
          <w:szCs w:val="24"/>
        </w:rPr>
        <w:t>转换转出</w:t>
      </w:r>
      <w:r w:rsidR="00CF5EAE">
        <w:rPr>
          <w:rFonts w:eastAsiaTheme="minorEastAsia" w:hAnsiTheme="minorEastAsia" w:hint="eastAsia"/>
          <w:sz w:val="24"/>
          <w:szCs w:val="24"/>
        </w:rPr>
        <w:t>）</w:t>
      </w:r>
      <w:r w:rsidRPr="00567DDA">
        <w:rPr>
          <w:rFonts w:eastAsiaTheme="minorEastAsia" w:hAnsiTheme="minorEastAsia"/>
          <w:sz w:val="24"/>
          <w:szCs w:val="24"/>
        </w:rPr>
        <w:t>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5E36BC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6BC" w:rsidRDefault="005E36BC" w:rsidP="00D327FA">
      <w:r>
        <w:separator/>
      </w:r>
    </w:p>
  </w:endnote>
  <w:endnote w:type="continuationSeparator" w:id="0">
    <w:p w:rsidR="005E36BC" w:rsidRDefault="005E36B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6BC" w:rsidRDefault="005E36BC" w:rsidP="00D327FA">
      <w:r>
        <w:separator/>
      </w:r>
    </w:p>
  </w:footnote>
  <w:footnote w:type="continuationSeparator" w:id="0">
    <w:p w:rsidR="005E36BC" w:rsidRDefault="005E36B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1105"/>
    <w:rsid w:val="0033476C"/>
    <w:rsid w:val="0036784E"/>
    <w:rsid w:val="003753B6"/>
    <w:rsid w:val="003D0DCF"/>
    <w:rsid w:val="003D3818"/>
    <w:rsid w:val="00470869"/>
    <w:rsid w:val="00473FE4"/>
    <w:rsid w:val="004966BA"/>
    <w:rsid w:val="004B1D96"/>
    <w:rsid w:val="004D6346"/>
    <w:rsid w:val="004F0521"/>
    <w:rsid w:val="004F51E8"/>
    <w:rsid w:val="00536E8E"/>
    <w:rsid w:val="0055497B"/>
    <w:rsid w:val="00566AFA"/>
    <w:rsid w:val="00567DDA"/>
    <w:rsid w:val="005B1035"/>
    <w:rsid w:val="005E36BC"/>
    <w:rsid w:val="005F2DBE"/>
    <w:rsid w:val="00603A93"/>
    <w:rsid w:val="00607CF1"/>
    <w:rsid w:val="00633C51"/>
    <w:rsid w:val="00646522"/>
    <w:rsid w:val="00663031"/>
    <w:rsid w:val="006A0A5E"/>
    <w:rsid w:val="006B6C4C"/>
    <w:rsid w:val="006F45AB"/>
    <w:rsid w:val="0073228C"/>
    <w:rsid w:val="00753E39"/>
    <w:rsid w:val="00762FED"/>
    <w:rsid w:val="00770DB7"/>
    <w:rsid w:val="007B0250"/>
    <w:rsid w:val="007B1D31"/>
    <w:rsid w:val="008255A0"/>
    <w:rsid w:val="00837E48"/>
    <w:rsid w:val="00846A58"/>
    <w:rsid w:val="008472DB"/>
    <w:rsid w:val="008712F5"/>
    <w:rsid w:val="008D65EE"/>
    <w:rsid w:val="008D6773"/>
    <w:rsid w:val="008E2A7E"/>
    <w:rsid w:val="009233FD"/>
    <w:rsid w:val="00956B0F"/>
    <w:rsid w:val="00981679"/>
    <w:rsid w:val="009A0237"/>
    <w:rsid w:val="009C5858"/>
    <w:rsid w:val="009C6B75"/>
    <w:rsid w:val="00A243B0"/>
    <w:rsid w:val="00A2638C"/>
    <w:rsid w:val="00A428CE"/>
    <w:rsid w:val="00A5414E"/>
    <w:rsid w:val="00A71771"/>
    <w:rsid w:val="00A745E5"/>
    <w:rsid w:val="00AC0E51"/>
    <w:rsid w:val="00AD4FCC"/>
    <w:rsid w:val="00AD7BDD"/>
    <w:rsid w:val="00AF024E"/>
    <w:rsid w:val="00B0212F"/>
    <w:rsid w:val="00B101F7"/>
    <w:rsid w:val="00B13FDA"/>
    <w:rsid w:val="00B872E5"/>
    <w:rsid w:val="00BD545A"/>
    <w:rsid w:val="00BD601B"/>
    <w:rsid w:val="00C25A95"/>
    <w:rsid w:val="00C4500C"/>
    <w:rsid w:val="00C569C3"/>
    <w:rsid w:val="00C70EDA"/>
    <w:rsid w:val="00C844A2"/>
    <w:rsid w:val="00C95940"/>
    <w:rsid w:val="00CD74DC"/>
    <w:rsid w:val="00CF5EAE"/>
    <w:rsid w:val="00D114B7"/>
    <w:rsid w:val="00D1480F"/>
    <w:rsid w:val="00D327FA"/>
    <w:rsid w:val="00D95A18"/>
    <w:rsid w:val="00D95E1D"/>
    <w:rsid w:val="00DD22A8"/>
    <w:rsid w:val="00DF159B"/>
    <w:rsid w:val="00E22B59"/>
    <w:rsid w:val="00E3565A"/>
    <w:rsid w:val="00E414B0"/>
    <w:rsid w:val="00E63200"/>
    <w:rsid w:val="00E714AE"/>
    <w:rsid w:val="00E756AF"/>
    <w:rsid w:val="00E830A4"/>
    <w:rsid w:val="00E9491B"/>
    <w:rsid w:val="00EA7B49"/>
    <w:rsid w:val="00EC47F6"/>
    <w:rsid w:val="00EE1823"/>
    <w:rsid w:val="00EF476D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20</cp:revision>
  <dcterms:created xsi:type="dcterms:W3CDTF">2019-12-24T08:55:00Z</dcterms:created>
  <dcterms:modified xsi:type="dcterms:W3CDTF">2022-07-08T01:20:00Z</dcterms:modified>
</cp:coreProperties>
</file>