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2F37" w14:textId="77777777" w:rsidR="00E349C5" w:rsidRPr="00EB07BC" w:rsidRDefault="00E349C5">
      <w:pPr>
        <w:rPr>
          <w:sz w:val="32"/>
        </w:rPr>
      </w:pPr>
    </w:p>
    <w:p w14:paraId="67111011" w14:textId="77777777" w:rsidR="00E349C5" w:rsidRPr="00EB07BC" w:rsidRDefault="00E349C5">
      <w:pPr>
        <w:rPr>
          <w:sz w:val="32"/>
        </w:rPr>
      </w:pPr>
    </w:p>
    <w:p w14:paraId="14A25A22" w14:textId="77777777" w:rsidR="00E349C5" w:rsidRPr="00EB07BC" w:rsidRDefault="00E349C5">
      <w:pPr>
        <w:rPr>
          <w:sz w:val="32"/>
        </w:rPr>
      </w:pPr>
    </w:p>
    <w:p w14:paraId="33688ACA" w14:textId="1344FC25" w:rsidR="00E349C5" w:rsidRPr="00EB07BC" w:rsidRDefault="00C105ED">
      <w:pPr>
        <w:jc w:val="center"/>
        <w:rPr>
          <w:sz w:val="32"/>
        </w:rPr>
      </w:pPr>
      <w:r>
        <w:rPr>
          <w:noProof/>
        </w:rPr>
        <w:drawing>
          <wp:inline distT="0" distB="0" distL="0" distR="0" wp14:anchorId="4FDFBED6" wp14:editId="6FEA86DF">
            <wp:extent cx="4343400" cy="571500"/>
            <wp:effectExtent l="0" t="0" r="0" b="0"/>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4CA14950" w14:textId="77777777" w:rsidR="00B164D3" w:rsidRDefault="00B164D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62866B69" w14:textId="77777777" w:rsidR="00B164D3" w:rsidRDefault="00B164D3">
      <w:pPr>
        <w:autoSpaceDE w:val="0"/>
        <w:autoSpaceDN w:val="0"/>
        <w:adjustRightInd w:val="0"/>
        <w:snapToGrid w:val="0"/>
        <w:spacing w:before="63" w:line="360" w:lineRule="auto"/>
        <w:ind w:rightChars="6" w:right="13"/>
        <w:jc w:val="center"/>
        <w:rPr>
          <w:rFonts w:ascii="宋体" w:hAnsi="宋体"/>
          <w:b/>
          <w:spacing w:val="2"/>
          <w:w w:val="99"/>
          <w:kern w:val="0"/>
          <w:position w:val="-4"/>
          <w:sz w:val="44"/>
          <w:szCs w:val="44"/>
        </w:rPr>
      </w:pPr>
    </w:p>
    <w:p w14:paraId="59D383D1" w14:textId="77777777" w:rsidR="00B164D3" w:rsidRDefault="000605B5">
      <w:pPr>
        <w:autoSpaceDE w:val="0"/>
        <w:autoSpaceDN w:val="0"/>
        <w:adjustRightInd w:val="0"/>
        <w:snapToGrid w:val="0"/>
        <w:spacing w:before="63" w:line="360" w:lineRule="auto"/>
        <w:ind w:rightChars="6" w:right="13"/>
        <w:jc w:val="center"/>
        <w:rPr>
          <w:rFonts w:ascii="黑体" w:hAnsi="黑体"/>
          <w:b/>
          <w:spacing w:val="2"/>
          <w:w w:val="99"/>
          <w:kern w:val="0"/>
          <w:position w:val="-4"/>
          <w:sz w:val="44"/>
          <w:szCs w:val="44"/>
        </w:rPr>
      </w:pPr>
      <w:r>
        <w:rPr>
          <w:rFonts w:ascii="Times New Roman" w:hAnsi="Times New Roman"/>
          <w:b/>
          <w:spacing w:val="2"/>
          <w:w w:val="99"/>
          <w:kern w:val="0"/>
          <w:position w:val="-4"/>
          <w:sz w:val="44"/>
          <w:szCs w:val="44"/>
        </w:rPr>
        <w:t>交银施罗德臻选回报混合型证券投资基金</w:t>
      </w:r>
    </w:p>
    <w:p w14:paraId="2274DF9D" w14:textId="77777777" w:rsidR="00B164D3" w:rsidRDefault="000605B5">
      <w:pPr>
        <w:autoSpaceDE w:val="0"/>
        <w:autoSpaceDN w:val="0"/>
        <w:adjustRightInd w:val="0"/>
        <w:snapToGrid w:val="0"/>
        <w:spacing w:before="63" w:line="360" w:lineRule="auto"/>
        <w:ind w:rightChars="6" w:right="13"/>
        <w:jc w:val="center"/>
        <w:rPr>
          <w:rFonts w:ascii="宋体" w:hAnsi="宋体"/>
          <w:b/>
          <w:kern w:val="0"/>
          <w:sz w:val="44"/>
          <w:szCs w:val="44"/>
        </w:rPr>
      </w:pPr>
      <w:r>
        <w:rPr>
          <w:rFonts w:ascii="宋体" w:hAnsi="宋体"/>
          <w:b/>
          <w:spacing w:val="2"/>
          <w:w w:val="99"/>
          <w:kern w:val="0"/>
          <w:sz w:val="44"/>
          <w:szCs w:val="44"/>
        </w:rPr>
        <w:t>(更新)招募说明书</w:t>
      </w:r>
    </w:p>
    <w:p w14:paraId="78B35915" w14:textId="58306031" w:rsidR="00B164D3" w:rsidRDefault="000605B5">
      <w:pPr>
        <w:snapToGrid w:val="0"/>
        <w:spacing w:line="360" w:lineRule="auto"/>
        <w:jc w:val="center"/>
        <w:rPr>
          <w:rFonts w:ascii="宋体" w:hAnsi="宋体"/>
          <w:b/>
          <w:sz w:val="30"/>
          <w:szCs w:val="30"/>
        </w:rPr>
      </w:pPr>
      <w:r>
        <w:rPr>
          <w:rFonts w:ascii="Times New Roman" w:hAnsi="Times New Roman"/>
          <w:b/>
          <w:color w:val="000000"/>
          <w:sz w:val="32"/>
          <w:szCs w:val="32"/>
        </w:rPr>
        <w:t>(</w:t>
      </w:r>
      <w:r w:rsidR="004E6879">
        <w:rPr>
          <w:rFonts w:ascii="Times New Roman" w:hAnsi="Times New Roman"/>
          <w:b/>
          <w:color w:val="000000"/>
          <w:sz w:val="32"/>
          <w:szCs w:val="32"/>
        </w:rPr>
        <w:t>2022</w:t>
      </w:r>
      <w:r>
        <w:rPr>
          <w:rFonts w:ascii="Times New Roman" w:hAnsi="Times New Roman"/>
          <w:b/>
          <w:color w:val="000000"/>
          <w:sz w:val="32"/>
          <w:szCs w:val="32"/>
        </w:rPr>
        <w:t>年第</w:t>
      </w:r>
      <w:r w:rsidR="004E6879">
        <w:rPr>
          <w:rFonts w:ascii="Times New Roman" w:hAnsi="Times New Roman" w:hint="eastAsia"/>
          <w:b/>
          <w:color w:val="000000"/>
          <w:sz w:val="32"/>
          <w:szCs w:val="32"/>
        </w:rPr>
        <w:t>1</w:t>
      </w:r>
      <w:r>
        <w:rPr>
          <w:rFonts w:ascii="Times New Roman" w:hAnsi="Times New Roman"/>
          <w:b/>
          <w:color w:val="000000"/>
          <w:sz w:val="32"/>
          <w:szCs w:val="32"/>
        </w:rPr>
        <w:t>号</w:t>
      </w:r>
      <w:r>
        <w:rPr>
          <w:rFonts w:ascii="Times New Roman" w:hAnsi="Times New Roman"/>
          <w:b/>
          <w:color w:val="000000"/>
          <w:sz w:val="32"/>
          <w:szCs w:val="32"/>
        </w:rPr>
        <w:t>)</w:t>
      </w:r>
    </w:p>
    <w:p w14:paraId="136D6CAC"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7EEC7A4"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E6DD184"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60BA737"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81AE941"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6B73619D"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474BFAB" w14:textId="77777777" w:rsidR="00B164D3" w:rsidRDefault="000605B5">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基金管理人：交银施罗德基金管理有限公司</w:t>
      </w:r>
    </w:p>
    <w:p w14:paraId="4DE9D1DF" w14:textId="77777777" w:rsidR="00B164D3" w:rsidRDefault="000605B5">
      <w:pPr>
        <w:autoSpaceDE w:val="0"/>
        <w:autoSpaceDN w:val="0"/>
        <w:adjustRightInd w:val="0"/>
        <w:snapToGrid w:val="0"/>
        <w:spacing w:line="360" w:lineRule="auto"/>
        <w:ind w:firstLineChars="500" w:firstLine="1405"/>
        <w:rPr>
          <w:rFonts w:ascii="宋体" w:hAnsi="宋体"/>
          <w:b/>
          <w:w w:val="99"/>
          <w:kern w:val="0"/>
          <w:sz w:val="28"/>
          <w:szCs w:val="32"/>
        </w:rPr>
      </w:pPr>
      <w:r>
        <w:rPr>
          <w:rFonts w:ascii="宋体" w:hAnsi="宋体"/>
          <w:b/>
          <w:spacing w:val="2"/>
          <w:w w:val="99"/>
          <w:kern w:val="0"/>
          <w:sz w:val="28"/>
          <w:szCs w:val="32"/>
        </w:rPr>
        <w:t>基金托管人：中信银行股份有限公司</w:t>
      </w:r>
    </w:p>
    <w:p w14:paraId="1E252E2F"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13697035" w14:textId="77777777" w:rsidR="00B164D3" w:rsidRDefault="00B164D3">
      <w:pPr>
        <w:autoSpaceDE w:val="0"/>
        <w:autoSpaceDN w:val="0"/>
        <w:adjustRightInd w:val="0"/>
        <w:snapToGrid w:val="0"/>
        <w:spacing w:line="360" w:lineRule="auto"/>
        <w:ind w:rightChars="6" w:right="13"/>
        <w:jc w:val="center"/>
        <w:rPr>
          <w:rFonts w:ascii="宋体" w:hAnsi="宋体"/>
          <w:spacing w:val="2"/>
          <w:w w:val="99"/>
          <w:kern w:val="0"/>
          <w:sz w:val="32"/>
          <w:szCs w:val="32"/>
        </w:rPr>
      </w:pPr>
    </w:p>
    <w:p w14:paraId="4F025E65" w14:textId="068287E8" w:rsidR="00B164D3" w:rsidRDefault="000605B5">
      <w:pPr>
        <w:autoSpaceDE w:val="0"/>
        <w:autoSpaceDN w:val="0"/>
        <w:adjustRightInd w:val="0"/>
        <w:snapToGrid w:val="0"/>
        <w:spacing w:line="360" w:lineRule="auto"/>
        <w:ind w:rightChars="6" w:right="13"/>
        <w:jc w:val="center"/>
        <w:rPr>
          <w:rFonts w:ascii="宋体" w:hAnsi="宋体"/>
          <w:b/>
          <w:kern w:val="0"/>
          <w:sz w:val="28"/>
          <w:szCs w:val="32"/>
        </w:rPr>
      </w:pPr>
      <w:r>
        <w:rPr>
          <w:rFonts w:ascii="Times New Roman" w:hAnsi="Times New Roman"/>
          <w:b/>
          <w:spacing w:val="2"/>
          <w:w w:val="99"/>
          <w:kern w:val="0"/>
          <w:sz w:val="28"/>
          <w:szCs w:val="32"/>
        </w:rPr>
        <w:t>二〇二</w:t>
      </w:r>
      <w:r w:rsidR="00116B28">
        <w:rPr>
          <w:rFonts w:ascii="Times New Roman" w:hAnsi="Times New Roman" w:hint="eastAsia"/>
          <w:b/>
          <w:spacing w:val="2"/>
          <w:w w:val="99"/>
          <w:kern w:val="0"/>
          <w:sz w:val="28"/>
          <w:szCs w:val="32"/>
        </w:rPr>
        <w:t>二</w:t>
      </w:r>
      <w:r>
        <w:rPr>
          <w:rFonts w:ascii="Times New Roman" w:hAnsi="Times New Roman"/>
          <w:b/>
          <w:spacing w:val="2"/>
          <w:w w:val="99"/>
          <w:kern w:val="0"/>
          <w:sz w:val="28"/>
          <w:szCs w:val="32"/>
        </w:rPr>
        <w:t>年</w:t>
      </w:r>
      <w:r w:rsidR="003F23B4">
        <w:rPr>
          <w:rFonts w:ascii="Times New Roman" w:hAnsi="Times New Roman" w:hint="eastAsia"/>
          <w:b/>
          <w:spacing w:val="2"/>
          <w:w w:val="99"/>
          <w:kern w:val="0"/>
          <w:sz w:val="28"/>
          <w:szCs w:val="32"/>
        </w:rPr>
        <w:t>七</w:t>
      </w:r>
      <w:r>
        <w:rPr>
          <w:rFonts w:ascii="Times New Roman" w:hAnsi="Times New Roman"/>
          <w:b/>
          <w:spacing w:val="2"/>
          <w:w w:val="99"/>
          <w:kern w:val="0"/>
          <w:sz w:val="28"/>
          <w:szCs w:val="32"/>
        </w:rPr>
        <w:t>月</w:t>
      </w:r>
    </w:p>
    <w:p w14:paraId="28EC2AED" w14:textId="77777777" w:rsidR="00B164D3" w:rsidRDefault="00B164D3">
      <w:pPr>
        <w:autoSpaceDE w:val="0"/>
        <w:autoSpaceDN w:val="0"/>
        <w:adjustRightInd w:val="0"/>
        <w:snapToGrid w:val="0"/>
        <w:spacing w:line="360" w:lineRule="auto"/>
        <w:ind w:left="1347" w:rightChars="6" w:right="13"/>
        <w:rPr>
          <w:rFonts w:ascii="宋体" w:hAnsi="宋体"/>
          <w:kern w:val="0"/>
          <w:sz w:val="32"/>
          <w:szCs w:val="32"/>
        </w:rPr>
        <w:sectPr w:rsidR="00B164D3">
          <w:headerReference w:type="default" r:id="rId9"/>
          <w:footerReference w:type="default" r:id="rId10"/>
          <w:headerReference w:type="first" r:id="rId11"/>
          <w:pgSz w:w="11920" w:h="16840"/>
          <w:pgMar w:top="1560" w:right="1680" w:bottom="280" w:left="1680" w:header="0" w:footer="1073" w:gutter="0"/>
          <w:pgNumType w:start="1"/>
          <w:cols w:space="720"/>
          <w:titlePg/>
          <w:docGrid w:linePitch="286"/>
        </w:sectPr>
      </w:pPr>
    </w:p>
    <w:p w14:paraId="07377E99" w14:textId="77777777" w:rsidR="00B164D3" w:rsidRDefault="000605B5">
      <w:pPr>
        <w:pStyle w:val="1"/>
        <w:snapToGrid w:val="0"/>
        <w:spacing w:beforeLines="0" w:before="240" w:after="240"/>
        <w:rPr>
          <w:rFonts w:ascii="宋体" w:hAnsi="宋体"/>
          <w:kern w:val="0"/>
        </w:rPr>
      </w:pPr>
      <w:bookmarkStart w:id="0" w:name="_Toc324920538"/>
      <w:bookmarkStart w:id="1" w:name="_Toc496884613"/>
      <w:bookmarkStart w:id="2" w:name="_Toc85115615"/>
      <w:r>
        <w:rPr>
          <w:rFonts w:ascii="Times New Roman" w:hAnsi="Times New Roman"/>
          <w:kern w:val="0"/>
        </w:rPr>
        <w:lastRenderedPageBreak/>
        <w:t>重要提示</w:t>
      </w:r>
      <w:bookmarkEnd w:id="0"/>
      <w:bookmarkEnd w:id="1"/>
      <w:bookmarkEnd w:id="2"/>
    </w:p>
    <w:p w14:paraId="77006568"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交银施罗德臻选回报混合型证券投资基金（以下简称</w:t>
      </w:r>
      <w:r>
        <w:rPr>
          <w:rFonts w:ascii="Times New Roman" w:hAnsi="Times New Roman"/>
          <w:kern w:val="0"/>
          <w:sz w:val="24"/>
        </w:rPr>
        <w:t>“</w:t>
      </w:r>
      <w:r>
        <w:rPr>
          <w:rFonts w:ascii="Times New Roman" w:hAnsi="Times New Roman"/>
          <w:kern w:val="0"/>
          <w:sz w:val="24"/>
        </w:rPr>
        <w:t>本基金</w:t>
      </w:r>
      <w:r>
        <w:rPr>
          <w:rFonts w:ascii="Times New Roman" w:hAnsi="Times New Roman"/>
          <w:kern w:val="0"/>
          <w:sz w:val="24"/>
        </w:rPr>
        <w:t>”</w:t>
      </w:r>
      <w:r>
        <w:rPr>
          <w:rFonts w:ascii="Times New Roman" w:hAnsi="Times New Roman"/>
          <w:kern w:val="0"/>
          <w:sz w:val="24"/>
        </w:rPr>
        <w:t>）经</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11</w:t>
      </w:r>
      <w:r>
        <w:rPr>
          <w:rFonts w:ascii="Times New Roman" w:hAnsi="Times New Roman"/>
          <w:kern w:val="0"/>
          <w:sz w:val="24"/>
        </w:rPr>
        <w:t>月</w:t>
      </w:r>
      <w:r>
        <w:rPr>
          <w:rFonts w:ascii="Times New Roman" w:hAnsi="Times New Roman"/>
          <w:kern w:val="0"/>
          <w:sz w:val="24"/>
        </w:rPr>
        <w:t>17</w:t>
      </w:r>
      <w:r>
        <w:rPr>
          <w:rFonts w:ascii="Times New Roman" w:hAnsi="Times New Roman"/>
          <w:kern w:val="0"/>
          <w:sz w:val="24"/>
        </w:rPr>
        <w:t>日中国证券监督管理委员会（以下简称</w:t>
      </w:r>
      <w:r>
        <w:rPr>
          <w:rFonts w:ascii="Times New Roman" w:hAnsi="Times New Roman"/>
          <w:kern w:val="0"/>
          <w:sz w:val="24"/>
        </w:rPr>
        <w:t>“</w:t>
      </w:r>
      <w:r>
        <w:rPr>
          <w:rFonts w:ascii="Times New Roman" w:hAnsi="Times New Roman"/>
          <w:kern w:val="0"/>
          <w:sz w:val="24"/>
        </w:rPr>
        <w:t>中国证监会</w:t>
      </w:r>
      <w:r>
        <w:rPr>
          <w:rFonts w:ascii="Times New Roman" w:hAnsi="Times New Roman"/>
          <w:kern w:val="0"/>
          <w:sz w:val="24"/>
        </w:rPr>
        <w:t>”</w:t>
      </w:r>
      <w:r>
        <w:rPr>
          <w:rFonts w:ascii="Times New Roman" w:hAnsi="Times New Roman"/>
          <w:kern w:val="0"/>
          <w:sz w:val="24"/>
        </w:rPr>
        <w:t>）证监许可【</w:t>
      </w:r>
      <w:r>
        <w:rPr>
          <w:rFonts w:ascii="Times New Roman" w:hAnsi="Times New Roman"/>
          <w:kern w:val="0"/>
          <w:sz w:val="24"/>
        </w:rPr>
        <w:t>2020</w:t>
      </w:r>
      <w:r>
        <w:rPr>
          <w:rFonts w:ascii="Times New Roman" w:hAnsi="Times New Roman"/>
          <w:kern w:val="0"/>
          <w:sz w:val="24"/>
        </w:rPr>
        <w:t>】</w:t>
      </w:r>
      <w:r>
        <w:rPr>
          <w:rFonts w:ascii="Times New Roman" w:hAnsi="Times New Roman"/>
          <w:kern w:val="0"/>
          <w:sz w:val="24"/>
        </w:rPr>
        <w:t>3090</w:t>
      </w:r>
      <w:r>
        <w:rPr>
          <w:rFonts w:ascii="Times New Roman" w:hAnsi="Times New Roman"/>
          <w:kern w:val="0"/>
          <w:sz w:val="24"/>
        </w:rPr>
        <w:t>号文准予募集注册。本基金基金合同于</w:t>
      </w:r>
      <w:r>
        <w:rPr>
          <w:rFonts w:ascii="Times New Roman" w:hAnsi="Times New Roman"/>
          <w:kern w:val="0"/>
          <w:sz w:val="24"/>
        </w:rPr>
        <w:t>2020</w:t>
      </w:r>
      <w:r>
        <w:rPr>
          <w:rFonts w:ascii="Times New Roman" w:hAnsi="Times New Roman"/>
          <w:kern w:val="0"/>
          <w:sz w:val="24"/>
        </w:rPr>
        <w:t>年</w:t>
      </w:r>
      <w:r>
        <w:rPr>
          <w:rFonts w:ascii="Times New Roman" w:hAnsi="Times New Roman"/>
          <w:kern w:val="0"/>
          <w:sz w:val="24"/>
        </w:rPr>
        <w:t>12</w:t>
      </w:r>
      <w:r>
        <w:rPr>
          <w:rFonts w:ascii="Times New Roman" w:hAnsi="Times New Roman"/>
          <w:kern w:val="0"/>
          <w:sz w:val="24"/>
        </w:rPr>
        <w:t>月</w:t>
      </w:r>
      <w:r>
        <w:rPr>
          <w:rFonts w:ascii="Times New Roman" w:hAnsi="Times New Roman"/>
          <w:kern w:val="0"/>
          <w:sz w:val="24"/>
        </w:rPr>
        <w:t>23</w:t>
      </w:r>
      <w:r>
        <w:rPr>
          <w:rFonts w:ascii="Times New Roman" w:hAnsi="Times New Roman"/>
          <w:kern w:val="0"/>
          <w:sz w:val="24"/>
        </w:rPr>
        <w:t>日正式生效。</w:t>
      </w:r>
    </w:p>
    <w:p w14:paraId="653F3EF7"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保证招募说明书的内容真实、准确、完整。本招募说明书经中国证监会注册，但中国证监会对本基金募集的注册，并不表明其对本基金的投资价值和市场前景作出实质性判断或保证，也不表明投资于本基金没有风险。</w:t>
      </w:r>
    </w:p>
    <w:p w14:paraId="465F710E"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管理人依照恪尽职守、诚实信用、谨慎勤勉的原则管理和运用基金财产，但不保证投资本基金一定盈利，也不保证基金份额持有人的最低收益；因基金价格可升可跌，亦不保证基金份额持有人能全数取回其原本投资。</w:t>
      </w:r>
    </w:p>
    <w:p w14:paraId="5681126E"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份额享受基金的收益，但同时也需承担相应的投资风险。投资本基金可能遇到的风险包括：因受到经济因素、政治因素、投资心理和交易制度等各种因素的影响而引起的市场风险；基金管理人在基金管理运作过程中产生的基金管理风险；流动性风险（包括实施侧袋机制时的特定风险）；信用风险；投资股指期货的特定风险；投资资产支持证券的特定风险；投资流通受限证券的特定风险；投资科创板股票的特定风险；连续</w:t>
      </w:r>
      <w:r>
        <w:rPr>
          <w:rFonts w:ascii="Times New Roman" w:hAnsi="Times New Roman"/>
          <w:kern w:val="0"/>
          <w:sz w:val="24"/>
        </w:rPr>
        <w:t>50</w:t>
      </w:r>
      <w:r>
        <w:rPr>
          <w:rFonts w:ascii="Times New Roman" w:hAnsi="Times New Roman"/>
          <w:kern w:val="0"/>
          <w:sz w:val="24"/>
        </w:rPr>
        <w:t>个工作日出现基金份额持有人数量不满</w:t>
      </w:r>
      <w:r>
        <w:rPr>
          <w:rFonts w:ascii="Times New Roman" w:hAnsi="Times New Roman"/>
          <w:kern w:val="0"/>
          <w:sz w:val="24"/>
        </w:rPr>
        <w:t>200</w:t>
      </w:r>
      <w:r>
        <w:rPr>
          <w:rFonts w:ascii="Times New Roman" w:hAnsi="Times New Roman"/>
          <w:kern w:val="0"/>
          <w:sz w:val="24"/>
        </w:rPr>
        <w:t>人或基金资产净值低于</w:t>
      </w:r>
      <w:r>
        <w:rPr>
          <w:rFonts w:ascii="Times New Roman" w:hAnsi="Times New Roman"/>
          <w:kern w:val="0"/>
          <w:sz w:val="24"/>
        </w:rPr>
        <w:t>5000</w:t>
      </w:r>
      <w:r>
        <w:rPr>
          <w:rFonts w:ascii="Times New Roman" w:hAnsi="Times New Roman"/>
          <w:kern w:val="0"/>
          <w:sz w:val="24"/>
        </w:rPr>
        <w:t>万元情形时基金管理人可依基金合同约定提前终止基金合同的风险；投资本基金的其他风险等等。</w:t>
      </w:r>
    </w:p>
    <w:p w14:paraId="30ACF8D4"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76D2A1F2"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099BC551"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lastRenderedPageBreak/>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37ED6667"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本基金是一只混合型基金，其预期风险和预期收益高于债券型基金和货币市场基金，低于股票型基金。</w:t>
      </w:r>
    </w:p>
    <w:p w14:paraId="297E5D2E"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本基金投资内地与香港股票市场交易互联互通机制允许买卖的规定范围内的香港联合交易所有限公司（以下简称</w:t>
      </w:r>
      <w:r>
        <w:rPr>
          <w:rFonts w:ascii="Times New Roman" w:hAnsi="Times New Roman"/>
          <w:kern w:val="0"/>
          <w:sz w:val="24"/>
        </w:rPr>
        <w:t>“</w:t>
      </w:r>
      <w:r>
        <w:rPr>
          <w:rFonts w:ascii="Times New Roman" w:hAnsi="Times New Roman"/>
          <w:kern w:val="0"/>
          <w:sz w:val="24"/>
        </w:rPr>
        <w:t>香港联合交易所</w:t>
      </w:r>
      <w:r>
        <w:rPr>
          <w:rFonts w:ascii="Times New Roman" w:hAnsi="Times New Roman"/>
          <w:kern w:val="0"/>
          <w:sz w:val="24"/>
        </w:rPr>
        <w:t>”</w:t>
      </w:r>
      <w:r>
        <w:rPr>
          <w:rFonts w:ascii="Times New Roman" w:hAnsi="Times New Roman"/>
          <w:kern w:val="0"/>
          <w:sz w:val="24"/>
        </w:rPr>
        <w:t>）上市的股票（以下简称</w:t>
      </w:r>
      <w:r>
        <w:rPr>
          <w:rFonts w:ascii="Times New Roman" w:hAnsi="Times New Roman"/>
          <w:kern w:val="0"/>
          <w:sz w:val="24"/>
        </w:rPr>
        <w:t>“</w:t>
      </w:r>
      <w:r>
        <w:rPr>
          <w:rFonts w:ascii="Times New Roman" w:hAnsi="Times New Roman"/>
          <w:kern w:val="0"/>
          <w:sz w:val="24"/>
        </w:rPr>
        <w:t>港股通标的股票</w:t>
      </w:r>
      <w:r>
        <w:rPr>
          <w:rFonts w:ascii="Times New Roman" w:hAnsi="Times New Roman"/>
          <w:kern w:val="0"/>
          <w:sz w:val="24"/>
        </w:rPr>
        <w:t>”</w:t>
      </w:r>
      <w:r>
        <w:rPr>
          <w:rFonts w:ascii="Times New Roman" w:hAnsi="Times New Roman"/>
          <w:kern w:val="0"/>
          <w:sz w:val="24"/>
        </w:rPr>
        <w:t>）的，会面临港股通机制下因投资环境、投资标的、市场制度以及交易规则等差异带来的特有风险，包括港股市场股价波动较大的风险（港股市场实行</w:t>
      </w:r>
      <w:r>
        <w:rPr>
          <w:rFonts w:ascii="Times New Roman" w:hAnsi="Times New Roman"/>
          <w:kern w:val="0"/>
          <w:sz w:val="24"/>
        </w:rPr>
        <w:t>T+0</w:t>
      </w:r>
      <w:r>
        <w:rPr>
          <w:rFonts w:ascii="Times New Roman" w:hAnsi="Times New Roman"/>
          <w:kern w:val="0"/>
          <w:sz w:val="24"/>
        </w:rPr>
        <w:t>回转交易，且对个股不设涨跌幅限制，港股股价可能表现出比</w:t>
      </w:r>
      <w:r>
        <w:rPr>
          <w:rFonts w:ascii="Times New Roman" w:hAnsi="Times New Roman"/>
          <w:kern w:val="0"/>
          <w:sz w:val="24"/>
        </w:rPr>
        <w:t>A</w:t>
      </w:r>
      <w:r>
        <w:rPr>
          <w:rFonts w:ascii="Times New Roman" w:hAnsi="Times New Roman"/>
          <w:kern w:val="0"/>
          <w:sz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请查阅本基金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章节的具体内容。</w:t>
      </w:r>
    </w:p>
    <w:p w14:paraId="6FC9666E"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基金可根据投资策略需要或不同配置地市场环境的变化，选择将部分基金资产投资于港股或选择不将基金资产投资于港股，基金资产并非必然投资港股。</w:t>
      </w:r>
    </w:p>
    <w:p w14:paraId="1C6B770F"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具体风险烦请查阅本招募说明书</w:t>
      </w:r>
      <w:r>
        <w:rPr>
          <w:rFonts w:ascii="Times New Roman" w:hAnsi="Times New Roman"/>
          <w:kern w:val="0"/>
          <w:sz w:val="24"/>
        </w:rPr>
        <w:t>“</w:t>
      </w:r>
      <w:r>
        <w:rPr>
          <w:rFonts w:ascii="Times New Roman" w:hAnsi="Times New Roman"/>
          <w:kern w:val="0"/>
          <w:sz w:val="24"/>
        </w:rPr>
        <w:t>风险揭示</w:t>
      </w:r>
      <w:r>
        <w:rPr>
          <w:rFonts w:ascii="Times New Roman" w:hAnsi="Times New Roman"/>
          <w:kern w:val="0"/>
          <w:sz w:val="24"/>
        </w:rPr>
        <w:t>”</w:t>
      </w:r>
      <w:r>
        <w:rPr>
          <w:rFonts w:ascii="Times New Roman" w:hAnsi="Times New Roman"/>
          <w:kern w:val="0"/>
          <w:sz w:val="24"/>
        </w:rPr>
        <w:t>章节内容。</w:t>
      </w:r>
    </w:p>
    <w:p w14:paraId="61C33FE8"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本基金可根据投资策略需要或市场环境的变化，选择将部分基金资产投资于存托凭证或选择不将基金资产投资于存托凭证，基金资产并非必然投资存托凭证。</w:t>
      </w:r>
    </w:p>
    <w:p w14:paraId="1A778FBC"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投资有风险，投资人在投资本基金前应认真阅读本基金的招募说明书、基金合同、基金产品资料概要等信息披露文件，自主判断基金的投资价值，自主作出投资决策，自行承担投资风险。基金的过往业绩并不代表未来表现。基金管理人管理的其他基金的业绩并不构成对本基金业绩表现的保证。基金管理人提醒投资者基金投资的</w:t>
      </w:r>
      <w:r>
        <w:rPr>
          <w:rFonts w:ascii="Times New Roman" w:hAnsi="Times New Roman"/>
          <w:kern w:val="0"/>
          <w:sz w:val="24"/>
        </w:rPr>
        <w:t>“</w:t>
      </w:r>
      <w:r>
        <w:rPr>
          <w:rFonts w:ascii="Times New Roman" w:hAnsi="Times New Roman"/>
          <w:kern w:val="0"/>
          <w:sz w:val="24"/>
        </w:rPr>
        <w:t>买者自负</w:t>
      </w:r>
      <w:r>
        <w:rPr>
          <w:rFonts w:ascii="Times New Roman" w:hAnsi="Times New Roman"/>
          <w:kern w:val="0"/>
          <w:sz w:val="24"/>
        </w:rPr>
        <w:t>”</w:t>
      </w:r>
      <w:r>
        <w:rPr>
          <w:rFonts w:ascii="Times New Roman" w:hAnsi="Times New Roman"/>
          <w:kern w:val="0"/>
          <w:sz w:val="24"/>
        </w:rPr>
        <w:t>原则，在投资者作出投资决策后，基金运营状况与基金净值变化引致的投资风险，由投资者自行负责。</w:t>
      </w:r>
    </w:p>
    <w:p w14:paraId="77D1DAB6" w14:textId="77777777" w:rsidR="00B164D3" w:rsidRDefault="000605B5">
      <w:pPr>
        <w:autoSpaceDE w:val="0"/>
        <w:autoSpaceDN w:val="0"/>
        <w:adjustRightInd w:val="0"/>
        <w:snapToGrid w:val="0"/>
        <w:spacing w:line="360" w:lineRule="auto"/>
        <w:ind w:leftChars="50" w:left="105" w:firstLineChars="200" w:firstLine="480"/>
        <w:rPr>
          <w:rFonts w:ascii="宋体" w:hAnsi="宋体"/>
          <w:kern w:val="0"/>
          <w:sz w:val="24"/>
        </w:rPr>
      </w:pPr>
      <w:r>
        <w:rPr>
          <w:rFonts w:ascii="Times New Roman" w:hAnsi="Times New Roman"/>
          <w:kern w:val="0"/>
          <w:sz w:val="24"/>
        </w:rPr>
        <w:t>本基金单一投资者持有基金份额数不得超过基金份额总数的</w:t>
      </w:r>
      <w:r>
        <w:rPr>
          <w:rFonts w:ascii="Times New Roman" w:hAnsi="Times New Roman"/>
          <w:kern w:val="0"/>
          <w:sz w:val="24"/>
        </w:rPr>
        <w:t>50%</w:t>
      </w:r>
      <w:r>
        <w:rPr>
          <w:rFonts w:ascii="Times New Roman" w:hAnsi="Times New Roman"/>
          <w:kern w:val="0"/>
          <w:sz w:val="24"/>
        </w:rPr>
        <w:t>，但在基金</w:t>
      </w:r>
      <w:r>
        <w:rPr>
          <w:rFonts w:ascii="Times New Roman" w:hAnsi="Times New Roman"/>
          <w:kern w:val="0"/>
          <w:sz w:val="24"/>
        </w:rPr>
        <w:lastRenderedPageBreak/>
        <w:t>运作过程中因基金份额赎回等情形导致被动超过前述</w:t>
      </w:r>
      <w:r>
        <w:rPr>
          <w:rFonts w:ascii="Times New Roman" w:hAnsi="Times New Roman"/>
          <w:kern w:val="0"/>
          <w:sz w:val="24"/>
        </w:rPr>
        <w:t>50%</w:t>
      </w:r>
      <w:r>
        <w:rPr>
          <w:rFonts w:ascii="Times New Roman" w:hAnsi="Times New Roman"/>
          <w:kern w:val="0"/>
          <w:sz w:val="24"/>
        </w:rPr>
        <w:t>比例的除外。</w:t>
      </w:r>
    </w:p>
    <w:p w14:paraId="48C079E5" w14:textId="7A5DB980" w:rsidR="00B164D3" w:rsidRDefault="008330BA">
      <w:pPr>
        <w:autoSpaceDE w:val="0"/>
        <w:autoSpaceDN w:val="0"/>
        <w:adjustRightInd w:val="0"/>
        <w:snapToGrid w:val="0"/>
        <w:spacing w:line="360" w:lineRule="auto"/>
        <w:ind w:leftChars="50" w:left="105" w:firstLineChars="200" w:firstLine="480"/>
        <w:rPr>
          <w:rFonts w:ascii="宋体" w:hAnsi="宋体"/>
          <w:kern w:val="0"/>
          <w:sz w:val="24"/>
        </w:rPr>
      </w:pPr>
      <w:r w:rsidRPr="00156651">
        <w:rPr>
          <w:rFonts w:ascii="Times New Roman" w:hAnsi="Times New Roman" w:hint="eastAsia"/>
          <w:kern w:val="0"/>
          <w:sz w:val="24"/>
        </w:rPr>
        <w:t>本次更新招募说明书主要对本基金增设</w:t>
      </w:r>
      <w:r w:rsidRPr="00156651">
        <w:rPr>
          <w:rFonts w:ascii="Times New Roman" w:hAnsi="Times New Roman" w:hint="eastAsia"/>
          <w:kern w:val="0"/>
          <w:sz w:val="24"/>
        </w:rPr>
        <w:t>C</w:t>
      </w:r>
      <w:r w:rsidRPr="00156651">
        <w:rPr>
          <w:rFonts w:ascii="Times New Roman" w:hAnsi="Times New Roman" w:hint="eastAsia"/>
          <w:kern w:val="0"/>
          <w:sz w:val="24"/>
        </w:rPr>
        <w:t>类基金份额等相关信息进行更新，前述内容更新截止日为</w:t>
      </w:r>
      <w:r>
        <w:rPr>
          <w:rFonts w:ascii="Times New Roman" w:hAnsi="Times New Roman" w:hint="eastAsia"/>
          <w:kern w:val="0"/>
          <w:sz w:val="24"/>
        </w:rPr>
        <w:t>202</w:t>
      </w:r>
      <w:r>
        <w:rPr>
          <w:rFonts w:ascii="Times New Roman" w:hAnsi="Times New Roman"/>
          <w:kern w:val="0"/>
          <w:sz w:val="24"/>
        </w:rPr>
        <w:t>2</w:t>
      </w:r>
      <w:r w:rsidRPr="00156651">
        <w:rPr>
          <w:rFonts w:ascii="Times New Roman" w:hAnsi="Times New Roman" w:hint="eastAsia"/>
          <w:kern w:val="0"/>
          <w:sz w:val="24"/>
        </w:rPr>
        <w:t>年</w:t>
      </w:r>
      <w:r w:rsidR="00EE1A36">
        <w:rPr>
          <w:rFonts w:ascii="Times New Roman" w:hAnsi="Times New Roman"/>
          <w:kern w:val="0"/>
          <w:sz w:val="24"/>
        </w:rPr>
        <w:t>7</w:t>
      </w:r>
      <w:r w:rsidRPr="00156651">
        <w:rPr>
          <w:rFonts w:ascii="Times New Roman" w:hAnsi="Times New Roman" w:hint="eastAsia"/>
          <w:kern w:val="0"/>
          <w:sz w:val="24"/>
        </w:rPr>
        <w:t>月</w:t>
      </w:r>
      <w:r w:rsidR="00EE1A36">
        <w:rPr>
          <w:rFonts w:ascii="Times New Roman" w:hAnsi="Times New Roman"/>
          <w:kern w:val="0"/>
          <w:sz w:val="24"/>
        </w:rPr>
        <w:t>7</w:t>
      </w:r>
      <w:r w:rsidRPr="00156651">
        <w:rPr>
          <w:rFonts w:ascii="Times New Roman" w:hAnsi="Times New Roman" w:hint="eastAsia"/>
          <w:kern w:val="0"/>
          <w:sz w:val="24"/>
        </w:rPr>
        <w:t>日。除非另有说明，</w:t>
      </w:r>
      <w:r w:rsidR="000605B5">
        <w:rPr>
          <w:rFonts w:ascii="Times New Roman" w:hAnsi="Times New Roman"/>
          <w:kern w:val="0"/>
          <w:sz w:val="24"/>
        </w:rPr>
        <w:t>本招募说明书所载</w:t>
      </w:r>
      <w:r w:rsidR="00CC4BD6">
        <w:rPr>
          <w:rFonts w:ascii="Times New Roman" w:hAnsi="Times New Roman" w:hint="eastAsia"/>
          <w:kern w:val="0"/>
          <w:sz w:val="24"/>
        </w:rPr>
        <w:t>其他</w:t>
      </w:r>
      <w:r w:rsidR="000605B5">
        <w:rPr>
          <w:rFonts w:ascii="Times New Roman" w:hAnsi="Times New Roman"/>
          <w:kern w:val="0"/>
          <w:sz w:val="24"/>
        </w:rPr>
        <w:t>内容截止日为</w:t>
      </w:r>
      <w:r w:rsidR="000605B5">
        <w:rPr>
          <w:rFonts w:ascii="Times New Roman" w:hAnsi="Times New Roman"/>
          <w:kern w:val="0"/>
          <w:sz w:val="24"/>
        </w:rPr>
        <w:t>2021</w:t>
      </w:r>
      <w:r w:rsidR="000605B5">
        <w:rPr>
          <w:rFonts w:ascii="Times New Roman" w:hAnsi="Times New Roman"/>
          <w:kern w:val="0"/>
          <w:sz w:val="24"/>
        </w:rPr>
        <w:t>年</w:t>
      </w:r>
      <w:r w:rsidR="000605B5">
        <w:rPr>
          <w:rFonts w:ascii="Times New Roman" w:hAnsi="Times New Roman"/>
          <w:kern w:val="0"/>
          <w:sz w:val="24"/>
        </w:rPr>
        <w:t>09</w:t>
      </w:r>
      <w:r w:rsidR="000605B5">
        <w:rPr>
          <w:rFonts w:ascii="Times New Roman" w:hAnsi="Times New Roman"/>
          <w:kern w:val="0"/>
          <w:sz w:val="24"/>
        </w:rPr>
        <w:t>月</w:t>
      </w:r>
      <w:r w:rsidR="000605B5">
        <w:rPr>
          <w:rFonts w:ascii="Times New Roman" w:hAnsi="Times New Roman"/>
          <w:kern w:val="0"/>
          <w:sz w:val="24"/>
        </w:rPr>
        <w:t>10</w:t>
      </w:r>
      <w:r w:rsidR="000605B5">
        <w:rPr>
          <w:rFonts w:ascii="Times New Roman" w:hAnsi="Times New Roman"/>
          <w:kern w:val="0"/>
          <w:sz w:val="24"/>
        </w:rPr>
        <w:t>日，有关财务数据和净值表现截止日为</w:t>
      </w:r>
      <w:r w:rsidR="000605B5">
        <w:rPr>
          <w:rFonts w:ascii="Times New Roman" w:hAnsi="Times New Roman"/>
          <w:kern w:val="0"/>
          <w:sz w:val="24"/>
        </w:rPr>
        <w:t>2021</w:t>
      </w:r>
      <w:r w:rsidR="000605B5">
        <w:rPr>
          <w:rFonts w:ascii="Times New Roman" w:hAnsi="Times New Roman"/>
          <w:kern w:val="0"/>
          <w:sz w:val="24"/>
        </w:rPr>
        <w:t>年</w:t>
      </w:r>
      <w:r w:rsidR="000605B5">
        <w:rPr>
          <w:rFonts w:ascii="Times New Roman" w:hAnsi="Times New Roman"/>
          <w:kern w:val="0"/>
          <w:sz w:val="24"/>
        </w:rPr>
        <w:t>06</w:t>
      </w:r>
      <w:r w:rsidR="000605B5">
        <w:rPr>
          <w:rFonts w:ascii="Times New Roman" w:hAnsi="Times New Roman"/>
          <w:kern w:val="0"/>
          <w:sz w:val="24"/>
        </w:rPr>
        <w:t>月</w:t>
      </w:r>
      <w:r w:rsidR="000605B5">
        <w:rPr>
          <w:rFonts w:ascii="Times New Roman" w:hAnsi="Times New Roman"/>
          <w:kern w:val="0"/>
          <w:sz w:val="24"/>
        </w:rPr>
        <w:t>30</w:t>
      </w:r>
      <w:r w:rsidR="000605B5">
        <w:rPr>
          <w:rFonts w:ascii="Times New Roman" w:hAnsi="Times New Roman"/>
          <w:kern w:val="0"/>
          <w:sz w:val="24"/>
        </w:rPr>
        <w:t>日。本招募说明书所载的财务数据未经审计。</w:t>
      </w:r>
    </w:p>
    <w:p w14:paraId="1B1110BF" w14:textId="77777777" w:rsidR="00B164D3" w:rsidRDefault="00B164D3">
      <w:pPr>
        <w:autoSpaceDE w:val="0"/>
        <w:autoSpaceDN w:val="0"/>
        <w:adjustRightInd w:val="0"/>
        <w:snapToGrid w:val="0"/>
        <w:spacing w:before="51" w:line="360" w:lineRule="auto"/>
        <w:ind w:left="120" w:rightChars="6" w:right="13" w:firstLine="480"/>
        <w:rPr>
          <w:rFonts w:ascii="宋体" w:hAnsi="宋体"/>
          <w:kern w:val="0"/>
          <w:szCs w:val="24"/>
        </w:rPr>
        <w:sectPr w:rsidR="00B164D3">
          <w:headerReference w:type="default" r:id="rId12"/>
          <w:pgSz w:w="11920" w:h="16840"/>
          <w:pgMar w:top="1440" w:right="1680" w:bottom="280" w:left="1680" w:header="0" w:footer="1073" w:gutter="0"/>
          <w:pgNumType w:start="1"/>
          <w:cols w:space="720"/>
        </w:sectPr>
      </w:pPr>
    </w:p>
    <w:p w14:paraId="78BC3EF5" w14:textId="77777777" w:rsidR="00301CB3" w:rsidRPr="00301CB3" w:rsidRDefault="000605B5" w:rsidP="00301CB3">
      <w:pPr>
        <w:pStyle w:val="af3"/>
        <w:snapToGrid w:val="0"/>
        <w:spacing w:after="240" w:line="360" w:lineRule="auto"/>
        <w:jc w:val="center"/>
        <w:rPr>
          <w:rFonts w:ascii="宋体" w:hAnsi="宋体"/>
          <w:noProof/>
          <w:sz w:val="24"/>
        </w:rPr>
      </w:pPr>
      <w:r w:rsidRPr="00301CB3">
        <w:rPr>
          <w:rFonts w:ascii="宋体" w:hAnsi="宋体"/>
          <w:color w:val="000000"/>
          <w:position w:val="-4"/>
          <w:sz w:val="24"/>
          <w:szCs w:val="30"/>
        </w:rPr>
        <w:lastRenderedPageBreak/>
        <w:t>目</w:t>
      </w:r>
      <w:r w:rsidRPr="00301CB3">
        <w:rPr>
          <w:rFonts w:ascii="宋体" w:hAnsi="宋体"/>
          <w:color w:val="000000"/>
          <w:position w:val="-4"/>
          <w:sz w:val="24"/>
          <w:szCs w:val="30"/>
        </w:rPr>
        <w:tab/>
        <w:t>录</w:t>
      </w:r>
      <w:r w:rsidR="00301CB3" w:rsidRPr="00301CB3">
        <w:rPr>
          <w:rFonts w:ascii="宋体" w:hAnsi="宋体"/>
          <w:color w:val="000000"/>
          <w:position w:val="-4"/>
          <w:sz w:val="24"/>
          <w:szCs w:val="30"/>
        </w:rPr>
        <w:fldChar w:fldCharType="begin"/>
      </w:r>
      <w:r w:rsidR="00301CB3" w:rsidRPr="00301CB3">
        <w:rPr>
          <w:rFonts w:ascii="宋体" w:hAnsi="宋体"/>
          <w:color w:val="000000"/>
          <w:position w:val="-4"/>
          <w:sz w:val="24"/>
          <w:szCs w:val="30"/>
        </w:rPr>
        <w:instrText xml:space="preserve"> TOC \o "1-3" \f - \h \t "-1" </w:instrText>
      </w:r>
      <w:r w:rsidR="00301CB3" w:rsidRPr="00301CB3">
        <w:rPr>
          <w:rFonts w:ascii="宋体" w:hAnsi="宋体"/>
          <w:color w:val="000000"/>
          <w:position w:val="-4"/>
          <w:sz w:val="24"/>
          <w:szCs w:val="30"/>
        </w:rPr>
        <w:fldChar w:fldCharType="separate"/>
      </w:r>
    </w:p>
    <w:p w14:paraId="68C83975" w14:textId="1EB4F64C" w:rsidR="00301CB3" w:rsidRPr="001B11D9" w:rsidRDefault="002217D8" w:rsidP="00301CB3">
      <w:pPr>
        <w:pStyle w:val="11"/>
        <w:tabs>
          <w:tab w:val="right" w:leader="dot" w:pos="8550"/>
        </w:tabs>
        <w:spacing w:line="360" w:lineRule="auto"/>
        <w:rPr>
          <w:rFonts w:ascii="宋体" w:hAnsi="宋体"/>
          <w:noProof/>
          <w:sz w:val="24"/>
        </w:rPr>
      </w:pPr>
      <w:hyperlink w:anchor="_Toc85115615" w:history="1">
        <w:r w:rsidR="00301CB3" w:rsidRPr="00301CB3">
          <w:rPr>
            <w:rStyle w:val="af0"/>
            <w:rFonts w:ascii="宋体" w:hAnsi="宋体" w:hint="eastAsia"/>
            <w:noProof/>
            <w:kern w:val="0"/>
            <w:sz w:val="24"/>
          </w:rPr>
          <w:t>重要提示</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_Toc85115615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w:t>
        </w:r>
        <w:r w:rsidR="00301CB3" w:rsidRPr="00301CB3">
          <w:rPr>
            <w:rFonts w:ascii="宋体" w:hAnsi="宋体"/>
            <w:noProof/>
            <w:sz w:val="24"/>
          </w:rPr>
          <w:fldChar w:fldCharType="end"/>
        </w:r>
      </w:hyperlink>
    </w:p>
    <w:p w14:paraId="64513277" w14:textId="5CD885D9" w:rsidR="00301CB3" w:rsidRPr="001B11D9" w:rsidRDefault="002217D8" w:rsidP="00301CB3">
      <w:pPr>
        <w:pStyle w:val="11"/>
        <w:tabs>
          <w:tab w:val="right" w:leader="dot" w:pos="8550"/>
        </w:tabs>
        <w:spacing w:line="360" w:lineRule="auto"/>
        <w:rPr>
          <w:rFonts w:ascii="宋体" w:hAnsi="宋体"/>
          <w:noProof/>
          <w:sz w:val="24"/>
        </w:rPr>
      </w:pPr>
      <w:hyperlink w:anchor="_Toc85115616" w:history="1">
        <w:r w:rsidR="00301CB3" w:rsidRPr="00301CB3">
          <w:rPr>
            <w:rStyle w:val="af0"/>
            <w:rFonts w:ascii="宋体" w:hAnsi="宋体" w:hint="eastAsia"/>
            <w:noProof/>
            <w:sz w:val="24"/>
          </w:rPr>
          <w:t>一、绪言</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_Toc85115616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5</w:t>
        </w:r>
        <w:r w:rsidR="00301CB3" w:rsidRPr="00301CB3">
          <w:rPr>
            <w:rFonts w:ascii="宋体" w:hAnsi="宋体"/>
            <w:noProof/>
            <w:sz w:val="24"/>
          </w:rPr>
          <w:fldChar w:fldCharType="end"/>
        </w:r>
      </w:hyperlink>
    </w:p>
    <w:p w14:paraId="1A09EDD4" w14:textId="3E4D0166" w:rsidR="00301CB3" w:rsidRPr="001B11D9" w:rsidRDefault="002217D8" w:rsidP="00301CB3">
      <w:pPr>
        <w:pStyle w:val="11"/>
        <w:tabs>
          <w:tab w:val="right" w:leader="dot" w:pos="8550"/>
        </w:tabs>
        <w:spacing w:line="360" w:lineRule="auto"/>
        <w:rPr>
          <w:rFonts w:ascii="宋体" w:hAnsi="宋体"/>
          <w:noProof/>
          <w:sz w:val="24"/>
        </w:rPr>
      </w:pPr>
      <w:hyperlink w:anchor="_Toc85115617" w:history="1">
        <w:r w:rsidR="00301CB3" w:rsidRPr="00301CB3">
          <w:rPr>
            <w:rStyle w:val="af0"/>
            <w:rFonts w:ascii="宋体" w:hAnsi="宋体" w:hint="eastAsia"/>
            <w:noProof/>
            <w:sz w:val="24"/>
          </w:rPr>
          <w:t>二、释义</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_Toc85115617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6</w:t>
        </w:r>
        <w:r w:rsidR="00301CB3" w:rsidRPr="00301CB3">
          <w:rPr>
            <w:rFonts w:ascii="宋体" w:hAnsi="宋体"/>
            <w:noProof/>
            <w:sz w:val="24"/>
          </w:rPr>
          <w:fldChar w:fldCharType="end"/>
        </w:r>
      </w:hyperlink>
    </w:p>
    <w:p w14:paraId="09F59564" w14:textId="31BDBF68" w:rsidR="00301CB3" w:rsidRPr="001B11D9" w:rsidRDefault="002217D8" w:rsidP="00301CB3">
      <w:pPr>
        <w:pStyle w:val="11"/>
        <w:tabs>
          <w:tab w:val="right" w:leader="dot" w:pos="8550"/>
        </w:tabs>
        <w:spacing w:line="360" w:lineRule="auto"/>
        <w:rPr>
          <w:rFonts w:ascii="宋体" w:hAnsi="宋体"/>
          <w:noProof/>
          <w:sz w:val="24"/>
        </w:rPr>
      </w:pPr>
      <w:hyperlink w:anchor="_Toc85115618" w:history="1">
        <w:r w:rsidR="00301CB3" w:rsidRPr="00301CB3">
          <w:rPr>
            <w:rStyle w:val="af0"/>
            <w:rFonts w:ascii="宋体" w:hAnsi="宋体" w:hint="eastAsia"/>
            <w:noProof/>
            <w:sz w:val="24"/>
          </w:rPr>
          <w:t>三、基金管理人</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_Toc85115618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11</w:t>
        </w:r>
        <w:r w:rsidR="00301CB3" w:rsidRPr="00301CB3">
          <w:rPr>
            <w:rFonts w:ascii="宋体" w:hAnsi="宋体"/>
            <w:noProof/>
            <w:sz w:val="24"/>
          </w:rPr>
          <w:fldChar w:fldCharType="end"/>
        </w:r>
      </w:hyperlink>
    </w:p>
    <w:p w14:paraId="2D70D9B9" w14:textId="62E58B52" w:rsidR="00301CB3" w:rsidRPr="001B11D9" w:rsidRDefault="002217D8" w:rsidP="00301CB3">
      <w:pPr>
        <w:pStyle w:val="11"/>
        <w:tabs>
          <w:tab w:val="right" w:leader="dot" w:pos="8550"/>
        </w:tabs>
        <w:spacing w:line="360" w:lineRule="auto"/>
        <w:rPr>
          <w:rFonts w:ascii="宋体" w:hAnsi="宋体"/>
          <w:noProof/>
          <w:sz w:val="24"/>
        </w:rPr>
      </w:pPr>
      <w:hyperlink w:anchor="_Toc85115619" w:history="1">
        <w:r w:rsidR="00301CB3" w:rsidRPr="00301CB3">
          <w:rPr>
            <w:rStyle w:val="af0"/>
            <w:rFonts w:ascii="宋体" w:hAnsi="宋体" w:hint="eastAsia"/>
            <w:noProof/>
            <w:sz w:val="24"/>
          </w:rPr>
          <w:t>四、基金托管人</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_Toc85115619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19</w:t>
        </w:r>
        <w:r w:rsidR="00301CB3" w:rsidRPr="00301CB3">
          <w:rPr>
            <w:rFonts w:ascii="宋体" w:hAnsi="宋体"/>
            <w:noProof/>
            <w:sz w:val="24"/>
          </w:rPr>
          <w:fldChar w:fldCharType="end"/>
        </w:r>
      </w:hyperlink>
    </w:p>
    <w:p w14:paraId="5D5D511E" w14:textId="74771460" w:rsidR="00301CB3" w:rsidRPr="001B11D9" w:rsidRDefault="00065E19" w:rsidP="00301CB3">
      <w:pPr>
        <w:pStyle w:val="11"/>
        <w:tabs>
          <w:tab w:val="right" w:leader="dot" w:pos="8550"/>
        </w:tabs>
        <w:spacing w:line="360" w:lineRule="auto"/>
        <w:rPr>
          <w:rFonts w:ascii="宋体" w:hAnsi="宋体"/>
          <w:noProof/>
          <w:sz w:val="24"/>
        </w:rPr>
      </w:pPr>
      <w:hyperlink w:anchor="_Toc85115620" w:history="1">
        <w:r w:rsidR="00301CB3" w:rsidRPr="00301CB3">
          <w:rPr>
            <w:rStyle w:val="af0"/>
            <w:rFonts w:ascii="宋体" w:hAnsi="宋体" w:hint="eastAsia"/>
            <w:noProof/>
            <w:sz w:val="24"/>
          </w:rPr>
          <w:t>五、相关服务机构</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_Toc85115620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23</w:t>
        </w:r>
        <w:r w:rsidR="00301CB3" w:rsidRPr="00301CB3">
          <w:rPr>
            <w:rFonts w:ascii="宋体" w:hAnsi="宋体"/>
            <w:noProof/>
            <w:sz w:val="24"/>
          </w:rPr>
          <w:fldChar w:fldCharType="end"/>
        </w:r>
      </w:hyperlink>
    </w:p>
    <w:p w14:paraId="5FFDCD9A" w14:textId="1C6504C8" w:rsidR="00301CB3" w:rsidRPr="001B11D9" w:rsidRDefault="002217D8" w:rsidP="00301CB3">
      <w:pPr>
        <w:pStyle w:val="11"/>
        <w:tabs>
          <w:tab w:val="right" w:leader="dot" w:pos="8550"/>
        </w:tabs>
        <w:spacing w:line="360" w:lineRule="auto"/>
        <w:rPr>
          <w:rFonts w:ascii="宋体" w:hAnsi="宋体"/>
          <w:noProof/>
          <w:sz w:val="24"/>
        </w:rPr>
      </w:pPr>
      <w:hyperlink w:anchor="_Toc85115621" w:history="1">
        <w:r w:rsidR="00301CB3" w:rsidRPr="00301CB3">
          <w:rPr>
            <w:rStyle w:val="af0"/>
            <w:rFonts w:ascii="宋体" w:hAnsi="宋体" w:hint="eastAsia"/>
            <w:noProof/>
            <w:sz w:val="24"/>
          </w:rPr>
          <w:t>六、基金的募集</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_Toc85115621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28</w:t>
        </w:r>
        <w:r w:rsidR="00301CB3" w:rsidRPr="00301CB3">
          <w:rPr>
            <w:rFonts w:ascii="宋体" w:hAnsi="宋体"/>
            <w:noProof/>
            <w:sz w:val="24"/>
          </w:rPr>
          <w:fldChar w:fldCharType="end"/>
        </w:r>
      </w:hyperlink>
    </w:p>
    <w:p w14:paraId="26C587C1" w14:textId="21945F42" w:rsidR="00301CB3" w:rsidRPr="001B11D9" w:rsidRDefault="002217D8" w:rsidP="00301CB3">
      <w:pPr>
        <w:pStyle w:val="11"/>
        <w:tabs>
          <w:tab w:val="right" w:leader="dot" w:pos="8550"/>
        </w:tabs>
        <w:spacing w:line="360" w:lineRule="auto"/>
        <w:rPr>
          <w:rFonts w:ascii="宋体" w:hAnsi="宋体"/>
          <w:noProof/>
          <w:sz w:val="24"/>
        </w:rPr>
      </w:pPr>
      <w:hyperlink w:anchor="_Toc85115622" w:history="1">
        <w:r w:rsidR="00301CB3" w:rsidRPr="00301CB3">
          <w:rPr>
            <w:rStyle w:val="af0"/>
            <w:rFonts w:ascii="宋体" w:hAnsi="宋体" w:hint="eastAsia"/>
            <w:noProof/>
            <w:sz w:val="24"/>
          </w:rPr>
          <w:t>七、基金合同的生效</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_Toc85115622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29</w:t>
        </w:r>
        <w:r w:rsidR="00301CB3" w:rsidRPr="00301CB3">
          <w:rPr>
            <w:rFonts w:ascii="宋体" w:hAnsi="宋体"/>
            <w:noProof/>
            <w:sz w:val="24"/>
          </w:rPr>
          <w:fldChar w:fldCharType="end"/>
        </w:r>
      </w:hyperlink>
    </w:p>
    <w:p w14:paraId="02F5C5CB" w14:textId="33BA1559" w:rsidR="00301CB3" w:rsidRPr="001B11D9" w:rsidRDefault="002217D8" w:rsidP="00301CB3">
      <w:pPr>
        <w:pStyle w:val="11"/>
        <w:tabs>
          <w:tab w:val="right" w:leader="dot" w:pos="8550"/>
        </w:tabs>
        <w:spacing w:line="360" w:lineRule="auto"/>
        <w:rPr>
          <w:rFonts w:ascii="宋体" w:hAnsi="宋体"/>
          <w:noProof/>
          <w:sz w:val="24"/>
        </w:rPr>
      </w:pPr>
      <w:hyperlink w:anchor="_Toc85115623" w:history="1">
        <w:r w:rsidR="00301CB3" w:rsidRPr="00301CB3">
          <w:rPr>
            <w:rStyle w:val="af0"/>
            <w:rFonts w:ascii="宋体" w:hAnsi="宋体" w:hint="eastAsia"/>
            <w:noProof/>
            <w:sz w:val="24"/>
          </w:rPr>
          <w:t>八、基金份额的申购与赎回</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_Toc85115623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30</w:t>
        </w:r>
        <w:r w:rsidR="00301CB3" w:rsidRPr="00301CB3">
          <w:rPr>
            <w:rFonts w:ascii="宋体" w:hAnsi="宋体"/>
            <w:noProof/>
            <w:sz w:val="24"/>
          </w:rPr>
          <w:fldChar w:fldCharType="end"/>
        </w:r>
      </w:hyperlink>
    </w:p>
    <w:p w14:paraId="29B1A595" w14:textId="0BC3FC53" w:rsidR="00301CB3" w:rsidRPr="001B11D9" w:rsidRDefault="00065E19" w:rsidP="00301CB3">
      <w:pPr>
        <w:pStyle w:val="11"/>
        <w:tabs>
          <w:tab w:val="right" w:leader="dot" w:pos="8550"/>
        </w:tabs>
        <w:spacing w:line="360" w:lineRule="auto"/>
        <w:rPr>
          <w:rFonts w:ascii="宋体" w:hAnsi="宋体"/>
          <w:noProof/>
          <w:sz w:val="24"/>
        </w:rPr>
      </w:pPr>
      <w:hyperlink w:anchor="_Toc85115624" w:history="1">
        <w:r w:rsidR="00301CB3" w:rsidRPr="00301CB3">
          <w:rPr>
            <w:rStyle w:val="af0"/>
            <w:rFonts w:ascii="宋体" w:hAnsi="宋体" w:hint="eastAsia"/>
            <w:noProof/>
            <w:sz w:val="24"/>
          </w:rPr>
          <w:t>九、基金的投资</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_Toc85115624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44</w:t>
        </w:r>
        <w:r w:rsidR="00301CB3" w:rsidRPr="00301CB3">
          <w:rPr>
            <w:rFonts w:ascii="宋体" w:hAnsi="宋体"/>
            <w:noProof/>
            <w:sz w:val="24"/>
          </w:rPr>
          <w:fldChar w:fldCharType="end"/>
        </w:r>
      </w:hyperlink>
    </w:p>
    <w:p w14:paraId="1F2A1EBF" w14:textId="36B1C3CF" w:rsidR="00301CB3" w:rsidRPr="001B11D9" w:rsidRDefault="00065E19" w:rsidP="00301CB3">
      <w:pPr>
        <w:pStyle w:val="11"/>
        <w:tabs>
          <w:tab w:val="right" w:leader="dot" w:pos="8550"/>
        </w:tabs>
        <w:spacing w:line="360" w:lineRule="auto"/>
        <w:rPr>
          <w:rFonts w:ascii="宋体" w:hAnsi="宋体"/>
          <w:noProof/>
          <w:sz w:val="24"/>
        </w:rPr>
      </w:pPr>
      <w:hyperlink w:anchor="_Toc85115625" w:history="1">
        <w:r w:rsidR="00301CB3" w:rsidRPr="00301CB3">
          <w:rPr>
            <w:rStyle w:val="af0"/>
            <w:rFonts w:ascii="宋体" w:hAnsi="宋体" w:hint="eastAsia"/>
            <w:noProof/>
            <w:sz w:val="24"/>
          </w:rPr>
          <w:t>十、基金的业绩</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_Toc85115625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59</w:t>
        </w:r>
        <w:r w:rsidR="00301CB3" w:rsidRPr="00301CB3">
          <w:rPr>
            <w:rFonts w:ascii="宋体" w:hAnsi="宋体"/>
            <w:noProof/>
            <w:sz w:val="24"/>
          </w:rPr>
          <w:fldChar w:fldCharType="end"/>
        </w:r>
      </w:hyperlink>
    </w:p>
    <w:p w14:paraId="2DEA5928" w14:textId="07BBF535" w:rsidR="00301CB3" w:rsidRPr="001B11D9" w:rsidRDefault="00065E19" w:rsidP="00301CB3">
      <w:pPr>
        <w:pStyle w:val="11"/>
        <w:tabs>
          <w:tab w:val="right" w:leader="dot" w:pos="8550"/>
        </w:tabs>
        <w:spacing w:line="360" w:lineRule="auto"/>
        <w:rPr>
          <w:rFonts w:ascii="宋体" w:hAnsi="宋体"/>
          <w:noProof/>
          <w:sz w:val="24"/>
        </w:rPr>
      </w:pPr>
      <w:hyperlink w:anchor="_Toc85115626" w:history="1">
        <w:r w:rsidR="00301CB3" w:rsidRPr="00301CB3">
          <w:rPr>
            <w:rStyle w:val="af0"/>
            <w:rFonts w:ascii="宋体" w:hAnsi="宋体" w:hint="eastAsia"/>
            <w:noProof/>
            <w:sz w:val="24"/>
          </w:rPr>
          <w:t>十一、基金的财产</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_Toc85115626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61</w:t>
        </w:r>
        <w:r w:rsidR="00301CB3" w:rsidRPr="00301CB3">
          <w:rPr>
            <w:rFonts w:ascii="宋体" w:hAnsi="宋体"/>
            <w:noProof/>
            <w:sz w:val="24"/>
          </w:rPr>
          <w:fldChar w:fldCharType="end"/>
        </w:r>
      </w:hyperlink>
    </w:p>
    <w:p w14:paraId="126B3038" w14:textId="28DAA913" w:rsidR="00301CB3" w:rsidRPr="001B11D9" w:rsidRDefault="00065E19" w:rsidP="00301CB3">
      <w:pPr>
        <w:pStyle w:val="11"/>
        <w:tabs>
          <w:tab w:val="right" w:leader="dot" w:pos="8550"/>
        </w:tabs>
        <w:spacing w:line="360" w:lineRule="auto"/>
        <w:rPr>
          <w:rFonts w:ascii="宋体" w:hAnsi="宋体"/>
          <w:noProof/>
          <w:sz w:val="24"/>
        </w:rPr>
      </w:pPr>
      <w:hyperlink w:anchor="_Toc85115627" w:history="1">
        <w:r w:rsidR="00301CB3" w:rsidRPr="00301CB3">
          <w:rPr>
            <w:rStyle w:val="af0"/>
            <w:rFonts w:ascii="宋体" w:hAnsi="宋体" w:hint="eastAsia"/>
            <w:noProof/>
            <w:sz w:val="24"/>
          </w:rPr>
          <w:t>十二、基金资产的估值</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_Toc85115627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62</w:t>
        </w:r>
        <w:r w:rsidR="00301CB3" w:rsidRPr="00301CB3">
          <w:rPr>
            <w:rFonts w:ascii="宋体" w:hAnsi="宋体"/>
            <w:noProof/>
            <w:sz w:val="24"/>
          </w:rPr>
          <w:fldChar w:fldCharType="end"/>
        </w:r>
      </w:hyperlink>
    </w:p>
    <w:p w14:paraId="3525A245" w14:textId="158CFCE2" w:rsidR="00301CB3" w:rsidRPr="001B11D9" w:rsidRDefault="00065E19" w:rsidP="00301CB3">
      <w:pPr>
        <w:pStyle w:val="11"/>
        <w:tabs>
          <w:tab w:val="right" w:leader="dot" w:pos="8550"/>
        </w:tabs>
        <w:spacing w:line="360" w:lineRule="auto"/>
        <w:rPr>
          <w:rFonts w:ascii="宋体" w:hAnsi="宋体"/>
          <w:noProof/>
          <w:sz w:val="24"/>
        </w:rPr>
      </w:pPr>
      <w:hyperlink w:anchor="_Toc85115628" w:history="1">
        <w:r w:rsidR="00301CB3" w:rsidRPr="00301CB3">
          <w:rPr>
            <w:rStyle w:val="af0"/>
            <w:rFonts w:ascii="宋体" w:hAnsi="宋体" w:hint="eastAsia"/>
            <w:noProof/>
            <w:sz w:val="24"/>
          </w:rPr>
          <w:t>十三、基金收益与分配</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_Toc85115628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68</w:t>
        </w:r>
        <w:r w:rsidR="00301CB3" w:rsidRPr="00301CB3">
          <w:rPr>
            <w:rFonts w:ascii="宋体" w:hAnsi="宋体"/>
            <w:noProof/>
            <w:sz w:val="24"/>
          </w:rPr>
          <w:fldChar w:fldCharType="end"/>
        </w:r>
      </w:hyperlink>
    </w:p>
    <w:p w14:paraId="7FCF074E" w14:textId="3AFB522E" w:rsidR="00301CB3" w:rsidRPr="001B11D9" w:rsidRDefault="00065E19" w:rsidP="00301CB3">
      <w:pPr>
        <w:pStyle w:val="11"/>
        <w:tabs>
          <w:tab w:val="right" w:leader="dot" w:pos="8550"/>
        </w:tabs>
        <w:spacing w:line="360" w:lineRule="auto"/>
        <w:rPr>
          <w:rFonts w:ascii="宋体" w:hAnsi="宋体"/>
          <w:noProof/>
          <w:sz w:val="24"/>
        </w:rPr>
      </w:pPr>
      <w:hyperlink w:anchor="_Toc85115629" w:history="1">
        <w:r w:rsidR="00301CB3" w:rsidRPr="00301CB3">
          <w:rPr>
            <w:rStyle w:val="af0"/>
            <w:rFonts w:ascii="宋体" w:hAnsi="宋体" w:hint="eastAsia"/>
            <w:noProof/>
            <w:sz w:val="24"/>
          </w:rPr>
          <w:t>十四、基金的费用与税收</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_Toc85115629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70</w:t>
        </w:r>
        <w:r w:rsidR="00301CB3" w:rsidRPr="00301CB3">
          <w:rPr>
            <w:rFonts w:ascii="宋体" w:hAnsi="宋体"/>
            <w:noProof/>
            <w:sz w:val="24"/>
          </w:rPr>
          <w:fldChar w:fldCharType="end"/>
        </w:r>
      </w:hyperlink>
    </w:p>
    <w:p w14:paraId="44583E29" w14:textId="3B7801E2" w:rsidR="00301CB3" w:rsidRPr="001B11D9" w:rsidRDefault="00065E19" w:rsidP="00301CB3">
      <w:pPr>
        <w:pStyle w:val="11"/>
        <w:tabs>
          <w:tab w:val="right" w:leader="dot" w:pos="8550"/>
        </w:tabs>
        <w:spacing w:line="360" w:lineRule="auto"/>
        <w:rPr>
          <w:rFonts w:ascii="宋体" w:hAnsi="宋体"/>
          <w:noProof/>
          <w:sz w:val="24"/>
        </w:rPr>
      </w:pPr>
      <w:hyperlink w:anchor="_Toc85115630" w:history="1">
        <w:r w:rsidR="00301CB3" w:rsidRPr="00301CB3">
          <w:rPr>
            <w:rStyle w:val="af0"/>
            <w:rFonts w:ascii="宋体" w:hAnsi="宋体" w:hint="eastAsia"/>
            <w:noProof/>
            <w:sz w:val="24"/>
          </w:rPr>
          <w:t>十五、基金的会计与审计</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_Toc85115630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73</w:t>
        </w:r>
        <w:r w:rsidR="00301CB3" w:rsidRPr="00301CB3">
          <w:rPr>
            <w:rFonts w:ascii="宋体" w:hAnsi="宋体"/>
            <w:noProof/>
            <w:sz w:val="24"/>
          </w:rPr>
          <w:fldChar w:fldCharType="end"/>
        </w:r>
      </w:hyperlink>
    </w:p>
    <w:p w14:paraId="08558A6F" w14:textId="0385E09E" w:rsidR="00301CB3" w:rsidRPr="001B11D9" w:rsidRDefault="00065E19" w:rsidP="00301CB3">
      <w:pPr>
        <w:pStyle w:val="11"/>
        <w:tabs>
          <w:tab w:val="right" w:leader="dot" w:pos="8550"/>
        </w:tabs>
        <w:spacing w:line="360" w:lineRule="auto"/>
        <w:rPr>
          <w:rFonts w:ascii="宋体" w:hAnsi="宋体"/>
          <w:noProof/>
          <w:sz w:val="24"/>
        </w:rPr>
      </w:pPr>
      <w:hyperlink w:anchor="_Toc85115631" w:history="1">
        <w:r w:rsidR="00301CB3" w:rsidRPr="00301CB3">
          <w:rPr>
            <w:rStyle w:val="af0"/>
            <w:rFonts w:ascii="宋体" w:hAnsi="宋体" w:hint="eastAsia"/>
            <w:noProof/>
            <w:sz w:val="24"/>
          </w:rPr>
          <w:t>十六、基金的信息披露</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_Toc85115631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74</w:t>
        </w:r>
        <w:r w:rsidR="00301CB3" w:rsidRPr="00301CB3">
          <w:rPr>
            <w:rFonts w:ascii="宋体" w:hAnsi="宋体"/>
            <w:noProof/>
            <w:sz w:val="24"/>
          </w:rPr>
          <w:fldChar w:fldCharType="end"/>
        </w:r>
      </w:hyperlink>
    </w:p>
    <w:p w14:paraId="54AC6824" w14:textId="56F4DF10" w:rsidR="00301CB3" w:rsidRPr="001B11D9" w:rsidRDefault="00065E19" w:rsidP="00301CB3">
      <w:pPr>
        <w:pStyle w:val="11"/>
        <w:tabs>
          <w:tab w:val="right" w:leader="dot" w:pos="8550"/>
        </w:tabs>
        <w:spacing w:line="360" w:lineRule="auto"/>
        <w:rPr>
          <w:rFonts w:ascii="宋体" w:hAnsi="宋体"/>
          <w:noProof/>
          <w:sz w:val="24"/>
        </w:rPr>
      </w:pPr>
      <w:hyperlink w:anchor="_Toc85115632" w:history="1">
        <w:r w:rsidR="00301CB3" w:rsidRPr="00301CB3">
          <w:rPr>
            <w:rStyle w:val="af0"/>
            <w:rFonts w:ascii="宋体" w:hAnsi="宋体" w:hint="eastAsia"/>
            <w:noProof/>
            <w:sz w:val="24"/>
          </w:rPr>
          <w:t>十七、侧袋机制</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_Toc85115632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81</w:t>
        </w:r>
        <w:r w:rsidR="00301CB3" w:rsidRPr="00301CB3">
          <w:rPr>
            <w:rFonts w:ascii="宋体" w:hAnsi="宋体"/>
            <w:noProof/>
            <w:sz w:val="24"/>
          </w:rPr>
          <w:fldChar w:fldCharType="end"/>
        </w:r>
      </w:hyperlink>
    </w:p>
    <w:p w14:paraId="7524002C" w14:textId="20469B84" w:rsidR="00301CB3" w:rsidRPr="001B11D9" w:rsidRDefault="00065E19" w:rsidP="00301CB3">
      <w:pPr>
        <w:pStyle w:val="11"/>
        <w:tabs>
          <w:tab w:val="right" w:leader="dot" w:pos="8550"/>
        </w:tabs>
        <w:spacing w:line="360" w:lineRule="auto"/>
        <w:rPr>
          <w:rFonts w:ascii="宋体" w:hAnsi="宋体"/>
          <w:noProof/>
          <w:sz w:val="24"/>
        </w:rPr>
      </w:pPr>
      <w:hyperlink w:anchor="_Toc85115633" w:history="1">
        <w:r w:rsidR="00301CB3" w:rsidRPr="00301CB3">
          <w:rPr>
            <w:rStyle w:val="af0"/>
            <w:rFonts w:ascii="宋体" w:hAnsi="宋体" w:hint="eastAsia"/>
            <w:noProof/>
            <w:sz w:val="24"/>
          </w:rPr>
          <w:t>十八、风险揭示</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_Toc85115633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83</w:t>
        </w:r>
        <w:r w:rsidR="00301CB3" w:rsidRPr="00301CB3">
          <w:rPr>
            <w:rFonts w:ascii="宋体" w:hAnsi="宋体"/>
            <w:noProof/>
            <w:sz w:val="24"/>
          </w:rPr>
          <w:fldChar w:fldCharType="end"/>
        </w:r>
      </w:hyperlink>
    </w:p>
    <w:p w14:paraId="012782B0" w14:textId="47C5BEC9" w:rsidR="00301CB3" w:rsidRPr="001B11D9" w:rsidRDefault="00065E19" w:rsidP="00301CB3">
      <w:pPr>
        <w:pStyle w:val="11"/>
        <w:tabs>
          <w:tab w:val="right" w:leader="dot" w:pos="8550"/>
        </w:tabs>
        <w:spacing w:line="360" w:lineRule="auto"/>
        <w:rPr>
          <w:rFonts w:ascii="宋体" w:hAnsi="宋体"/>
          <w:noProof/>
          <w:sz w:val="24"/>
        </w:rPr>
      </w:pPr>
      <w:hyperlink w:anchor="_Toc85115634" w:history="1">
        <w:r w:rsidR="00301CB3" w:rsidRPr="00301CB3">
          <w:rPr>
            <w:rStyle w:val="af0"/>
            <w:rFonts w:ascii="宋体" w:hAnsi="宋体" w:hint="eastAsia"/>
            <w:noProof/>
            <w:sz w:val="24"/>
          </w:rPr>
          <w:t>十九、基金合同的变更、终止与基金财产的清算</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_Toc85115634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93</w:t>
        </w:r>
        <w:r w:rsidR="00301CB3" w:rsidRPr="00301CB3">
          <w:rPr>
            <w:rFonts w:ascii="宋体" w:hAnsi="宋体"/>
            <w:noProof/>
            <w:sz w:val="24"/>
          </w:rPr>
          <w:fldChar w:fldCharType="end"/>
        </w:r>
      </w:hyperlink>
    </w:p>
    <w:p w14:paraId="63CD4039" w14:textId="5778D839" w:rsidR="00301CB3" w:rsidRPr="001B11D9" w:rsidRDefault="00065E19" w:rsidP="00301CB3">
      <w:pPr>
        <w:pStyle w:val="11"/>
        <w:tabs>
          <w:tab w:val="right" w:leader="dot" w:pos="8550"/>
        </w:tabs>
        <w:spacing w:line="360" w:lineRule="auto"/>
        <w:rPr>
          <w:rFonts w:ascii="宋体" w:hAnsi="宋体"/>
          <w:noProof/>
          <w:sz w:val="24"/>
        </w:rPr>
      </w:pPr>
      <w:hyperlink w:anchor="_Toc85115635" w:history="1">
        <w:r w:rsidR="00301CB3" w:rsidRPr="00301CB3">
          <w:rPr>
            <w:rStyle w:val="af0"/>
            <w:rFonts w:ascii="宋体" w:hAnsi="宋体" w:hint="eastAsia"/>
            <w:noProof/>
            <w:sz w:val="24"/>
          </w:rPr>
          <w:t>二十、基金合同内容摘要</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_Toc85115635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95</w:t>
        </w:r>
        <w:r w:rsidR="00301CB3" w:rsidRPr="00301CB3">
          <w:rPr>
            <w:rFonts w:ascii="宋体" w:hAnsi="宋体"/>
            <w:noProof/>
            <w:sz w:val="24"/>
          </w:rPr>
          <w:fldChar w:fldCharType="end"/>
        </w:r>
      </w:hyperlink>
    </w:p>
    <w:p w14:paraId="5425C3F1" w14:textId="6EA104CC" w:rsidR="00301CB3" w:rsidRPr="001B11D9" w:rsidRDefault="00065E19" w:rsidP="00301CB3">
      <w:pPr>
        <w:pStyle w:val="11"/>
        <w:tabs>
          <w:tab w:val="right" w:leader="dot" w:pos="8550"/>
        </w:tabs>
        <w:spacing w:line="360" w:lineRule="auto"/>
        <w:rPr>
          <w:rFonts w:ascii="宋体" w:hAnsi="宋体"/>
          <w:noProof/>
          <w:sz w:val="24"/>
        </w:rPr>
      </w:pPr>
      <w:hyperlink w:anchor="_Toc85115636" w:history="1">
        <w:r w:rsidR="00301CB3" w:rsidRPr="00301CB3">
          <w:rPr>
            <w:rStyle w:val="af0"/>
            <w:rFonts w:ascii="宋体" w:hAnsi="宋体" w:hint="eastAsia"/>
            <w:noProof/>
            <w:sz w:val="24"/>
          </w:rPr>
          <w:t>二十一、托管协议的内容摘要</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_Toc85115636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112</w:t>
        </w:r>
        <w:r w:rsidR="00301CB3" w:rsidRPr="00301CB3">
          <w:rPr>
            <w:rFonts w:ascii="宋体" w:hAnsi="宋体"/>
            <w:noProof/>
            <w:sz w:val="24"/>
          </w:rPr>
          <w:fldChar w:fldCharType="end"/>
        </w:r>
      </w:hyperlink>
    </w:p>
    <w:p w14:paraId="47DAD5CF" w14:textId="2E9766A4" w:rsidR="00301CB3" w:rsidRPr="001B11D9" w:rsidRDefault="00065E19" w:rsidP="00301CB3">
      <w:pPr>
        <w:pStyle w:val="11"/>
        <w:tabs>
          <w:tab w:val="right" w:leader="dot" w:pos="8550"/>
        </w:tabs>
        <w:spacing w:line="360" w:lineRule="auto"/>
        <w:rPr>
          <w:rFonts w:ascii="宋体" w:hAnsi="宋体"/>
          <w:noProof/>
          <w:sz w:val="24"/>
        </w:rPr>
      </w:pPr>
      <w:hyperlink w:anchor="_Toc85115637" w:history="1">
        <w:r w:rsidR="00301CB3" w:rsidRPr="00301CB3">
          <w:rPr>
            <w:rStyle w:val="af0"/>
            <w:rFonts w:ascii="宋体" w:hAnsi="宋体" w:hint="eastAsia"/>
            <w:noProof/>
            <w:sz w:val="24"/>
          </w:rPr>
          <w:t>二十二、对基金份额持有人的服务</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_Toc85115637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132</w:t>
        </w:r>
        <w:r w:rsidR="00301CB3" w:rsidRPr="00301CB3">
          <w:rPr>
            <w:rFonts w:ascii="宋体" w:hAnsi="宋体"/>
            <w:noProof/>
            <w:sz w:val="24"/>
          </w:rPr>
          <w:fldChar w:fldCharType="end"/>
        </w:r>
      </w:hyperlink>
    </w:p>
    <w:p w14:paraId="31493733" w14:textId="58B57E98" w:rsidR="00301CB3" w:rsidRPr="001B11D9" w:rsidRDefault="00065E19" w:rsidP="00301CB3">
      <w:pPr>
        <w:pStyle w:val="11"/>
        <w:tabs>
          <w:tab w:val="right" w:leader="dot" w:pos="8550"/>
        </w:tabs>
        <w:spacing w:line="360" w:lineRule="auto"/>
        <w:rPr>
          <w:rFonts w:ascii="宋体" w:hAnsi="宋体"/>
          <w:noProof/>
          <w:sz w:val="24"/>
        </w:rPr>
      </w:pPr>
      <w:hyperlink w:anchor="_Toc85115638" w:history="1">
        <w:r w:rsidR="00301CB3" w:rsidRPr="00301CB3">
          <w:rPr>
            <w:rStyle w:val="af0"/>
            <w:rFonts w:ascii="宋体" w:hAnsi="宋体" w:hint="eastAsia"/>
            <w:noProof/>
            <w:sz w:val="24"/>
          </w:rPr>
          <w:t>二十三、其他应披露事项</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_Toc85115638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134</w:t>
        </w:r>
        <w:r w:rsidR="00301CB3" w:rsidRPr="00301CB3">
          <w:rPr>
            <w:rFonts w:ascii="宋体" w:hAnsi="宋体"/>
            <w:noProof/>
            <w:sz w:val="24"/>
          </w:rPr>
          <w:fldChar w:fldCharType="end"/>
        </w:r>
      </w:hyperlink>
    </w:p>
    <w:p w14:paraId="60D76090" w14:textId="538A1D3F" w:rsidR="00301CB3" w:rsidRPr="001B11D9" w:rsidRDefault="00065E19" w:rsidP="00301CB3">
      <w:pPr>
        <w:pStyle w:val="11"/>
        <w:tabs>
          <w:tab w:val="right" w:leader="dot" w:pos="8550"/>
        </w:tabs>
        <w:spacing w:line="360" w:lineRule="auto"/>
        <w:rPr>
          <w:rFonts w:ascii="宋体" w:hAnsi="宋体"/>
          <w:noProof/>
          <w:sz w:val="24"/>
        </w:rPr>
      </w:pPr>
      <w:hyperlink w:anchor="_Toc85115639" w:history="1">
        <w:r w:rsidR="00301CB3" w:rsidRPr="00301CB3">
          <w:rPr>
            <w:rStyle w:val="af0"/>
            <w:rFonts w:ascii="宋体" w:hAnsi="宋体" w:hint="eastAsia"/>
            <w:noProof/>
            <w:sz w:val="24"/>
          </w:rPr>
          <w:t>二十四、招募说明书的存放及查阅方式</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_Toc85115639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137</w:t>
        </w:r>
        <w:r w:rsidR="00301CB3" w:rsidRPr="00301CB3">
          <w:rPr>
            <w:rFonts w:ascii="宋体" w:hAnsi="宋体"/>
            <w:noProof/>
            <w:sz w:val="24"/>
          </w:rPr>
          <w:fldChar w:fldCharType="end"/>
        </w:r>
      </w:hyperlink>
    </w:p>
    <w:p w14:paraId="41A067A1" w14:textId="5744DBEB" w:rsidR="00301CB3" w:rsidRPr="001B11D9" w:rsidRDefault="00065E19" w:rsidP="00301CB3">
      <w:pPr>
        <w:pStyle w:val="11"/>
        <w:tabs>
          <w:tab w:val="right" w:leader="dot" w:pos="8550"/>
        </w:tabs>
        <w:spacing w:line="360" w:lineRule="auto"/>
        <w:rPr>
          <w:rFonts w:ascii="宋体" w:hAnsi="宋体"/>
          <w:noProof/>
          <w:sz w:val="24"/>
        </w:rPr>
      </w:pPr>
      <w:hyperlink w:anchor="_Toc85115640" w:history="1">
        <w:r w:rsidR="00301CB3" w:rsidRPr="00301CB3">
          <w:rPr>
            <w:rStyle w:val="af0"/>
            <w:rFonts w:ascii="宋体" w:hAnsi="宋体" w:hint="eastAsia"/>
            <w:noProof/>
            <w:sz w:val="24"/>
          </w:rPr>
          <w:t>二十五、备查文件</w:t>
        </w:r>
        <w:r w:rsidR="00301CB3" w:rsidRPr="00301CB3">
          <w:rPr>
            <w:rFonts w:ascii="宋体" w:hAnsi="宋体"/>
            <w:noProof/>
            <w:sz w:val="24"/>
          </w:rPr>
          <w:tab/>
        </w:r>
        <w:r w:rsidR="00301CB3" w:rsidRPr="00301CB3">
          <w:rPr>
            <w:rFonts w:ascii="宋体" w:hAnsi="宋体"/>
            <w:noProof/>
            <w:sz w:val="24"/>
          </w:rPr>
          <w:fldChar w:fldCharType="begin"/>
        </w:r>
        <w:r w:rsidR="00301CB3" w:rsidRPr="00301CB3">
          <w:rPr>
            <w:rFonts w:ascii="宋体" w:hAnsi="宋体"/>
            <w:noProof/>
            <w:sz w:val="24"/>
          </w:rPr>
          <w:instrText xml:space="preserve"> PAGEREF _Toc85115640 \h </w:instrText>
        </w:r>
        <w:r w:rsidR="00301CB3" w:rsidRPr="00301CB3">
          <w:rPr>
            <w:rFonts w:ascii="宋体" w:hAnsi="宋体"/>
            <w:noProof/>
            <w:sz w:val="24"/>
          </w:rPr>
        </w:r>
        <w:r w:rsidR="00301CB3" w:rsidRPr="00301CB3">
          <w:rPr>
            <w:rFonts w:ascii="宋体" w:hAnsi="宋体"/>
            <w:noProof/>
            <w:sz w:val="24"/>
          </w:rPr>
          <w:fldChar w:fldCharType="separate"/>
        </w:r>
        <w:r w:rsidR="005D130F">
          <w:rPr>
            <w:rFonts w:ascii="宋体" w:hAnsi="宋体"/>
            <w:noProof/>
            <w:sz w:val="24"/>
          </w:rPr>
          <w:t>138</w:t>
        </w:r>
        <w:r w:rsidR="00301CB3" w:rsidRPr="00301CB3">
          <w:rPr>
            <w:rFonts w:ascii="宋体" w:hAnsi="宋体"/>
            <w:noProof/>
            <w:sz w:val="24"/>
          </w:rPr>
          <w:fldChar w:fldCharType="end"/>
        </w:r>
      </w:hyperlink>
    </w:p>
    <w:p w14:paraId="3E025752" w14:textId="769EBF69" w:rsidR="00B164D3" w:rsidRDefault="00301CB3" w:rsidP="00350650">
      <w:pPr>
        <w:pStyle w:val="af3"/>
        <w:snapToGrid w:val="0"/>
        <w:spacing w:after="240" w:line="360" w:lineRule="auto"/>
        <w:jc w:val="center"/>
        <w:rPr>
          <w:b w:val="0"/>
          <w:bCs w:val="0"/>
        </w:rPr>
        <w:sectPr w:rsidR="00B164D3">
          <w:pgSz w:w="11920" w:h="16840"/>
          <w:pgMar w:top="1480" w:right="1680" w:bottom="280" w:left="1680" w:header="0" w:footer="1073" w:gutter="0"/>
          <w:cols w:space="720"/>
        </w:sectPr>
      </w:pPr>
      <w:r w:rsidRPr="00301CB3">
        <w:rPr>
          <w:rFonts w:ascii="宋体" w:hAnsi="宋体"/>
          <w:b w:val="0"/>
          <w:bCs w:val="0"/>
          <w:color w:val="000000"/>
          <w:position w:val="-4"/>
          <w:sz w:val="24"/>
          <w:szCs w:val="30"/>
        </w:rPr>
        <w:fldChar w:fldCharType="end"/>
      </w:r>
    </w:p>
    <w:p w14:paraId="7ADCBF4D" w14:textId="77777777" w:rsidR="00B164D3" w:rsidRDefault="000605B5">
      <w:pPr>
        <w:pStyle w:val="1"/>
        <w:snapToGrid w:val="0"/>
        <w:spacing w:beforeLines="0" w:before="240" w:after="240"/>
        <w:rPr>
          <w:rFonts w:ascii="宋体" w:hAnsi="宋体"/>
          <w:szCs w:val="30"/>
        </w:rPr>
      </w:pPr>
      <w:bookmarkStart w:id="3" w:name="_Toc85115616"/>
      <w:r>
        <w:rPr>
          <w:rFonts w:ascii="Times New Roman" w:hAnsi="Times New Roman"/>
          <w:sz w:val="30"/>
        </w:rPr>
        <w:lastRenderedPageBreak/>
        <w:t>一、绪言</w:t>
      </w:r>
      <w:bookmarkEnd w:id="3"/>
    </w:p>
    <w:p w14:paraId="01A3D7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臻选回报混合型证券投资基金招募说明书》（以下简称“本招募说明书”）依据《中华人民共和国证券投资基金法》（以下简称“《基金法》”）、《公开募集证券投资基金运作管理办法》（以下简称“《运作</w:t>
      </w:r>
      <w:bookmarkStart w:id="4" w:name="_GoBack"/>
      <w:bookmarkEnd w:id="4"/>
      <w:r>
        <w:rPr>
          <w:rFonts w:ascii="宋体" w:hAnsi="宋体"/>
          <w:sz w:val="24"/>
        </w:rPr>
        <w:t>办法》”）、《证券投资基金销售管理办法》（以下简称“《销售办法》”）、《公开募集证券投资基金信息披露管理办法》（以下简称“《信息披露办法》”）、《公开募集开放式证券投资基金流动性风险管理规定》（以下简称“《流动性风险管理规定》”）和其他相关法律法规的规定以及《交银施罗德臻选回报混合型证券投资基金基金合同》（以下简称“基金合同”）编写。</w:t>
      </w:r>
    </w:p>
    <w:p w14:paraId="057BCF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79CF6E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招募说明书根据本基金的基金合同编写，并经中国证监会注册。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25CCBED9"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AC264AC" w14:textId="77777777" w:rsidR="00B164D3" w:rsidRDefault="000605B5">
      <w:pPr>
        <w:pStyle w:val="1"/>
        <w:snapToGrid w:val="0"/>
        <w:spacing w:beforeLines="0" w:before="240" w:after="240"/>
        <w:rPr>
          <w:rFonts w:ascii="宋体" w:hAnsi="宋体"/>
          <w:szCs w:val="30"/>
        </w:rPr>
      </w:pPr>
      <w:bookmarkStart w:id="5" w:name="_Toc85115617"/>
      <w:r>
        <w:rPr>
          <w:rFonts w:ascii="Times New Roman" w:hAnsi="Times New Roman"/>
          <w:sz w:val="30"/>
        </w:rPr>
        <w:lastRenderedPageBreak/>
        <w:t>二、释义</w:t>
      </w:r>
      <w:bookmarkEnd w:id="5"/>
    </w:p>
    <w:p w14:paraId="4E9CEC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在本招募说明书中，除非文意另有所指，下列词语或简称具有如下含义：</w:t>
      </w:r>
    </w:p>
    <w:p w14:paraId="751C93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1、基金或本基金：指交银施罗德臻选回报混合型证券投资基金</w:t>
      </w:r>
    </w:p>
    <w:p w14:paraId="646392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2、基金管理人：指交银施罗德基金管理有限公司</w:t>
      </w:r>
    </w:p>
    <w:p w14:paraId="5B09B3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3、基金托管人：指中信银行股份有限公司</w:t>
      </w:r>
    </w:p>
    <w:p w14:paraId="1E2978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4、基金合同：指《交银施罗德臻选回报混合型证券投资基金基金合同》及对基金合同的任何有效修订和补充</w:t>
      </w:r>
    </w:p>
    <w:p w14:paraId="37F69D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5、托管协议：指基金管理人与基金托管人就本基金签订之《交银施罗德臻选回报混合型证券投资基金托管协议》及对该托管协议的任何有效修订和补充</w:t>
      </w:r>
    </w:p>
    <w:p w14:paraId="0AF3838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6、招募说明书或本招募说明书：指《交银施罗德臻选回报混合型证券投资基金招募说明书》及其更新</w:t>
      </w:r>
    </w:p>
    <w:p w14:paraId="3B09349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7、基金产品资料概要：指《交银施罗德臻选回报混合型证券投资基金基金产品资料概要》及其更新</w:t>
      </w:r>
    </w:p>
    <w:p w14:paraId="6B339CA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8、基金份额发售公告：指《交银施罗德臻选回报混合型证券投资基金基金份额发售公告》</w:t>
      </w:r>
    </w:p>
    <w:p w14:paraId="360DD9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9、法律法规：指中国现行有效并公布实施的法律、行政法规、规范性文件、司法解释、行政规章以及其他对基金合同当事人有约束力的决定、决议、通知等</w:t>
      </w:r>
    </w:p>
    <w:p w14:paraId="4C5964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10、《基金法》：指《中华人民共和国证券投资基金法》及颁布机关对其不时做出的修订</w:t>
      </w:r>
    </w:p>
    <w:p w14:paraId="1C691C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11、《销售办法》：指《证券投资基金销售管理办法》及颁布机关对其不时做出的修订</w:t>
      </w:r>
    </w:p>
    <w:p w14:paraId="077C64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12、《信息披露办法》：指《公开募集证券投资基金信息披露管理办法》及颁布机关对其不时做出的修订</w:t>
      </w:r>
    </w:p>
    <w:p w14:paraId="4A17CB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13、《运作办法》：指《公开募集证券投资基金运作管理办法》及颁布机关对其不时做出的修订</w:t>
      </w:r>
    </w:p>
    <w:p w14:paraId="0DEB7E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14、《流动性风险管理规定》：指《公开募集开放式证券投资基金流动性风险管理规定》及颁布机关对其不时做出的修订</w:t>
      </w:r>
    </w:p>
    <w:p w14:paraId="1E69C25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15、中国证监会：指中国证券监督管理委员会</w:t>
      </w:r>
    </w:p>
    <w:p w14:paraId="5A509D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16、银行业监督管理机构：指中国人民银行和/或中国银行保险监督管理委员</w:t>
      </w:r>
      <w:r>
        <w:rPr>
          <w:rFonts w:ascii="宋体" w:hAnsi="宋体"/>
          <w:sz w:val="24"/>
        </w:rPr>
        <w:lastRenderedPageBreak/>
        <w:t>会</w:t>
      </w:r>
    </w:p>
    <w:p w14:paraId="61B07BA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17、基金合同当事人：指受基金合同约束，根据基金合同享有权利并承担义务的法律主体，包括基金管理人、基金托管人和基金份额持有人</w:t>
      </w:r>
    </w:p>
    <w:p w14:paraId="4A8585B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18、个人投资者：指依据有关法律法规规定可投资于证券投资基金的自然人</w:t>
      </w:r>
    </w:p>
    <w:p w14:paraId="7F67D6E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19、机构投资者：指依法可以投资证券投资基金的、在中华人民共和国境内合法登记并存续或经有关政府部门批准设立并存续的企业法人、事业法人、社会团体或其他组织</w:t>
      </w:r>
    </w:p>
    <w:p w14:paraId="4DAD68A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20、合格境外机构投资者：指符合《合格境外机构投资者境内证券投资管理办法》及相关法律法规规定可以投资于在中国境内依法募集的证券投资基金的中国境外的机构投资者</w:t>
      </w:r>
    </w:p>
    <w:p w14:paraId="1095138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21、人民币合格境外机构投资者：指按照《人民币合格境外机构投资者境内证券投资试点办法》及相关法律法规规定，运用来自境外的人民币资金进行境内证券投资的境外法人</w:t>
      </w:r>
    </w:p>
    <w:p w14:paraId="421A1C3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22、投资人、投资者：指个人投资者、机构投资者、合格境外机构投资者和人民币合格境外机构投资者以及法律法规或中国证监会允许购买证券投资基金的其他投资人的合称</w:t>
      </w:r>
    </w:p>
    <w:p w14:paraId="7EB980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23、基金份额持有人：指依基金合同和招募说明书合法取得基金份额的投资人</w:t>
      </w:r>
    </w:p>
    <w:p w14:paraId="2D8F77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24、基金销售业务：指基金管理人或销售机构宣传推介基金，发售基金份额，办理基金份额的申购、赎回、转换、转托管及定期定额投资等业务</w:t>
      </w:r>
    </w:p>
    <w:p w14:paraId="73EF89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25、销售机构：指交银施罗德基金管理有限公司以及符合《销售办法》和中国证监会规定的其他条件，取得基金销售业务资格并与基金管理人签订了基金销售服务协议，办理基金销售业务的机构</w:t>
      </w:r>
    </w:p>
    <w:p w14:paraId="4784A3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468AF9A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27、登记机构：指办理登记业务的机构。基金的登记机构为交银施罗德基金管理有限公司或接受交银施罗德基金管理有限公司委托代为办理登记业务的机构</w:t>
      </w:r>
    </w:p>
    <w:p w14:paraId="5C9874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28、基金账户：指登记机构为投资人开立的、记录其持有的、基金管理人所管理的基金份额余额及其变动情况的账户</w:t>
      </w:r>
    </w:p>
    <w:p w14:paraId="5FA7194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29、基金交易账户：指销售机构为投资人开立的、记录投资人通过该销售机构</w:t>
      </w:r>
      <w:r>
        <w:rPr>
          <w:rFonts w:ascii="宋体" w:hAnsi="宋体"/>
          <w:sz w:val="24"/>
        </w:rPr>
        <w:lastRenderedPageBreak/>
        <w:t>办理认购、申购、赎回、转换及转托管等业务而引起的基金份额变动及结余情况的账户</w:t>
      </w:r>
    </w:p>
    <w:p w14:paraId="288103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30、基金合同生效日：指基金募集达到法律法规规定及基金合同规定的条件，基金管理人向中国证监会办理基金备案手续完毕，并获得中国证监会书面确认的日期</w:t>
      </w:r>
    </w:p>
    <w:p w14:paraId="786DF9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31、基金合同终止日：指基金合同规定的基金合同终止事由出现后，基金财产清算完毕，清算结果报中国证监会备案并予以公告的日期</w:t>
      </w:r>
    </w:p>
    <w:p w14:paraId="2E0FD30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32、基金募集期：指自基金份额发售之日起至发售结束之日止的期间，最长不得超过3个月</w:t>
      </w:r>
    </w:p>
    <w:p w14:paraId="301EF5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33、存续期：指基金合同生效至终止之间的不定期期限</w:t>
      </w:r>
    </w:p>
    <w:p w14:paraId="2EBA40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34、工作日：指上海证券交易所、深圳证券交易所的正常交易日</w:t>
      </w:r>
    </w:p>
    <w:p w14:paraId="3A4B0E8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35、T日：指销售机构在规定时间受理投资人申购、赎回或其他业务申请的开放日</w:t>
      </w:r>
    </w:p>
    <w:p w14:paraId="6C7A334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36、T+n日：指自T日起第n个工作日（不包含T日）</w:t>
      </w:r>
    </w:p>
    <w:p w14:paraId="270F09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37、开放日：指为投资人办理基金份额申购、赎回或其他业务的工作日（若该工作日为非港股通交易日，则本基金可不开放）</w:t>
      </w:r>
    </w:p>
    <w:p w14:paraId="06E7CA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38、开放时间：指开放日基金接受申购、赎回或其他交易的时间段</w:t>
      </w:r>
    </w:p>
    <w:p w14:paraId="05521D7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39、《业务规则》：指中国证券登记结算有限责任公司相关业务规则及其不时做出的修订</w:t>
      </w:r>
    </w:p>
    <w:p w14:paraId="3A408E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40、认购：指在基金募集期内，投资人根据基金合同和招募说明书的规定申请购买基金份额的行为</w:t>
      </w:r>
    </w:p>
    <w:p w14:paraId="599F414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41、申购：指基金合同生效后，投资人根据基金合同和招募说明书的规定申请购买基金份额的行为</w:t>
      </w:r>
    </w:p>
    <w:p w14:paraId="4D9790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42、赎回：指基金合同生效后，基金份额持有人按基金合同和招募说明书规定的条件要求将基金份额兑换为现金的行为</w:t>
      </w:r>
    </w:p>
    <w:p w14:paraId="4A9978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43、基金转换：指基金份额持有人按照基金合同和基金管理人届时有效公告规定的条件，申请将其持有基金管理人管理的、某一基金的基金份额转换为基金管理人管理的其他基金基金份额的行为</w:t>
      </w:r>
    </w:p>
    <w:p w14:paraId="7CAFF93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44、转托管：指基金份额持有人在本基金的不同销售机构之间实施的变更所持基金份额销售机构的操作</w:t>
      </w:r>
    </w:p>
    <w:p w14:paraId="05F9DBA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45、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5D6D44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46、巨额赎回：指本基金单个开放日，基金净赎回申请（赎回申请份额总数加上基金转换中转出申请份额总数后扣除申购申请份额总数及基金转换中转入申请份额总数后的余额）超过上一开放日基金总份额的10%的情形</w:t>
      </w:r>
    </w:p>
    <w:p w14:paraId="43D6B1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47、元：指人民币元</w:t>
      </w:r>
    </w:p>
    <w:p w14:paraId="1E5625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48、基金收益：指基金投资所得红利、股息、债券利息、买卖证券价差、银行存款利息、已实现的其他合法收入及因运用基金财产带来的成本和费用的节约</w:t>
      </w:r>
    </w:p>
    <w:p w14:paraId="69F7782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49、基金资产总值：指基金拥有的各类有价证券、股指期货合约、银行存款本息、基金应收申购款及其他资产的价值总和</w:t>
      </w:r>
    </w:p>
    <w:p w14:paraId="55CA884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50、基金资产净值：指基金资产总值减去基金负债后的价值</w:t>
      </w:r>
    </w:p>
    <w:p w14:paraId="55DBDB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51、基金份额净值：指计算日基金资产净值除以计算日基金份额总数</w:t>
      </w:r>
    </w:p>
    <w:p w14:paraId="6E6E41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52、基金资产估值：指计算评估基金资产和负债的价值，以确定基金资产净值和基金份额净值的过程</w:t>
      </w:r>
    </w:p>
    <w:p w14:paraId="77AC2598" w14:textId="77777777" w:rsidR="00ED4F3F" w:rsidRPr="00ED4F3F" w:rsidRDefault="000605B5" w:rsidP="00ED4F3F">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53、</w:t>
      </w:r>
      <w:r w:rsidR="00ED4F3F" w:rsidRPr="00ED4F3F">
        <w:rPr>
          <w:rFonts w:ascii="宋体" w:hAnsi="宋体" w:hint="eastAsia"/>
          <w:sz w:val="24"/>
        </w:rPr>
        <w:t>销售服务费：指从基金财产中计提的，用于本基金市场推广、销售以及基金份额持有人服务的费用</w:t>
      </w:r>
    </w:p>
    <w:p w14:paraId="222B2025" w14:textId="77777777" w:rsidR="00ED4F3F" w:rsidRPr="00ED4F3F" w:rsidRDefault="00ED4F3F" w:rsidP="00ED4F3F">
      <w:pPr>
        <w:autoSpaceDE w:val="0"/>
        <w:autoSpaceDN w:val="0"/>
        <w:adjustRightInd w:val="0"/>
        <w:snapToGrid w:val="0"/>
        <w:spacing w:line="360" w:lineRule="auto"/>
        <w:ind w:firstLineChars="200" w:firstLine="480"/>
        <w:jc w:val="left"/>
        <w:rPr>
          <w:rFonts w:ascii="宋体" w:hAnsi="宋体"/>
          <w:sz w:val="24"/>
        </w:rPr>
      </w:pPr>
      <w:r w:rsidRPr="00ED4F3F">
        <w:rPr>
          <w:rFonts w:ascii="宋体" w:hAnsi="宋体" w:hint="eastAsia"/>
          <w:sz w:val="24"/>
        </w:rPr>
        <w:t>54、A类基金份额：指在投资人申购时收取申购费用且不从本类别基金资产中计提销售服务费的基金份额</w:t>
      </w:r>
    </w:p>
    <w:p w14:paraId="6B7D02E1" w14:textId="77777777" w:rsidR="00ED4F3F" w:rsidRPr="00ED4F3F" w:rsidRDefault="00ED4F3F" w:rsidP="00ED4F3F">
      <w:pPr>
        <w:autoSpaceDE w:val="0"/>
        <w:autoSpaceDN w:val="0"/>
        <w:adjustRightInd w:val="0"/>
        <w:snapToGrid w:val="0"/>
        <w:spacing w:line="360" w:lineRule="auto"/>
        <w:ind w:firstLineChars="200" w:firstLine="480"/>
        <w:jc w:val="left"/>
        <w:rPr>
          <w:rFonts w:ascii="宋体" w:hAnsi="宋体"/>
          <w:sz w:val="24"/>
        </w:rPr>
      </w:pPr>
      <w:r w:rsidRPr="00ED4F3F">
        <w:rPr>
          <w:rFonts w:ascii="宋体" w:hAnsi="宋体" w:hint="eastAsia"/>
          <w:sz w:val="24"/>
        </w:rPr>
        <w:t>55、C类基金份额：指在投资人申购时不收取申购费用，并从本类别基金资产中计提销售服务费的基金份额</w:t>
      </w:r>
    </w:p>
    <w:p w14:paraId="16E61AFE" w14:textId="35E470F8" w:rsidR="00B164D3" w:rsidRDefault="00ED4F3F" w:rsidP="00ED4F3F">
      <w:pPr>
        <w:autoSpaceDE w:val="0"/>
        <w:autoSpaceDN w:val="0"/>
        <w:adjustRightInd w:val="0"/>
        <w:snapToGrid w:val="0"/>
        <w:spacing w:line="360" w:lineRule="auto"/>
        <w:ind w:firstLineChars="200" w:firstLine="480"/>
        <w:jc w:val="left"/>
        <w:rPr>
          <w:rFonts w:ascii="宋体" w:hAnsi="宋体"/>
          <w:szCs w:val="24"/>
        </w:rPr>
      </w:pPr>
      <w:r w:rsidRPr="00ED4F3F">
        <w:rPr>
          <w:rFonts w:ascii="宋体" w:hAnsi="宋体" w:hint="eastAsia"/>
          <w:sz w:val="24"/>
        </w:rPr>
        <w:t>56、</w:t>
      </w:r>
      <w:r w:rsidR="000605B5">
        <w:rPr>
          <w:rFonts w:ascii="宋体" w:hAnsi="宋体"/>
          <w:sz w:val="24"/>
        </w:rPr>
        <w:t>港股通：指内地投资者委托内地证券公司，经由内地证券交易所在香港设立的证券交易服务公司，向香港联合交易所进行申报，买卖规定范围内的香港联合交易所上市的股票</w:t>
      </w:r>
    </w:p>
    <w:p w14:paraId="14A64FD4" w14:textId="6F7358B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564659">
        <w:rPr>
          <w:rFonts w:ascii="宋体" w:hAnsi="宋体"/>
          <w:sz w:val="24"/>
        </w:rPr>
        <w:t>7</w:t>
      </w:r>
      <w:r>
        <w:rPr>
          <w:rFonts w:ascii="宋体" w:hAnsi="宋体"/>
          <w:sz w:val="24"/>
        </w:rPr>
        <w:t>、规定媒介：指符合中国证监会规定条件的用以进行信息披露的全国性报刊及《信息披露办法》规定的互联网网站（包括基金管理人网站、基金托管人网站、中国证监会基金电子披露网站）等媒介</w:t>
      </w:r>
    </w:p>
    <w:p w14:paraId="4B512B6B" w14:textId="371FC5C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564659">
        <w:rPr>
          <w:rFonts w:ascii="宋体" w:hAnsi="宋体"/>
          <w:sz w:val="24"/>
        </w:rPr>
        <w:t>8</w:t>
      </w:r>
      <w:r>
        <w:rPr>
          <w:rFonts w:ascii="宋体" w:hAnsi="宋体"/>
          <w:sz w:val="24"/>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w:t>
      </w:r>
      <w:r>
        <w:rPr>
          <w:rFonts w:ascii="宋体" w:hAnsi="宋体"/>
          <w:sz w:val="24"/>
        </w:rPr>
        <w:lastRenderedPageBreak/>
        <w:t>及非公开发行股票、资产支持证券、因发行人债务违约无法进行转让或交易的债券等</w:t>
      </w:r>
    </w:p>
    <w:p w14:paraId="03FB7294" w14:textId="58F3B7B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w:t>
      </w:r>
      <w:r w:rsidR="00564659">
        <w:rPr>
          <w:rFonts w:ascii="宋体" w:hAnsi="宋体"/>
          <w:sz w:val="24"/>
        </w:rPr>
        <w:t>9</w:t>
      </w:r>
      <w:r>
        <w:rPr>
          <w:rFonts w:ascii="宋体" w:hAnsi="宋体"/>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0674EE9" w14:textId="18DBBF73" w:rsidR="00B164D3" w:rsidRDefault="0056465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60</w:t>
      </w:r>
      <w:r w:rsidR="000605B5">
        <w:rPr>
          <w:rFonts w:ascii="宋体" w:hAnsi="宋体"/>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64B34DB" w14:textId="414C5BB2" w:rsidR="00B164D3" w:rsidRDefault="0056465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61</w:t>
      </w:r>
      <w:r w:rsidR="000605B5">
        <w:rPr>
          <w:rFonts w:ascii="宋体" w:hAnsi="宋体"/>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3E37AB32" w14:textId="296688FE" w:rsidR="00B164D3" w:rsidRDefault="0056465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62</w:t>
      </w:r>
      <w:r w:rsidR="000605B5">
        <w:rPr>
          <w:rFonts w:ascii="宋体" w:hAnsi="宋体"/>
          <w:sz w:val="24"/>
        </w:rPr>
        <w:t>、不可抗力：指基金合同当事人不能预见、不能避免且不能克服的客观事件</w:t>
      </w:r>
    </w:p>
    <w:p w14:paraId="78AF7DE5"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F7DA722" w14:textId="77777777" w:rsidR="00B164D3" w:rsidRDefault="000605B5">
      <w:pPr>
        <w:pStyle w:val="1"/>
        <w:snapToGrid w:val="0"/>
        <w:spacing w:beforeLines="0" w:before="240" w:after="240"/>
        <w:rPr>
          <w:rFonts w:ascii="宋体" w:hAnsi="宋体"/>
          <w:szCs w:val="30"/>
        </w:rPr>
      </w:pPr>
      <w:bookmarkStart w:id="6" w:name="_Toc85115618"/>
      <w:r>
        <w:rPr>
          <w:rFonts w:ascii="Times New Roman" w:hAnsi="Times New Roman"/>
          <w:sz w:val="30"/>
        </w:rPr>
        <w:lastRenderedPageBreak/>
        <w:t>三、基金管理人</w:t>
      </w:r>
      <w:bookmarkEnd w:id="6"/>
    </w:p>
    <w:p w14:paraId="1281C7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（一）基金管理人概况</w:t>
      </w:r>
    </w:p>
    <w:p w14:paraId="17D8E9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7772F71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107EF2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712E849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20A0A17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4D5F368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58BCEE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630759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2C0904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联系人：郭佳敏</w:t>
      </w:r>
    </w:p>
    <w:p w14:paraId="70F84F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电话：（021）61055050</w:t>
      </w:r>
    </w:p>
    <w:p w14:paraId="00FD90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传真：（021）61055034</w:t>
      </w:r>
    </w:p>
    <w:p w14:paraId="1AA00B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交银施罗德基金管理有限公司（以下简称“公司”）经中国证监会证监基金字[2005]128号文批准设立。公司股权结构如下：</w:t>
      </w:r>
    </w:p>
    <w:tbl>
      <w:tblPr>
        <w:tblW w:w="5000" w:type="pct"/>
        <w:tblCellMar>
          <w:left w:w="0" w:type="dxa"/>
          <w:right w:w="0" w:type="dxa"/>
        </w:tblCellMar>
        <w:tblLook w:val="0000" w:firstRow="0" w:lastRow="0" w:firstColumn="0" w:lastColumn="0" w:noHBand="0" w:noVBand="0"/>
      </w:tblPr>
      <w:tblGrid>
        <w:gridCol w:w="4325"/>
        <w:gridCol w:w="4325"/>
      </w:tblGrid>
      <w:tr w:rsidR="00B164D3" w14:paraId="108D3894"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08F0A9D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股东名称</w:t>
            </w:r>
          </w:p>
        </w:tc>
        <w:tc>
          <w:tcPr>
            <w:tcW w:w="750" w:type="pct"/>
            <w:tcBorders>
              <w:top w:val="single" w:sz="4" w:space="0" w:color="auto"/>
              <w:left w:val="single" w:sz="4" w:space="0" w:color="auto"/>
              <w:bottom w:val="single" w:sz="4" w:space="0" w:color="auto"/>
              <w:right w:val="single" w:sz="4" w:space="0" w:color="auto"/>
            </w:tcBorders>
            <w:vAlign w:val="center"/>
          </w:tcPr>
          <w:p w14:paraId="13B136B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股权比例</w:t>
            </w:r>
          </w:p>
        </w:tc>
      </w:tr>
      <w:tr w:rsidR="00B164D3" w14:paraId="7F9A0D35"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14C04E0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交通银行股份有限公司（以下使用全称或其简称</w:t>
            </w:r>
            <w:r>
              <w:rPr>
                <w:rFonts w:ascii="Times New Roman" w:hAnsi="Times New Roman"/>
                <w:color w:val="000000"/>
                <w:kern w:val="0"/>
                <w:sz w:val="25"/>
                <w:szCs w:val="24"/>
              </w:rPr>
              <w:t>“</w:t>
            </w:r>
            <w:r>
              <w:rPr>
                <w:rFonts w:ascii="Times New Roman" w:hAnsi="Times New Roman"/>
                <w:color w:val="000000"/>
                <w:kern w:val="0"/>
                <w:sz w:val="25"/>
                <w:szCs w:val="24"/>
              </w:rPr>
              <w:t>交通银行</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307E7D4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65%</w:t>
            </w:r>
          </w:p>
        </w:tc>
      </w:tr>
      <w:tr w:rsidR="00B164D3" w14:paraId="5E5971E0"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53F9BA1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施罗德投资管理有限公司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2E64714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30%</w:t>
            </w:r>
          </w:p>
        </w:tc>
      </w:tr>
      <w:tr w:rsidR="00B164D3" w14:paraId="7FCC98FF"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8727F1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中国国际海运集装箱（集团）股份有限公司</w:t>
            </w:r>
          </w:p>
        </w:tc>
        <w:tc>
          <w:tcPr>
            <w:tcW w:w="750" w:type="pct"/>
            <w:tcBorders>
              <w:top w:val="single" w:sz="4" w:space="0" w:color="auto"/>
              <w:left w:val="single" w:sz="4" w:space="0" w:color="auto"/>
              <w:bottom w:val="single" w:sz="4" w:space="0" w:color="auto"/>
              <w:right w:val="single" w:sz="4" w:space="0" w:color="auto"/>
            </w:tcBorders>
            <w:vAlign w:val="center"/>
          </w:tcPr>
          <w:p w14:paraId="4B831BC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r>
    </w:tbl>
    <w:p w14:paraId="67165F54"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6053FA8C"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10BFAF5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（二）主要成员情况</w:t>
      </w:r>
    </w:p>
    <w:p w14:paraId="24B583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1、基金管理人董事会成员</w:t>
      </w:r>
    </w:p>
    <w:p w14:paraId="628F27D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阮红女士，董事长，博士。历任交通银行办公室副处长、处长，交通银行海外机构管理部副总经理、总经理，交通银行上海分行副行长，交通银行资产托管部总经理，交通银行投资管理部总经理，交银施罗德基金管理有限公司总经理。</w:t>
      </w:r>
    </w:p>
    <w:p w14:paraId="28F85C6B" w14:textId="5DA23D22"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周曦女士，董事，硕士。现任交通银行总行</w:t>
      </w:r>
      <w:r w:rsidR="008C6694">
        <w:rPr>
          <w:rFonts w:ascii="宋体" w:hAnsi="宋体"/>
          <w:sz w:val="24"/>
        </w:rPr>
        <w:t>零售信贷业务部</w:t>
      </w:r>
      <w:r w:rsidR="00730A43">
        <w:rPr>
          <w:rFonts w:ascii="宋体" w:hAnsi="宋体"/>
          <w:sz w:val="24"/>
        </w:rPr>
        <w:t>总经理</w:t>
      </w:r>
      <w:r>
        <w:rPr>
          <w:rFonts w:ascii="宋体" w:hAnsi="宋体"/>
          <w:sz w:val="24"/>
        </w:rPr>
        <w:t>。历任交通银行湖南省分行风险管理部、资产保全部、法律合规部、个人金融业务部总经理，交通银行总行个人金融业务部总经理助理</w:t>
      </w:r>
      <w:r w:rsidR="008C6694" w:rsidRPr="008C6694">
        <w:rPr>
          <w:rFonts w:ascii="宋体" w:hAnsi="宋体" w:hint="eastAsia"/>
          <w:sz w:val="24"/>
        </w:rPr>
        <w:t>、副总经理</w:t>
      </w:r>
      <w:r>
        <w:rPr>
          <w:rFonts w:ascii="宋体" w:hAnsi="宋体"/>
          <w:sz w:val="24"/>
        </w:rPr>
        <w:t>。</w:t>
      </w:r>
    </w:p>
    <w:p w14:paraId="5AFE2B4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王贤家先生，董事，学士。现任交通银行总行风险管理部/内控案防办 副总经理。历任交通银行总行国际业务部外汇资金处交易员、澳门分行资金部主管、总行金融市场部债券投资部副高级经理、外汇交易部高级经理。</w:t>
      </w:r>
    </w:p>
    <w:p w14:paraId="63CECA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董事，总经理，博士，高级经济师，民盟中央委员、全国政协委员。现任交银施罗德基金管理有限公司总经理，兼任交银施罗德资产管理(香港)有限公司董事长。历任中央财经大学教师，中国社会科学院财贸所助理研究员，中国电力信托投资公司基金部副总经理，中国人保信托投资公司证券部副总经理、总经理，北京证券营业部总经理、证券总部副总经理兼北方部总经理，富国基金管理有限公司副总经理，交银施罗德基金管理有限公司副总经理。</w:t>
      </w:r>
    </w:p>
    <w:p w14:paraId="0F4D117E" w14:textId="68EEC564"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李定邦（Lieven Debruyne）先生，</w:t>
      </w:r>
      <w:r w:rsidR="00A94C8D" w:rsidRPr="001F4B2D">
        <w:rPr>
          <w:rFonts w:ascii="宋体" w:hAnsi="宋体" w:hint="eastAsia"/>
          <w:sz w:val="24"/>
        </w:rPr>
        <w:t>副董事长</w:t>
      </w:r>
      <w:r>
        <w:rPr>
          <w:rFonts w:ascii="宋体" w:hAnsi="宋体"/>
          <w:sz w:val="24"/>
        </w:rPr>
        <w:t>，硕士。现任施罗德集团全球业务总裁, 担任集团管理委员会成员。历任施罗德投资管理有限公司亚洲投资产品总监</w:t>
      </w:r>
      <w:r w:rsidR="00E921DA">
        <w:rPr>
          <w:rFonts w:ascii="宋体" w:hAnsi="宋体"/>
          <w:sz w:val="24"/>
        </w:rPr>
        <w:t>、亚太区行政总裁</w:t>
      </w:r>
      <w:r w:rsidR="00E921DA">
        <w:rPr>
          <w:rFonts w:ascii="宋体" w:hAnsi="宋体" w:hint="eastAsia"/>
          <w:sz w:val="24"/>
        </w:rPr>
        <w:t>、</w:t>
      </w:r>
      <w:r>
        <w:rPr>
          <w:rFonts w:ascii="宋体" w:hAnsi="宋体"/>
          <w:sz w:val="24"/>
        </w:rPr>
        <w:t>施罗德投资管理（香港）有限公司行政总裁兼亚太区基金业务拓展总监。</w:t>
      </w:r>
    </w:p>
    <w:p w14:paraId="1AA4C5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章骏翔先生，董事，硕士，美国特许金融分析师(CFA)持证人。现任施罗德投资管理(香港)有限公司亚洲投资风险主管。历任渣打银行（香港）交易风险监控，华宝兴业基金管理有限公司风险管理部总经理，法国安盛投资管理（香港）有限公司亚洲风险经理等职。</w:t>
      </w:r>
    </w:p>
    <w:p w14:paraId="3E2FDD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郝爱群女士，独立董事，学士。历任人民银行稽核司副处长、处长，合作司调研员，非银司副巡视员、副司长，银监会非银部副主任，银行监管一部副主任、巡视员，汇金公司派出董事。</w:t>
      </w:r>
    </w:p>
    <w:p w14:paraId="4D5ADC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张子学先生，独立董事，博士。现任中国政法大学民商经济法学院教授，兼任基金业协会自律监察委员会委员。历任证监会办公厅副处长、上市公司监管部处长、行政处罚委员会专职委员、副主任审理员，兼任证监会上市公司并购重组审核委员会委员、行政复议委员会委员。</w:t>
      </w:r>
    </w:p>
    <w:p w14:paraId="31D38E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黎建强先生，独立董事，博士，教育部长江学者讲座教授。现任香港大学工业工程系荣誉教授，亚洲风险及危机管理协会主席，兼任深交所上市的中联重科集团独立非执行董事。历任香港城市大学管理科学讲座教授，湖南省政协委员并兼任湖南大学工商管理学院院长。</w:t>
      </w:r>
    </w:p>
    <w:p w14:paraId="1C204BB6"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1E053E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2、基金管理人监事会成员</w:t>
      </w:r>
    </w:p>
    <w:p w14:paraId="4A3C06AC" w14:textId="2B17740E"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王忆军先生，监事长，硕士。现任交通银行总行人力资源部总经理。历任交通银行总行办公室副处长，交通银行总行公司业务部副处长、高级经理、总经理助理、副总经理，交通银行总行投资银行部副总经理，交通银行江苏分行副行长，交通银行总行战略投资部总经理</w:t>
      </w:r>
      <w:r w:rsidR="00E6208E">
        <w:rPr>
          <w:rFonts w:ascii="宋体" w:hAnsi="宋体" w:hint="eastAsia"/>
          <w:sz w:val="24"/>
        </w:rPr>
        <w:t>，</w:t>
      </w:r>
      <w:r w:rsidR="00E6208E">
        <w:rPr>
          <w:rFonts w:ascii="宋体" w:hAnsi="宋体"/>
          <w:sz w:val="24"/>
        </w:rPr>
        <w:t>交银金融学院常务副院长</w:t>
      </w:r>
      <w:r>
        <w:rPr>
          <w:rFonts w:ascii="宋体" w:hAnsi="宋体"/>
          <w:sz w:val="24"/>
        </w:rPr>
        <w:t>。</w:t>
      </w:r>
    </w:p>
    <w:p w14:paraId="7BD8E1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曾葆泠女士，监事，学士。现任施罗德投资管理(香港)有限公司香港合规主管。历任香港证券及期货事务监察委员会投资产品科助理，骏利资产管理亚洲有限公司高级合规分析师，东方汇理资产管理香港有限公司合规经理，施罗德投资管理(香港)有限公司合规经理。</w:t>
      </w:r>
    </w:p>
    <w:p w14:paraId="4A52D69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刘峥先生，监事，硕士。现任交银施罗德基金管理有限公司综合管理部总经理。历任交通银行上海市分行管理培训生，交通银行总行战略投资部高级投资并购经理，交银施罗德基金管理有限公司总裁办公室高级综合管理经理、副总经理。</w:t>
      </w:r>
    </w:p>
    <w:p w14:paraId="66FF21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黄伟峰先生，监事，硕士。现任交银施罗德基金管理有限公司市场总监。历任平安人寿保险公司上海分公司行政督导、营销管理经理，交银施罗德基金管理有限公司行政部总经理助理、西部营销中心总经理、机构理财部（上海）总经理兼产品开发部总经理。</w:t>
      </w:r>
    </w:p>
    <w:p w14:paraId="64A27F33"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48F6C52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3、基金管理人高级管理人员</w:t>
      </w:r>
    </w:p>
    <w:p w14:paraId="3DF767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谢卫先生，总经理。简历同上。</w:t>
      </w:r>
    </w:p>
    <w:p w14:paraId="57375D6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夏华龙先生，副总经理、首席信息官，博士，高级经济师。历任中国地质大学经济管理系教师、经济学院教研室副主任、主任、经济学院副院长；交通银行资产托管部副处长、处长、高级经理、副总经理；交通银行资产托管业务中心副总裁；云南省曲靖市市委常委、副市长（挂职）。</w:t>
      </w:r>
    </w:p>
    <w:p w14:paraId="020793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印皓女士，副总经理，硕士，兼任交银施罗德资产管理有限公司董事长。历任交通银行研究开发部副主管体改规划员，交通银行市场营销部副主管市场规划员、主管市场规划员，交通银行公司业务部副高级经理、高级经理，交通银行机构业务部高级经理、总经理助理、副总经理。</w:t>
      </w:r>
    </w:p>
    <w:p w14:paraId="77AD00D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佘川女士，督察长，硕士，兼任交银施罗德资产管理有限公司董事。历任华泰证券有限责任公司综合发展部高级经理、投资银行部项目经理，银河基金管理有限公司监察部总监，交银施罗德基金管理有限公司监察稽核部总经理、监察风控副总监、投资运营总监。</w:t>
      </w:r>
    </w:p>
    <w:p w14:paraId="43054E4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马俊先生，副总经理，硕士。历任交通银行总行投资管理部高级投资分析、副高级经理，交银施罗德基金管理有限公司总裁办公室总经理、研究部副总经理、研究总监、综合管理部总经理。</w:t>
      </w:r>
    </w:p>
    <w:p w14:paraId="3D9A0B56"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59B1A5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4、本基金基金经理</w:t>
      </w:r>
    </w:p>
    <w:p w14:paraId="0F280A3B" w14:textId="20B8FFB9"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王艺伟女士:基金经理。北京大学经济学硕士，吉林大学经济学学士、理学学士。</w:t>
      </w:r>
      <w:r w:rsidR="00A12151">
        <w:rPr>
          <w:rFonts w:ascii="宋体" w:hAnsi="宋体"/>
          <w:sz w:val="24"/>
        </w:rPr>
        <w:t>10</w:t>
      </w:r>
      <w:r>
        <w:rPr>
          <w:rFonts w:ascii="宋体" w:hAnsi="宋体"/>
          <w:sz w:val="24"/>
        </w:rPr>
        <w:t>年证券投资行业从业经验。2012年至2014年任光大证券研究所宏观分析师。2014年加入交银施罗德基金管理有限公司，曾任研究员、研究部助理总经理、基金经理助理</w:t>
      </w:r>
      <w:r w:rsidR="004464A1">
        <w:rPr>
          <w:rFonts w:ascii="宋体" w:hAnsi="宋体" w:hint="eastAsia"/>
          <w:sz w:val="24"/>
        </w:rPr>
        <w:t>、</w:t>
      </w:r>
      <w:r>
        <w:rPr>
          <w:rFonts w:ascii="宋体" w:hAnsi="宋体"/>
          <w:sz w:val="24"/>
        </w:rPr>
        <w:t>固定收益部基金经理</w:t>
      </w:r>
      <w:r w:rsidR="004464A1" w:rsidRPr="004464A1">
        <w:rPr>
          <w:rFonts w:ascii="宋体" w:hAnsi="宋体" w:hint="eastAsia"/>
          <w:sz w:val="24"/>
        </w:rPr>
        <w:t>，现任混合资产投资部基金经理</w:t>
      </w:r>
      <w:r>
        <w:rPr>
          <w:rFonts w:ascii="宋体" w:hAnsi="宋体"/>
          <w:sz w:val="24"/>
        </w:rPr>
        <w:t>。</w:t>
      </w:r>
      <w:r w:rsidR="00C75845">
        <w:rPr>
          <w:rFonts w:ascii="宋体" w:hAnsi="宋体" w:hint="eastAsia"/>
          <w:sz w:val="24"/>
        </w:rPr>
        <w:t>曾任</w:t>
      </w:r>
      <w:r>
        <w:rPr>
          <w:rFonts w:ascii="宋体" w:hAnsi="宋体"/>
          <w:sz w:val="24"/>
        </w:rPr>
        <w:t>交银施罗德安心收益债券型证券投资基金(2019年11月28日至</w:t>
      </w:r>
      <w:r w:rsidR="00C75845">
        <w:rPr>
          <w:rFonts w:ascii="宋体" w:hAnsi="宋体" w:hint="eastAsia"/>
          <w:sz w:val="24"/>
        </w:rPr>
        <w:t>2</w:t>
      </w:r>
      <w:r w:rsidR="00C75845">
        <w:rPr>
          <w:rFonts w:ascii="宋体" w:hAnsi="宋体"/>
          <w:sz w:val="24"/>
        </w:rPr>
        <w:t>022</w:t>
      </w:r>
      <w:r w:rsidR="00C75845">
        <w:rPr>
          <w:rFonts w:ascii="宋体" w:hAnsi="宋体" w:hint="eastAsia"/>
          <w:sz w:val="24"/>
        </w:rPr>
        <w:t>年01月2</w:t>
      </w:r>
      <w:r w:rsidR="0043129F">
        <w:rPr>
          <w:rFonts w:ascii="宋体" w:hAnsi="宋体"/>
          <w:sz w:val="24"/>
        </w:rPr>
        <w:t>6</w:t>
      </w:r>
      <w:r w:rsidR="00C75845">
        <w:rPr>
          <w:rFonts w:ascii="宋体" w:hAnsi="宋体" w:hint="eastAsia"/>
          <w:sz w:val="24"/>
        </w:rPr>
        <w:t>日</w:t>
      </w:r>
      <w:r>
        <w:rPr>
          <w:rFonts w:ascii="宋体" w:hAnsi="宋体"/>
          <w:sz w:val="24"/>
        </w:rPr>
        <w:t>)</w:t>
      </w:r>
      <w:r w:rsidR="00C75845">
        <w:rPr>
          <w:rFonts w:ascii="宋体" w:hAnsi="宋体" w:hint="eastAsia"/>
          <w:sz w:val="24"/>
        </w:rPr>
        <w:t>的基金经理。</w:t>
      </w:r>
      <w:r w:rsidR="00C75845">
        <w:rPr>
          <w:rFonts w:ascii="宋体" w:hAnsi="宋体"/>
          <w:sz w:val="24"/>
        </w:rPr>
        <w:t>现任</w:t>
      </w:r>
      <w:r>
        <w:rPr>
          <w:rFonts w:ascii="宋体" w:hAnsi="宋体"/>
          <w:sz w:val="24"/>
        </w:rPr>
        <w:t>交银施罗德荣鑫灵活配置混合型</w:t>
      </w:r>
      <w:r w:rsidR="004464A1" w:rsidRPr="004464A1">
        <w:rPr>
          <w:rFonts w:ascii="宋体" w:hAnsi="宋体" w:hint="eastAsia"/>
          <w:sz w:val="24"/>
        </w:rPr>
        <w:t>证券投资</w:t>
      </w:r>
      <w:r>
        <w:rPr>
          <w:rFonts w:ascii="宋体" w:hAnsi="宋体"/>
          <w:sz w:val="24"/>
        </w:rPr>
        <w:t>基金(2019年11月28日至今)、交银施罗德恒益灵活配置混合型证券投资基金(2020年07月09日至今)、交银施罗德优择回报灵活配置混合型证券投资基金(2020年07月09日至今)、交银施罗德多策略回报灵活配置混合型证券投资基金(2020年07月09日至今)、交银施罗德瑞鑫定期开放灵活配置混合型证券投资基金(2020年07月09日至今)、交银施罗德周期回报灵活配置混合型证券投资基金(2020年07月09日至今)、交银施罗德新回报灵活配置混合型证券投资基金(2020年07月09日至今)、交银施罗德优选回报灵活配置混合型证券投资基金(2020年07月09日至今)、交银施罗德臻选回报混合型证券投资基金(2020年12月23日至今)的基金经理。</w:t>
      </w:r>
    </w:p>
    <w:p w14:paraId="0E1D3947"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122B02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5、投资决策委员会成员</w:t>
      </w:r>
    </w:p>
    <w:p w14:paraId="171E14C7" w14:textId="5C8AA54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委员：谢卫（总经理）</w:t>
      </w:r>
    </w:p>
    <w:p w14:paraId="780FD59B" w14:textId="13D315E2"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马俊（副总经理、研究总监）</w:t>
      </w:r>
    </w:p>
    <w:p w14:paraId="128287CF" w14:textId="76742D9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王少成（权益投资总监、基金经理）</w:t>
      </w:r>
    </w:p>
    <w:p w14:paraId="4354A60A" w14:textId="74372602" w:rsidR="00C7288B" w:rsidRDefault="000605B5" w:rsidP="009E422B">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于海颖（固定收益（公募）投资总监、基金经理）</w:t>
      </w:r>
    </w:p>
    <w:p w14:paraId="29CB37D5" w14:textId="02BA17B6" w:rsidR="00B164D3" w:rsidRDefault="000605B5" w:rsidP="00350650">
      <w:pPr>
        <w:autoSpaceDE w:val="0"/>
        <w:autoSpaceDN w:val="0"/>
        <w:adjustRightInd w:val="0"/>
        <w:snapToGrid w:val="0"/>
        <w:spacing w:line="360" w:lineRule="auto"/>
        <w:ind w:firstLineChars="236" w:firstLine="566"/>
        <w:jc w:val="left"/>
        <w:rPr>
          <w:rFonts w:ascii="宋体" w:hAnsi="宋体"/>
          <w:szCs w:val="24"/>
        </w:rPr>
      </w:pPr>
      <w:r>
        <w:rPr>
          <w:rFonts w:ascii="宋体" w:hAnsi="宋体"/>
          <w:sz w:val="24"/>
        </w:rPr>
        <w:t>王崇（权益投资副总监、权益部一级专家、基金经理）</w:t>
      </w:r>
    </w:p>
    <w:p w14:paraId="7429B799" w14:textId="77777777" w:rsidR="00B164D3" w:rsidRDefault="00B164D3" w:rsidP="009E422B">
      <w:pPr>
        <w:autoSpaceDE w:val="0"/>
        <w:autoSpaceDN w:val="0"/>
        <w:adjustRightInd w:val="0"/>
        <w:snapToGrid w:val="0"/>
        <w:spacing w:line="360" w:lineRule="auto"/>
        <w:ind w:firstLineChars="200" w:firstLine="420"/>
        <w:jc w:val="left"/>
        <w:rPr>
          <w:rFonts w:ascii="宋体" w:hAnsi="宋体"/>
          <w:szCs w:val="24"/>
        </w:rPr>
      </w:pPr>
    </w:p>
    <w:p w14:paraId="7F7564E2" w14:textId="4648586F"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上述人员之间不存在近亲属关系，上述各项人员信息更新截止日为202</w:t>
      </w:r>
      <w:r w:rsidR="00313C63">
        <w:rPr>
          <w:rFonts w:ascii="宋体" w:hAnsi="宋体"/>
          <w:sz w:val="24"/>
        </w:rPr>
        <w:t>2</w:t>
      </w:r>
      <w:r>
        <w:rPr>
          <w:rFonts w:ascii="宋体" w:hAnsi="宋体"/>
          <w:sz w:val="24"/>
        </w:rPr>
        <w:t>年</w:t>
      </w:r>
      <w:r w:rsidR="00C7288B">
        <w:rPr>
          <w:rFonts w:ascii="宋体" w:hAnsi="宋体"/>
          <w:sz w:val="24"/>
        </w:rPr>
        <w:t>7</w:t>
      </w:r>
      <w:r>
        <w:rPr>
          <w:rFonts w:ascii="宋体" w:hAnsi="宋体"/>
          <w:sz w:val="24"/>
        </w:rPr>
        <w:t>月</w:t>
      </w:r>
      <w:r w:rsidR="00C7288B">
        <w:rPr>
          <w:rFonts w:ascii="宋体" w:hAnsi="宋体"/>
          <w:sz w:val="24"/>
        </w:rPr>
        <w:t>7</w:t>
      </w:r>
      <w:r>
        <w:rPr>
          <w:rFonts w:ascii="宋体" w:hAnsi="宋体"/>
          <w:sz w:val="24"/>
        </w:rPr>
        <w:t>日，期后变动（如有）敬请关注基金管理人发布的相关公告。</w:t>
      </w:r>
    </w:p>
    <w:p w14:paraId="55AC3F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（三）基金管理人的职责</w:t>
      </w:r>
    </w:p>
    <w:p w14:paraId="4C0C955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1、依法募集资金，办理或者委托经中国证监会认定的其他机构办理基金份额的发售、申购、赎回和登记事宜；</w:t>
      </w:r>
    </w:p>
    <w:p w14:paraId="19C94E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5ADEB4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3、对所管理的不同基金财产分别管理、分别记账，进行证券投资；</w:t>
      </w:r>
    </w:p>
    <w:p w14:paraId="2CC723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4、按照基金合同的约定确定基金收益分配方案，及时向基金份额持有人分配收益；</w:t>
      </w:r>
    </w:p>
    <w:p w14:paraId="6EAAA6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5、进行基金会计核算并编制基金财务会计报告；</w:t>
      </w:r>
    </w:p>
    <w:p w14:paraId="23B3AF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6、编制季度报告、中期报告和年度报告；</w:t>
      </w:r>
    </w:p>
    <w:p w14:paraId="3F7202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7、计算并公告基金净值信息，确定基金份额申购、赎回价格；</w:t>
      </w:r>
    </w:p>
    <w:p w14:paraId="13D9A09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8、办理与基金财产管理业务活动有关的信息披露事项；</w:t>
      </w:r>
    </w:p>
    <w:p w14:paraId="1EF182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9、按照规定召集基金份额持有人大会；</w:t>
      </w:r>
    </w:p>
    <w:p w14:paraId="321594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10、保存基金财产管理业务活动的记录、账册、报表和其他相关资料；</w:t>
      </w:r>
    </w:p>
    <w:p w14:paraId="00F9F2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11、以基金管理人名义，代表基金份额持有人利益行使诉讼权利或者实施其他法律行为；</w:t>
      </w:r>
    </w:p>
    <w:p w14:paraId="0FCDB9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12、有关法律法规和中国证监会规定的其他职责。</w:t>
      </w:r>
    </w:p>
    <w:p w14:paraId="6252C3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（四）基金管理人的承诺</w:t>
      </w:r>
    </w:p>
    <w:p w14:paraId="1C2CE7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1、基金管理人承诺不从事违反《中华人民共和国证券法》的行为，并承诺建立健全内部控制制度，采取有效措施，防止违反《中华人民共和国证券法》行为的发生；</w:t>
      </w:r>
    </w:p>
    <w:p w14:paraId="01C43D2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2、基金管理人承诺不从事违反《基金法》的行为，并承诺建立健全内部风险控制制度，采取有效措施，防止下列行为的发生：</w:t>
      </w:r>
    </w:p>
    <w:p w14:paraId="606A805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（1）将基金管理人固有财产或者他人财产混同于基金财产从事证券投资；</w:t>
      </w:r>
    </w:p>
    <w:p w14:paraId="70CA89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（2）不公平地对待管理的不同基金财产；</w:t>
      </w:r>
    </w:p>
    <w:p w14:paraId="251892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（3）利用基金财产为基金份额持有人以外的第三人牟取利益；</w:t>
      </w:r>
    </w:p>
    <w:p w14:paraId="3AC275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（4）向基金份额持有人违规承诺收益或者承担损失；</w:t>
      </w:r>
    </w:p>
    <w:p w14:paraId="512BB1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（5）侵占、挪用基金财产；</w:t>
      </w:r>
    </w:p>
    <w:p w14:paraId="1432F3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（6）法律、行政法规和中国证监会禁止的其他行为。</w:t>
      </w:r>
    </w:p>
    <w:p w14:paraId="01A4B7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3、基金管理人承诺严格遵守基金合同，并承诺建立健全内部控制制度，采取有效措施，防止违反基金合同行为的发生；</w:t>
      </w:r>
    </w:p>
    <w:p w14:paraId="271658A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4、基金管理人承诺加强人员管理，强化职业操守，督促和约束员工遵守国家</w:t>
      </w:r>
      <w:r>
        <w:rPr>
          <w:rFonts w:ascii="宋体" w:hAnsi="宋体"/>
          <w:sz w:val="24"/>
        </w:rPr>
        <w:lastRenderedPageBreak/>
        <w:t>有关法律法规及行业规范，诚实信用、勤勉尽责；</w:t>
      </w:r>
    </w:p>
    <w:p w14:paraId="1F52FE8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5、基金管理人承诺不从事其他法规规定禁止从事的行为。</w:t>
      </w:r>
    </w:p>
    <w:p w14:paraId="4DFBE8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（五）基金经理承诺</w:t>
      </w:r>
    </w:p>
    <w:p w14:paraId="54177D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1、依照有关法律法规和基金合同的规定，本着谨慎的原则为基金份额持有人谋取最大利益；</w:t>
      </w:r>
    </w:p>
    <w:p w14:paraId="242926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2、不利用职务之便为自己、受雇人或任何第三者谋取利益；</w:t>
      </w:r>
    </w:p>
    <w:p w14:paraId="59B5B9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3、不泄露在任职期间知悉的有关证券、基金的商业秘密，尚未依法公开的基金投资内容、基金投资计划等信息，或利用该信息从事或者明示、暗示他人从事相关的交易活动；</w:t>
      </w:r>
    </w:p>
    <w:p w14:paraId="2B9E84B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4、不以任何形式为其他组织或个人进行证券交易。</w:t>
      </w:r>
    </w:p>
    <w:p w14:paraId="7B5641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（六）基金管理人的内部控制制度</w:t>
      </w:r>
    </w:p>
    <w:p w14:paraId="3721E0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1、风险管理的原则</w:t>
      </w:r>
    </w:p>
    <w:p w14:paraId="29B96A8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（1）全面性原则</w:t>
      </w:r>
    </w:p>
    <w:p w14:paraId="4939231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公司风险管理必须覆盖公司的所有部门和岗位，渗透各项业务过程和业务环节。</w:t>
      </w:r>
    </w:p>
    <w:p w14:paraId="30035BC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（2）独立性原则</w:t>
      </w:r>
    </w:p>
    <w:p w14:paraId="0BE5C7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公司设立独立的风险管理部，风险管理部保持高度的独立性和权威性，负责对公司各部门风险控制工作进行监督和检查。</w:t>
      </w:r>
    </w:p>
    <w:p w14:paraId="092CE9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（3）相互制约原则</w:t>
      </w:r>
    </w:p>
    <w:p w14:paraId="1B02769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公司及各部门在内部组织结构的设计上要形成一种相互制约的机制，建立不同岗位之间的制衡体系。</w:t>
      </w:r>
    </w:p>
    <w:p w14:paraId="488C9A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（4）定性和定量相结合原则</w:t>
      </w:r>
    </w:p>
    <w:p w14:paraId="5503C5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建立完备的风险管理指标体系，使风险管理更具客观性和操作性。</w:t>
      </w:r>
    </w:p>
    <w:p w14:paraId="0CB51F1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2、风险管理和内部风险控制体系结构</w:t>
      </w:r>
    </w:p>
    <w:p w14:paraId="1B75D8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p>
    <w:p w14:paraId="12F79E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（1）董事会</w:t>
      </w:r>
    </w:p>
    <w:p w14:paraId="4089360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负责制定公司的风险管理政策，对风险管理负完全的和最终的责任。</w:t>
      </w:r>
    </w:p>
    <w:p w14:paraId="6AEA58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（2）监事会</w:t>
      </w:r>
    </w:p>
    <w:p w14:paraId="3B56C0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是公司常设的监事机构，对股东会负责。监事会对公司财务、公司董事、总经理及其他高级管理人员进行监督。</w:t>
      </w:r>
    </w:p>
    <w:p w14:paraId="0A2F47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（3）合规审核及风险管理委员会</w:t>
      </w:r>
    </w:p>
    <w:p w14:paraId="52E32AD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6FEF54F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（4）风险控制委员会</w:t>
      </w:r>
    </w:p>
    <w:p w14:paraId="4B9C7AC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4D1EEA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（5）督察长</w:t>
      </w:r>
    </w:p>
    <w:p w14:paraId="3611522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独立行使督察权利；直接对董事会负责；就内部控制制度和执行情况独立地履行检查、评价、报告、建议职能；定期和不定期地向董事会报告公司内部控制执行情况。</w:t>
      </w:r>
    </w:p>
    <w:p w14:paraId="5189FC6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（6）风险管理部</w:t>
      </w:r>
    </w:p>
    <w:p w14:paraId="35A60C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p>
    <w:p w14:paraId="3E435D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（7）审计部</w:t>
      </w:r>
    </w:p>
    <w:p w14:paraId="395533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149950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（8）法律合规部</w:t>
      </w:r>
    </w:p>
    <w:p w14:paraId="58BD30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6CFA4D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（9）业务部门</w:t>
      </w:r>
    </w:p>
    <w:p w14:paraId="596FBD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风险管理是每一个业务部门首要的责任。部门经理对本部门的风险负全部责任，负责履行公司的风险管理程序，负责本部门的风险管理系统的开发、执行和维</w:t>
      </w:r>
      <w:r>
        <w:rPr>
          <w:rFonts w:ascii="宋体" w:hAnsi="宋体"/>
          <w:sz w:val="24"/>
        </w:rPr>
        <w:lastRenderedPageBreak/>
        <w:t>护，用于识别、监控和降低风险。</w:t>
      </w:r>
    </w:p>
    <w:p w14:paraId="2ED003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3、风险管理和内部风险控制的措施</w:t>
      </w:r>
    </w:p>
    <w:p w14:paraId="7D1BD8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（1）建立内控体系，完善内控制度</w:t>
      </w:r>
    </w:p>
    <w:p w14:paraId="3043CD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公司建立、健全了内控体系，通过高管人员关于内控的明确分工，确保各项业务活动有恰当的组织和授权，确保监察活动独立，并得到高管人员的支持，同时置备操作手册，并定期更新。</w:t>
      </w:r>
    </w:p>
    <w:p w14:paraId="344157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（2）建立相互分离、相互制衡的内控机制</w:t>
      </w:r>
    </w:p>
    <w:p w14:paraId="49D6AE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建立、健全了各项制度，做到基金经理分开，投资决策分开，基金交易集中，形成不同部门、不同岗位之间的制衡机制，从制度上减少和防范风险。</w:t>
      </w:r>
    </w:p>
    <w:p w14:paraId="4BECC1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（3）建立、健全岗位责任制</w:t>
      </w:r>
    </w:p>
    <w:p w14:paraId="54C9A01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建立、健全了岗位责任制，使每个员工都明确自己的任务、职责，并及时将各自工作领域中的风险隐患上报，以防范和减少风险。</w:t>
      </w:r>
    </w:p>
    <w:p w14:paraId="560FDE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（4）建立风险分类、识别、评估、报告、提示程序</w:t>
      </w:r>
    </w:p>
    <w:p w14:paraId="39D906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p>
    <w:p w14:paraId="55DA9F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（5）建立有效的内部监控系统</w:t>
      </w:r>
    </w:p>
    <w:p w14:paraId="3F1D7E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建立了足够、有效的内部监控系统，如电脑预警系统、投资监控系统，对可能出现的各种风险进行全面和实时的监控。</w:t>
      </w:r>
    </w:p>
    <w:p w14:paraId="69778E9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（6）使用数量化的风险管理手段</w:t>
      </w:r>
    </w:p>
    <w:p w14:paraId="2AA6AA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采取数量化、技术化的风险控制手段，建立数量化的风险管理模型，用以提示指数趋势、行业及个股的风险，以便公司及时采取有效的措施，对风险进行分散、控制和规避，尽可能地减少损失。</w:t>
      </w:r>
    </w:p>
    <w:p w14:paraId="56E8A4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（7）提供足够的培训</w:t>
      </w:r>
    </w:p>
    <w:p w14:paraId="360844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制定了完整的培训计划，为所有员工提供足够和适当的培训，使员工明确其职责所在，控制风险。</w:t>
      </w:r>
    </w:p>
    <w:p w14:paraId="762BCF5A"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9BEB692" w14:textId="77777777" w:rsidR="00B164D3" w:rsidRDefault="000605B5">
      <w:pPr>
        <w:pStyle w:val="1"/>
        <w:snapToGrid w:val="0"/>
        <w:spacing w:beforeLines="0" w:before="240" w:after="240"/>
        <w:rPr>
          <w:rFonts w:ascii="宋体" w:hAnsi="宋体"/>
          <w:szCs w:val="30"/>
        </w:rPr>
      </w:pPr>
      <w:bookmarkStart w:id="7" w:name="_Toc85115619"/>
      <w:r>
        <w:rPr>
          <w:rFonts w:ascii="Times New Roman" w:hAnsi="Times New Roman"/>
          <w:sz w:val="30"/>
        </w:rPr>
        <w:lastRenderedPageBreak/>
        <w:t>四、基金托管人</w:t>
      </w:r>
      <w:bookmarkEnd w:id="7"/>
    </w:p>
    <w:p w14:paraId="746EB0B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（一）基金托管人情况</w:t>
      </w:r>
    </w:p>
    <w:p w14:paraId="557E46B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1、基本情况</w:t>
      </w:r>
    </w:p>
    <w:p w14:paraId="686C3D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名称：中信银行股份有限公司（简称“中信银行”）</w:t>
      </w:r>
    </w:p>
    <w:p w14:paraId="1B7813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住所：北京市朝阳区光华路10号院1号楼6-30层、32-42层</w:t>
      </w:r>
    </w:p>
    <w:p w14:paraId="687FCB6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办公地址：北京市朝阳区光华路10号院1号楼6-30层、32-42层</w:t>
      </w:r>
    </w:p>
    <w:p w14:paraId="09AA83D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法定代表人：朱鹤新</w:t>
      </w:r>
    </w:p>
    <w:p w14:paraId="6D9162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14:paraId="7D6FDD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47A05E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14:paraId="6E5FCD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6C56F61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批准设立文号：中华人民共和国国务院办公厅国办函[1987]14号</w:t>
      </w:r>
    </w:p>
    <w:p w14:paraId="5F2B30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基金托管业务批准文号：中国证监会证监基字[2004]125号</w:t>
      </w:r>
    </w:p>
    <w:p w14:paraId="16E5647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联系人：中信银行资产托管部</w:t>
      </w:r>
    </w:p>
    <w:p w14:paraId="794B92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联系电话：4006800000</w:t>
      </w:r>
    </w:p>
    <w:p w14:paraId="632CFE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14:paraId="502713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客服电话：95558</w:t>
      </w:r>
    </w:p>
    <w:p w14:paraId="061378D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14:paraId="340FF87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63BBF30D" w14:textId="413D84F1"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本行成立于1987年，是中国改革开放中最早成立的新兴商业银行之一，是中国最早参与国内外金融市场融资的商业银行，并以屡创中国现代金融史上多个第一而</w:t>
      </w:r>
      <w:r>
        <w:rPr>
          <w:rFonts w:ascii="宋体" w:hAnsi="宋体"/>
          <w:sz w:val="24"/>
        </w:rPr>
        <w:lastRenderedPageBreak/>
        <w:t>蜚声海内外，为中国经济建设做出了积极贡献。2007年4月，本行实现在上海证券交易所和香港联合交易所A+H股同步上市。</w:t>
      </w:r>
    </w:p>
    <w:p w14:paraId="3C68234C" w14:textId="7021F8E0"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以建设成为“有担当、有温度、有特色、有价值”的最佳综合金融服务提供者为发展愿景，充分发挥中信集团“金融+实业”综合平台优势，坚持“以客为尊、改革推动、科技兴行、轻型发展、合规经营、人才强行”，向企业客户和机构客户提供公司银行业务、国际业务、金融市场业务、机构业务、投资银行业务、交易银行业务、托管业务等综合金融解决方案，向个人客户提供零售银行、信用卡、消费金融、财富管理、私人银行、出国金融、电子银行等多元化金融产品及服务，全方位满足企业、机构及个人客户的综合金融服务需求。</w:t>
      </w:r>
    </w:p>
    <w:p w14:paraId="021EF1D4" w14:textId="0BD718CC"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2020年末，本行在国内153个大中城市设有1,405家营业网点，在境内外下设中信国际金融控股有限公司、信银（香港）投资有限公司、中信金融租赁有限公司、信银理财有限责任公司、中信百信银行股份有限公司、阿尔金银行和浙江临安中信村镇银行股份有限公司7家附属机构。其中，中信国际金融控股有限公司子公司中信银行（国际）在香港、澳门、纽约、洛杉矶、新加坡和中国内地设有34家营业网点和2家商务中心。信银（香港）投资有限公司在香港和境内设有3家子公司。信银理财有限责任公司为本行全资理财子公司。中信百信银行股份有限公司为本行与百度公司发起设立的国内首家具有独立法人资格的直销银行。阿尔金银行在哈萨克斯坦设有7家营业网点和1个私人银行中心。</w:t>
      </w:r>
    </w:p>
    <w:p w14:paraId="783015F9" w14:textId="122E7495"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行坚持服务实体经济，稳健经营，与时俱进。经过30余年的发展，本行已成为一家总资产规模超7万亿元、员工人数近6万名，具有强大综合实力和品牌竞争力的金融集团。2020年，本行在英国《银行家》杂志“全球银行品牌500强排行榜”中排名第21位；本行一级资本在英国《银行家》杂志“世界1000家银行排名”中排名第24位。</w:t>
      </w:r>
    </w:p>
    <w:p w14:paraId="67C7E7F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2、主要人员情况</w:t>
      </w:r>
    </w:p>
    <w:p w14:paraId="7B1BF9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方合英先生，中信银行执行董事、行长兼财务总监。方先生于2018年9月加入中信银行董事会。方先生自2014年8月起任中信银行党委委员，2014年11月起任中信银行副行长，2017年1月起兼任中信银行财务总监，2019年2月起任中信银行党委副书记。方先生现同时担任信银（香港）投资有限公司、中信银行（国际）有限公司及中信国际金融控股有限公司董事。此前，方先生于2013年5月至2015年1月任中信银行金融市场业务总监，2014年5月至2014年9月兼任中信银行杭州分行党委书</w:t>
      </w:r>
      <w:r>
        <w:rPr>
          <w:rFonts w:ascii="宋体" w:hAnsi="宋体"/>
          <w:sz w:val="24"/>
        </w:rPr>
        <w:lastRenderedPageBreak/>
        <w:t>记、行长；2007年3月至2013年5月任中信银行苏州分行党委书记、行长；2003年9月至2007年3月历任中信银行杭州分行行长助理、党委委员、副行长；1996年12月至2003年9月在中信银行杭州分行工作，历任信贷部科长、副总经理，富阳支行行长、党组书记，国际结算部副总经理，零售业务部副总经理，营业部总经理；1996年7月至1996年12月任浦东发展银行杭州城东办事处副主任；1992年12月至1996年7月在浙江银行学校实验城市信用社信贷部工作，历任信贷员、经理、总经理助理；1991年7月至1992年12月在浙江银行学校任教师。方先生为高级经济师，毕业于北京大学，获高级管理人员工商管理硕士学位，拥有二十余年中国银行业从业经验。</w:t>
      </w:r>
    </w:p>
    <w:p w14:paraId="7B4C0BD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谢志斌先生，中信银行副行长，分管托管业务。谢先生自2019年6月起担任中信银行副行长，自2019年2月起担任中信银行党委委员。此前，谢先生于2015年7月至2019年1月任中国光大集团股份公司纪委书记、党委委员。2012年3月至2015年7月任中国出口信用保险公司总经理助理，期间于2014年1月至2015年7月挂职任内蒙古自治区呼和浩特市委常委、副市长。2011年3月至2012年3月任中国出口信用保险公司党委委员、总经理助理。2001年10月至2011年3月历任中国出口信用保险公司人力资源部职员、总经理助理、副总经理、总经理（党委组织部部长助理、副部长、部长），深圳分公司党委书记，河北省分公司负责人、党委书记、总经理。1991年7月至2001年10月历任中国人民保险公司科员、主任科员、副处长。谢先生为经济师，毕业于中国人民大学，获经济学博士学位。</w:t>
      </w:r>
    </w:p>
    <w:p w14:paraId="2F6EF8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杨璋琪先生，中信银行资产托管部总经理，硕士研究生学历。杨先生2018年1月至2019年3月，任中信银行金融同业部副总经理；2015年5月至2018年1月，任中信银行长春分行副行长；2013年4月至2015年5月，任中信银行机构业务部总经理助理；1996年7月至2013年4月，就职于中信银行北京分行（原总行营业部），历任支行行长、投资银行部总经理、贸易金融部总经理。</w:t>
      </w:r>
    </w:p>
    <w:p w14:paraId="4F2F909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3、基金托管业务经营情况</w:t>
      </w:r>
    </w:p>
    <w:p w14:paraId="6ECB11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2004 年8 月18 日，中信银行经中国证券监督管理委员会和中国银行业监督管理委员会批准，取得基金托管人资格。中信银行本着“诚实信用、勤勉尽责”的原则，切实履行托管人职责。</w:t>
      </w:r>
    </w:p>
    <w:p w14:paraId="7F5A06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截至2021年6月底，中信银行托管220只公开募集证券投资基金，以及基金公司、证券公司资产管理产品、信托产品、企业年金、股权基金、QDII等其他托管资产，托管总规模达到11.2万亿元人民币。</w:t>
      </w:r>
    </w:p>
    <w:p w14:paraId="3BC7840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（二）基金托管人的内部控制制度</w:t>
      </w:r>
    </w:p>
    <w:p w14:paraId="70214F6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48F0A94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 内部控制组织结构。中信银行总行建立了风险管理委员会，负责全行的风险控制和风险防范工作；托管部内设内控合规岗，专门负责托管部内部风险控制，对基金托管业务的各个工作环节和业务流程进行独立、客观、公正的稽核监察。</w:t>
      </w:r>
    </w:p>
    <w:p w14:paraId="539A770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规、持续、稳健发展。</w:t>
      </w:r>
    </w:p>
    <w:p w14:paraId="67D56C3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01A61D1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（三）基金托管人对基金管理人运作基金进行监督的方法和程序</w:t>
      </w:r>
    </w:p>
    <w:p w14:paraId="5CB65597" w14:textId="7129263D"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基金托管人根据《基金法》、《运作办法》、《信息披露办法》、基金合同、托管协议和有关法律法规及规章的规定，对基金的投资运作、基金资产净值计算、</w:t>
      </w:r>
      <w:r w:rsidR="00593AD8">
        <w:rPr>
          <w:rFonts w:ascii="宋体" w:hAnsi="宋体" w:hint="eastAsia"/>
          <w:sz w:val="24"/>
        </w:rPr>
        <w:t>各类</w:t>
      </w:r>
      <w:r>
        <w:rPr>
          <w:rFonts w:ascii="宋体" w:hAnsi="宋体"/>
          <w:sz w:val="24"/>
        </w:rPr>
        <w:t>基金份额净值计算、应收资金到账、基金费用开支及收入确定、基金收益分配、相关信息披露、基金宣传推介材料中登载的基金业绩表现数据等进行监督和核查。</w:t>
      </w:r>
    </w:p>
    <w:p w14:paraId="59FE6D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p w14:paraId="1D92B87B" w14:textId="60756ACC" w:rsidR="00E349C5" w:rsidRDefault="00E349C5" w:rsidP="00350650">
      <w:pPr>
        <w:autoSpaceDE w:val="0"/>
        <w:autoSpaceDN w:val="0"/>
        <w:adjustRightInd w:val="0"/>
        <w:spacing w:line="360" w:lineRule="auto"/>
        <w:rPr>
          <w:rFonts w:ascii="宋体" w:hAnsi="宋体"/>
          <w:szCs w:val="24"/>
        </w:rPr>
      </w:pPr>
    </w:p>
    <w:p w14:paraId="20BC0E64" w14:textId="77777777" w:rsidR="00B164D3" w:rsidRDefault="000605B5">
      <w:pPr>
        <w:pStyle w:val="1"/>
        <w:snapToGrid w:val="0"/>
        <w:spacing w:beforeLines="0" w:before="240" w:after="240"/>
        <w:rPr>
          <w:rFonts w:ascii="宋体" w:hAnsi="宋体"/>
          <w:szCs w:val="30"/>
        </w:rPr>
      </w:pPr>
      <w:bookmarkStart w:id="8" w:name="_Toc85115620"/>
      <w:r>
        <w:rPr>
          <w:rFonts w:ascii="Times New Roman" w:hAnsi="Times New Roman"/>
          <w:sz w:val="30"/>
        </w:rPr>
        <w:lastRenderedPageBreak/>
        <w:t>五、相关服务机构</w:t>
      </w:r>
      <w:bookmarkEnd w:id="8"/>
    </w:p>
    <w:p w14:paraId="6980E5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（一）基金份额销售机构</w:t>
      </w:r>
    </w:p>
    <w:p w14:paraId="10F6EA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1、直销机构</w:t>
      </w:r>
    </w:p>
    <w:p w14:paraId="6B90BD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本基金直销机构为基金管理人直销柜台以及基金管理人的网上直销交易平台（网站及手机APP，下同）。</w:t>
      </w:r>
    </w:p>
    <w:p w14:paraId="2AB52E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03D139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0CA24F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49DD24E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成立时间：2005年8月4日</w:t>
      </w:r>
    </w:p>
    <w:p w14:paraId="43DD5D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1E65526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3017F33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21DA7A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491D2F82" w14:textId="486B0912" w:rsidR="00B164D3" w:rsidRDefault="000605B5" w:rsidP="00D7569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7FB4707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个人投资者可以通过基金管理人网上直销交易平台办理开户、本基金的申购、赎回、定期定额投资等业务，具体交易细则请参阅基金管理人网站。</w:t>
      </w:r>
    </w:p>
    <w:p w14:paraId="484B17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 fund001.com。</w:t>
      </w:r>
    </w:p>
    <w:p w14:paraId="03CC23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5D1A9A4B" w14:textId="77777777" w:rsidR="005C782B" w:rsidRPr="00971EA6" w:rsidRDefault="005C782B" w:rsidP="005C782B">
      <w:pPr>
        <w:autoSpaceDE w:val="0"/>
        <w:autoSpaceDN w:val="0"/>
        <w:adjustRightInd w:val="0"/>
        <w:snapToGrid w:val="0"/>
        <w:spacing w:line="360" w:lineRule="auto"/>
        <w:ind w:firstLineChars="200" w:firstLine="480"/>
        <w:jc w:val="left"/>
        <w:rPr>
          <w:rFonts w:ascii="宋体" w:hAnsi="宋体"/>
          <w:sz w:val="24"/>
        </w:rPr>
      </w:pPr>
      <w:r w:rsidRPr="005F2DC9">
        <w:rPr>
          <w:rFonts w:ascii="宋体" w:hAnsi="宋体" w:hint="eastAsia"/>
          <w:sz w:val="24"/>
        </w:rPr>
        <w:t>本基金A类基金份额除直销机构外的其他销售机构：</w:t>
      </w:r>
    </w:p>
    <w:p w14:paraId="496C62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（1）名称：交通银行股份有限公司</w:t>
      </w:r>
    </w:p>
    <w:p w14:paraId="5E0728A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住所：上海市浦东新区银城中路188号</w:t>
      </w:r>
    </w:p>
    <w:p w14:paraId="53B0AEA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办公地址：上海市浦东新区银城中路188号</w:t>
      </w:r>
    </w:p>
    <w:p w14:paraId="3C29C1F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法定代表人：任德奇</w:t>
      </w:r>
    </w:p>
    <w:p w14:paraId="290223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电话：（021）58781234</w:t>
      </w:r>
    </w:p>
    <w:p w14:paraId="520598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传真：（021）58408483</w:t>
      </w:r>
    </w:p>
    <w:p w14:paraId="3BC30C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联系人：范瑞波</w:t>
      </w:r>
    </w:p>
    <w:p w14:paraId="44B2D9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客户服务电话：95559</w:t>
      </w:r>
    </w:p>
    <w:p w14:paraId="1C3F3D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网址：www.bankcomm.com</w:t>
      </w:r>
    </w:p>
    <w:p w14:paraId="411F3C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（2）名称：招商银行股份有限公司</w:t>
      </w:r>
    </w:p>
    <w:p w14:paraId="665AA4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住所：深圳市福田区深南大道7088号</w:t>
      </w:r>
    </w:p>
    <w:p w14:paraId="3E576D9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办公地址：深圳市福田区深南大道7088号</w:t>
      </w:r>
    </w:p>
    <w:p w14:paraId="3B1501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法定代表人：李建红</w:t>
      </w:r>
    </w:p>
    <w:p w14:paraId="2FF66A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电话：（0755）83198888</w:t>
      </w:r>
    </w:p>
    <w:p w14:paraId="1B5560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传真：（0755）83195109</w:t>
      </w:r>
    </w:p>
    <w:p w14:paraId="3552A2A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联系人：邓炯鹏</w:t>
      </w:r>
    </w:p>
    <w:p w14:paraId="3E3773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客户服务电话：95555</w:t>
      </w:r>
    </w:p>
    <w:p w14:paraId="7045C05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网址：www.cmbchina.com</w:t>
      </w:r>
    </w:p>
    <w:p w14:paraId="3EF1BF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（3）名称：中信银行股份有限公司</w:t>
      </w:r>
    </w:p>
    <w:p w14:paraId="5B5213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住所：北京市东城区朝阳门北大街9号</w:t>
      </w:r>
    </w:p>
    <w:p w14:paraId="76C4F6A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办公地址：北京市东城区朝阳门北大街9号</w:t>
      </w:r>
    </w:p>
    <w:p w14:paraId="7D37CD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法定代表人：李庆萍</w:t>
      </w:r>
    </w:p>
    <w:p w14:paraId="60E39B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电话：（010）89936330</w:t>
      </w:r>
    </w:p>
    <w:p w14:paraId="16CF2D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传真：（010）85230024</w:t>
      </w:r>
    </w:p>
    <w:p w14:paraId="2515F1F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联系人：丰靖</w:t>
      </w:r>
    </w:p>
    <w:p w14:paraId="55F197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客户服务电话：95558</w:t>
      </w:r>
    </w:p>
    <w:p w14:paraId="3041ADD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网址：bank.ecitic.com</w:t>
      </w:r>
    </w:p>
    <w:p w14:paraId="62B784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（4）名称：中国国际金融股份有限公司</w:t>
      </w:r>
    </w:p>
    <w:p w14:paraId="35704D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住所：北京建国门外大街1号国贸大厦2座27层及28层</w:t>
      </w:r>
    </w:p>
    <w:p w14:paraId="306B4A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办公地址：北京建国门外大街1号国贸大厦2座27层及28层</w:t>
      </w:r>
    </w:p>
    <w:p w14:paraId="1F0E62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法定代表人：毕明建</w:t>
      </w:r>
    </w:p>
    <w:p w14:paraId="05F17C3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电话：（010）65051166</w:t>
      </w:r>
    </w:p>
    <w:p w14:paraId="1C3600E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传真：（010）85679203</w:t>
      </w:r>
    </w:p>
    <w:p w14:paraId="5ECC57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联系人：杨涵宇</w:t>
      </w:r>
    </w:p>
    <w:p w14:paraId="6037914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网址：www.cicc.com.cn</w:t>
      </w:r>
    </w:p>
    <w:p w14:paraId="4ECE7B5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（5）名称：中国中金财富证券有限公司</w:t>
      </w:r>
    </w:p>
    <w:p w14:paraId="625F55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住所：深圳市福田区益田路与福中路交界处荣超商务中心A栋第18层-21层及第04层01.02.03.05.11.12.13.15.16.18.19.20.21.22.23单元</w:t>
      </w:r>
    </w:p>
    <w:p w14:paraId="7E5980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办公地址：深圳市福田区益田路6003号荣超商务中心A栋第04、18层至21层</w:t>
      </w:r>
    </w:p>
    <w:p w14:paraId="4AAB8FF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法定代表人：高涛</w:t>
      </w:r>
    </w:p>
    <w:p w14:paraId="32C007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电话：（0755）88320851</w:t>
      </w:r>
    </w:p>
    <w:p w14:paraId="0BE7AA4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联系人：胡芷境</w:t>
      </w:r>
    </w:p>
    <w:p w14:paraId="517BDBF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客户服务电话：95532/400-600-8008</w:t>
      </w:r>
    </w:p>
    <w:p w14:paraId="17B2E7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网址：www.ciccwm.com</w:t>
      </w:r>
    </w:p>
    <w:p w14:paraId="4568FA7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（6）名称：上海基煜基金销售有限公司</w:t>
      </w:r>
    </w:p>
    <w:p w14:paraId="675E5C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 上海市崇明县长兴镇路潘园公路1800号2号楼6153室（上海泰和经济发展区）</w:t>
      </w:r>
    </w:p>
    <w:p w14:paraId="29FF87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办公地址：上海市昆明路518号北美广场A1002-A1003室</w:t>
      </w:r>
    </w:p>
    <w:p w14:paraId="4AF23C6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法定代表人：王翔</w:t>
      </w:r>
    </w:p>
    <w:p w14:paraId="4A0491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电话：（021）35385521</w:t>
      </w:r>
    </w:p>
    <w:p w14:paraId="2C53FFF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传真：（021）55085991</w:t>
      </w:r>
    </w:p>
    <w:p w14:paraId="2D8F9A3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联系人：蓝杰</w:t>
      </w:r>
    </w:p>
    <w:p w14:paraId="791B467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客户服务电话：400-820-5369</w:t>
      </w:r>
    </w:p>
    <w:p w14:paraId="266BC0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网址：www.jiyufund.com.cn</w:t>
      </w:r>
    </w:p>
    <w:p w14:paraId="0EB5F3E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（7）名称：上海天天基金销售有限公司</w:t>
      </w:r>
    </w:p>
    <w:p w14:paraId="75599B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住所：上海市徐汇区龙田路190号2号楼2层</w:t>
      </w:r>
    </w:p>
    <w:p w14:paraId="09C100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办公地址：上海市徐汇区龙田路195号3C座10楼</w:t>
      </w:r>
    </w:p>
    <w:p w14:paraId="4C2C3B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法定代表人：其实</w:t>
      </w:r>
    </w:p>
    <w:p w14:paraId="57F7825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电话：（021）54509998</w:t>
      </w:r>
    </w:p>
    <w:p w14:paraId="4D4F7BE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传真：（021）64385308</w:t>
      </w:r>
    </w:p>
    <w:p w14:paraId="7D5106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联系人：潘世友</w:t>
      </w:r>
    </w:p>
    <w:p w14:paraId="2883091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客户服务电话：400-1818-188</w:t>
      </w:r>
    </w:p>
    <w:p w14:paraId="460169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网址：www.1234567.com.cn</w:t>
      </w:r>
    </w:p>
    <w:p w14:paraId="37FE3BC7" w14:textId="77777777" w:rsidR="00854543" w:rsidRPr="00D0717A" w:rsidRDefault="00854543" w:rsidP="00854543">
      <w:pPr>
        <w:autoSpaceDE w:val="0"/>
        <w:autoSpaceDN w:val="0"/>
        <w:adjustRightInd w:val="0"/>
        <w:snapToGrid w:val="0"/>
        <w:spacing w:line="360" w:lineRule="auto"/>
        <w:ind w:firstLineChars="200" w:firstLine="480"/>
        <w:jc w:val="left"/>
        <w:rPr>
          <w:rFonts w:ascii="宋体" w:hAnsi="宋体"/>
          <w:sz w:val="24"/>
        </w:rPr>
      </w:pPr>
      <w:r w:rsidRPr="00D0717A">
        <w:rPr>
          <w:rFonts w:ascii="宋体" w:hAnsi="宋体" w:hint="eastAsia"/>
          <w:sz w:val="24"/>
        </w:rPr>
        <w:t>本基金C类基金份额除直销机构外的其他销售机构：</w:t>
      </w:r>
    </w:p>
    <w:p w14:paraId="6D13B343" w14:textId="58E0BC92" w:rsidR="00650C64" w:rsidRPr="00650C64" w:rsidRDefault="00854543" w:rsidP="00650C64">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w:t>
      </w:r>
      <w:r w:rsidRPr="00147272">
        <w:rPr>
          <w:rFonts w:ascii="宋体" w:hAnsi="宋体" w:hint="eastAsia"/>
          <w:sz w:val="24"/>
        </w:rPr>
        <w:t>1</w:t>
      </w:r>
      <w:r>
        <w:rPr>
          <w:rFonts w:ascii="宋体" w:hAnsi="宋体" w:hint="eastAsia"/>
          <w:sz w:val="24"/>
        </w:rPr>
        <w:t>)</w:t>
      </w:r>
      <w:r w:rsidR="00650C64" w:rsidRPr="00650C64">
        <w:rPr>
          <w:rFonts w:hint="eastAsia"/>
        </w:rPr>
        <w:t xml:space="preserve"> </w:t>
      </w:r>
      <w:r w:rsidR="00650C64" w:rsidRPr="00650C64">
        <w:rPr>
          <w:rFonts w:ascii="宋体" w:hAnsi="宋体" w:hint="eastAsia"/>
          <w:sz w:val="24"/>
        </w:rPr>
        <w:t>名称：上海天天基金销售有限公司</w:t>
      </w:r>
    </w:p>
    <w:p w14:paraId="542A4C0B"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 xml:space="preserve">住所：上海市徐汇区龙田路190号2号楼2层 </w:t>
      </w:r>
    </w:p>
    <w:p w14:paraId="75B42725"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办公地址：上海市徐汇区宛平南路88号金座东方财富大厦</w:t>
      </w:r>
    </w:p>
    <w:p w14:paraId="1B4EBEE3"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法定代表人：其实</w:t>
      </w:r>
    </w:p>
    <w:p w14:paraId="36FDDB77"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电话：（021）54509998</w:t>
      </w:r>
    </w:p>
    <w:p w14:paraId="43D92545"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传真：（021）64385308</w:t>
      </w:r>
    </w:p>
    <w:p w14:paraId="7C779504"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lastRenderedPageBreak/>
        <w:t>联系人：屠彦洋</w:t>
      </w:r>
    </w:p>
    <w:p w14:paraId="129CA933"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客户服务电话：400-1818-188</w:t>
      </w:r>
    </w:p>
    <w:p w14:paraId="1F13CEFD"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网址：www.1234567.com.cn</w:t>
      </w:r>
    </w:p>
    <w:p w14:paraId="55F881FF" w14:textId="78227150"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Pr>
          <w:rFonts w:ascii="宋体" w:hAnsi="宋体" w:hint="eastAsia"/>
          <w:sz w:val="24"/>
        </w:rPr>
        <w:t>(2)</w:t>
      </w:r>
      <w:r w:rsidRPr="008E17E1">
        <w:rPr>
          <w:rFonts w:ascii="宋体" w:hAnsi="宋体" w:hint="eastAsia"/>
          <w:sz w:val="24"/>
        </w:rPr>
        <w:t xml:space="preserve"> </w:t>
      </w:r>
      <w:r w:rsidRPr="00650C64">
        <w:rPr>
          <w:rFonts w:ascii="宋体" w:hAnsi="宋体" w:hint="eastAsia"/>
          <w:sz w:val="24"/>
        </w:rPr>
        <w:t>名称：</w:t>
      </w:r>
      <w:r w:rsidRPr="008E17E1">
        <w:rPr>
          <w:rFonts w:ascii="宋体" w:hAnsi="宋体" w:hint="eastAsia"/>
          <w:sz w:val="24"/>
        </w:rPr>
        <w:t>上海基煜基金销售有限公司</w:t>
      </w:r>
    </w:p>
    <w:p w14:paraId="399FF56B"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 xml:space="preserve">住所：上海市崇明县长兴镇路潘园公路1800号2号楼6153室（上海泰和经济发展区） </w:t>
      </w:r>
    </w:p>
    <w:p w14:paraId="4896E549"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办公地址：上海市杨浦区昆明路518号A1002室</w:t>
      </w:r>
    </w:p>
    <w:p w14:paraId="5FE6EC12"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法定代表人：王翔</w:t>
      </w:r>
    </w:p>
    <w:p w14:paraId="38FB647A"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电话：（021）65370077</w:t>
      </w:r>
    </w:p>
    <w:p w14:paraId="1F4A726A"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传真：（021）55085991</w:t>
      </w:r>
    </w:p>
    <w:p w14:paraId="06141B09"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联系人：俞申莉</w:t>
      </w:r>
    </w:p>
    <w:p w14:paraId="4C5DE988" w14:textId="77777777" w:rsidR="008E17E1" w:rsidRPr="008E17E1"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客户服务电话：（021）65370077</w:t>
      </w:r>
    </w:p>
    <w:p w14:paraId="5273FA5F" w14:textId="0EDACAB4" w:rsidR="00650C64" w:rsidRPr="00350650" w:rsidRDefault="008E17E1" w:rsidP="008E17E1">
      <w:pPr>
        <w:autoSpaceDE w:val="0"/>
        <w:autoSpaceDN w:val="0"/>
        <w:adjustRightInd w:val="0"/>
        <w:snapToGrid w:val="0"/>
        <w:spacing w:line="360" w:lineRule="auto"/>
        <w:ind w:firstLineChars="200" w:firstLine="480"/>
        <w:jc w:val="left"/>
        <w:rPr>
          <w:rFonts w:ascii="宋体" w:hAnsi="宋体"/>
          <w:sz w:val="24"/>
        </w:rPr>
      </w:pPr>
      <w:r w:rsidRPr="008E17E1">
        <w:rPr>
          <w:rFonts w:ascii="宋体" w:hAnsi="宋体" w:hint="eastAsia"/>
          <w:sz w:val="24"/>
        </w:rPr>
        <w:t>网址：www.fofund.com.cn</w:t>
      </w:r>
    </w:p>
    <w:p w14:paraId="6CADDF25" w14:textId="77777777" w:rsidR="00B164D3" w:rsidRDefault="000605B5" w:rsidP="00650C64">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基金管理人可根据有关法律法规的要求，选择其它符合要求的机构销售本基金，并在基金管理人网站公示。</w:t>
      </w:r>
    </w:p>
    <w:p w14:paraId="65568B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（二）登记机构</w:t>
      </w:r>
    </w:p>
    <w:p w14:paraId="443547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名称：中国证券登记结算有限责任公司</w:t>
      </w:r>
    </w:p>
    <w:p w14:paraId="4AF427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住所：北京市西城区太平桥大街17号</w:t>
      </w:r>
    </w:p>
    <w:p w14:paraId="13A1E84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办公地址：北京市西城区太平桥大街17号</w:t>
      </w:r>
    </w:p>
    <w:p w14:paraId="455948A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法定代表人：于文强</w:t>
      </w:r>
    </w:p>
    <w:p w14:paraId="0D46275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电话：（010）50938782</w:t>
      </w:r>
    </w:p>
    <w:p w14:paraId="575FC5D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传真：（010）50938907</w:t>
      </w:r>
    </w:p>
    <w:p w14:paraId="73713E54" w14:textId="4D47C730" w:rsidR="00B164D3" w:rsidRPr="00D67743" w:rsidRDefault="000605B5" w:rsidP="00854543">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联系人：赵亦清</w:t>
      </w:r>
    </w:p>
    <w:p w14:paraId="5A70FF5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（三）出具法律意见书的律师事务所</w:t>
      </w:r>
    </w:p>
    <w:p w14:paraId="3C00C3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名称：上海市通力律师事务所</w:t>
      </w:r>
    </w:p>
    <w:p w14:paraId="0450AC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住所：上海市银城中路68号时代金融中心19楼</w:t>
      </w:r>
    </w:p>
    <w:p w14:paraId="25E6259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办公地址：上海市银城中路68号时代金融中心19楼</w:t>
      </w:r>
    </w:p>
    <w:p w14:paraId="093D507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负责人：韩炯</w:t>
      </w:r>
    </w:p>
    <w:p w14:paraId="10450F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电话：（021）31358666</w:t>
      </w:r>
    </w:p>
    <w:p w14:paraId="446C5C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传真：（021）31358600</w:t>
      </w:r>
    </w:p>
    <w:p w14:paraId="0C2846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联系人：丁媛</w:t>
      </w:r>
    </w:p>
    <w:p w14:paraId="0030E05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经办律师：黎明、丁媛</w:t>
      </w:r>
    </w:p>
    <w:p w14:paraId="6E1A65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（四）审计基金财产的会计师事务所</w:t>
      </w:r>
    </w:p>
    <w:p w14:paraId="05C63C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名称：普华永道中天会计师事务所（特殊普通合伙）</w:t>
      </w:r>
    </w:p>
    <w:p w14:paraId="210704F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住所：中国(上海)自由贸易试验区陆家嘴环路1318号星展银行大厦507单元01室</w:t>
      </w:r>
    </w:p>
    <w:p w14:paraId="2D646BC1" w14:textId="77777777" w:rsidR="00ED5176" w:rsidRDefault="000605B5">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办公地址：</w:t>
      </w:r>
      <w:r w:rsidR="00ED5176" w:rsidRPr="00ED5176">
        <w:rPr>
          <w:rFonts w:ascii="宋体" w:hAnsi="宋体" w:hint="eastAsia"/>
          <w:sz w:val="24"/>
        </w:rPr>
        <w:t>中国上海市浦东新区东育路588号前滩中心42楼</w:t>
      </w:r>
    </w:p>
    <w:p w14:paraId="7F91D1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执行事务合伙人：李丹</w:t>
      </w:r>
    </w:p>
    <w:p w14:paraId="180CB50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电话：（021）23238888</w:t>
      </w:r>
    </w:p>
    <w:p w14:paraId="3A89FC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传真：（021）23238800</w:t>
      </w:r>
    </w:p>
    <w:p w14:paraId="5AB418D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联系人：金诗涛</w:t>
      </w:r>
    </w:p>
    <w:p w14:paraId="4A29DE2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经办注册会计师：童咏静、金诗涛</w:t>
      </w:r>
    </w:p>
    <w:p w14:paraId="433D37AB"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1E8D745D"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3B5D413" w14:textId="77777777" w:rsidR="00B164D3" w:rsidRDefault="000605B5">
      <w:pPr>
        <w:pStyle w:val="1"/>
        <w:snapToGrid w:val="0"/>
        <w:spacing w:beforeLines="0" w:before="240" w:after="240"/>
        <w:rPr>
          <w:rFonts w:ascii="宋体" w:hAnsi="宋体"/>
          <w:szCs w:val="30"/>
        </w:rPr>
      </w:pPr>
      <w:bookmarkStart w:id="9" w:name="_Toc85115621"/>
      <w:r>
        <w:rPr>
          <w:rFonts w:ascii="Times New Roman" w:hAnsi="Times New Roman"/>
          <w:sz w:val="30"/>
        </w:rPr>
        <w:lastRenderedPageBreak/>
        <w:t>六、基金的募集</w:t>
      </w:r>
      <w:bookmarkEnd w:id="9"/>
    </w:p>
    <w:p w14:paraId="6195B0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本基金由基金管理人依照《基金法》、《运作办法》、《销售办法》、基金合同及其他有关规定，并经中国证监会2020年11月17日证监许可【2020】3090号文准予募集注册。</w:t>
      </w:r>
    </w:p>
    <w:p w14:paraId="46B032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本基金为契约型开放式混合型基金。基金存续期间为不定期。</w:t>
      </w:r>
    </w:p>
    <w:p w14:paraId="70990A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本基金募集期间基金份额净值为人民币1.00元，按初始面值发售。</w:t>
      </w:r>
    </w:p>
    <w:p w14:paraId="3A37CD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本基金自2020年12月14日至2020年12月18日进行发售，本基金设立募集期共募集689,024,745.43份基金份额，有效认购户数为1,581户。</w:t>
      </w:r>
    </w:p>
    <w:p w14:paraId="09D35330"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B2B07F2" w14:textId="77777777" w:rsidR="00B164D3" w:rsidRDefault="000605B5">
      <w:pPr>
        <w:pStyle w:val="1"/>
        <w:snapToGrid w:val="0"/>
        <w:spacing w:beforeLines="0" w:before="240" w:after="240"/>
        <w:rPr>
          <w:rFonts w:ascii="宋体" w:hAnsi="宋体"/>
          <w:szCs w:val="30"/>
        </w:rPr>
      </w:pPr>
      <w:bookmarkStart w:id="10" w:name="_Toc85115622"/>
      <w:r>
        <w:rPr>
          <w:rFonts w:ascii="Times New Roman" w:hAnsi="Times New Roman"/>
          <w:sz w:val="30"/>
        </w:rPr>
        <w:lastRenderedPageBreak/>
        <w:t>七、基金合同的生效</w:t>
      </w:r>
      <w:bookmarkEnd w:id="10"/>
    </w:p>
    <w:p w14:paraId="0CDC88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根据有关规定，本基金满足基金合同生效条件，基金合同已于2020年12月23日正式生效。自基金合同生效之日起，本基金管理人正式开始管理本基金。</w:t>
      </w:r>
    </w:p>
    <w:p w14:paraId="036EBD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连续20个工作日出现基金份额持有人数量不满200人或者基金资产净值低于5000万元情形的，基金管理人应当在定期报告中予以披露；连续50个工作日出现前述情形的，基金管理人提前终止《基金合同》，不需召开基金份额持有人大会。</w:t>
      </w:r>
    </w:p>
    <w:p w14:paraId="4A64AC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法律法规或中国证监会另有规定时，从其规定。</w:t>
      </w:r>
    </w:p>
    <w:p w14:paraId="1337982F"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6D5FA98" w14:textId="77777777" w:rsidR="00B164D3" w:rsidRDefault="000605B5">
      <w:pPr>
        <w:pStyle w:val="1"/>
        <w:snapToGrid w:val="0"/>
        <w:spacing w:beforeLines="0" w:before="240" w:after="240"/>
        <w:rPr>
          <w:rFonts w:ascii="宋体" w:hAnsi="宋体"/>
          <w:szCs w:val="30"/>
        </w:rPr>
      </w:pPr>
      <w:bookmarkStart w:id="11" w:name="_Toc85115623"/>
      <w:r>
        <w:rPr>
          <w:rFonts w:ascii="Times New Roman" w:hAnsi="Times New Roman"/>
          <w:sz w:val="30"/>
        </w:rPr>
        <w:lastRenderedPageBreak/>
        <w:t>八、基金份额的申购与赎回</w:t>
      </w:r>
      <w:bookmarkEnd w:id="11"/>
    </w:p>
    <w:p w14:paraId="69FB89E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（一）申购和赎回的场所</w:t>
      </w:r>
    </w:p>
    <w:p w14:paraId="71E690A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投资人可通过下述场所按照规定的方式进行申购或赎回：</w:t>
      </w:r>
    </w:p>
    <w:p w14:paraId="35491F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1、本基金管理人的直销机构</w:t>
      </w:r>
    </w:p>
    <w:p w14:paraId="5142C0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本基金直销机构为基金管理人直销柜台以及基金管理人的网上直销交易平台。</w:t>
      </w:r>
    </w:p>
    <w:p w14:paraId="08EE9E3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453908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住所：中国（上海）自由贸易试验区银城中路188号交通银行大楼二层（裙）</w:t>
      </w:r>
    </w:p>
    <w:p w14:paraId="37FA04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0D80F2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电话：（021）61055724</w:t>
      </w:r>
    </w:p>
    <w:p w14:paraId="26F4170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传真：（021）61055054</w:t>
      </w:r>
    </w:p>
    <w:p w14:paraId="7D2388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联系人：傅鲸</w:t>
      </w:r>
    </w:p>
    <w:p w14:paraId="57311D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客户服务电话：400-700-5000（免长途话费），（021）61055000</w:t>
      </w:r>
    </w:p>
    <w:p w14:paraId="124D8E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446F3DAE" w14:textId="6E2CBC22"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个人投资者可以通过基金管理人网上直销交易平台办理开户、本基金</w:t>
      </w:r>
      <w:r w:rsidR="00E7110E" w:rsidRPr="00E7110E">
        <w:rPr>
          <w:rFonts w:ascii="宋体" w:hAnsi="宋体" w:hint="eastAsia"/>
          <w:sz w:val="24"/>
        </w:rPr>
        <w:t>A类基金份额和C类基金份额</w:t>
      </w:r>
      <w:r>
        <w:rPr>
          <w:rFonts w:ascii="宋体" w:hAnsi="宋体"/>
          <w:sz w:val="24"/>
        </w:rPr>
        <w:t>的申购、赎回、定期定额投资等业务，具体交易细则请参阅基金管理人网站。</w:t>
      </w:r>
    </w:p>
    <w:p w14:paraId="7A9E24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网上直销交易平台网址：www.fund001.com</w:t>
      </w:r>
    </w:p>
    <w:p w14:paraId="1FE2E9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2、除基金管理人之外的其他销售机构</w:t>
      </w:r>
    </w:p>
    <w:p w14:paraId="5F310D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本基金除基金管理人之外的其他销售机构参见本招募说明书“五、相关服务机构”章节或拨打本公司客户服务电话进行咨询。</w:t>
      </w:r>
    </w:p>
    <w:p w14:paraId="77D858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投资人应当通过上述销售机构办理基金申购、赎回业务的营业场所或按上述销售机构提供的其他方式进行申购或赎回。本基金管理人可根据情况变更或增减基金销售机构，并在基金管理人网站公示。</w:t>
      </w:r>
    </w:p>
    <w:p w14:paraId="41C362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若基金管理人或其指定的销售机构开通电话、传真或网上等交易方式，投资人可以通过上述方式进行申购与赎回。</w:t>
      </w:r>
    </w:p>
    <w:p w14:paraId="7FA3935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（二）申购和赎回的开放日及时间</w:t>
      </w:r>
    </w:p>
    <w:p w14:paraId="41583C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1、开放日及开放时间</w:t>
      </w:r>
    </w:p>
    <w:p w14:paraId="711EC0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投资人在开放日办理基金份额的申购和赎回，具体办理时间为上海证券交易所、深圳证券交易所的正常交易日的交易时间（若该工作日为非港股通交易日，则</w:t>
      </w:r>
      <w:r>
        <w:rPr>
          <w:rFonts w:ascii="宋体" w:hAnsi="宋体"/>
          <w:sz w:val="24"/>
        </w:rPr>
        <w:lastRenderedPageBreak/>
        <w:t>本基金可不开放），但基金管理人根据法律法规、中国证监会的要求或基金合同的规定公告暂停申购、赎回时除外。</w:t>
      </w:r>
    </w:p>
    <w:p w14:paraId="43D5786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14:paraId="6F786A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2、申购、赎回开始日及业务办理时间</w:t>
      </w:r>
    </w:p>
    <w:p w14:paraId="138760D5" w14:textId="77777777" w:rsidR="00221558" w:rsidRDefault="000605B5" w:rsidP="00221558">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本基金</w:t>
      </w:r>
      <w:r w:rsidR="00221558" w:rsidRPr="00221558">
        <w:rPr>
          <w:rFonts w:ascii="宋体" w:hAnsi="宋体" w:hint="eastAsia"/>
          <w:sz w:val="24"/>
        </w:rPr>
        <w:t>A类基金份额</w:t>
      </w:r>
      <w:r>
        <w:rPr>
          <w:rFonts w:ascii="宋体" w:hAnsi="宋体"/>
          <w:sz w:val="24"/>
        </w:rPr>
        <w:t>已于2021年2月1日起开放申购、赎回业务。</w:t>
      </w:r>
    </w:p>
    <w:p w14:paraId="79A8BEFB" w14:textId="0AA230C7" w:rsidR="00B164D3" w:rsidRDefault="00221558" w:rsidP="00221558">
      <w:pPr>
        <w:autoSpaceDE w:val="0"/>
        <w:autoSpaceDN w:val="0"/>
        <w:adjustRightInd w:val="0"/>
        <w:snapToGrid w:val="0"/>
        <w:spacing w:line="360" w:lineRule="auto"/>
        <w:ind w:firstLineChars="200" w:firstLine="480"/>
        <w:jc w:val="left"/>
        <w:rPr>
          <w:rFonts w:ascii="宋体" w:hAnsi="宋体"/>
          <w:szCs w:val="24"/>
        </w:rPr>
      </w:pPr>
      <w:r w:rsidRPr="00F51638">
        <w:rPr>
          <w:rFonts w:ascii="宋体" w:hAnsi="宋体" w:hint="eastAsia"/>
          <w:sz w:val="24"/>
        </w:rPr>
        <w:t>本基金</w:t>
      </w:r>
      <w:r w:rsidRPr="00F51638">
        <w:rPr>
          <w:rFonts w:ascii="宋体" w:hAnsi="宋体"/>
          <w:sz w:val="24"/>
        </w:rPr>
        <w:t>C</w:t>
      </w:r>
      <w:r w:rsidRPr="00F10F2E">
        <w:rPr>
          <w:rFonts w:ascii="宋体" w:hAnsi="宋体"/>
          <w:sz w:val="24"/>
        </w:rPr>
        <w:t>类基金份额</w:t>
      </w:r>
      <w:r w:rsidRPr="00F51638">
        <w:rPr>
          <w:rFonts w:ascii="宋体" w:hAnsi="宋体"/>
          <w:sz w:val="24"/>
        </w:rPr>
        <w:t>于</w:t>
      </w:r>
      <w:r>
        <w:rPr>
          <w:rFonts w:ascii="宋体" w:hAnsi="宋体"/>
          <w:sz w:val="24"/>
        </w:rPr>
        <w:t>2022</w:t>
      </w:r>
      <w:r w:rsidRPr="00F51638">
        <w:rPr>
          <w:rFonts w:ascii="宋体" w:hAnsi="宋体"/>
          <w:sz w:val="24"/>
        </w:rPr>
        <w:t>年</w:t>
      </w:r>
      <w:r w:rsidR="00856282">
        <w:rPr>
          <w:rFonts w:ascii="宋体" w:hAnsi="宋体"/>
          <w:sz w:val="24"/>
        </w:rPr>
        <w:t>7</w:t>
      </w:r>
      <w:r w:rsidRPr="00F51638">
        <w:rPr>
          <w:rFonts w:ascii="宋体" w:hAnsi="宋体" w:hint="eastAsia"/>
          <w:sz w:val="24"/>
        </w:rPr>
        <w:t>月</w:t>
      </w:r>
      <w:r w:rsidR="00856282">
        <w:rPr>
          <w:rFonts w:ascii="宋体" w:hAnsi="宋体"/>
          <w:sz w:val="24"/>
        </w:rPr>
        <w:t>1</w:t>
      </w:r>
      <w:r w:rsidR="006D555C">
        <w:rPr>
          <w:rFonts w:ascii="宋体" w:hAnsi="宋体"/>
          <w:sz w:val="24"/>
        </w:rPr>
        <w:t>2</w:t>
      </w:r>
      <w:r w:rsidRPr="00764661">
        <w:rPr>
          <w:rFonts w:ascii="宋体" w:hAnsi="宋体" w:hint="eastAsia"/>
          <w:sz w:val="24"/>
        </w:rPr>
        <w:t>日起开放</w:t>
      </w:r>
      <w:r w:rsidRPr="00F51638">
        <w:rPr>
          <w:rFonts w:ascii="宋体" w:hAnsi="宋体" w:hint="eastAsia"/>
          <w:sz w:val="24"/>
        </w:rPr>
        <w:t>申购</w:t>
      </w:r>
      <w:r>
        <w:rPr>
          <w:rFonts w:ascii="宋体" w:hAnsi="宋体"/>
          <w:sz w:val="24"/>
        </w:rPr>
        <w:t>、赎回</w:t>
      </w:r>
      <w:r w:rsidRPr="00F51638">
        <w:rPr>
          <w:rFonts w:ascii="宋体" w:hAnsi="宋体" w:hint="eastAsia"/>
          <w:sz w:val="24"/>
        </w:rPr>
        <w:t>业务。</w:t>
      </w:r>
    </w:p>
    <w:p w14:paraId="59B3989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59F1F1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（三）申购与赎回的原则</w:t>
      </w:r>
    </w:p>
    <w:p w14:paraId="31C43C3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1、“未知价”原则，即申购、赎回价格以申请当日收市后计算的基金份额净值为基准进行计算；</w:t>
      </w:r>
    </w:p>
    <w:p w14:paraId="504711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2、“金额申购、份额赎回”原则，即申购以金额申请，赎回以份额申请；</w:t>
      </w:r>
    </w:p>
    <w:p w14:paraId="516CB29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3、当日的申购与赎回申请可以在基金管理人规定的时间以内撤销，但申请经登记机构受理的不得撤销；</w:t>
      </w:r>
    </w:p>
    <w:p w14:paraId="520C20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p>
    <w:p w14:paraId="364799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5、办理申购、赎回业务时，应当遵循基金份额持有人利益优先原则，确保投资者的合法权益不受损害并得到公平对待。</w:t>
      </w:r>
    </w:p>
    <w:p w14:paraId="73DB9C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基金管理人可在法律法规允许的情况下，对上述原则进行调整。基金管理人必须在新规则开始实施前依照《信息披露办法》的有关规定在规定媒介上公告。</w:t>
      </w:r>
    </w:p>
    <w:p w14:paraId="4B1977B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（四）申购和赎回的数额限定</w:t>
      </w:r>
    </w:p>
    <w:p w14:paraId="2B12C5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1、申购金额的限制</w:t>
      </w:r>
    </w:p>
    <w:p w14:paraId="0A2A030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直销机构首次申购的最低金额为单笔100,000元，追加申购的最低金额为单笔10,000元；已在直销机构有认购或申购过本基金管理人管理的任一基金（包括本基</w:t>
      </w:r>
      <w:r>
        <w:rPr>
          <w:rFonts w:ascii="宋体" w:hAnsi="宋体"/>
          <w:sz w:val="24"/>
        </w:rPr>
        <w:lastRenderedPageBreak/>
        <w:t>金）记录的投资人不受首次申购最低金额的限制。通过基金管理人网上直销交易平台办理基金申购业务的不受直销机构单笔申购最低金额的限制，申购最低金额为单笔1元。本基金直销机构单笔申购最低金额可由基金管理人酌情调整。其他销售机构接受申购申请的最低金额为单笔1元，如果销售机构业务规则规定的最低单笔申购金额高于1元，以该销售机构的规定为准。</w:t>
      </w:r>
    </w:p>
    <w:p w14:paraId="08C334F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2、赎回份额的限制</w:t>
      </w:r>
    </w:p>
    <w:p w14:paraId="43D44A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赎回的最低份额为1份基金份额，如果销售机构业务规则规定的最低单笔赎回份额高于1份，以该销售机构的规定为准。</w:t>
      </w:r>
    </w:p>
    <w:p w14:paraId="4233C3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3、最低基金份额余额的限制</w:t>
      </w:r>
    </w:p>
    <w:p w14:paraId="56E734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每个工作日投资人在单个交易账户保留的本基金份额余额少于1份时，若当日该账户同时有基金份额减少类业务（如赎回、转换转出等）被确认，则基金管理人有权将投资人在该账户保留的本基金份额一次性全部赎回。</w:t>
      </w:r>
    </w:p>
    <w:p w14:paraId="7EE7D5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p>
    <w:p w14:paraId="1EF66D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5、基金管理人可在法律法规允许的情况下，调整上述规定申购金额和赎回份额的数量限制。基金管理人必须在调整实施前依照《信息披露办法》的有关规定在规定媒介上公告。</w:t>
      </w:r>
    </w:p>
    <w:p w14:paraId="6ECC59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（五）申购和赎回的程序</w:t>
      </w:r>
    </w:p>
    <w:p w14:paraId="308F696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1、申购和赎回的申请方式</w:t>
      </w:r>
    </w:p>
    <w:p w14:paraId="08CADD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14:paraId="6994A6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2、申购和赎回的款项支付</w:t>
      </w:r>
    </w:p>
    <w:p w14:paraId="06B20C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投资人申购基金份额时，必须全额交付申购款项，若申购资金在规定时间内未全额到账则申购不成立。投资人全额交付申购款项，申购成立；基金登记机构确认基金份额时，申购生效。</w:t>
      </w:r>
    </w:p>
    <w:p w14:paraId="77916A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递交赎回申请，赎回成立；基金登记机构确认赎回时，赎回生效。投资者赎回申请生效后，基金管理人将在T＋7日（包括该日）内支付赎回款项。在发生巨额赎回或基金合同载明的其他暂停赎回或延缓支付赎回款项的情形时，款项的支付办法参照基金合同有关条款处理。</w:t>
      </w:r>
    </w:p>
    <w:p w14:paraId="20A926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3、申购和赎回申请的确认</w:t>
      </w:r>
    </w:p>
    <w:p w14:paraId="142B855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管理人委托的登记机构应以交易时间结束前受理有效申购和赎回申请的当天作为申购或赎回申请日（T日），在正常情况下，本基金登记机构在T+1日（包括该日）内对该交易的有效性进行确认。T日提交的有效申请，投资人应在T+2日后（包括该日）及时到销售网点柜台或以销售机构规定的其他方式查询申请的确认情况。若申购不成功，则申购款项本金退还给投资人。</w:t>
      </w:r>
    </w:p>
    <w:p w14:paraId="64A621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基金管理人可在法律法规允许的范围内，依法对上述申购和赎回申请的确认时间进行调整，并必须在调整实施日前按照《信息披露办法》的有关规定在规定媒介上公告。</w:t>
      </w:r>
    </w:p>
    <w:p w14:paraId="5461459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32B743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4、申购和赎回的登记</w:t>
      </w:r>
    </w:p>
    <w:p w14:paraId="3BA6D9E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（1）投资人T日申购基金成功后，正常情况下，登记机构在T＋1日为投资人增加权益并办理登记手续，投资人自T＋2日起（包括该日）有权赎回该部分基金份额。投资人应及时查询有关申请的确认情况。</w:t>
      </w:r>
    </w:p>
    <w:p w14:paraId="0B0150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（2）投资人T日赎回基金成功后，正常情况下，登记机构在T＋1日为投资人扣除权益并办理相应的登记手续。</w:t>
      </w:r>
    </w:p>
    <w:p w14:paraId="4C8A52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（3）基金管理人可在法律法规允许的范围内，对上述登记办理时间进行调整，并于开始实施前按照《信息披露办法》的有关规定在规定媒介上公告。</w:t>
      </w:r>
    </w:p>
    <w:p w14:paraId="7197D0A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（六）基金的申购费和赎回费</w:t>
      </w:r>
    </w:p>
    <w:p w14:paraId="682D51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1、申购费用</w:t>
      </w:r>
    </w:p>
    <w:p w14:paraId="5017FE7E" w14:textId="77777777" w:rsidR="000625E2" w:rsidRDefault="000625E2">
      <w:pPr>
        <w:autoSpaceDE w:val="0"/>
        <w:autoSpaceDN w:val="0"/>
        <w:adjustRightInd w:val="0"/>
        <w:snapToGrid w:val="0"/>
        <w:spacing w:line="360" w:lineRule="auto"/>
        <w:ind w:firstLineChars="200" w:firstLine="480"/>
        <w:jc w:val="left"/>
        <w:rPr>
          <w:rFonts w:ascii="宋体" w:hAnsi="宋体"/>
          <w:sz w:val="24"/>
        </w:rPr>
      </w:pPr>
      <w:r w:rsidRPr="000625E2">
        <w:rPr>
          <w:rFonts w:ascii="宋体" w:hAnsi="宋体" w:hint="eastAsia"/>
          <w:sz w:val="24"/>
        </w:rPr>
        <w:t>本基金基金份额分为A类基金份额和C类基金份额。投资人申购A类基金份额在申购时支付申购费用；申购C类基金份额不支付申购费用，并从该类别基金资产中计提销售服务费。</w:t>
      </w:r>
    </w:p>
    <w:p w14:paraId="2DAB77F6" w14:textId="425435B6"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0625E2" w:rsidRPr="008B5060">
        <w:rPr>
          <w:rFonts w:ascii="宋体" w:hAnsi="宋体" w:hint="eastAsia"/>
          <w:sz w:val="24"/>
        </w:rPr>
        <w:t>A类基金份额</w:t>
      </w:r>
      <w:r>
        <w:rPr>
          <w:rFonts w:ascii="宋体" w:hAnsi="宋体"/>
          <w:sz w:val="24"/>
        </w:rPr>
        <w:t>的申购费用由</w:t>
      </w:r>
      <w:r w:rsidR="000625E2" w:rsidRPr="008B5060">
        <w:rPr>
          <w:rFonts w:ascii="宋体" w:hAnsi="宋体" w:hint="eastAsia"/>
          <w:sz w:val="24"/>
        </w:rPr>
        <w:t>申购A类基金份额的</w:t>
      </w:r>
      <w:r>
        <w:rPr>
          <w:rFonts w:ascii="宋体" w:hAnsi="宋体"/>
          <w:sz w:val="24"/>
        </w:rPr>
        <w:t>申购人承担，不列入基金</w:t>
      </w:r>
      <w:r>
        <w:rPr>
          <w:rFonts w:ascii="宋体" w:hAnsi="宋体"/>
          <w:sz w:val="24"/>
        </w:rPr>
        <w:lastRenderedPageBreak/>
        <w:t>财产，主要用于本基金的市场推广、销售、登记等各项费用。</w:t>
      </w:r>
    </w:p>
    <w:p w14:paraId="2625F3E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投资人可以多次申购本基金，申购费用按每笔申购申请单独计算。</w:t>
      </w:r>
    </w:p>
    <w:p w14:paraId="190BC9F4" w14:textId="133351C1"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CB6C65" w:rsidRPr="00CB6C65">
        <w:rPr>
          <w:rFonts w:ascii="宋体" w:hAnsi="宋体" w:hint="eastAsia"/>
          <w:sz w:val="24"/>
        </w:rPr>
        <w:t>A类基金份额（非养老金客户）</w:t>
      </w:r>
      <w:r>
        <w:rPr>
          <w:rFonts w:ascii="宋体" w:hAnsi="宋体"/>
          <w:sz w:val="24"/>
        </w:rPr>
        <w:t>的申购费率如下：</w:t>
      </w:r>
    </w:p>
    <w:tbl>
      <w:tblPr>
        <w:tblW w:w="4751" w:type="pct"/>
        <w:tblInd w:w="431" w:type="dxa"/>
        <w:tblCellMar>
          <w:left w:w="0" w:type="dxa"/>
          <w:right w:w="0" w:type="dxa"/>
        </w:tblCellMar>
        <w:tblLook w:val="0000" w:firstRow="0" w:lastRow="0" w:firstColumn="0" w:lastColumn="0" w:noHBand="0" w:noVBand="0"/>
      </w:tblPr>
      <w:tblGrid>
        <w:gridCol w:w="2264"/>
        <w:gridCol w:w="3820"/>
        <w:gridCol w:w="2135"/>
      </w:tblGrid>
      <w:tr w:rsidR="00B164D3" w14:paraId="2294FECB" w14:textId="77777777" w:rsidTr="00350650">
        <w:trPr>
          <w:cantSplit/>
          <w:trHeight w:val="375"/>
        </w:trPr>
        <w:tc>
          <w:tcPr>
            <w:tcW w:w="1377" w:type="pct"/>
            <w:vMerge w:val="restart"/>
            <w:tcBorders>
              <w:top w:val="single" w:sz="4" w:space="0" w:color="auto"/>
              <w:left w:val="single" w:sz="4" w:space="0" w:color="auto"/>
              <w:bottom w:val="single" w:sz="4" w:space="0" w:color="auto"/>
              <w:right w:val="single" w:sz="4" w:space="0" w:color="auto"/>
            </w:tcBorders>
            <w:vAlign w:val="center"/>
          </w:tcPr>
          <w:p w14:paraId="744F5CF8" w14:textId="3856021D" w:rsidR="00B164D3" w:rsidRDefault="00CB6C65">
            <w:pPr>
              <w:widowControl/>
              <w:snapToGrid w:val="0"/>
              <w:jc w:val="center"/>
              <w:rPr>
                <w:rFonts w:ascii="宋体" w:hAnsi="宋体"/>
                <w:color w:val="000000"/>
                <w:kern w:val="0"/>
                <w:sz w:val="25"/>
                <w:szCs w:val="24"/>
              </w:rPr>
            </w:pPr>
            <w:r w:rsidRPr="00AA737D">
              <w:rPr>
                <w:rFonts w:ascii="Times New Roman" w:hAnsi="Times New Roman" w:hint="eastAsia"/>
                <w:color w:val="000000"/>
                <w:kern w:val="0"/>
                <w:sz w:val="25"/>
                <w:szCs w:val="24"/>
              </w:rPr>
              <w:t>A</w:t>
            </w:r>
            <w:r w:rsidRPr="00AA737D">
              <w:rPr>
                <w:rFonts w:ascii="Times New Roman" w:hAnsi="Times New Roman" w:hint="eastAsia"/>
                <w:color w:val="000000"/>
                <w:kern w:val="0"/>
                <w:sz w:val="25"/>
                <w:szCs w:val="24"/>
              </w:rPr>
              <w:t>类基金份额的</w:t>
            </w:r>
            <w:r w:rsidR="000605B5">
              <w:rPr>
                <w:rFonts w:ascii="Times New Roman" w:hAnsi="Times New Roman"/>
                <w:color w:val="000000"/>
                <w:kern w:val="0"/>
                <w:sz w:val="25"/>
                <w:szCs w:val="24"/>
              </w:rPr>
              <w:t>申购费率</w:t>
            </w:r>
          </w:p>
        </w:tc>
        <w:tc>
          <w:tcPr>
            <w:tcW w:w="2324" w:type="pct"/>
            <w:tcBorders>
              <w:top w:val="single" w:sz="4" w:space="0" w:color="auto"/>
              <w:left w:val="single" w:sz="4" w:space="0" w:color="auto"/>
              <w:bottom w:val="single" w:sz="4" w:space="0" w:color="auto"/>
              <w:right w:val="single" w:sz="4" w:space="0" w:color="auto"/>
            </w:tcBorders>
            <w:vAlign w:val="center"/>
          </w:tcPr>
          <w:p w14:paraId="23AE934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1299" w:type="pct"/>
            <w:tcBorders>
              <w:top w:val="single" w:sz="4" w:space="0" w:color="auto"/>
              <w:left w:val="single" w:sz="4" w:space="0" w:color="auto"/>
              <w:bottom w:val="single" w:sz="4" w:space="0" w:color="auto"/>
              <w:right w:val="single" w:sz="4" w:space="0" w:color="auto"/>
            </w:tcBorders>
            <w:vAlign w:val="center"/>
          </w:tcPr>
          <w:p w14:paraId="7B55B887" w14:textId="7E1FC8ED" w:rsidR="00B164D3" w:rsidRDefault="00CB6C65">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hint="eastAsia"/>
                <w:color w:val="000000"/>
                <w:kern w:val="0"/>
                <w:sz w:val="25"/>
                <w:szCs w:val="24"/>
              </w:rPr>
              <w:t>类基金份额</w:t>
            </w:r>
            <w:r w:rsidR="000605B5">
              <w:rPr>
                <w:rFonts w:ascii="Times New Roman" w:hAnsi="Times New Roman"/>
                <w:color w:val="000000"/>
                <w:kern w:val="0"/>
                <w:sz w:val="25"/>
                <w:szCs w:val="24"/>
              </w:rPr>
              <w:t>申购费率</w:t>
            </w:r>
          </w:p>
        </w:tc>
      </w:tr>
      <w:tr w:rsidR="00B164D3" w14:paraId="3B3A52CD"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48FF6D04"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0A05FFEF" w14:textId="77777777" w:rsidR="00B164D3" w:rsidRDefault="000605B5" w:rsidP="00350650">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1299" w:type="pct"/>
            <w:tcBorders>
              <w:top w:val="single" w:sz="4" w:space="0" w:color="auto"/>
              <w:left w:val="single" w:sz="4" w:space="0" w:color="auto"/>
              <w:bottom w:val="single" w:sz="4" w:space="0" w:color="auto"/>
              <w:right w:val="single" w:sz="4" w:space="0" w:color="auto"/>
            </w:tcBorders>
            <w:vAlign w:val="center"/>
          </w:tcPr>
          <w:p w14:paraId="2338204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0.8%</w:t>
            </w:r>
          </w:p>
        </w:tc>
      </w:tr>
      <w:tr w:rsidR="00B164D3" w14:paraId="62FE5215"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47875F9C"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2F6BB50C" w14:textId="77777777" w:rsidR="00B164D3" w:rsidRDefault="000605B5" w:rsidP="00350650">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520D4AE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0.6%</w:t>
            </w:r>
          </w:p>
        </w:tc>
      </w:tr>
      <w:tr w:rsidR="00B164D3" w14:paraId="5C3928A9"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519FE03F"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7D6AAAF2" w14:textId="77777777" w:rsidR="00B164D3" w:rsidRDefault="000605B5" w:rsidP="00350650">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002D12D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B164D3" w14:paraId="2D455740"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17D9B1B7"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158384F0" w14:textId="77777777" w:rsidR="00B164D3" w:rsidRDefault="000605B5" w:rsidP="00350650">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718F9B4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0.3%</w:t>
            </w:r>
          </w:p>
        </w:tc>
      </w:tr>
      <w:tr w:rsidR="00B164D3" w14:paraId="42B53DE0"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58310558"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6BA6EBAA" w14:textId="77777777" w:rsidR="00B164D3" w:rsidRDefault="000605B5" w:rsidP="00350650">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7DABCBC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3E139736" w14:textId="2E9C0958" w:rsidR="00B164D3" w:rsidRDefault="00CB6C65">
      <w:pPr>
        <w:autoSpaceDE w:val="0"/>
        <w:autoSpaceDN w:val="0"/>
        <w:adjustRightInd w:val="0"/>
        <w:snapToGrid w:val="0"/>
        <w:spacing w:line="360" w:lineRule="auto"/>
        <w:ind w:firstLineChars="200" w:firstLine="480"/>
        <w:jc w:val="left"/>
        <w:rPr>
          <w:rFonts w:ascii="宋体" w:hAnsi="宋体"/>
          <w:szCs w:val="24"/>
        </w:rPr>
      </w:pPr>
      <w:r w:rsidRPr="009D0154">
        <w:rPr>
          <w:rFonts w:ascii="宋体" w:hAnsi="宋体" w:hint="eastAsia"/>
          <w:sz w:val="24"/>
        </w:rPr>
        <w:t>持有A类基金份额的投资人</w:t>
      </w:r>
      <w:r w:rsidR="000605B5">
        <w:rPr>
          <w:rFonts w:ascii="宋体" w:hAnsi="宋体"/>
          <w:sz w:val="24"/>
        </w:rPr>
        <w:t>因红利自动再投资而产生的</w:t>
      </w:r>
      <w:r w:rsidRPr="00162BC7">
        <w:rPr>
          <w:rFonts w:ascii="宋体" w:hAnsi="宋体" w:hint="eastAsia"/>
          <w:sz w:val="24"/>
        </w:rPr>
        <w:t>A类</w:t>
      </w:r>
      <w:r w:rsidR="000605B5">
        <w:rPr>
          <w:rFonts w:ascii="宋体" w:hAnsi="宋体"/>
          <w:sz w:val="24"/>
        </w:rPr>
        <w:t>基金份额，不收取相应的申购费用。</w:t>
      </w:r>
    </w:p>
    <w:p w14:paraId="109CCE7C" w14:textId="23132992"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本基金对通过基金管理人直销柜台申购本基金</w:t>
      </w:r>
      <w:r w:rsidR="00CB6C65" w:rsidRPr="00162BC7">
        <w:rPr>
          <w:rFonts w:ascii="宋体" w:hAnsi="宋体" w:hint="eastAsia"/>
          <w:sz w:val="24"/>
        </w:rPr>
        <w:t>A类</w:t>
      </w:r>
      <w:r>
        <w:rPr>
          <w:rFonts w:ascii="宋体" w:hAnsi="宋体"/>
          <w:sz w:val="24"/>
        </w:rPr>
        <w:t>基金份额的养老金客户实施特定申购费率。</w:t>
      </w:r>
    </w:p>
    <w:p w14:paraId="6AAA12A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养老金客户指基本养老基金与依法成立的养老计划筹集的资金及其投资运营收益形成的补充养老基金等，具体包括：</w:t>
      </w:r>
    </w:p>
    <w:p w14:paraId="199BA0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1）全国社会保障基金；</w:t>
      </w:r>
    </w:p>
    <w:p w14:paraId="027417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2）可以投资基金的地方社会保障基金；</w:t>
      </w:r>
    </w:p>
    <w:p w14:paraId="3AB104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3）企业年金单一计划以及集合计划；</w:t>
      </w:r>
    </w:p>
    <w:p w14:paraId="33FA37C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4）企业年金理事会委托的特定客户资产管理计划；</w:t>
      </w:r>
    </w:p>
    <w:p w14:paraId="213B6AD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5）企业年金养老金产品。</w:t>
      </w:r>
    </w:p>
    <w:p w14:paraId="7F7EC33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如将来出现经养老基金监管部门认可的新的养老基金类型，基金管理人可在招募说明书更新或发布临时公告将其纳入养老金客户范围。</w:t>
      </w:r>
    </w:p>
    <w:p w14:paraId="3D144AFB" w14:textId="1FCB57AB"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通过基金管理人直销柜台申购本基金</w:t>
      </w:r>
      <w:r w:rsidR="00E676A9" w:rsidRPr="00162BC7">
        <w:rPr>
          <w:rFonts w:ascii="宋体" w:hAnsi="宋体" w:hint="eastAsia"/>
          <w:sz w:val="24"/>
        </w:rPr>
        <w:t>A类</w:t>
      </w:r>
      <w:r>
        <w:rPr>
          <w:rFonts w:ascii="宋体" w:hAnsi="宋体"/>
          <w:sz w:val="24"/>
        </w:rPr>
        <w:t>基金份额的养老金客户特定申购费率如下表：</w:t>
      </w:r>
    </w:p>
    <w:tbl>
      <w:tblPr>
        <w:tblW w:w="4751" w:type="pct"/>
        <w:tblInd w:w="431" w:type="dxa"/>
        <w:tblCellMar>
          <w:left w:w="0" w:type="dxa"/>
          <w:right w:w="0" w:type="dxa"/>
        </w:tblCellMar>
        <w:tblLook w:val="0000" w:firstRow="0" w:lastRow="0" w:firstColumn="0" w:lastColumn="0" w:noHBand="0" w:noVBand="0"/>
      </w:tblPr>
      <w:tblGrid>
        <w:gridCol w:w="2264"/>
        <w:gridCol w:w="3820"/>
        <w:gridCol w:w="2135"/>
      </w:tblGrid>
      <w:tr w:rsidR="00B164D3" w14:paraId="5207DE36" w14:textId="77777777" w:rsidTr="00350650">
        <w:trPr>
          <w:cantSplit/>
          <w:trHeight w:val="375"/>
        </w:trPr>
        <w:tc>
          <w:tcPr>
            <w:tcW w:w="1377" w:type="pct"/>
            <w:vMerge w:val="restart"/>
            <w:tcBorders>
              <w:top w:val="single" w:sz="4" w:space="0" w:color="auto"/>
              <w:left w:val="single" w:sz="4" w:space="0" w:color="auto"/>
              <w:bottom w:val="single" w:sz="4" w:space="0" w:color="auto"/>
              <w:right w:val="single" w:sz="4" w:space="0" w:color="auto"/>
            </w:tcBorders>
            <w:vAlign w:val="center"/>
          </w:tcPr>
          <w:p w14:paraId="4E8D60F7" w14:textId="01181D8D" w:rsidR="00B164D3" w:rsidRDefault="00E676A9">
            <w:pPr>
              <w:widowControl/>
              <w:snapToGrid w:val="0"/>
              <w:jc w:val="center"/>
              <w:rPr>
                <w:rFonts w:ascii="宋体" w:hAnsi="宋体"/>
                <w:color w:val="000000"/>
                <w:kern w:val="0"/>
                <w:sz w:val="25"/>
                <w:szCs w:val="24"/>
              </w:rPr>
            </w:pPr>
            <w:r w:rsidRPr="00E676A9">
              <w:rPr>
                <w:rFonts w:ascii="Times New Roman" w:hAnsi="Times New Roman" w:hint="eastAsia"/>
                <w:color w:val="000000"/>
                <w:kern w:val="0"/>
                <w:sz w:val="25"/>
                <w:szCs w:val="24"/>
              </w:rPr>
              <w:t>A</w:t>
            </w:r>
            <w:r w:rsidRPr="00E676A9">
              <w:rPr>
                <w:rFonts w:ascii="Times New Roman" w:hAnsi="Times New Roman" w:hint="eastAsia"/>
                <w:color w:val="000000"/>
                <w:kern w:val="0"/>
                <w:sz w:val="25"/>
                <w:szCs w:val="24"/>
              </w:rPr>
              <w:t>类基金份额的</w:t>
            </w:r>
            <w:r w:rsidR="000605B5">
              <w:rPr>
                <w:rFonts w:ascii="Times New Roman" w:hAnsi="Times New Roman"/>
                <w:color w:val="000000"/>
                <w:kern w:val="0"/>
                <w:sz w:val="25"/>
                <w:szCs w:val="24"/>
              </w:rPr>
              <w:t>申购费率</w:t>
            </w:r>
          </w:p>
        </w:tc>
        <w:tc>
          <w:tcPr>
            <w:tcW w:w="2324" w:type="pct"/>
            <w:tcBorders>
              <w:top w:val="single" w:sz="4" w:space="0" w:color="auto"/>
              <w:left w:val="single" w:sz="4" w:space="0" w:color="auto"/>
              <w:bottom w:val="single" w:sz="4" w:space="0" w:color="auto"/>
              <w:right w:val="single" w:sz="4" w:space="0" w:color="auto"/>
            </w:tcBorders>
            <w:vAlign w:val="center"/>
          </w:tcPr>
          <w:p w14:paraId="20CDBF2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申购金额（含申购费）</w:t>
            </w:r>
          </w:p>
        </w:tc>
        <w:tc>
          <w:tcPr>
            <w:tcW w:w="1299" w:type="pct"/>
            <w:tcBorders>
              <w:top w:val="single" w:sz="4" w:space="0" w:color="auto"/>
              <w:left w:val="single" w:sz="4" w:space="0" w:color="auto"/>
              <w:bottom w:val="single" w:sz="4" w:space="0" w:color="auto"/>
              <w:right w:val="single" w:sz="4" w:space="0" w:color="auto"/>
            </w:tcBorders>
            <w:vAlign w:val="center"/>
          </w:tcPr>
          <w:p w14:paraId="102AB900" w14:textId="71FB7521" w:rsidR="00B164D3" w:rsidRDefault="00E676A9">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r>
              <w:rPr>
                <w:rFonts w:ascii="Times New Roman" w:hAnsi="Times New Roman" w:hint="eastAsia"/>
                <w:color w:val="000000"/>
                <w:kern w:val="0"/>
                <w:sz w:val="25"/>
                <w:szCs w:val="24"/>
              </w:rPr>
              <w:t>类基金份额</w:t>
            </w:r>
            <w:r w:rsidR="000605B5">
              <w:rPr>
                <w:rFonts w:ascii="Times New Roman" w:hAnsi="Times New Roman"/>
                <w:color w:val="000000"/>
                <w:kern w:val="0"/>
                <w:sz w:val="25"/>
                <w:szCs w:val="24"/>
              </w:rPr>
              <w:t>特定申购费率</w:t>
            </w:r>
          </w:p>
        </w:tc>
      </w:tr>
      <w:tr w:rsidR="00B164D3" w14:paraId="777EEEBE"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12E493B6"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66037BA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万元以下</w:t>
            </w:r>
          </w:p>
        </w:tc>
        <w:tc>
          <w:tcPr>
            <w:tcW w:w="1299" w:type="pct"/>
            <w:tcBorders>
              <w:top w:val="single" w:sz="4" w:space="0" w:color="auto"/>
              <w:left w:val="single" w:sz="4" w:space="0" w:color="auto"/>
              <w:bottom w:val="single" w:sz="4" w:space="0" w:color="auto"/>
              <w:right w:val="single" w:sz="4" w:space="0" w:color="auto"/>
            </w:tcBorders>
            <w:vAlign w:val="center"/>
          </w:tcPr>
          <w:p w14:paraId="2EAB2A3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0.32%</w:t>
            </w:r>
          </w:p>
        </w:tc>
      </w:tr>
      <w:tr w:rsidR="00B164D3" w14:paraId="2E2458BE"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5B99F7C4"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3CC3071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50</w:t>
            </w:r>
            <w:r>
              <w:rPr>
                <w:rFonts w:ascii="Times New Roman" w:hAnsi="Times New Roman"/>
                <w:color w:val="000000"/>
                <w:kern w:val="0"/>
                <w:sz w:val="25"/>
                <w:szCs w:val="24"/>
              </w:rPr>
              <w:t>万元（含）至</w:t>
            </w:r>
            <w:r>
              <w:rPr>
                <w:rFonts w:ascii="Times New Roman" w:hAnsi="Times New Roman"/>
                <w:color w:val="000000"/>
                <w:kern w:val="0"/>
                <w:sz w:val="25"/>
                <w:szCs w:val="24"/>
              </w:rPr>
              <w:t>100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20F33AD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0.18%</w:t>
            </w:r>
          </w:p>
        </w:tc>
      </w:tr>
      <w:tr w:rsidR="00B164D3" w14:paraId="2D73748E"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436D2B51"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4E23A86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100</w:t>
            </w:r>
            <w:r>
              <w:rPr>
                <w:rFonts w:ascii="Times New Roman" w:hAnsi="Times New Roman"/>
                <w:color w:val="000000"/>
                <w:kern w:val="0"/>
                <w:sz w:val="25"/>
                <w:szCs w:val="24"/>
              </w:rPr>
              <w:t>万元（含）至</w:t>
            </w:r>
            <w:r>
              <w:rPr>
                <w:rFonts w:ascii="Times New Roman" w:hAnsi="Times New Roman"/>
                <w:color w:val="000000"/>
                <w:kern w:val="0"/>
                <w:sz w:val="25"/>
                <w:szCs w:val="24"/>
              </w:rPr>
              <w:t>200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4900596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0.10%</w:t>
            </w:r>
          </w:p>
        </w:tc>
      </w:tr>
      <w:tr w:rsidR="00B164D3" w14:paraId="7EBA23E8"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414B29C7"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7B8E87F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200</w:t>
            </w:r>
            <w:r>
              <w:rPr>
                <w:rFonts w:ascii="Times New Roman" w:hAnsi="Times New Roman"/>
                <w:color w:val="000000"/>
                <w:kern w:val="0"/>
                <w:sz w:val="25"/>
                <w:szCs w:val="24"/>
              </w:rPr>
              <w:t>万元（含）至</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2603E6C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0.06%</w:t>
            </w:r>
          </w:p>
        </w:tc>
      </w:tr>
      <w:tr w:rsidR="00B164D3" w14:paraId="45FE1581" w14:textId="77777777" w:rsidTr="00350650">
        <w:trPr>
          <w:cantSplit/>
          <w:trHeight w:val="375"/>
        </w:trPr>
        <w:tc>
          <w:tcPr>
            <w:tcW w:w="1377" w:type="pct"/>
            <w:vMerge/>
            <w:tcBorders>
              <w:top w:val="single" w:sz="4" w:space="0" w:color="auto"/>
              <w:left w:val="single" w:sz="4" w:space="0" w:color="auto"/>
              <w:bottom w:val="single" w:sz="4" w:space="0" w:color="auto"/>
              <w:right w:val="single" w:sz="4" w:space="0" w:color="auto"/>
            </w:tcBorders>
            <w:vAlign w:val="center"/>
          </w:tcPr>
          <w:p w14:paraId="46006887" w14:textId="77777777" w:rsidR="00B164D3" w:rsidRDefault="00B164D3">
            <w:pPr>
              <w:widowControl/>
              <w:snapToGrid w:val="0"/>
              <w:jc w:val="center"/>
              <w:rPr>
                <w:rFonts w:ascii="宋体" w:hAnsi="宋体"/>
                <w:color w:val="000000"/>
                <w:kern w:val="0"/>
                <w:sz w:val="25"/>
                <w:szCs w:val="24"/>
              </w:rPr>
            </w:pPr>
          </w:p>
        </w:tc>
        <w:tc>
          <w:tcPr>
            <w:tcW w:w="2324" w:type="pct"/>
            <w:tcBorders>
              <w:top w:val="single" w:sz="4" w:space="0" w:color="auto"/>
              <w:left w:val="single" w:sz="4" w:space="0" w:color="auto"/>
              <w:bottom w:val="single" w:sz="4" w:space="0" w:color="auto"/>
              <w:right w:val="single" w:sz="4" w:space="0" w:color="auto"/>
            </w:tcBorders>
            <w:vAlign w:val="center"/>
          </w:tcPr>
          <w:p w14:paraId="18B6D69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500</w:t>
            </w:r>
            <w:r>
              <w:rPr>
                <w:rFonts w:ascii="Times New Roman" w:hAnsi="Times New Roman"/>
                <w:color w:val="000000"/>
                <w:kern w:val="0"/>
                <w:sz w:val="25"/>
                <w:szCs w:val="24"/>
              </w:rPr>
              <w:t>万元以上（含</w:t>
            </w:r>
            <w:r>
              <w:rPr>
                <w:rFonts w:ascii="Times New Roman" w:hAnsi="Times New Roman"/>
                <w:color w:val="000000"/>
                <w:kern w:val="0"/>
                <w:sz w:val="25"/>
                <w:szCs w:val="24"/>
              </w:rPr>
              <w:t>500</w:t>
            </w:r>
            <w:r>
              <w:rPr>
                <w:rFonts w:ascii="Times New Roman" w:hAnsi="Times New Roman"/>
                <w:color w:val="000000"/>
                <w:kern w:val="0"/>
                <w:sz w:val="25"/>
                <w:szCs w:val="24"/>
              </w:rPr>
              <w:t>万元）</w:t>
            </w:r>
          </w:p>
        </w:tc>
        <w:tc>
          <w:tcPr>
            <w:tcW w:w="1299" w:type="pct"/>
            <w:tcBorders>
              <w:top w:val="single" w:sz="4" w:space="0" w:color="auto"/>
              <w:left w:val="single" w:sz="4" w:space="0" w:color="auto"/>
              <w:bottom w:val="single" w:sz="4" w:space="0" w:color="auto"/>
              <w:right w:val="single" w:sz="4" w:space="0" w:color="auto"/>
            </w:tcBorders>
            <w:vAlign w:val="center"/>
          </w:tcPr>
          <w:p w14:paraId="395326A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每笔交易</w:t>
            </w:r>
            <w:r>
              <w:rPr>
                <w:rFonts w:ascii="Times New Roman" w:hAnsi="Times New Roman"/>
                <w:color w:val="000000"/>
                <w:kern w:val="0"/>
                <w:sz w:val="25"/>
                <w:szCs w:val="24"/>
              </w:rPr>
              <w:t>1000</w:t>
            </w:r>
            <w:r>
              <w:rPr>
                <w:rFonts w:ascii="Times New Roman" w:hAnsi="Times New Roman"/>
                <w:color w:val="000000"/>
                <w:kern w:val="0"/>
                <w:sz w:val="25"/>
                <w:szCs w:val="24"/>
              </w:rPr>
              <w:t>元</w:t>
            </w:r>
          </w:p>
        </w:tc>
      </w:tr>
    </w:tbl>
    <w:p w14:paraId="3F8BCA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2、赎回费用</w:t>
      </w:r>
    </w:p>
    <w:p w14:paraId="1CE663EA" w14:textId="77777777" w:rsidR="00993A74" w:rsidRDefault="00993A74" w:rsidP="00993A74">
      <w:pPr>
        <w:autoSpaceDE w:val="0"/>
        <w:autoSpaceDN w:val="0"/>
        <w:adjustRightInd w:val="0"/>
        <w:snapToGrid w:val="0"/>
        <w:spacing w:line="360" w:lineRule="auto"/>
        <w:ind w:firstLineChars="200" w:firstLine="480"/>
        <w:jc w:val="left"/>
        <w:rPr>
          <w:rFonts w:ascii="宋体" w:hAnsi="宋体"/>
          <w:sz w:val="24"/>
        </w:rPr>
      </w:pPr>
      <w:r w:rsidRPr="003941E0">
        <w:rPr>
          <w:rFonts w:ascii="宋体" w:hAnsi="宋体" w:hint="eastAsia"/>
          <w:sz w:val="24"/>
        </w:rPr>
        <w:lastRenderedPageBreak/>
        <w:t>（1）本基金A类基金份额的赎回费率</w:t>
      </w:r>
    </w:p>
    <w:p w14:paraId="70F6E635" w14:textId="49AA8A8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993A74" w:rsidRPr="0038298F">
        <w:rPr>
          <w:rFonts w:ascii="宋体" w:hAnsi="宋体" w:hint="eastAsia"/>
          <w:sz w:val="24"/>
        </w:rPr>
        <w:t>A类基金份额</w:t>
      </w:r>
      <w:r>
        <w:rPr>
          <w:rFonts w:ascii="宋体" w:hAnsi="宋体"/>
          <w:sz w:val="24"/>
        </w:rPr>
        <w:t>的赎回费用由赎回</w:t>
      </w:r>
      <w:r w:rsidR="00993A74" w:rsidRPr="00F561AB">
        <w:rPr>
          <w:rFonts w:ascii="宋体" w:hAnsi="宋体" w:hint="eastAsia"/>
          <w:sz w:val="24"/>
        </w:rPr>
        <w:t>A类</w:t>
      </w:r>
      <w:r>
        <w:rPr>
          <w:rFonts w:ascii="宋体" w:hAnsi="宋体"/>
          <w:sz w:val="24"/>
        </w:rPr>
        <w:t>基金份额的基金份额持有人承担，在基金份额持有人赎回</w:t>
      </w:r>
      <w:r w:rsidR="00993A74">
        <w:rPr>
          <w:rFonts w:ascii="宋体" w:hAnsi="宋体" w:hint="eastAsia"/>
          <w:sz w:val="24"/>
        </w:rPr>
        <w:t>A类</w:t>
      </w:r>
      <w:r>
        <w:rPr>
          <w:rFonts w:ascii="宋体" w:hAnsi="宋体"/>
          <w:sz w:val="24"/>
        </w:rPr>
        <w:t>基金份额时收取，对持续持有期少于7日的投资人收取1.5%的赎回费，对持续持有期大于等于7日但少于30日的投资人收取0.75%的赎回费，并将上述赎回费全额计入基金财产；对持续持有期大于等于30日但少于3个月的投资人收取0.5%的赎回费，并将赎回费总额的75%计入基金财产；对持续持有期大于等于3个月但少于6个月的投资人收取0.5%的赎回费，并将赎回费总额的50%计入基金财产。上述“月”指的是30个自然日。未归入基金财产的部分用于支付登记费和其他必要的手续费。</w:t>
      </w:r>
    </w:p>
    <w:p w14:paraId="4AEA7617" w14:textId="29F50424"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w:t>
      </w:r>
      <w:r w:rsidR="00993A74" w:rsidRPr="00054465">
        <w:rPr>
          <w:rFonts w:ascii="宋体" w:hAnsi="宋体" w:hint="eastAsia"/>
          <w:sz w:val="24"/>
        </w:rPr>
        <w:t>A类基金份额</w:t>
      </w:r>
      <w:r>
        <w:rPr>
          <w:rFonts w:ascii="宋体" w:hAnsi="宋体"/>
          <w:sz w:val="24"/>
        </w:rPr>
        <w:t>的赎回费率如下：</w:t>
      </w:r>
    </w:p>
    <w:tbl>
      <w:tblPr>
        <w:tblW w:w="4496" w:type="pct"/>
        <w:tblInd w:w="431" w:type="dxa"/>
        <w:tblCellMar>
          <w:left w:w="0" w:type="dxa"/>
          <w:right w:w="0" w:type="dxa"/>
        </w:tblCellMar>
        <w:tblLook w:val="0000" w:firstRow="0" w:lastRow="0" w:firstColumn="0" w:lastColumn="0" w:noHBand="0" w:noVBand="0"/>
      </w:tblPr>
      <w:tblGrid>
        <w:gridCol w:w="2404"/>
        <w:gridCol w:w="3677"/>
        <w:gridCol w:w="1697"/>
      </w:tblGrid>
      <w:tr w:rsidR="00B164D3" w14:paraId="0E3DE780" w14:textId="77777777" w:rsidTr="00350650">
        <w:trPr>
          <w:cantSplit/>
          <w:trHeight w:val="375"/>
        </w:trPr>
        <w:tc>
          <w:tcPr>
            <w:tcW w:w="1545" w:type="pct"/>
            <w:vMerge w:val="restart"/>
            <w:tcBorders>
              <w:top w:val="single" w:sz="4" w:space="0" w:color="auto"/>
              <w:left w:val="single" w:sz="4" w:space="0" w:color="auto"/>
              <w:bottom w:val="single" w:sz="4" w:space="0" w:color="auto"/>
              <w:right w:val="single" w:sz="4" w:space="0" w:color="auto"/>
            </w:tcBorders>
            <w:vAlign w:val="center"/>
          </w:tcPr>
          <w:p w14:paraId="1FC12D7E" w14:textId="4D34B73D" w:rsidR="00B164D3" w:rsidRDefault="00993A74">
            <w:pPr>
              <w:widowControl/>
              <w:snapToGrid w:val="0"/>
              <w:jc w:val="center"/>
              <w:rPr>
                <w:rFonts w:ascii="宋体" w:hAnsi="宋体"/>
                <w:color w:val="000000"/>
                <w:kern w:val="0"/>
                <w:sz w:val="25"/>
                <w:szCs w:val="24"/>
              </w:rPr>
            </w:pPr>
            <w:r w:rsidRPr="0086502A">
              <w:rPr>
                <w:rFonts w:ascii="Times New Roman" w:hAnsi="Times New Roman" w:hint="eastAsia"/>
                <w:color w:val="000000"/>
                <w:kern w:val="0"/>
                <w:sz w:val="25"/>
                <w:szCs w:val="24"/>
              </w:rPr>
              <w:t>A</w:t>
            </w:r>
            <w:r w:rsidRPr="0086502A">
              <w:rPr>
                <w:rFonts w:ascii="Times New Roman" w:hAnsi="Times New Roman" w:hint="eastAsia"/>
                <w:color w:val="000000"/>
                <w:kern w:val="0"/>
                <w:sz w:val="25"/>
                <w:szCs w:val="24"/>
              </w:rPr>
              <w:t>类基金份额的</w:t>
            </w:r>
            <w:r w:rsidR="000605B5">
              <w:rPr>
                <w:rFonts w:ascii="Times New Roman" w:hAnsi="Times New Roman"/>
                <w:color w:val="000000"/>
                <w:kern w:val="0"/>
                <w:sz w:val="25"/>
                <w:szCs w:val="24"/>
              </w:rPr>
              <w:t>赎回费率</w:t>
            </w:r>
          </w:p>
        </w:tc>
        <w:tc>
          <w:tcPr>
            <w:tcW w:w="2364" w:type="pct"/>
            <w:tcBorders>
              <w:top w:val="single" w:sz="4" w:space="0" w:color="auto"/>
              <w:left w:val="single" w:sz="4" w:space="0" w:color="auto"/>
              <w:bottom w:val="single" w:sz="4" w:space="0" w:color="auto"/>
              <w:right w:val="single" w:sz="4" w:space="0" w:color="auto"/>
            </w:tcBorders>
            <w:vAlign w:val="center"/>
          </w:tcPr>
          <w:p w14:paraId="50FB0C2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持有期限</w:t>
            </w:r>
          </w:p>
        </w:tc>
        <w:tc>
          <w:tcPr>
            <w:tcW w:w="1091" w:type="pct"/>
            <w:tcBorders>
              <w:top w:val="single" w:sz="4" w:space="0" w:color="auto"/>
              <w:left w:val="single" w:sz="4" w:space="0" w:color="auto"/>
              <w:bottom w:val="single" w:sz="4" w:space="0" w:color="auto"/>
              <w:right w:val="single" w:sz="4" w:space="0" w:color="auto"/>
            </w:tcBorders>
            <w:vAlign w:val="center"/>
          </w:tcPr>
          <w:p w14:paraId="4A0DCB52" w14:textId="601C5D5E" w:rsidR="00B164D3" w:rsidRDefault="00993A74">
            <w:pPr>
              <w:widowControl/>
              <w:snapToGrid w:val="0"/>
              <w:jc w:val="center"/>
              <w:rPr>
                <w:rFonts w:ascii="宋体" w:hAnsi="宋体"/>
                <w:color w:val="000000"/>
                <w:kern w:val="0"/>
                <w:sz w:val="25"/>
                <w:szCs w:val="24"/>
              </w:rPr>
            </w:pPr>
            <w:r w:rsidRPr="0086502A">
              <w:rPr>
                <w:rFonts w:ascii="Times New Roman" w:hAnsi="Times New Roman" w:hint="eastAsia"/>
                <w:color w:val="000000"/>
                <w:kern w:val="0"/>
                <w:sz w:val="25"/>
                <w:szCs w:val="24"/>
              </w:rPr>
              <w:t>A</w:t>
            </w:r>
            <w:r w:rsidRPr="0086502A">
              <w:rPr>
                <w:rFonts w:ascii="Times New Roman" w:hAnsi="Times New Roman" w:hint="eastAsia"/>
                <w:color w:val="000000"/>
                <w:kern w:val="0"/>
                <w:sz w:val="25"/>
                <w:szCs w:val="24"/>
              </w:rPr>
              <w:t>类基金份额</w:t>
            </w:r>
            <w:r w:rsidR="000605B5">
              <w:rPr>
                <w:rFonts w:ascii="Times New Roman" w:hAnsi="Times New Roman"/>
                <w:color w:val="000000"/>
                <w:kern w:val="0"/>
                <w:sz w:val="25"/>
                <w:szCs w:val="24"/>
              </w:rPr>
              <w:t>赎回费率</w:t>
            </w:r>
          </w:p>
        </w:tc>
      </w:tr>
      <w:tr w:rsidR="00B164D3" w14:paraId="128589F1" w14:textId="77777777" w:rsidTr="00350650">
        <w:trPr>
          <w:cantSplit/>
          <w:trHeight w:val="375"/>
        </w:trPr>
        <w:tc>
          <w:tcPr>
            <w:tcW w:w="1545" w:type="pct"/>
            <w:vMerge/>
            <w:tcBorders>
              <w:top w:val="single" w:sz="4" w:space="0" w:color="auto"/>
              <w:left w:val="single" w:sz="4" w:space="0" w:color="auto"/>
              <w:bottom w:val="single" w:sz="4" w:space="0" w:color="auto"/>
              <w:right w:val="single" w:sz="4" w:space="0" w:color="auto"/>
            </w:tcBorders>
            <w:vAlign w:val="center"/>
          </w:tcPr>
          <w:p w14:paraId="77E6E3C0" w14:textId="77777777" w:rsidR="00B164D3" w:rsidRDefault="00B164D3">
            <w:pPr>
              <w:widowControl/>
              <w:snapToGrid w:val="0"/>
              <w:jc w:val="center"/>
              <w:rPr>
                <w:rFonts w:ascii="宋体" w:hAnsi="宋体"/>
                <w:color w:val="000000"/>
                <w:kern w:val="0"/>
                <w:sz w:val="25"/>
                <w:szCs w:val="24"/>
              </w:rPr>
            </w:pPr>
          </w:p>
        </w:tc>
        <w:tc>
          <w:tcPr>
            <w:tcW w:w="2364" w:type="pct"/>
            <w:tcBorders>
              <w:top w:val="single" w:sz="4" w:space="0" w:color="auto"/>
              <w:left w:val="single" w:sz="4" w:space="0" w:color="auto"/>
              <w:bottom w:val="single" w:sz="4" w:space="0" w:color="auto"/>
              <w:right w:val="single" w:sz="4" w:space="0" w:color="auto"/>
            </w:tcBorders>
            <w:vAlign w:val="center"/>
          </w:tcPr>
          <w:p w14:paraId="6FBC3D2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日以内</w:t>
            </w:r>
          </w:p>
        </w:tc>
        <w:tc>
          <w:tcPr>
            <w:tcW w:w="1091" w:type="pct"/>
            <w:tcBorders>
              <w:top w:val="single" w:sz="4" w:space="0" w:color="auto"/>
              <w:left w:val="single" w:sz="4" w:space="0" w:color="auto"/>
              <w:bottom w:val="single" w:sz="4" w:space="0" w:color="auto"/>
              <w:right w:val="single" w:sz="4" w:space="0" w:color="auto"/>
            </w:tcBorders>
            <w:vAlign w:val="center"/>
          </w:tcPr>
          <w:p w14:paraId="2383CE1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1.5%</w:t>
            </w:r>
          </w:p>
        </w:tc>
      </w:tr>
      <w:tr w:rsidR="00B164D3" w14:paraId="2A2AD9B8" w14:textId="77777777" w:rsidTr="00350650">
        <w:trPr>
          <w:cantSplit/>
          <w:trHeight w:val="375"/>
        </w:trPr>
        <w:tc>
          <w:tcPr>
            <w:tcW w:w="1545" w:type="pct"/>
            <w:vMerge/>
            <w:tcBorders>
              <w:top w:val="single" w:sz="4" w:space="0" w:color="auto"/>
              <w:left w:val="single" w:sz="4" w:space="0" w:color="auto"/>
              <w:bottom w:val="single" w:sz="4" w:space="0" w:color="auto"/>
              <w:right w:val="single" w:sz="4" w:space="0" w:color="auto"/>
            </w:tcBorders>
            <w:vAlign w:val="center"/>
          </w:tcPr>
          <w:p w14:paraId="2809B0A1" w14:textId="77777777" w:rsidR="00B164D3" w:rsidRDefault="00B164D3">
            <w:pPr>
              <w:widowControl/>
              <w:snapToGrid w:val="0"/>
              <w:jc w:val="center"/>
              <w:rPr>
                <w:rFonts w:ascii="宋体" w:hAnsi="宋体"/>
                <w:color w:val="000000"/>
                <w:kern w:val="0"/>
                <w:sz w:val="25"/>
                <w:szCs w:val="24"/>
              </w:rPr>
            </w:pPr>
          </w:p>
        </w:tc>
        <w:tc>
          <w:tcPr>
            <w:tcW w:w="2364" w:type="pct"/>
            <w:tcBorders>
              <w:top w:val="single" w:sz="4" w:space="0" w:color="auto"/>
              <w:left w:val="single" w:sz="4" w:space="0" w:color="auto"/>
              <w:bottom w:val="single" w:sz="4" w:space="0" w:color="auto"/>
              <w:right w:val="single" w:sz="4" w:space="0" w:color="auto"/>
            </w:tcBorders>
            <w:vAlign w:val="center"/>
          </w:tcPr>
          <w:p w14:paraId="16C9CE4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r>
              <w:rPr>
                <w:rFonts w:ascii="Times New Roman" w:hAnsi="Times New Roman"/>
                <w:color w:val="000000"/>
                <w:kern w:val="0"/>
                <w:sz w:val="25"/>
                <w:szCs w:val="24"/>
              </w:rPr>
              <w:t>日（含）</w:t>
            </w:r>
            <w:r>
              <w:rPr>
                <w:rFonts w:ascii="Times New Roman" w:hAnsi="Times New Roman"/>
                <w:color w:val="000000"/>
                <w:kern w:val="0"/>
                <w:sz w:val="25"/>
                <w:szCs w:val="24"/>
              </w:rPr>
              <w:t>—30</w:t>
            </w:r>
            <w:r>
              <w:rPr>
                <w:rFonts w:ascii="Times New Roman" w:hAnsi="Times New Roman"/>
                <w:color w:val="000000"/>
                <w:kern w:val="0"/>
                <w:sz w:val="25"/>
                <w:szCs w:val="24"/>
              </w:rPr>
              <w:t>日</w:t>
            </w:r>
          </w:p>
        </w:tc>
        <w:tc>
          <w:tcPr>
            <w:tcW w:w="1091" w:type="pct"/>
            <w:tcBorders>
              <w:top w:val="single" w:sz="4" w:space="0" w:color="auto"/>
              <w:left w:val="single" w:sz="4" w:space="0" w:color="auto"/>
              <w:bottom w:val="single" w:sz="4" w:space="0" w:color="auto"/>
              <w:right w:val="single" w:sz="4" w:space="0" w:color="auto"/>
            </w:tcBorders>
            <w:vAlign w:val="center"/>
          </w:tcPr>
          <w:p w14:paraId="56FC5A8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0.75%</w:t>
            </w:r>
          </w:p>
        </w:tc>
      </w:tr>
      <w:tr w:rsidR="00B164D3" w14:paraId="514270AE" w14:textId="77777777" w:rsidTr="00350650">
        <w:trPr>
          <w:cantSplit/>
          <w:trHeight w:val="375"/>
        </w:trPr>
        <w:tc>
          <w:tcPr>
            <w:tcW w:w="1545" w:type="pct"/>
            <w:vMerge/>
            <w:tcBorders>
              <w:top w:val="single" w:sz="4" w:space="0" w:color="auto"/>
              <w:left w:val="single" w:sz="4" w:space="0" w:color="auto"/>
              <w:bottom w:val="single" w:sz="4" w:space="0" w:color="auto"/>
              <w:right w:val="single" w:sz="4" w:space="0" w:color="auto"/>
            </w:tcBorders>
            <w:vAlign w:val="center"/>
          </w:tcPr>
          <w:p w14:paraId="48EF4368" w14:textId="77777777" w:rsidR="00B164D3" w:rsidRDefault="00B164D3">
            <w:pPr>
              <w:widowControl/>
              <w:snapToGrid w:val="0"/>
              <w:jc w:val="center"/>
              <w:rPr>
                <w:rFonts w:ascii="宋体" w:hAnsi="宋体"/>
                <w:color w:val="000000"/>
                <w:kern w:val="0"/>
                <w:sz w:val="25"/>
                <w:szCs w:val="24"/>
              </w:rPr>
            </w:pPr>
          </w:p>
        </w:tc>
        <w:tc>
          <w:tcPr>
            <w:tcW w:w="2364" w:type="pct"/>
            <w:tcBorders>
              <w:top w:val="single" w:sz="4" w:space="0" w:color="auto"/>
              <w:left w:val="single" w:sz="4" w:space="0" w:color="auto"/>
              <w:bottom w:val="single" w:sz="4" w:space="0" w:color="auto"/>
              <w:right w:val="single" w:sz="4" w:space="0" w:color="auto"/>
            </w:tcBorders>
            <w:vAlign w:val="center"/>
          </w:tcPr>
          <w:p w14:paraId="1DF9C54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r>
              <w:rPr>
                <w:rFonts w:ascii="Times New Roman" w:hAnsi="Times New Roman"/>
                <w:color w:val="000000"/>
                <w:kern w:val="0"/>
                <w:sz w:val="25"/>
                <w:szCs w:val="24"/>
              </w:rPr>
              <w:t>日（含）</w:t>
            </w:r>
            <w:r>
              <w:rPr>
                <w:rFonts w:ascii="Times New Roman" w:hAnsi="Times New Roman"/>
                <w:color w:val="000000"/>
                <w:kern w:val="0"/>
                <w:sz w:val="25"/>
                <w:szCs w:val="24"/>
              </w:rPr>
              <w:t>—6</w:t>
            </w:r>
            <w:r>
              <w:rPr>
                <w:rFonts w:ascii="Times New Roman" w:hAnsi="Times New Roman"/>
                <w:color w:val="000000"/>
                <w:kern w:val="0"/>
                <w:sz w:val="25"/>
                <w:szCs w:val="24"/>
              </w:rPr>
              <w:t>个月</w:t>
            </w:r>
          </w:p>
        </w:tc>
        <w:tc>
          <w:tcPr>
            <w:tcW w:w="1091" w:type="pct"/>
            <w:tcBorders>
              <w:top w:val="single" w:sz="4" w:space="0" w:color="auto"/>
              <w:left w:val="single" w:sz="4" w:space="0" w:color="auto"/>
              <w:bottom w:val="single" w:sz="4" w:space="0" w:color="auto"/>
              <w:right w:val="single" w:sz="4" w:space="0" w:color="auto"/>
            </w:tcBorders>
            <w:vAlign w:val="center"/>
          </w:tcPr>
          <w:p w14:paraId="1211D5C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0.5%</w:t>
            </w:r>
          </w:p>
        </w:tc>
      </w:tr>
      <w:tr w:rsidR="00B164D3" w14:paraId="47C0FADD" w14:textId="77777777" w:rsidTr="00350650">
        <w:trPr>
          <w:cantSplit/>
          <w:trHeight w:val="375"/>
        </w:trPr>
        <w:tc>
          <w:tcPr>
            <w:tcW w:w="1545" w:type="pct"/>
            <w:vMerge/>
            <w:tcBorders>
              <w:top w:val="single" w:sz="4" w:space="0" w:color="auto"/>
              <w:left w:val="single" w:sz="4" w:space="0" w:color="auto"/>
              <w:bottom w:val="single" w:sz="4" w:space="0" w:color="auto"/>
              <w:right w:val="single" w:sz="4" w:space="0" w:color="auto"/>
            </w:tcBorders>
            <w:vAlign w:val="center"/>
          </w:tcPr>
          <w:p w14:paraId="7CE9B10D" w14:textId="77777777" w:rsidR="00B164D3" w:rsidRDefault="00B164D3">
            <w:pPr>
              <w:widowControl/>
              <w:snapToGrid w:val="0"/>
              <w:jc w:val="center"/>
              <w:rPr>
                <w:rFonts w:ascii="宋体" w:hAnsi="宋体"/>
                <w:color w:val="000000"/>
                <w:kern w:val="0"/>
                <w:sz w:val="25"/>
                <w:szCs w:val="24"/>
              </w:rPr>
            </w:pPr>
          </w:p>
        </w:tc>
        <w:tc>
          <w:tcPr>
            <w:tcW w:w="2364" w:type="pct"/>
            <w:tcBorders>
              <w:top w:val="single" w:sz="4" w:space="0" w:color="auto"/>
              <w:left w:val="single" w:sz="4" w:space="0" w:color="auto"/>
              <w:bottom w:val="single" w:sz="4" w:space="0" w:color="auto"/>
              <w:right w:val="single" w:sz="4" w:space="0" w:color="auto"/>
            </w:tcBorders>
            <w:vAlign w:val="center"/>
          </w:tcPr>
          <w:p w14:paraId="2C3A4AD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r>
              <w:rPr>
                <w:rFonts w:ascii="Times New Roman" w:hAnsi="Times New Roman"/>
                <w:color w:val="000000"/>
                <w:kern w:val="0"/>
                <w:sz w:val="25"/>
                <w:szCs w:val="24"/>
              </w:rPr>
              <w:t>个月以上（含）</w:t>
            </w:r>
          </w:p>
        </w:tc>
        <w:tc>
          <w:tcPr>
            <w:tcW w:w="1091" w:type="pct"/>
            <w:tcBorders>
              <w:top w:val="single" w:sz="4" w:space="0" w:color="auto"/>
              <w:left w:val="single" w:sz="4" w:space="0" w:color="auto"/>
              <w:bottom w:val="single" w:sz="4" w:space="0" w:color="auto"/>
              <w:right w:val="single" w:sz="4" w:space="0" w:color="auto"/>
            </w:tcBorders>
            <w:vAlign w:val="center"/>
          </w:tcPr>
          <w:p w14:paraId="5356E5F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w:t>
            </w:r>
          </w:p>
        </w:tc>
      </w:tr>
    </w:tbl>
    <w:p w14:paraId="5164CAB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上表中的“月”指的是30个自然日。</w:t>
      </w:r>
    </w:p>
    <w:p w14:paraId="4F664F75" w14:textId="77777777" w:rsidR="009F4215" w:rsidRPr="00995A43" w:rsidRDefault="009F4215" w:rsidP="009F4215">
      <w:pPr>
        <w:autoSpaceDE w:val="0"/>
        <w:autoSpaceDN w:val="0"/>
        <w:adjustRightInd w:val="0"/>
        <w:snapToGrid w:val="0"/>
        <w:spacing w:line="360" w:lineRule="auto"/>
        <w:ind w:firstLineChars="200" w:firstLine="480"/>
        <w:rPr>
          <w:rFonts w:ascii="宋体" w:hAnsi="宋体"/>
          <w:sz w:val="24"/>
        </w:rPr>
      </w:pPr>
      <w:r w:rsidRPr="00995A43">
        <w:rPr>
          <w:rFonts w:ascii="宋体" w:hAnsi="宋体" w:hint="eastAsia"/>
          <w:sz w:val="24"/>
        </w:rPr>
        <w:t>（</w:t>
      </w:r>
      <w:r w:rsidRPr="00995A43">
        <w:rPr>
          <w:rFonts w:ascii="宋体" w:hAnsi="宋体"/>
          <w:sz w:val="24"/>
        </w:rPr>
        <w:t>2</w:t>
      </w:r>
      <w:r w:rsidRPr="00995A43">
        <w:rPr>
          <w:rFonts w:ascii="宋体" w:hAnsi="宋体" w:hint="eastAsia"/>
          <w:sz w:val="24"/>
        </w:rPr>
        <w:t>）本基金</w:t>
      </w:r>
      <w:r w:rsidRPr="00995A43">
        <w:rPr>
          <w:rFonts w:ascii="宋体" w:hAnsi="宋体"/>
          <w:sz w:val="24"/>
        </w:rPr>
        <w:t>C</w:t>
      </w:r>
      <w:r w:rsidRPr="00995A43">
        <w:rPr>
          <w:rFonts w:ascii="宋体" w:hAnsi="宋体" w:hint="eastAsia"/>
          <w:sz w:val="24"/>
        </w:rPr>
        <w:t>类基金份额的赎回费率如下：</w:t>
      </w:r>
    </w:p>
    <w:tbl>
      <w:tblPr>
        <w:tblW w:w="787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40"/>
        <w:gridCol w:w="3588"/>
        <w:gridCol w:w="1842"/>
      </w:tblGrid>
      <w:tr w:rsidR="009F4215" w:rsidRPr="00950533" w14:paraId="7E52A320" w14:textId="77777777" w:rsidTr="00350650">
        <w:trPr>
          <w:cantSplit/>
          <w:trHeight w:val="132"/>
          <w:jc w:val="center"/>
        </w:trPr>
        <w:tc>
          <w:tcPr>
            <w:tcW w:w="2440" w:type="dxa"/>
            <w:vMerge w:val="restart"/>
            <w:vAlign w:val="center"/>
          </w:tcPr>
          <w:p w14:paraId="230325E7"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类基金份额的</w:t>
            </w:r>
            <w:r w:rsidRPr="00F51638">
              <w:rPr>
                <w:rFonts w:ascii="Times New Roman" w:hAnsi="Times New Roman"/>
                <w:color w:val="000000"/>
                <w:kern w:val="0"/>
                <w:sz w:val="25"/>
                <w:szCs w:val="24"/>
              </w:rPr>
              <w:t>赎回费率</w:t>
            </w:r>
          </w:p>
        </w:tc>
        <w:tc>
          <w:tcPr>
            <w:tcW w:w="3588" w:type="dxa"/>
            <w:shd w:val="clear" w:color="auto" w:fill="FFFFFF"/>
            <w:vAlign w:val="center"/>
          </w:tcPr>
          <w:p w14:paraId="4AD1E60F"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持有期限</w:t>
            </w:r>
          </w:p>
        </w:tc>
        <w:tc>
          <w:tcPr>
            <w:tcW w:w="1842" w:type="dxa"/>
            <w:shd w:val="clear" w:color="auto" w:fill="FFFFFF"/>
            <w:vAlign w:val="center"/>
          </w:tcPr>
          <w:p w14:paraId="7173B0CD"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C</w:t>
            </w:r>
            <w:r w:rsidRPr="00F51638">
              <w:rPr>
                <w:rFonts w:ascii="Times New Roman" w:hAnsi="Times New Roman" w:hint="eastAsia"/>
                <w:color w:val="000000"/>
                <w:kern w:val="0"/>
                <w:sz w:val="25"/>
                <w:szCs w:val="24"/>
              </w:rPr>
              <w:t>类基金份额</w:t>
            </w:r>
            <w:r w:rsidRPr="00F51638">
              <w:rPr>
                <w:rFonts w:ascii="Times New Roman" w:hAnsi="Times New Roman"/>
                <w:color w:val="000000"/>
                <w:kern w:val="0"/>
                <w:sz w:val="25"/>
                <w:szCs w:val="24"/>
              </w:rPr>
              <w:t>赎回费率</w:t>
            </w:r>
          </w:p>
        </w:tc>
      </w:tr>
      <w:tr w:rsidR="009F4215" w:rsidRPr="00950533" w14:paraId="2EE217BA" w14:textId="77777777" w:rsidTr="00350650">
        <w:trPr>
          <w:cantSplit/>
          <w:trHeight w:val="131"/>
          <w:jc w:val="center"/>
        </w:trPr>
        <w:tc>
          <w:tcPr>
            <w:tcW w:w="2440" w:type="dxa"/>
            <w:vMerge/>
          </w:tcPr>
          <w:p w14:paraId="4349102A" w14:textId="77777777" w:rsidR="009F4215" w:rsidRPr="00F51638" w:rsidRDefault="009F4215" w:rsidP="00E349C5">
            <w:pPr>
              <w:widowControl/>
              <w:snapToGrid w:val="0"/>
              <w:jc w:val="center"/>
              <w:rPr>
                <w:rFonts w:ascii="Times New Roman" w:hAnsi="Times New Roman"/>
                <w:color w:val="000000"/>
                <w:kern w:val="0"/>
                <w:sz w:val="25"/>
                <w:szCs w:val="24"/>
              </w:rPr>
            </w:pPr>
          </w:p>
        </w:tc>
        <w:tc>
          <w:tcPr>
            <w:tcW w:w="3588" w:type="dxa"/>
          </w:tcPr>
          <w:p w14:paraId="64FDF9BE" w14:textId="77777777" w:rsidR="009F4215" w:rsidRPr="00F51638" w:rsidRDefault="009F4215" w:rsidP="00E349C5">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日以内</w:t>
            </w:r>
          </w:p>
        </w:tc>
        <w:tc>
          <w:tcPr>
            <w:tcW w:w="1842" w:type="dxa"/>
          </w:tcPr>
          <w:p w14:paraId="7E62C9BB"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1.5%</w:t>
            </w:r>
          </w:p>
        </w:tc>
      </w:tr>
      <w:tr w:rsidR="009F4215" w:rsidRPr="00950533" w14:paraId="74142177" w14:textId="77777777" w:rsidTr="00350650">
        <w:trPr>
          <w:cantSplit/>
          <w:trHeight w:val="131"/>
          <w:jc w:val="center"/>
        </w:trPr>
        <w:tc>
          <w:tcPr>
            <w:tcW w:w="2440" w:type="dxa"/>
            <w:vMerge/>
          </w:tcPr>
          <w:p w14:paraId="32B4F9BC" w14:textId="77777777" w:rsidR="009F4215" w:rsidRPr="00F51638" w:rsidRDefault="009F4215" w:rsidP="00E349C5">
            <w:pPr>
              <w:widowControl/>
              <w:snapToGrid w:val="0"/>
              <w:jc w:val="center"/>
              <w:rPr>
                <w:rFonts w:ascii="Times New Roman" w:hAnsi="Times New Roman"/>
                <w:color w:val="000000"/>
                <w:kern w:val="0"/>
                <w:sz w:val="25"/>
                <w:szCs w:val="24"/>
              </w:rPr>
            </w:pPr>
          </w:p>
        </w:tc>
        <w:tc>
          <w:tcPr>
            <w:tcW w:w="3588" w:type="dxa"/>
            <w:vAlign w:val="center"/>
          </w:tcPr>
          <w:p w14:paraId="63DD7FDB" w14:textId="77777777" w:rsidR="009F4215" w:rsidRPr="00F51638" w:rsidRDefault="009F4215" w:rsidP="00E349C5">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7</w:t>
            </w:r>
            <w:r w:rsidRPr="00F51638">
              <w:rPr>
                <w:rFonts w:ascii="Times New Roman" w:hAnsi="Times New Roman" w:hint="eastAsia"/>
                <w:color w:val="000000"/>
                <w:kern w:val="0"/>
                <w:sz w:val="25"/>
                <w:szCs w:val="24"/>
              </w:rPr>
              <w:t>日（含）</w:t>
            </w:r>
            <w:r>
              <w:rPr>
                <w:rFonts w:ascii="Times New Roman" w:hAnsi="Times New Roman"/>
                <w:color w:val="000000"/>
                <w:kern w:val="0"/>
                <w:sz w:val="25"/>
                <w:szCs w:val="24"/>
              </w:rPr>
              <w:t>—</w:t>
            </w: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w:t>
            </w:r>
          </w:p>
        </w:tc>
        <w:tc>
          <w:tcPr>
            <w:tcW w:w="1842" w:type="dxa"/>
          </w:tcPr>
          <w:p w14:paraId="437ED73D"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0.5%</w:t>
            </w:r>
          </w:p>
        </w:tc>
      </w:tr>
      <w:tr w:rsidR="009F4215" w:rsidRPr="00950533" w14:paraId="76113248" w14:textId="77777777" w:rsidTr="00350650">
        <w:trPr>
          <w:cantSplit/>
          <w:trHeight w:val="131"/>
          <w:jc w:val="center"/>
        </w:trPr>
        <w:tc>
          <w:tcPr>
            <w:tcW w:w="2440" w:type="dxa"/>
            <w:vMerge/>
          </w:tcPr>
          <w:p w14:paraId="4354B80F" w14:textId="77777777" w:rsidR="009F4215" w:rsidRPr="00F51638" w:rsidRDefault="009F4215" w:rsidP="00E349C5">
            <w:pPr>
              <w:widowControl/>
              <w:snapToGrid w:val="0"/>
              <w:jc w:val="center"/>
              <w:rPr>
                <w:rFonts w:ascii="Times New Roman" w:hAnsi="Times New Roman"/>
                <w:color w:val="000000"/>
                <w:kern w:val="0"/>
                <w:sz w:val="25"/>
                <w:szCs w:val="24"/>
              </w:rPr>
            </w:pPr>
          </w:p>
        </w:tc>
        <w:tc>
          <w:tcPr>
            <w:tcW w:w="3588" w:type="dxa"/>
            <w:vAlign w:val="center"/>
          </w:tcPr>
          <w:p w14:paraId="2425EB99" w14:textId="77777777" w:rsidR="009F4215" w:rsidRPr="00F51638" w:rsidRDefault="009F4215" w:rsidP="00E349C5">
            <w:pPr>
              <w:widowControl/>
              <w:snapToGrid w:val="0"/>
              <w:jc w:val="left"/>
              <w:rPr>
                <w:rFonts w:ascii="Times New Roman" w:hAnsi="Times New Roman"/>
                <w:color w:val="000000"/>
                <w:kern w:val="0"/>
                <w:sz w:val="25"/>
                <w:szCs w:val="24"/>
              </w:rPr>
            </w:pPr>
            <w:r w:rsidRPr="00F51638">
              <w:rPr>
                <w:rFonts w:ascii="Times New Roman" w:hAnsi="Times New Roman"/>
                <w:color w:val="000000"/>
                <w:kern w:val="0"/>
                <w:sz w:val="25"/>
                <w:szCs w:val="24"/>
              </w:rPr>
              <w:t>30</w:t>
            </w:r>
            <w:r w:rsidRPr="00F51638">
              <w:rPr>
                <w:rFonts w:ascii="Times New Roman" w:hAnsi="Times New Roman" w:hint="eastAsia"/>
                <w:color w:val="000000"/>
                <w:kern w:val="0"/>
                <w:sz w:val="25"/>
                <w:szCs w:val="24"/>
              </w:rPr>
              <w:t>日以上（含）</w:t>
            </w:r>
          </w:p>
        </w:tc>
        <w:tc>
          <w:tcPr>
            <w:tcW w:w="1842" w:type="dxa"/>
          </w:tcPr>
          <w:p w14:paraId="5DCBFF62" w14:textId="77777777" w:rsidR="009F4215" w:rsidRPr="00F51638" w:rsidRDefault="009F4215" w:rsidP="00E349C5">
            <w:pPr>
              <w:widowControl/>
              <w:snapToGrid w:val="0"/>
              <w:jc w:val="center"/>
              <w:rPr>
                <w:rFonts w:ascii="Times New Roman" w:hAnsi="Times New Roman"/>
                <w:color w:val="000000"/>
                <w:kern w:val="0"/>
                <w:sz w:val="25"/>
                <w:szCs w:val="24"/>
              </w:rPr>
            </w:pPr>
            <w:r w:rsidRPr="00F51638">
              <w:rPr>
                <w:rFonts w:ascii="Times New Roman" w:hAnsi="Times New Roman"/>
                <w:color w:val="000000"/>
                <w:kern w:val="0"/>
                <w:sz w:val="25"/>
                <w:szCs w:val="24"/>
              </w:rPr>
              <w:t>0</w:t>
            </w:r>
          </w:p>
        </w:tc>
      </w:tr>
    </w:tbl>
    <w:p w14:paraId="0CC2F2A3" w14:textId="77777777" w:rsidR="009F4215" w:rsidRPr="00F2147B" w:rsidRDefault="009F4215" w:rsidP="009F4215">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本基金</w:t>
      </w:r>
      <w:r w:rsidRPr="00F51638">
        <w:rPr>
          <w:rFonts w:ascii="宋体" w:hAnsi="宋体"/>
          <w:sz w:val="24"/>
        </w:rPr>
        <w:t>C</w:t>
      </w:r>
      <w:r w:rsidRPr="00F51638">
        <w:rPr>
          <w:rFonts w:ascii="宋体" w:hAnsi="宋体" w:hint="eastAsia"/>
          <w:sz w:val="24"/>
        </w:rPr>
        <w:t>类基金份额的赎回费用由赎回</w:t>
      </w:r>
      <w:r w:rsidRPr="00F51638">
        <w:rPr>
          <w:rFonts w:ascii="宋体" w:hAnsi="宋体"/>
          <w:sz w:val="24"/>
        </w:rPr>
        <w:t>C</w:t>
      </w:r>
      <w:r w:rsidRPr="00F51638">
        <w:rPr>
          <w:rFonts w:ascii="宋体" w:hAnsi="宋体" w:hint="eastAsia"/>
          <w:sz w:val="24"/>
        </w:rPr>
        <w:t>类基金份额的基金份额持有人承担，在基金份额持有人赎回</w:t>
      </w:r>
      <w:r w:rsidRPr="00F51638">
        <w:rPr>
          <w:rFonts w:ascii="宋体" w:hAnsi="宋体"/>
          <w:sz w:val="24"/>
        </w:rPr>
        <w:t>C</w:t>
      </w:r>
      <w:r w:rsidRPr="00F51638">
        <w:rPr>
          <w:rFonts w:ascii="宋体" w:hAnsi="宋体" w:hint="eastAsia"/>
          <w:sz w:val="24"/>
        </w:rPr>
        <w:t>类基金份额时收取，对</w:t>
      </w:r>
      <w:r w:rsidRPr="00F51638">
        <w:rPr>
          <w:rFonts w:ascii="宋体" w:hAnsi="宋体"/>
          <w:sz w:val="24"/>
        </w:rPr>
        <w:t>C</w:t>
      </w:r>
      <w:r w:rsidRPr="00F51638">
        <w:rPr>
          <w:rFonts w:ascii="宋体" w:hAnsi="宋体" w:hint="eastAsia"/>
          <w:sz w:val="24"/>
        </w:rPr>
        <w:t>类基金份额持有人收取的赎回费全额计入基金财产。</w:t>
      </w:r>
    </w:p>
    <w:p w14:paraId="22C1FE4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3、基金管理人可以在基金合同约定的范围内调整费率或收费方式，并最迟应于新的费率或收费方式实施日前依照《信息披露办法》的有关规定在规定媒介上公告。</w:t>
      </w:r>
    </w:p>
    <w:p w14:paraId="07442F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4、当本基金发生大额申购或赎回情形时，基金管理人可以采用摆动定价机制，以确保基金估值的公平性。具体处理原则与操作规范遵循相关法律法规以及监管部门、自律规则的规定。</w:t>
      </w:r>
    </w:p>
    <w:p w14:paraId="5DD0AFD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5、基金管理人可以在不违背法律法规规定及基金合同约定的情况下根据市场</w:t>
      </w:r>
      <w:r>
        <w:rPr>
          <w:rFonts w:ascii="宋体" w:hAnsi="宋体"/>
          <w:sz w:val="24"/>
        </w:rPr>
        <w:lastRenderedPageBreak/>
        <w:t>情况制定基金促销计划，针对投资人定期和不定期地开展基金促销活动。在基金促销活动期间，基金管理人可以按中国证监会要求履行必要手续后，对投资人适当调低基金销售费用。</w:t>
      </w:r>
    </w:p>
    <w:p w14:paraId="29F6EDC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（七）申购和赎回的数额和价格</w:t>
      </w:r>
    </w:p>
    <w:p w14:paraId="010CAB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1、申购和赎回数额、余额的处理方式</w:t>
      </w:r>
    </w:p>
    <w:p w14:paraId="5E2AC69B" w14:textId="2AF1E67B"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w:t>
      </w:r>
      <w:r w:rsidR="00DF15AB" w:rsidRPr="00995A43">
        <w:rPr>
          <w:rFonts w:ascii="宋体" w:hAnsi="宋体"/>
          <w:sz w:val="24"/>
        </w:rPr>
        <w:t>A</w:t>
      </w:r>
      <w:r w:rsidR="00DF15AB" w:rsidRPr="00995A43">
        <w:rPr>
          <w:rFonts w:ascii="宋体" w:hAnsi="宋体" w:hint="eastAsia"/>
          <w:sz w:val="24"/>
        </w:rPr>
        <w:t>类基金份额或</w:t>
      </w:r>
      <w:r w:rsidR="00DF15AB" w:rsidRPr="00995A43">
        <w:rPr>
          <w:rFonts w:ascii="宋体" w:hAnsi="宋体"/>
          <w:sz w:val="24"/>
        </w:rPr>
        <w:t>C</w:t>
      </w:r>
      <w:r w:rsidR="00DF15AB" w:rsidRPr="00995A43">
        <w:rPr>
          <w:rFonts w:ascii="宋体" w:hAnsi="宋体" w:hint="eastAsia"/>
          <w:sz w:val="24"/>
        </w:rPr>
        <w:t>类基金份额</w:t>
      </w:r>
      <w:r>
        <w:rPr>
          <w:rFonts w:ascii="宋体" w:hAnsi="宋体"/>
          <w:sz w:val="24"/>
        </w:rPr>
        <w:t>的有效份额为净申购金额除以当日</w:t>
      </w:r>
      <w:r w:rsidR="00E50303" w:rsidRPr="001845BB">
        <w:rPr>
          <w:rFonts w:ascii="宋体" w:hAnsi="宋体" w:hint="eastAsia"/>
          <w:sz w:val="24"/>
        </w:rPr>
        <w:t>该类基金份额</w:t>
      </w:r>
      <w:r>
        <w:rPr>
          <w:rFonts w:ascii="宋体" w:hAnsi="宋体"/>
          <w:sz w:val="24"/>
        </w:rPr>
        <w:t>的基金份额净值，有效份额单位为份，申购份额计算结果按四舍五入方法，保留到小数点后2位，由此产生的收益或损失由基金财产承担。</w:t>
      </w:r>
    </w:p>
    <w:p w14:paraId="2A12096B" w14:textId="0D08867C"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（2）赎回金额为按实际确认的</w:t>
      </w:r>
      <w:r w:rsidR="006A1A3D" w:rsidRPr="00104530">
        <w:rPr>
          <w:rFonts w:ascii="宋体" w:hAnsi="宋体" w:hint="eastAsia"/>
          <w:sz w:val="24"/>
        </w:rPr>
        <w:t>A类基金份额或C类基金份额</w:t>
      </w:r>
      <w:r>
        <w:rPr>
          <w:rFonts w:ascii="宋体" w:hAnsi="宋体"/>
          <w:sz w:val="24"/>
        </w:rPr>
        <w:t>有效赎回份额乘以当日</w:t>
      </w:r>
      <w:r w:rsidR="007234CA" w:rsidRPr="001F6CE6">
        <w:rPr>
          <w:rFonts w:ascii="宋体" w:hAnsi="宋体" w:hint="eastAsia"/>
          <w:sz w:val="24"/>
        </w:rPr>
        <w:t>该类基金份额的</w:t>
      </w:r>
      <w:r>
        <w:rPr>
          <w:rFonts w:ascii="宋体" w:hAnsi="宋体"/>
          <w:sz w:val="24"/>
        </w:rPr>
        <w:t>基金份额净值并扣除相应的费用（如有），赎回金额单位为元。赎回金额计算结果按四舍五入方法，保留到小数点后2位，由此产生的收益或损失由基金财产承担。</w:t>
      </w:r>
    </w:p>
    <w:p w14:paraId="37CCCAF9" w14:textId="77777777" w:rsidR="0099734A" w:rsidRPr="001F6CE6" w:rsidRDefault="000605B5" w:rsidP="0099734A">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2、申购份额的计算</w:t>
      </w:r>
    </w:p>
    <w:p w14:paraId="11001C66" w14:textId="4693785D" w:rsidR="00B164D3" w:rsidRDefault="0099734A" w:rsidP="0099734A">
      <w:pPr>
        <w:autoSpaceDE w:val="0"/>
        <w:autoSpaceDN w:val="0"/>
        <w:adjustRightInd w:val="0"/>
        <w:snapToGrid w:val="0"/>
        <w:spacing w:line="360" w:lineRule="auto"/>
        <w:ind w:firstLineChars="200" w:firstLine="480"/>
        <w:jc w:val="left"/>
        <w:rPr>
          <w:rFonts w:ascii="宋体" w:hAnsi="宋体"/>
          <w:szCs w:val="24"/>
        </w:rPr>
      </w:pPr>
      <w:r w:rsidRPr="001F6CE6">
        <w:rPr>
          <w:rFonts w:ascii="宋体" w:hAnsi="宋体" w:hint="eastAsia"/>
          <w:sz w:val="24"/>
        </w:rPr>
        <w:t>（1）A类基金份额的申购</w:t>
      </w:r>
    </w:p>
    <w:p w14:paraId="4C4E365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申购总金额=申请总金额</w:t>
      </w:r>
    </w:p>
    <w:p w14:paraId="6F86A3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净申购金额=申购总金额/（1+申购费率）</w:t>
      </w:r>
    </w:p>
    <w:p w14:paraId="1B32E3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（注：对于适用固定金额申购费用的申购，净申购金额＝申购总金额－固定申购费用金额）</w:t>
      </w:r>
    </w:p>
    <w:p w14:paraId="0A4FEB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申购费用=申购总金额-净申购金额</w:t>
      </w:r>
    </w:p>
    <w:p w14:paraId="370FC9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（注：对于适用固定金额申购费用的申购，申购费用＝固定申购费用金额）</w:t>
      </w:r>
    </w:p>
    <w:p w14:paraId="73B1DB95" w14:textId="1C67028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申购份额=（申购总金额-申购费用）/T日</w:t>
      </w:r>
      <w:r w:rsidR="0099734A" w:rsidRPr="001F6CE6">
        <w:rPr>
          <w:rFonts w:ascii="宋体" w:hAnsi="宋体" w:hint="eastAsia"/>
          <w:sz w:val="24"/>
        </w:rPr>
        <w:t>A类</w:t>
      </w:r>
      <w:r>
        <w:rPr>
          <w:rFonts w:ascii="宋体" w:hAnsi="宋体"/>
          <w:sz w:val="24"/>
        </w:rPr>
        <w:t>基金份额净值</w:t>
      </w:r>
    </w:p>
    <w:p w14:paraId="0941EA27" w14:textId="339D6BD2"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CF560E">
        <w:rPr>
          <w:rFonts w:ascii="宋体" w:hAnsi="宋体" w:hint="eastAsia"/>
          <w:sz w:val="24"/>
        </w:rPr>
        <w:t>一</w:t>
      </w:r>
      <w:r>
        <w:rPr>
          <w:rFonts w:ascii="宋体" w:hAnsi="宋体"/>
          <w:sz w:val="24"/>
        </w:rPr>
        <w:t>：某投资者（非养老金客户）投资40,000元申购本基金</w:t>
      </w:r>
      <w:r w:rsidR="00CF560E" w:rsidRPr="001F6CE6">
        <w:rPr>
          <w:rFonts w:ascii="宋体" w:hAnsi="宋体" w:hint="eastAsia"/>
          <w:sz w:val="24"/>
        </w:rPr>
        <w:t>A类基金份额</w:t>
      </w:r>
      <w:r>
        <w:rPr>
          <w:rFonts w:ascii="宋体" w:hAnsi="宋体"/>
          <w:sz w:val="24"/>
        </w:rPr>
        <w:t>，假设申购当日</w:t>
      </w:r>
      <w:r w:rsidR="00CF560E" w:rsidRPr="001F6CE6">
        <w:rPr>
          <w:rFonts w:ascii="宋体" w:hAnsi="宋体" w:hint="eastAsia"/>
          <w:sz w:val="24"/>
        </w:rPr>
        <w:t>A类</w:t>
      </w:r>
      <w:r>
        <w:rPr>
          <w:rFonts w:ascii="宋体" w:hAnsi="宋体"/>
          <w:sz w:val="24"/>
        </w:rPr>
        <w:t>基金份额净值为1.0400元，申购费率为0.8%，则其可得到的申购份额为：</w:t>
      </w:r>
    </w:p>
    <w:p w14:paraId="40C099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申购总金额＝40,000元</w:t>
      </w:r>
    </w:p>
    <w:p w14:paraId="37DE2F6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净申购金额=40,000/（1+0.8%）=39,682.54元</w:t>
      </w:r>
    </w:p>
    <w:p w14:paraId="61CD6A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申购费用=40,000-39,682.54=317.46元</w:t>
      </w:r>
    </w:p>
    <w:p w14:paraId="207B49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申购份额=（40,000-317.46）/1.0400=38,156.29份</w:t>
      </w:r>
    </w:p>
    <w:p w14:paraId="34AF4DEC" w14:textId="6B09B741"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即：该投资者（非养老金客户）投资40,000元申购本基金</w:t>
      </w:r>
      <w:r w:rsidR="00CF560E" w:rsidRPr="001F6CE6">
        <w:rPr>
          <w:rFonts w:ascii="宋体" w:hAnsi="宋体" w:hint="eastAsia"/>
          <w:sz w:val="24"/>
        </w:rPr>
        <w:t>A类基金份额</w:t>
      </w:r>
      <w:r>
        <w:rPr>
          <w:rFonts w:ascii="宋体" w:hAnsi="宋体"/>
          <w:sz w:val="24"/>
        </w:rPr>
        <w:t>，假设申购当日</w:t>
      </w:r>
      <w:r w:rsidR="00CF560E">
        <w:rPr>
          <w:rFonts w:ascii="宋体" w:hAnsi="宋体" w:hint="eastAsia"/>
          <w:sz w:val="24"/>
        </w:rPr>
        <w:t>A类</w:t>
      </w:r>
      <w:r>
        <w:rPr>
          <w:rFonts w:ascii="宋体" w:hAnsi="宋体"/>
          <w:sz w:val="24"/>
        </w:rPr>
        <w:t>基金份额净值为1.0400元，则其可得到38,156.29份</w:t>
      </w:r>
      <w:r w:rsidR="00CF560E">
        <w:rPr>
          <w:rFonts w:ascii="宋体" w:hAnsi="宋体" w:hint="eastAsia"/>
          <w:sz w:val="24"/>
        </w:rPr>
        <w:t>A类</w:t>
      </w:r>
      <w:r>
        <w:rPr>
          <w:rFonts w:ascii="宋体" w:hAnsi="宋体"/>
          <w:sz w:val="24"/>
        </w:rPr>
        <w:t>基金份额。</w:t>
      </w:r>
    </w:p>
    <w:p w14:paraId="444D1F6A" w14:textId="393E35ED"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例</w:t>
      </w:r>
      <w:r w:rsidR="00B72D45">
        <w:rPr>
          <w:rFonts w:ascii="宋体" w:hAnsi="宋体" w:hint="eastAsia"/>
          <w:sz w:val="24"/>
        </w:rPr>
        <w:t>二</w:t>
      </w:r>
      <w:r>
        <w:rPr>
          <w:rFonts w:ascii="宋体" w:hAnsi="宋体"/>
          <w:sz w:val="24"/>
        </w:rPr>
        <w:t>：某养老金客户投资100,000元通过基金管理人的直销柜台申购本基金</w:t>
      </w:r>
      <w:r w:rsidR="00B72D45" w:rsidRPr="005C562F">
        <w:rPr>
          <w:rFonts w:ascii="宋体" w:hAnsi="宋体" w:hint="eastAsia"/>
          <w:sz w:val="24"/>
        </w:rPr>
        <w:t>A类基金份额</w:t>
      </w:r>
      <w:r>
        <w:rPr>
          <w:rFonts w:ascii="宋体" w:hAnsi="宋体"/>
          <w:sz w:val="24"/>
        </w:rPr>
        <w:t>，假设申购当日</w:t>
      </w:r>
      <w:r w:rsidR="00B72D45" w:rsidRPr="005C562F">
        <w:rPr>
          <w:rFonts w:ascii="宋体" w:hAnsi="宋体" w:hint="eastAsia"/>
          <w:sz w:val="24"/>
        </w:rPr>
        <w:t>A类</w:t>
      </w:r>
      <w:r>
        <w:rPr>
          <w:rFonts w:ascii="宋体" w:hAnsi="宋体"/>
          <w:sz w:val="24"/>
        </w:rPr>
        <w:t>基金份额净值为1.0400元，申购费率为0.32%，则其可得到的申购份额为：</w:t>
      </w:r>
    </w:p>
    <w:p w14:paraId="5DBB06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申购总金额＝100,000元</w:t>
      </w:r>
    </w:p>
    <w:p w14:paraId="6AFC7E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净申购金额=100,000/（1+0.32%）=99,681.02元</w:t>
      </w:r>
    </w:p>
    <w:p w14:paraId="7387480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申购费用=100,000-99,681.02=318.98元</w:t>
      </w:r>
    </w:p>
    <w:p w14:paraId="27E374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申购份额=（100,000-318.98）/1.0400=95,847.13份</w:t>
      </w:r>
    </w:p>
    <w:p w14:paraId="5BF0E777" w14:textId="798C84DB"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即：该养老金客户投资100,000元通过基金管理人的直销柜台申购本基金</w:t>
      </w:r>
      <w:r w:rsidR="00B72D45" w:rsidRPr="004F131D">
        <w:rPr>
          <w:rFonts w:ascii="宋体" w:hAnsi="宋体" w:hint="eastAsia"/>
          <w:sz w:val="24"/>
        </w:rPr>
        <w:t>A类基金份额</w:t>
      </w:r>
      <w:r>
        <w:rPr>
          <w:rFonts w:ascii="宋体" w:hAnsi="宋体"/>
          <w:sz w:val="24"/>
        </w:rPr>
        <w:t>，假设申购当日</w:t>
      </w:r>
      <w:r w:rsidR="00B72D45" w:rsidRPr="004F131D">
        <w:rPr>
          <w:rFonts w:ascii="宋体" w:hAnsi="宋体" w:hint="eastAsia"/>
          <w:sz w:val="24"/>
        </w:rPr>
        <w:t>A类</w:t>
      </w:r>
      <w:r>
        <w:rPr>
          <w:rFonts w:ascii="宋体" w:hAnsi="宋体"/>
          <w:sz w:val="24"/>
        </w:rPr>
        <w:t>基金份额净值为1.0400元，则其可得到95,847.13份</w:t>
      </w:r>
      <w:r w:rsidR="00B72D45" w:rsidRPr="004F131D">
        <w:rPr>
          <w:rFonts w:ascii="宋体" w:hAnsi="宋体" w:hint="eastAsia"/>
          <w:sz w:val="24"/>
        </w:rPr>
        <w:t>A类</w:t>
      </w:r>
      <w:r>
        <w:rPr>
          <w:rFonts w:ascii="宋体" w:hAnsi="宋体"/>
          <w:sz w:val="24"/>
        </w:rPr>
        <w:t>基金份额。</w:t>
      </w:r>
    </w:p>
    <w:p w14:paraId="18F77AF1"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w:t>
      </w:r>
      <w:r w:rsidRPr="00F51638">
        <w:rPr>
          <w:rFonts w:ascii="宋体" w:hAnsi="宋体"/>
          <w:sz w:val="24"/>
        </w:rPr>
        <w:t>2）C类基金份额的申购</w:t>
      </w:r>
    </w:p>
    <w:p w14:paraId="69343BC0"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如果投资者选择申购</w:t>
      </w:r>
      <w:r w:rsidRPr="00F51638">
        <w:rPr>
          <w:rFonts w:ascii="宋体" w:hAnsi="宋体"/>
          <w:sz w:val="24"/>
        </w:rPr>
        <w:t>C类基金份额，则申购份额的计算方法如下：</w:t>
      </w:r>
    </w:p>
    <w:p w14:paraId="13E52A8A"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申购总金额</w:t>
      </w:r>
      <w:r w:rsidRPr="00F51638">
        <w:rPr>
          <w:rFonts w:ascii="宋体" w:hAnsi="宋体"/>
          <w:sz w:val="24"/>
        </w:rPr>
        <w:t>=申请总金额</w:t>
      </w:r>
    </w:p>
    <w:p w14:paraId="599DB84A"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申购份额</w:t>
      </w:r>
      <w:r w:rsidRPr="00F51638">
        <w:rPr>
          <w:rFonts w:ascii="宋体" w:hAnsi="宋体"/>
          <w:sz w:val="24"/>
        </w:rPr>
        <w:t>=申购总金额/T日C类基金份额净值</w:t>
      </w:r>
    </w:p>
    <w:p w14:paraId="12B3C5A7"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例三：某投资者投资</w:t>
      </w:r>
      <w:r w:rsidRPr="00F51638">
        <w:rPr>
          <w:rFonts w:ascii="宋体" w:hAnsi="宋体"/>
          <w:sz w:val="24"/>
        </w:rPr>
        <w:t>100,000元申购本基金的C类基金份额，假设申购当日C类基金份额净值为1.0400元，则其可得到的申购份额为：</w:t>
      </w:r>
    </w:p>
    <w:p w14:paraId="15B2582F" w14:textId="77777777" w:rsidR="001248B6" w:rsidRPr="00F51638"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申购份额＝</w:t>
      </w:r>
      <w:r w:rsidRPr="00F51638">
        <w:rPr>
          <w:rFonts w:ascii="宋体" w:hAnsi="宋体"/>
          <w:sz w:val="24"/>
        </w:rPr>
        <w:t>100,000/1.0400＝96,153.85份</w:t>
      </w:r>
    </w:p>
    <w:p w14:paraId="75EDC59C" w14:textId="77777777" w:rsidR="001248B6" w:rsidRPr="008A75B9" w:rsidRDefault="001248B6" w:rsidP="001248B6">
      <w:pPr>
        <w:autoSpaceDE w:val="0"/>
        <w:autoSpaceDN w:val="0"/>
        <w:adjustRightInd w:val="0"/>
        <w:snapToGrid w:val="0"/>
        <w:spacing w:line="360" w:lineRule="auto"/>
        <w:ind w:firstLineChars="200" w:firstLine="480"/>
        <w:jc w:val="left"/>
        <w:rPr>
          <w:rFonts w:ascii="宋体" w:hAnsi="宋体"/>
          <w:sz w:val="24"/>
        </w:rPr>
      </w:pPr>
      <w:r w:rsidRPr="00F51638">
        <w:rPr>
          <w:rFonts w:ascii="宋体" w:hAnsi="宋体" w:hint="eastAsia"/>
          <w:sz w:val="24"/>
        </w:rPr>
        <w:t>即：投资者投资</w:t>
      </w:r>
      <w:r w:rsidRPr="00F51638">
        <w:rPr>
          <w:rFonts w:ascii="宋体" w:hAnsi="宋体"/>
          <w:sz w:val="24"/>
        </w:rPr>
        <w:t>100,000元申购本基金的C类基金份额，假设申购当日C类基金份额净值为1.0400元，则其可得到96,153.85份C类基金份额。</w:t>
      </w:r>
    </w:p>
    <w:p w14:paraId="43EC9CF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3、赎回金额的计算</w:t>
      </w:r>
    </w:p>
    <w:p w14:paraId="39EC1FD6" w14:textId="77777777" w:rsidR="00BA5882" w:rsidRPr="006D71D0" w:rsidRDefault="00BA5882" w:rsidP="00BA5882">
      <w:pPr>
        <w:autoSpaceDE w:val="0"/>
        <w:autoSpaceDN w:val="0"/>
        <w:adjustRightInd w:val="0"/>
        <w:snapToGrid w:val="0"/>
        <w:spacing w:line="360" w:lineRule="auto"/>
        <w:ind w:firstLineChars="200" w:firstLine="480"/>
        <w:jc w:val="left"/>
        <w:rPr>
          <w:rFonts w:ascii="宋体" w:hAnsi="宋体"/>
          <w:sz w:val="24"/>
        </w:rPr>
      </w:pPr>
      <w:r w:rsidRPr="006D71D0">
        <w:rPr>
          <w:rFonts w:ascii="宋体" w:hAnsi="宋体" w:hint="eastAsia"/>
          <w:sz w:val="24"/>
        </w:rPr>
        <w:t>（1）A类基金份额的赎回</w:t>
      </w:r>
    </w:p>
    <w:p w14:paraId="1DE5A02C" w14:textId="29618E07" w:rsidR="00BA5882" w:rsidRDefault="00BA5882" w:rsidP="00BA5882">
      <w:pPr>
        <w:autoSpaceDE w:val="0"/>
        <w:autoSpaceDN w:val="0"/>
        <w:adjustRightInd w:val="0"/>
        <w:snapToGrid w:val="0"/>
        <w:spacing w:line="360" w:lineRule="auto"/>
        <w:ind w:firstLineChars="200" w:firstLine="480"/>
        <w:jc w:val="left"/>
        <w:rPr>
          <w:rFonts w:ascii="宋体" w:hAnsi="宋体"/>
          <w:sz w:val="24"/>
        </w:rPr>
      </w:pPr>
      <w:r w:rsidRPr="006D71D0">
        <w:rPr>
          <w:rFonts w:ascii="宋体" w:hAnsi="宋体" w:hint="eastAsia"/>
          <w:sz w:val="24"/>
        </w:rPr>
        <w:t>投资者赎回A类基金份额，</w:t>
      </w:r>
      <w:r>
        <w:rPr>
          <w:rFonts w:ascii="宋体" w:hAnsi="宋体"/>
          <w:sz w:val="24"/>
        </w:rPr>
        <w:t>赎回金额的计算方法如下：</w:t>
      </w:r>
    </w:p>
    <w:p w14:paraId="674F912A" w14:textId="3FA9CC0A" w:rsidR="00B164D3" w:rsidRDefault="000605B5" w:rsidP="00BA5882">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赎回费用=赎回份额×T日</w:t>
      </w:r>
      <w:r w:rsidR="00BA5882" w:rsidRPr="00A877AC">
        <w:rPr>
          <w:rFonts w:ascii="宋体" w:hAnsi="宋体" w:hint="eastAsia"/>
          <w:sz w:val="24"/>
        </w:rPr>
        <w:t>A类</w:t>
      </w:r>
      <w:r>
        <w:rPr>
          <w:rFonts w:ascii="宋体" w:hAnsi="宋体"/>
          <w:sz w:val="24"/>
        </w:rPr>
        <w:t>基金份额净值×赎回费率</w:t>
      </w:r>
    </w:p>
    <w:p w14:paraId="7280F0BD" w14:textId="13AA5C7F"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赎回金额=赎回份额×T日</w:t>
      </w:r>
      <w:r w:rsidR="00BA5882" w:rsidRPr="00A877AC">
        <w:rPr>
          <w:rFonts w:ascii="宋体" w:hAnsi="宋体" w:hint="eastAsia"/>
          <w:sz w:val="24"/>
        </w:rPr>
        <w:t>A类</w:t>
      </w:r>
      <w:r>
        <w:rPr>
          <w:rFonts w:ascii="宋体" w:hAnsi="宋体"/>
          <w:sz w:val="24"/>
        </w:rPr>
        <w:t>基金份额净值-赎回费用</w:t>
      </w:r>
    </w:p>
    <w:p w14:paraId="57A085DC" w14:textId="22A7886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例</w:t>
      </w:r>
      <w:r w:rsidR="00BA5882">
        <w:rPr>
          <w:rFonts w:ascii="宋体" w:hAnsi="宋体" w:hint="eastAsia"/>
          <w:sz w:val="24"/>
        </w:rPr>
        <w:t>四</w:t>
      </w:r>
      <w:r>
        <w:rPr>
          <w:rFonts w:ascii="宋体" w:hAnsi="宋体"/>
          <w:sz w:val="24"/>
        </w:rPr>
        <w:t>：某投资者赎回持有的10,000份</w:t>
      </w:r>
      <w:r w:rsidR="00A50AD0" w:rsidRPr="00A877AC">
        <w:rPr>
          <w:rFonts w:ascii="宋体" w:hAnsi="宋体" w:hint="eastAsia"/>
          <w:sz w:val="24"/>
        </w:rPr>
        <w:t>A类</w:t>
      </w:r>
      <w:r>
        <w:rPr>
          <w:rFonts w:ascii="宋体" w:hAnsi="宋体"/>
          <w:sz w:val="24"/>
        </w:rPr>
        <w:t>基金份额，持有期限为30日，对应的赎回费率为0.5%，假设赎回当日</w:t>
      </w:r>
      <w:r w:rsidR="00A50AD0" w:rsidRPr="00A877AC">
        <w:rPr>
          <w:rFonts w:ascii="宋体" w:hAnsi="宋体" w:hint="eastAsia"/>
          <w:sz w:val="24"/>
        </w:rPr>
        <w:t>A类</w:t>
      </w:r>
      <w:r>
        <w:rPr>
          <w:rFonts w:ascii="宋体" w:hAnsi="宋体"/>
          <w:sz w:val="24"/>
        </w:rPr>
        <w:t>基金份额净值是1.0160元，则其可得到的赎回金额为：</w:t>
      </w:r>
    </w:p>
    <w:p w14:paraId="443C24D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赎回费用=10,000×1.0160×0.5%＝50.80元</w:t>
      </w:r>
    </w:p>
    <w:p w14:paraId="525EE0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赎回金额=10,000×1.0160-50.80＝10,109.20元</w:t>
      </w:r>
    </w:p>
    <w:p w14:paraId="1CE663EC" w14:textId="5589B9C8"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即：该投资者赎回本基金10,000份</w:t>
      </w:r>
      <w:r w:rsidR="00A2701A" w:rsidRPr="00A877AC">
        <w:rPr>
          <w:rFonts w:ascii="宋体" w:hAnsi="宋体" w:hint="eastAsia"/>
          <w:sz w:val="24"/>
        </w:rPr>
        <w:t>A类</w:t>
      </w:r>
      <w:r>
        <w:rPr>
          <w:rFonts w:ascii="宋体" w:hAnsi="宋体"/>
          <w:sz w:val="24"/>
        </w:rPr>
        <w:t>基金份额，持有期限为30日，对应的赎</w:t>
      </w:r>
      <w:r>
        <w:rPr>
          <w:rFonts w:ascii="宋体" w:hAnsi="宋体"/>
          <w:sz w:val="24"/>
        </w:rPr>
        <w:lastRenderedPageBreak/>
        <w:t>回费率为0.5%，假设赎回当日</w:t>
      </w:r>
      <w:r w:rsidR="00A2701A" w:rsidRPr="00A877AC">
        <w:rPr>
          <w:rFonts w:ascii="宋体" w:hAnsi="宋体" w:hint="eastAsia"/>
          <w:sz w:val="24"/>
        </w:rPr>
        <w:t>A类</w:t>
      </w:r>
      <w:r>
        <w:rPr>
          <w:rFonts w:ascii="宋体" w:hAnsi="宋体"/>
          <w:sz w:val="24"/>
        </w:rPr>
        <w:t>基金份额净值是1.0160元，则其可得到的赎回金额为10,109.20元。</w:t>
      </w:r>
    </w:p>
    <w:p w14:paraId="6F16929E"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（2）C类基金份额的赎回</w:t>
      </w:r>
    </w:p>
    <w:p w14:paraId="5003B102"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投资者赎回C类基金份额，赎回金额的计算方法如下：</w:t>
      </w:r>
    </w:p>
    <w:p w14:paraId="38AA6C13"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赎回费用=赎回份额×T日C类基金份额净值×赎回费率</w:t>
      </w:r>
    </w:p>
    <w:p w14:paraId="7D00E047"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赎回金额=赎回份额×T日C类基金份额净值-赎回费用</w:t>
      </w:r>
    </w:p>
    <w:p w14:paraId="25A8F9A8"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例五：某投资者赎回10,000份C类基金份额，持有期限为20日，对应的赎回费率为0.5%，假设赎回当日C类基金份额净值是1.0160元，则其可得到的赎回金额为：</w:t>
      </w:r>
    </w:p>
    <w:p w14:paraId="5E7E713B"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赎回费用=10,000×1.0160×0.5%＝50.80元</w:t>
      </w:r>
    </w:p>
    <w:p w14:paraId="33CABE0D"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赎回金额=10,000×1.0160-50.80＝10,109.20元</w:t>
      </w:r>
    </w:p>
    <w:p w14:paraId="03E9B57E" w14:textId="77777777" w:rsidR="00A2701A" w:rsidRPr="002E7AFC" w:rsidRDefault="00A2701A" w:rsidP="00A2701A">
      <w:pPr>
        <w:autoSpaceDE w:val="0"/>
        <w:autoSpaceDN w:val="0"/>
        <w:adjustRightInd w:val="0"/>
        <w:snapToGrid w:val="0"/>
        <w:spacing w:line="360" w:lineRule="auto"/>
        <w:ind w:firstLineChars="200" w:firstLine="480"/>
        <w:jc w:val="left"/>
        <w:rPr>
          <w:rFonts w:ascii="宋体" w:hAnsi="宋体"/>
          <w:sz w:val="24"/>
        </w:rPr>
      </w:pPr>
      <w:r w:rsidRPr="002E7AFC">
        <w:rPr>
          <w:rFonts w:ascii="宋体" w:hAnsi="宋体" w:hint="eastAsia"/>
          <w:sz w:val="24"/>
        </w:rPr>
        <w:t>即：投资者赎回10,000份C类基金份额，持有期限为20日，对应的赎回费率为0.5%，假设赎回当日C类基金份额净值是1.0160元，则其可得到的赎回金额为10,109.20元。</w:t>
      </w:r>
    </w:p>
    <w:p w14:paraId="4D94071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4、基金份额净值的计算公式</w:t>
      </w:r>
    </w:p>
    <w:p w14:paraId="42E0B33B" w14:textId="00A9FC0D" w:rsidR="00B164D3" w:rsidRDefault="00F434D5">
      <w:pPr>
        <w:autoSpaceDE w:val="0"/>
        <w:autoSpaceDN w:val="0"/>
        <w:adjustRightInd w:val="0"/>
        <w:snapToGrid w:val="0"/>
        <w:spacing w:line="360" w:lineRule="auto"/>
        <w:ind w:firstLineChars="200" w:firstLine="480"/>
        <w:jc w:val="left"/>
        <w:rPr>
          <w:rFonts w:ascii="宋体" w:hAnsi="宋体"/>
          <w:szCs w:val="24"/>
        </w:rPr>
      </w:pPr>
      <w:r w:rsidRPr="00C41F2A">
        <w:rPr>
          <w:rFonts w:ascii="宋体" w:hAnsi="宋体" w:hint="eastAsia"/>
          <w:sz w:val="24"/>
        </w:rPr>
        <w:t>A类</w:t>
      </w:r>
      <w:r w:rsidR="000605B5">
        <w:rPr>
          <w:rFonts w:ascii="宋体" w:hAnsi="宋体"/>
          <w:sz w:val="24"/>
        </w:rPr>
        <w:t>基金份额净值＝</w:t>
      </w:r>
      <w:r w:rsidRPr="00C41F2A">
        <w:rPr>
          <w:rFonts w:ascii="宋体" w:hAnsi="宋体" w:hint="eastAsia"/>
          <w:sz w:val="24"/>
        </w:rPr>
        <w:t>A类基金份额的</w:t>
      </w:r>
      <w:r w:rsidR="000605B5">
        <w:rPr>
          <w:rFonts w:ascii="宋体" w:hAnsi="宋体"/>
          <w:sz w:val="24"/>
        </w:rPr>
        <w:t>基金资产净值总额/发行在外的</w:t>
      </w:r>
      <w:r w:rsidRPr="00C41F2A">
        <w:rPr>
          <w:rFonts w:ascii="宋体" w:hAnsi="宋体" w:hint="eastAsia"/>
          <w:sz w:val="24"/>
        </w:rPr>
        <w:t>A类</w:t>
      </w:r>
      <w:r w:rsidR="000605B5">
        <w:rPr>
          <w:rFonts w:ascii="宋体" w:hAnsi="宋体"/>
          <w:sz w:val="24"/>
        </w:rPr>
        <w:t>基金份额总数</w:t>
      </w:r>
    </w:p>
    <w:p w14:paraId="245FBE5D" w14:textId="77777777" w:rsidR="00F434D5" w:rsidRDefault="00F434D5" w:rsidP="00F434D5">
      <w:pPr>
        <w:autoSpaceDE w:val="0"/>
        <w:autoSpaceDN w:val="0"/>
        <w:adjustRightInd w:val="0"/>
        <w:snapToGrid w:val="0"/>
        <w:spacing w:line="360" w:lineRule="auto"/>
        <w:ind w:firstLineChars="200" w:firstLine="480"/>
        <w:jc w:val="left"/>
        <w:rPr>
          <w:rFonts w:ascii="宋体" w:hAnsi="宋体"/>
          <w:szCs w:val="24"/>
        </w:rPr>
      </w:pPr>
      <w:r w:rsidRPr="00C41F2A">
        <w:rPr>
          <w:rFonts w:ascii="宋体" w:hAnsi="宋体" w:hint="eastAsia"/>
          <w:sz w:val="24"/>
        </w:rPr>
        <w:t>C类基金份额净值＝C类基金份额的基金资产净值总额/发行在外的C类基金份额总数</w:t>
      </w:r>
    </w:p>
    <w:p w14:paraId="4148A8EA" w14:textId="0F144104"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本基金T日的基金份额净值在当天收市后计算，并在T＋1日（包括该日）内公告。遇特殊情况，经履行适当程序，可以适当延迟计算或公告。本基金</w:t>
      </w:r>
      <w:r w:rsidR="001424C7" w:rsidRPr="00C41F2A">
        <w:rPr>
          <w:rFonts w:ascii="宋体" w:hAnsi="宋体" w:hint="eastAsia"/>
          <w:sz w:val="24"/>
        </w:rPr>
        <w:t>A类基金份额和C类基金份额的</w:t>
      </w:r>
      <w:r w:rsidR="001424C7">
        <w:rPr>
          <w:rFonts w:ascii="宋体" w:hAnsi="宋体" w:hint="eastAsia"/>
          <w:sz w:val="24"/>
        </w:rPr>
        <w:t>基金</w:t>
      </w:r>
      <w:r>
        <w:rPr>
          <w:rFonts w:ascii="宋体" w:hAnsi="宋体"/>
          <w:sz w:val="24"/>
        </w:rPr>
        <w:t>份额净值的计算，</w:t>
      </w:r>
      <w:r w:rsidR="001424C7">
        <w:rPr>
          <w:rFonts w:ascii="宋体" w:hAnsi="宋体" w:hint="eastAsia"/>
          <w:sz w:val="24"/>
        </w:rPr>
        <w:t>均</w:t>
      </w:r>
      <w:r>
        <w:rPr>
          <w:rFonts w:ascii="宋体" w:hAnsi="宋体"/>
          <w:sz w:val="24"/>
        </w:rPr>
        <w:t>保留到小数点后4位，小数点后第5位四舍五入，由此产生的收益或损失由基金财产承担。</w:t>
      </w:r>
    </w:p>
    <w:p w14:paraId="1B84E1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（八）拒绝或暂停申购的情形</w:t>
      </w:r>
    </w:p>
    <w:p w14:paraId="53D01E3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发生下列情况时，基金管理人可拒绝或暂停接受投资人的申购申请：</w:t>
      </w:r>
    </w:p>
    <w:p w14:paraId="72254B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1、因不可抗力导致基金无法正常运作。</w:t>
      </w:r>
    </w:p>
    <w:p w14:paraId="1BCA733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2、发生基金合同规定的暂停基金资产估值情况时，基金管理人可暂停接受投资人的申购申请。</w:t>
      </w:r>
    </w:p>
    <w:p w14:paraId="40B2622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14:paraId="166BC72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4、接受某笔或某些申购申请可能会影响或损害现有基金份额持有人利益时。</w:t>
      </w:r>
    </w:p>
    <w:p w14:paraId="3FC43FB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5、基金资产规模过大，使基金管理人无法找到合适的投资品种，或其他可能对基金业绩产生负面影响，或发生其他损害现有基金份额持有人利益的情形。</w:t>
      </w:r>
    </w:p>
    <w:p w14:paraId="66CC54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6、当前一估值日基金资产净值50%以上的资产出现无可参考的活跃市场价格且采用估值技术仍导致公允价值存在重大不确定性时，经与基金托管人协商确认后，基金管理人应当暂停接受基金申购申请。</w:t>
      </w:r>
    </w:p>
    <w:p w14:paraId="47CAD0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7、港股通交易每日额度不足。</w:t>
      </w:r>
    </w:p>
    <w:p w14:paraId="4A9F911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8、基金管理人接受某笔或者某些申购申请有可能导致单一投资者持有基金份额的比例超过50%，或者变相规避50%集中度的。出现上述情形时，基金管理人有权将上述申购申请全部或部分确认失败。</w:t>
      </w:r>
    </w:p>
    <w:p w14:paraId="668E69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9、法律法规规定、中国证监会认定或基金合同约定的其他情形。</w:t>
      </w:r>
    </w:p>
    <w:p w14:paraId="007B429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发生上述第1、2、3、5、6、7、9项暂停申购情形之一且基金管理人决定暂停接受投资人申购申请时，基金管理人应当根据有关规定在规定媒介上刊登暂停申购公告。如果投资人的申购申请被拒绝，被拒绝的申购款项将退还给投资人。在暂停申购的情况消除时，基金管理人应及时恢复申购业务的办理。</w:t>
      </w:r>
    </w:p>
    <w:p w14:paraId="13B666E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（九）暂停赎回或延缓支付赎回款项的情形</w:t>
      </w:r>
    </w:p>
    <w:p w14:paraId="5796BA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发生下列情形时，基金管理人可暂停接受投资人的赎回申请或延缓支付赎回款项：</w:t>
      </w:r>
    </w:p>
    <w:p w14:paraId="4C6F86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1、因不可抗力导致基金管理人不能支付赎回款项。</w:t>
      </w:r>
    </w:p>
    <w:p w14:paraId="6D7E29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2、发生基金合同规定的暂停基金资产估值情况时，基金管理人可暂停接受投资人的赎回申请或延缓支付赎回款项。</w:t>
      </w:r>
    </w:p>
    <w:p w14:paraId="1C1C54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3、证券、期货交易所交易时间非正常停市或港股通临时停市，导致基金管理人无法计算当日基金资产净值。</w:t>
      </w:r>
    </w:p>
    <w:p w14:paraId="05D9EB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4、连续两个或两个以上开放日发生巨额赎回。</w:t>
      </w:r>
    </w:p>
    <w:p w14:paraId="141F1C5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5、发生继续接受赎回申请将损害现有基金份额持有人利益的情形时，基金管理人可暂停接受基金份额持有人的赎回申请。</w:t>
      </w:r>
    </w:p>
    <w:p w14:paraId="088E57E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14:paraId="57CDD6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7、法律法规规定、中国证监会认定或基金合同约定的其他情形。</w:t>
      </w:r>
    </w:p>
    <w:p w14:paraId="0EBB6F4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发生上述情形之一且基金管理人决定暂停接受基金份额持有人的赎回申请或延缓支付赎回</w:t>
      </w:r>
      <w:r w:rsidRPr="00BB248E">
        <w:rPr>
          <w:rFonts w:ascii="宋体" w:hAnsi="宋体" w:hint="eastAsia"/>
          <w:b/>
          <w:szCs w:val="24"/>
        </w:rPr>
        <w:lastRenderedPageBreak/>
        <w:t>款项时，基金管理人应及时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47A8080D"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（十）巨额赎回的情形及处理方式</w:t>
      </w:r>
    </w:p>
    <w:p w14:paraId="1449A2B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1、巨额赎回的认定</w:t>
      </w:r>
    </w:p>
    <w:p w14:paraId="67F4A8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2FFB2F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2、巨额赎回的处理方式</w:t>
      </w:r>
    </w:p>
    <w:p w14:paraId="526BB2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089E6E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40FFAA96" w14:textId="3091ED0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2B5340">
        <w:rPr>
          <w:rFonts w:hint="eastAsia"/>
          <w:bCs/>
          <w:sz w:val="24"/>
        </w:rPr>
        <w:t>该类</w:t>
      </w:r>
      <w:r>
        <w:rPr>
          <w:rFonts w:ascii="宋体" w:hAnsi="宋体"/>
          <w:sz w:val="24"/>
        </w:rPr>
        <w:t>基金份额净值为基础计算赎回金额，以此类推，直到全部赎回为止。如投资人在提交赎回申请时未作明确选择，投资人未能赎回部分作自动延期赎回处理。</w:t>
      </w:r>
    </w:p>
    <w:p w14:paraId="2B4005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5221A985" w14:textId="7C7DC18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w:t>
      </w:r>
      <w:r>
        <w:rPr>
          <w:rFonts w:ascii="宋体" w:hAnsi="宋体"/>
          <w:sz w:val="24"/>
        </w:rPr>
        <w:lastRenderedPageBreak/>
        <w:t>延期赎回的，将自动转入下一个开放日继续赎回，直到全部赎回为止；选择取消赎回的，当日未获受理的部分赎回申请将被撤销。延期的赎回申请与下一开放日赎回申请一并处理，无优先权并以下一开放日的</w:t>
      </w:r>
      <w:r w:rsidR="002B5340">
        <w:rPr>
          <w:rFonts w:hint="eastAsia"/>
          <w:bCs/>
          <w:sz w:val="24"/>
        </w:rPr>
        <w:t>该类</w:t>
      </w:r>
      <w:r>
        <w:rPr>
          <w:rFonts w:ascii="宋体" w:hAnsi="宋体"/>
          <w:sz w:val="24"/>
        </w:rPr>
        <w:t>基金份额净值为基础计算赎回金额，以此类推，直到全部赎回为止。</w:t>
      </w:r>
    </w:p>
    <w:p w14:paraId="70712F1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4128E5D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59064A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3、巨额赎回的公告</w:t>
      </w:r>
    </w:p>
    <w:p w14:paraId="616282A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当发生上述巨额赎回并延期办理时，基金管理人应当通过邮寄、传真或者通知销售机构代为告知等方式在3个交易日内通知基金份额持有人，说明有关处理方法，并在两日内在规定媒介上刊登公告。</w:t>
      </w:r>
    </w:p>
    <w:p w14:paraId="1B3B23F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（十一）暂停申购或赎回的公告和重新开放申购或赎回的公告</w:t>
      </w:r>
    </w:p>
    <w:p w14:paraId="46DEEE9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1、发生上述暂停申购或赎回情况的，基金管理人应在规定期限内在规定媒介上刊登暂停公告。</w:t>
      </w:r>
    </w:p>
    <w:p w14:paraId="7174752A" w14:textId="59A74268"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2、如发生暂停的时间为1日，基金管理人应于重新开放日，在规定媒介上刊登基金重新开放申购或赎回公告，并公布最近1个开放日</w:t>
      </w:r>
      <w:r w:rsidR="008C2F9A" w:rsidRPr="00504252">
        <w:rPr>
          <w:rFonts w:ascii="宋体" w:hAnsi="宋体" w:hint="eastAsia"/>
          <w:sz w:val="24"/>
          <w:szCs w:val="24"/>
        </w:rPr>
        <w:t>各类基金份额</w:t>
      </w:r>
      <w:r>
        <w:rPr>
          <w:rFonts w:ascii="宋体" w:hAnsi="宋体"/>
          <w:sz w:val="24"/>
        </w:rPr>
        <w:t>的基金份额净值。</w:t>
      </w:r>
    </w:p>
    <w:p w14:paraId="1BBFC9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发生暂停的时间超过1日，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7A9417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（十二）基金转换</w:t>
      </w:r>
    </w:p>
    <w:p w14:paraId="2341A5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286FA63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（十三）基金的非交易过户</w:t>
      </w:r>
    </w:p>
    <w:p w14:paraId="5E4734C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14:paraId="6CC0E9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3FC89FDE"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（十四）基金的转托管</w:t>
      </w:r>
    </w:p>
    <w:p w14:paraId="0EA9DF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基金份额持有人可办理已持有基金份额在不同销售机构之间的转托管，基金销售机构可以按照规定的标准收取转托管费。</w:t>
      </w:r>
    </w:p>
    <w:p w14:paraId="25EBCDB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（十五）定期定额投资计划</w:t>
      </w:r>
    </w:p>
    <w:p w14:paraId="623F4C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3156855E" w14:textId="5A58714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本基金2021年4月20日刊登公告自2021年4月21日起开通</w:t>
      </w:r>
      <w:r w:rsidR="0030287E" w:rsidRPr="00FF0EDE">
        <w:rPr>
          <w:rFonts w:ascii="宋体" w:hAnsi="宋体" w:hint="eastAsia"/>
          <w:sz w:val="24"/>
        </w:rPr>
        <w:t>A类基金份额的</w:t>
      </w:r>
      <w:r>
        <w:rPr>
          <w:rFonts w:ascii="宋体" w:hAnsi="宋体"/>
          <w:sz w:val="24"/>
        </w:rPr>
        <w:t>定期定额投资计划业务，</w:t>
      </w:r>
      <w:r w:rsidR="00267254" w:rsidRPr="00FF0EDE">
        <w:rPr>
          <w:rFonts w:ascii="宋体" w:hAnsi="宋体" w:hint="eastAsia"/>
          <w:sz w:val="24"/>
        </w:rPr>
        <w:t>本基金</w:t>
      </w:r>
      <w:r w:rsidR="00267254">
        <w:rPr>
          <w:rFonts w:ascii="宋体" w:hAnsi="宋体" w:hint="eastAsia"/>
          <w:sz w:val="24"/>
        </w:rPr>
        <w:t>202</w:t>
      </w:r>
      <w:r w:rsidR="00267254">
        <w:rPr>
          <w:rFonts w:ascii="宋体" w:hAnsi="宋体"/>
          <w:sz w:val="24"/>
        </w:rPr>
        <w:t>2</w:t>
      </w:r>
      <w:r w:rsidR="00267254" w:rsidRPr="00FF0EDE">
        <w:rPr>
          <w:rFonts w:ascii="宋体" w:hAnsi="宋体" w:hint="eastAsia"/>
          <w:sz w:val="24"/>
        </w:rPr>
        <w:t>年</w:t>
      </w:r>
      <w:r w:rsidR="000A3372">
        <w:rPr>
          <w:rFonts w:ascii="宋体" w:hAnsi="宋体"/>
          <w:sz w:val="24"/>
        </w:rPr>
        <w:t>7</w:t>
      </w:r>
      <w:r w:rsidR="00267254" w:rsidRPr="00FF0EDE">
        <w:rPr>
          <w:rFonts w:ascii="宋体" w:hAnsi="宋体" w:hint="eastAsia"/>
          <w:sz w:val="24"/>
        </w:rPr>
        <w:t>月</w:t>
      </w:r>
      <w:r w:rsidR="000A3372">
        <w:rPr>
          <w:rFonts w:ascii="宋体" w:hAnsi="宋体"/>
          <w:sz w:val="24"/>
        </w:rPr>
        <w:t>7</w:t>
      </w:r>
      <w:r w:rsidR="00267254" w:rsidRPr="00FF0EDE">
        <w:rPr>
          <w:rFonts w:ascii="宋体" w:hAnsi="宋体" w:hint="eastAsia"/>
          <w:sz w:val="24"/>
        </w:rPr>
        <w:t>日刊登公告自</w:t>
      </w:r>
      <w:r w:rsidR="00267254">
        <w:rPr>
          <w:rFonts w:ascii="宋体" w:hAnsi="宋体" w:hint="eastAsia"/>
          <w:sz w:val="24"/>
        </w:rPr>
        <w:t>202</w:t>
      </w:r>
      <w:r w:rsidR="00267254">
        <w:rPr>
          <w:rFonts w:ascii="宋体" w:hAnsi="宋体"/>
          <w:sz w:val="24"/>
        </w:rPr>
        <w:t>2</w:t>
      </w:r>
      <w:r w:rsidR="00267254" w:rsidRPr="00FF0EDE">
        <w:rPr>
          <w:rFonts w:ascii="宋体" w:hAnsi="宋体" w:hint="eastAsia"/>
          <w:sz w:val="24"/>
        </w:rPr>
        <w:t>年</w:t>
      </w:r>
      <w:r w:rsidR="000A3372">
        <w:rPr>
          <w:rFonts w:ascii="宋体" w:hAnsi="宋体"/>
          <w:sz w:val="24"/>
        </w:rPr>
        <w:t>7</w:t>
      </w:r>
      <w:r w:rsidR="00267254" w:rsidRPr="00FF0EDE">
        <w:rPr>
          <w:rFonts w:ascii="宋体" w:hAnsi="宋体" w:hint="eastAsia"/>
          <w:sz w:val="24"/>
        </w:rPr>
        <w:t>月</w:t>
      </w:r>
      <w:r w:rsidR="000A3372">
        <w:rPr>
          <w:rFonts w:ascii="宋体" w:hAnsi="宋体"/>
          <w:sz w:val="24"/>
        </w:rPr>
        <w:t>1</w:t>
      </w:r>
      <w:r w:rsidR="0077774C">
        <w:rPr>
          <w:rFonts w:ascii="宋体" w:hAnsi="宋体"/>
          <w:sz w:val="24"/>
        </w:rPr>
        <w:t>2</w:t>
      </w:r>
      <w:r w:rsidR="00267254" w:rsidRPr="00FF0EDE">
        <w:rPr>
          <w:rFonts w:ascii="宋体" w:hAnsi="宋体" w:hint="eastAsia"/>
          <w:sz w:val="24"/>
        </w:rPr>
        <w:t>日起增设C类基金份额并开通C类基金份额的定期定额投资计划业务</w:t>
      </w:r>
      <w:r w:rsidR="008C3A8D">
        <w:rPr>
          <w:rFonts w:ascii="宋体" w:hAnsi="宋体"/>
          <w:sz w:val="24"/>
        </w:rPr>
        <w:t>，</w:t>
      </w:r>
      <w:r>
        <w:rPr>
          <w:rFonts w:ascii="宋体" w:hAnsi="宋体"/>
          <w:sz w:val="24"/>
        </w:rPr>
        <w:t>具体开通销售机构名单和业务规则参见相关公告。</w:t>
      </w:r>
    </w:p>
    <w:p w14:paraId="5F47226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（十六）基金份额的冻结和解冻</w:t>
      </w:r>
    </w:p>
    <w:p w14:paraId="4700305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基金登记机构只受理国家有权机关依法要求的基金份额的冻结与解冻，以及登记机构认可、符合法律法规的其他情况下的冻结与解冻。</w:t>
      </w:r>
    </w:p>
    <w:p w14:paraId="6D4B992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（十七）基金份额的转让</w:t>
      </w:r>
    </w:p>
    <w:p w14:paraId="083E55D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A6EE9B2"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（十八）其他业务</w:t>
      </w:r>
    </w:p>
    <w:p w14:paraId="6C0849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14F4B1F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（十九）实施侧袋机制期间本基金的申购与赎回</w:t>
      </w:r>
    </w:p>
    <w:p w14:paraId="0A5AFC9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本基金实施侧袋机制的，本基金的申购和赎回安排详见本招募说明书“侧袋机制”部分的规定或相关公告。</w:t>
      </w:r>
    </w:p>
    <w:p w14:paraId="5F99BDE4"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816D023" w14:textId="77777777" w:rsidR="00B164D3" w:rsidRDefault="000605B5">
      <w:pPr>
        <w:pStyle w:val="1"/>
        <w:snapToGrid w:val="0"/>
        <w:spacing w:beforeLines="0" w:before="240" w:after="240"/>
        <w:rPr>
          <w:rFonts w:ascii="宋体" w:hAnsi="宋体"/>
          <w:szCs w:val="30"/>
        </w:rPr>
      </w:pPr>
      <w:bookmarkStart w:id="12" w:name="_Toc85115624"/>
      <w:r>
        <w:rPr>
          <w:rFonts w:ascii="Times New Roman" w:hAnsi="Times New Roman"/>
          <w:sz w:val="30"/>
        </w:rPr>
        <w:lastRenderedPageBreak/>
        <w:t>九、基金的投资</w:t>
      </w:r>
      <w:bookmarkEnd w:id="12"/>
    </w:p>
    <w:p w14:paraId="0E3B8F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（一）投资目标</w:t>
      </w:r>
    </w:p>
    <w:p w14:paraId="1DF56C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本基金在严格控制风险的前提下，充分发挥专业研究与管理能力，追求超越业绩比较基准的投资收益，力争为投资者提供长期稳健的投资回报。</w:t>
      </w:r>
    </w:p>
    <w:p w14:paraId="6B5D55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（二）投资范围</w:t>
      </w:r>
    </w:p>
    <w:p w14:paraId="769AE20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2EDE89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2A4814F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0%-45%（其中投资于港股通标的股票的比例占股票资产的0%-50%），同业存单投资占基金资产的比例不超过20%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A5833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14C8EA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（三）投资策略</w:t>
      </w:r>
    </w:p>
    <w:p w14:paraId="7AC83B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股和个券；在保持总体风险水平相对稳定的基础上，力争获取投资组合的较高回报。</w:t>
      </w:r>
    </w:p>
    <w:p w14:paraId="6E9CE0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1、大类资产配置</w:t>
      </w:r>
    </w:p>
    <w:p w14:paraId="134D0F2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充分发挥基金管理人的研究优势，以长期历史数据为基础，运用稳健的投资理念和严谨的分析方法对经济基本面进行深入的定量和定性分析，确定基金资产在沪深A股、港股、债券及货币市场工具等各类别资产的初步分配比例。同时，再辅以投资时钟模型以及周期轮动理论“自上而下”对各类资产配比进行灵活调整，及时应对市场变化，在有效规避或控制市场风险的基础上，为投资者获取稳定的投资收益。</w:t>
      </w:r>
    </w:p>
    <w:p w14:paraId="0E4ADA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2、股票投资策略</w:t>
      </w:r>
    </w:p>
    <w:p w14:paraId="68BF8F2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17E469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（1）品质筛选</w:t>
      </w:r>
    </w:p>
    <w:p w14:paraId="30AEFC4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筛选出在公司治理、财务及管理品质上符合基本品质要求的公司，构建备选股票池。主要筛选指标包括：</w:t>
      </w:r>
    </w:p>
    <w:p w14:paraId="441222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■盈利能力指标：如市盈率（P/E）、市现率（P/Cash Flow）、股价与每股自由现金流比率（P/FCF）、市销率（P/S）、股价与每股息税前利润比率（P/EBIT）、企业价值倍数（EV/EBITDA）等；</w:t>
      </w:r>
    </w:p>
    <w:p w14:paraId="06CC78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■经营效率指标：如净资产收益率（ROE）、资产收益率（ROA）、投入资本回报率(ROIC)等；</w:t>
      </w:r>
    </w:p>
    <w:p w14:paraId="6D2FACD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■财务状况指标：如资产负债率（D/A）、流动比率等。</w:t>
      </w:r>
    </w:p>
    <w:p w14:paraId="5906748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（2）价值评估</w:t>
      </w:r>
    </w:p>
    <w:p w14:paraId="67B1DA6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2D1570F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（3）港股通标的股票投资策略</w:t>
      </w:r>
    </w:p>
    <w:p w14:paraId="2A9ADC9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本基金可通过内地与香港股票市场交易互联互通机制投资于香港股票市场。本基金优先将基本面健康、业绩向上弹性较大、具有估值优势的港股纳入本基金的股票投资组合。</w:t>
      </w:r>
    </w:p>
    <w:p w14:paraId="120D5D2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基金可根据投资策略需要或不同配置地市场环境的变化，选择将部分基金资产</w:t>
      </w:r>
      <w:r>
        <w:rPr>
          <w:rFonts w:ascii="宋体" w:hAnsi="宋体"/>
          <w:sz w:val="24"/>
        </w:rPr>
        <w:lastRenderedPageBreak/>
        <w:t>投资于港股或选择不将基金资产投资于港股，基金资产并非必然投资港股。</w:t>
      </w:r>
    </w:p>
    <w:p w14:paraId="25BC7C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（4）存托凭证的投资策略</w:t>
      </w:r>
    </w:p>
    <w:p w14:paraId="4B0B10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本基金投资存托凭证的策略依照境内上市交易的股票投资策略执行。</w:t>
      </w:r>
    </w:p>
    <w:p w14:paraId="028583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3、债券投资策略</w:t>
      </w:r>
    </w:p>
    <w:p w14:paraId="570BEC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本基金的债券投资采取主动的投资管理方式，获得与风险相匹配的投资收益，以实现在一定程度上规避股票市场的系统性风险和保证基金资产的流动性。</w:t>
      </w:r>
    </w:p>
    <w:p w14:paraId="7F6F8EA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等多种策略，以期获取债券市场的长期稳定收益。</w:t>
      </w:r>
    </w:p>
    <w:p w14:paraId="75C1730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（1）久期调整策略</w:t>
      </w:r>
    </w:p>
    <w:p w14:paraId="1966372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本基金根据中长期宏观经济走势和经济周期波动趋势，判断债券市场未来的走势，并形成对未来市场利率变动方向的预期，动态调整组合久期。</w:t>
      </w:r>
    </w:p>
    <w:p w14:paraId="015E66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（2）债券的类属配置策略</w:t>
      </w:r>
    </w:p>
    <w:p w14:paraId="1D8C31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264938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（3）期限结构配置策略</w:t>
      </w:r>
    </w:p>
    <w:p w14:paraId="620719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455C19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（4）回购策略</w:t>
      </w:r>
    </w:p>
    <w:p w14:paraId="7959E4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当回购利率低于债券收益率时，本基金将实施正回购融入资金并投资于信用债券等可投资标的，从而获取收益率超出回购资金成本（即回购利率）的套利价值。</w:t>
      </w:r>
    </w:p>
    <w:p w14:paraId="0896030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（5）信用债券投资策略</w:t>
      </w:r>
    </w:p>
    <w:p w14:paraId="7DFE07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本基金通过交银施罗德的信用债券信用评级指标体系，对信用债券进行信用评级，并在信用评级的基础上，建立本基金的信用债券池。基金经理从信用债券池中</w:t>
      </w:r>
      <w:r>
        <w:rPr>
          <w:rFonts w:ascii="宋体" w:hAnsi="宋体"/>
          <w:sz w:val="24"/>
        </w:rPr>
        <w:lastRenderedPageBreak/>
        <w:t>精选债券构建信用债券投资组合。</w:t>
      </w:r>
    </w:p>
    <w:p w14:paraId="1565D3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主动投资的信用债为信用评级在AA级（含）以上的信用债，对信用评级的认定参照基金管理人选定的评级机构出具的信用评级，其中，信用债的信用评级依照评级机构出具的债项信用评级，若无债项信用评级的或债项信用评级为A-1的，依照其主体信用评级。</w:t>
      </w:r>
    </w:p>
    <w:p w14:paraId="7E65A4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于评级AA的信用债比例不高于信用债资产的20%，投资于评级AA+的信用债比例不高于信用债资产的70%，投资于评级AAA的信用债比例不低于信用债资产的50%。因信用评级下降、证券市场波动、基金规模变动等基金管理人之外的因素致使基金投资比例不符合上述规定的，基金管理人应当在评级报告发布之日或不符合上述规定之日起3个月内进行调整。上述信用债不包括可转换债券、可交换公司债券。</w:t>
      </w:r>
    </w:p>
    <w:p w14:paraId="1C5544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（6）可转换债券投资策略</w:t>
      </w:r>
    </w:p>
    <w:p w14:paraId="0E2723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可转换债券、可交换公司债券的比例合计不超过基金资产的20%；本基金对于可转换债券股性的研究将完全依托于公司投研团队对标的股票的研究，在此基础上利用可转换债券定价模型，充分考虑转债发行后目标转债标的股票股价波动率可能出现的变化，对目标转债的股性进行合理定价。通过对标的转债股性与债性的合理定价，力求寻找出被市场低估的品种，构建本基金可转换债券的投资组合。</w:t>
      </w:r>
    </w:p>
    <w:p w14:paraId="0E8371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1）行业配置策略</w:t>
      </w:r>
    </w:p>
    <w:p w14:paraId="63B5BF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综合考虑各种宏观因素，以宏观经济走势、经济周期特征和阶段性市场投资主题的研究为基础，综合考量可转债市场的供给和需求情况，追求最优行业配置。同时，结合经济和市场阶段性特征，动态调整不同行业的可转换债券进行投资。</w:t>
      </w:r>
    </w:p>
    <w:p w14:paraId="4E6F33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2）个券精选策略</w:t>
      </w:r>
    </w:p>
    <w:p w14:paraId="1B18D2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债自身的信用评估和其</w:t>
      </w:r>
      <w:r>
        <w:rPr>
          <w:rFonts w:ascii="宋体" w:hAnsi="宋体"/>
          <w:sz w:val="24"/>
        </w:rPr>
        <w:lastRenderedPageBreak/>
        <w:t>正股的价值分析来进行个券的筛选。</w:t>
      </w:r>
    </w:p>
    <w:p w14:paraId="224221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4、资产支持证券投资策略</w:t>
      </w:r>
    </w:p>
    <w:p w14:paraId="5DFE44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7E89A9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5、股指期货投资策略</w:t>
      </w:r>
    </w:p>
    <w:p w14:paraId="024497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参与股指期货投资将根据风险管理的原则，以套期保值为主要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1C6F75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针对股指期货交易制订严格的授权管理制度和投资决策流程，确保研究分析、投资决策、交易执行及风险控制各环节的独立运作，并明确相关岗位职责。此外，基金管理人建立股指期货交易决策部门或小组，并授权特定的管理人员负责股指期货的投资审批事项。</w:t>
      </w:r>
    </w:p>
    <w:p w14:paraId="7AFE310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（四）投资限制</w:t>
      </w:r>
    </w:p>
    <w:p w14:paraId="04AB422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1、组合限制</w:t>
      </w:r>
    </w:p>
    <w:p w14:paraId="39162BA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基金的投资组合应遵循以下限制：</w:t>
      </w:r>
    </w:p>
    <w:p w14:paraId="2296BE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（1）股票投资（含存托凭证）占基金资产的比例为0%-45%（其中投资于港股通标的股票的比例占股票资产的0%-50%），同业存单投资占基金资产的比例不超过20%；</w:t>
      </w:r>
    </w:p>
    <w:p w14:paraId="0C04EA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14:paraId="339701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14:paraId="431417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（4）本基金管理人管理的全部基金持有一家公司发行的证券（同一家公司在</w:t>
      </w:r>
      <w:r>
        <w:rPr>
          <w:rFonts w:ascii="宋体" w:hAnsi="宋体"/>
          <w:sz w:val="24"/>
        </w:rPr>
        <w:lastRenderedPageBreak/>
        <w:t>内地和香港同时上市的A+H 股合计计算），不超过该证券的10％，完全按照有关指数的构成比例进行证券投资的基金品种可以不受此条款规定的比例限制；</w:t>
      </w:r>
    </w:p>
    <w:p w14:paraId="74C703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14:paraId="11DB7BA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14:paraId="2C22EC9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14:paraId="52DC19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14:paraId="60B9F5A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5911805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（10）基金财产参与股票发行申购，本基金所申报的金额不超过本基金的总资产，本基金所申报的股票数量不超过拟发行股票公司本次发行股票的总量；</w:t>
      </w:r>
    </w:p>
    <w:p w14:paraId="0F74D1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（11）本基金进入全国银行间同业市场进行债券回购的资金余额不得超过基金资产净值的40%，进入全国银行间同业市场进行债券回购的最长期限为1年，债券回购到期后不得展期；</w:t>
      </w:r>
    </w:p>
    <w:p w14:paraId="0F9B19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C37DC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605923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（14）本基金与私募类证券资管产品及中国证监会认定的其他主体为交易对手开展逆回购交易的，可接受质押品的资质要求应当与基金合同约定的投资范围保持一致；</w:t>
      </w:r>
    </w:p>
    <w:p w14:paraId="6EC838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（15）本基金参与股指期货交易，则：</w:t>
      </w:r>
    </w:p>
    <w:p w14:paraId="1234259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1）本基金在任何交易日日终，持有的买入股指期货合约价值，不得超过基金资产净值的10%；</w:t>
      </w:r>
    </w:p>
    <w:p w14:paraId="7593B1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3E1907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3）本基金在任何交易日日终，持有的卖出股指期货合约价值不得超过基金持有的股票总市值的20%；</w:t>
      </w:r>
    </w:p>
    <w:p w14:paraId="613DAC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4）本基金所持有的股票市值和买入、卖出股指期货合约价值，合计（轧差计算）应当符合基金合同关于股票投资比例的有关约定；</w:t>
      </w:r>
    </w:p>
    <w:p w14:paraId="1616FD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5）本基金在任何交易日内交易（不包括平仓）的股指期货合约的成交金额不得超过上一交易日基金资产净值的20%；</w:t>
      </w:r>
    </w:p>
    <w:p w14:paraId="0B18886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（16）本基金投资可转换债券、可交换公司债券的比例合计不超过基金资产的20%；</w:t>
      </w:r>
    </w:p>
    <w:p w14:paraId="473685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（17）本基金资产总值不超过基金资产净值的140%；</w:t>
      </w:r>
    </w:p>
    <w:p w14:paraId="11B8F3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（18）本基金投资存托凭证的比例限制依照境内上市交易的股票执行；</w:t>
      </w:r>
    </w:p>
    <w:p w14:paraId="7F6BEF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（18）法律法规及中国证监会规定的和《基金合同》约定的其他投资限制。</w:t>
      </w:r>
    </w:p>
    <w:p w14:paraId="6AD011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4B2E4D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A5FDCA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5A9FB7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2、禁止行为</w:t>
      </w:r>
    </w:p>
    <w:p w14:paraId="3C5526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29BCB6F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（1）承销证券；</w:t>
      </w:r>
    </w:p>
    <w:p w14:paraId="47C32C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259F06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60C50E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02B926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13FC2B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4C1243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73A9268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B375C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55EE71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（五）业绩比较基准</w:t>
      </w:r>
    </w:p>
    <w:p w14:paraId="377F01E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沪深300指数收益率×20%+恒生指数收益率×5%+中证综合债券指数收益率×75%</w:t>
      </w:r>
    </w:p>
    <w:p w14:paraId="1E78D8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A股资产投资的业绩比较基准。</w:t>
      </w:r>
    </w:p>
    <w:p w14:paraId="1D27E0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恒生指数是由恒生指数服务有限公司编制，以香港股票市场中的50 家上市股票为成份股样本，以其发行量为权数的加权平均股价指数，是反映香港股市价幅趋势最有影响的一种股价指数。</w:t>
      </w:r>
    </w:p>
    <w:p w14:paraId="1DEBFD1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中证综合债券指数是综合反映银行间债券市场和沪深交易所债券市场国债、金</w:t>
      </w:r>
      <w:r>
        <w:rPr>
          <w:rFonts w:ascii="宋体" w:hAnsi="宋体"/>
          <w:sz w:val="24"/>
        </w:rPr>
        <w:lastRenderedPageBreak/>
        <w:t>融债、企业债、央行票据及短期融资券整体走势的跨市场债券指数，该指数旨在更全面地反映我国债券市场的整体价格变动趋势，具有较强的市场代表性，适合作为本基金债券资产投资的业绩比较基准。</w:t>
      </w:r>
    </w:p>
    <w:p w14:paraId="01587E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根据本基金的投资范围和投资比例，选用上述业绩比较基准能够客观、合理地反映本基金的风险收益特征。</w:t>
      </w:r>
    </w:p>
    <w:p w14:paraId="3B032B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03B207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（六）风险收益特征</w:t>
      </w:r>
    </w:p>
    <w:p w14:paraId="5FD183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本基金是一只混合型基金，其预期风险和预期收益高于债券型基金和货币市场基金，低于股票型基金。</w:t>
      </w:r>
    </w:p>
    <w:p w14:paraId="03A71F3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本基金可投资港股通标的股票，会面临港股通机制下因投资环境、投资标的、市场制度以及交易规则等差异带来的特有风险。</w:t>
      </w:r>
    </w:p>
    <w:p w14:paraId="3D65D062"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（七）基金管理人代表基金行使股东或债权人权利的处理原则及方法</w:t>
      </w:r>
    </w:p>
    <w:p w14:paraId="05F811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1、基金管理人按照国家有关规定代表基金独立行使股东或债权人权利，保护基金份额持有人的利益；</w:t>
      </w:r>
    </w:p>
    <w:p w14:paraId="18B2E4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2、不谋求对上市公司的控股；</w:t>
      </w:r>
    </w:p>
    <w:p w14:paraId="21E99F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3、有利于基金财产的安全与增值；</w:t>
      </w:r>
    </w:p>
    <w:p w14:paraId="1AA5EC1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4、不通过关联交易为自身、雇员、授权代理人或任何存在利害关系的第三人牟取任何不当利益。</w:t>
      </w:r>
    </w:p>
    <w:p w14:paraId="6A5F519F"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（八）侧袋机制的实施和投资运作安排</w:t>
      </w:r>
    </w:p>
    <w:p w14:paraId="65CB39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405A42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侧袋机制实施期间，本部分约定的投资组合比例、投资策略、组合限制、业绩比较基准、风险收益特征等约定仅适用于主袋账户。</w:t>
      </w:r>
    </w:p>
    <w:p w14:paraId="61C87B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侧袋账户的实施条件、实施程序、运作安排、投资安排、特定资产的处置变现和支付等对投资者权益有重大影响的事项详见本招募说明书“侧袋机制”部分的规定。</w:t>
      </w:r>
    </w:p>
    <w:p w14:paraId="632E9322"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（九）投资决策依据和投资流程</w:t>
      </w:r>
    </w:p>
    <w:p w14:paraId="0CCF63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1、投资决策依据</w:t>
      </w:r>
    </w:p>
    <w:p w14:paraId="0B2D0C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（1）国家有关法律法规和基金合同的有关规定；</w:t>
      </w:r>
    </w:p>
    <w:p w14:paraId="5A45402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（2）公司投资及风险控制政策；</w:t>
      </w:r>
    </w:p>
    <w:p w14:paraId="2DBACD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（3）宏观经济发展态势、证券市场运行环境和走势，以及上市公司的基本面；</w:t>
      </w:r>
    </w:p>
    <w:p w14:paraId="7273C6F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（4）投资对象的预期收益和预期风险的匹配关系，本基金将在承担适度风险的范围内，选择收益风险配比最佳的品种进行投资。</w:t>
      </w:r>
    </w:p>
    <w:p w14:paraId="5EA5D7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2、投资决策机制</w:t>
      </w:r>
    </w:p>
    <w:p w14:paraId="1B43E3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167E61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基金经理的主要职责是在投资决策委员会确定的资产配置范围内构建和调整投资组合，并向中央交易室下达投资指令。</w:t>
      </w:r>
    </w:p>
    <w:p w14:paraId="0973640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中央交易室负责交易执行和一线监控。通过严格的交易制度和实时的一线监控功能，保证基金经理的投资指令在合法、合规的前提下得到高效的执行。</w:t>
      </w:r>
    </w:p>
    <w:p w14:paraId="2AD14F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3、投资管理流程</w:t>
      </w:r>
    </w:p>
    <w:p w14:paraId="3AF28E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p>
    <w:p w14:paraId="064474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（1）研究部宏观分析师、策略分析师、行业分析师、信用分析师、数量分析师各自独立完成相应的研究报告，为投资决策提供依据；</w:t>
      </w:r>
    </w:p>
    <w:p w14:paraId="0B33D9B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（2）投资决策委员会每月召开投资决策会议，对资产配置比例提出指导性意见，并讨论股票、债券的投资重点等；</w:t>
      </w:r>
    </w:p>
    <w:p w14:paraId="5F33D9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p>
    <w:p w14:paraId="632FFBE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（4）基金经理根据基金投资组合方案，向中央交易室下达交易指令；</w:t>
      </w:r>
    </w:p>
    <w:p w14:paraId="42DEC8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（5）交易指令通过风控系统的自动合规核查后，由中央交易室执行，中央交易室对交易情况及时反馈；</w:t>
      </w:r>
    </w:p>
    <w:p w14:paraId="77B112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（6）基金经理对每日交易执行情况进行回顾，并审视基金投资组合的变动情况；</w:t>
      </w:r>
    </w:p>
    <w:p w14:paraId="5F1ACC0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（7）风险管理部定期完成有关投资风险监控报告，量化投资部定期完成基金业绩评估报告。</w:t>
      </w:r>
    </w:p>
    <w:p w14:paraId="2212431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投资决策委员会有权根据市场变化和实际情况的需要，对上述投资管理程序作出调整。</w:t>
      </w:r>
    </w:p>
    <w:p w14:paraId="31A5CB8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（十）基金投资组合报告</w:t>
      </w:r>
    </w:p>
    <w:p w14:paraId="407E27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本基金管理人的董事会及董事保证本报告所载资料不存在虚假记载、误导性陈述或重大遗漏，并对其内容的真实性、准确性和完整性承担个别及连带责任。</w:t>
      </w:r>
    </w:p>
    <w:p w14:paraId="42B886B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本基金托管人中信银行股份有限公司根据本基金合同规定，于2021年07月19日复核了本报告中的财务指标、净值表现和投资组合报告等内容，保证复核内容不存在虚假记载、误导性陈述或者重大遗漏。</w:t>
      </w:r>
    </w:p>
    <w:p w14:paraId="3C148D8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本报告期为2021年04月01日起06月30日至。本报告财务资料未经审计师审计。</w:t>
      </w:r>
    </w:p>
    <w:p w14:paraId="7B85F0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1、报告期末基金资产组合情况</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B164D3" w14:paraId="371200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5C77694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C0E3B1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项目</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8FD654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2C22332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占基金总资产的比例（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27AF729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AE7AE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8ACB62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权益投资</w:t>
            </w:r>
          </w:p>
        </w:tc>
        <w:tc>
          <w:tcPr>
            <w:tcW w:w="750" w:type="pct"/>
            <w:tcBorders>
              <w:top w:val="single" w:sz="4" w:space="0" w:color="auto"/>
              <w:left w:val="single" w:sz="4" w:space="0" w:color="auto"/>
              <w:bottom w:val="single" w:sz="4" w:space="0" w:color="auto"/>
              <w:right w:val="single" w:sz="4" w:space="0" w:color="auto"/>
            </w:tcBorders>
            <w:vAlign w:val="center"/>
          </w:tcPr>
          <w:p w14:paraId="44D584C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142,639,790.78</w:t>
            </w:r>
          </w:p>
        </w:tc>
        <w:tc>
          <w:tcPr>
            <w:tcW w:w="400" w:type="pct"/>
            <w:tcBorders>
              <w:top w:val="single" w:sz="4" w:space="0" w:color="auto"/>
              <w:left w:val="single" w:sz="4" w:space="0" w:color="auto"/>
              <w:bottom w:val="single" w:sz="4" w:space="0" w:color="auto"/>
              <w:right w:val="single" w:sz="4" w:space="0" w:color="auto"/>
            </w:tcBorders>
            <w:vAlign w:val="center"/>
          </w:tcPr>
          <w:p w14:paraId="4E54D65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15.96</w:t>
            </w:r>
          </w:p>
        </w:tc>
      </w:tr>
      <w:tr w:rsidR="00B164D3" w14:paraId="0156CB0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0CCD4E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D10F3B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其中：股票</w:t>
            </w:r>
          </w:p>
        </w:tc>
        <w:tc>
          <w:tcPr>
            <w:tcW w:w="750" w:type="pct"/>
            <w:tcBorders>
              <w:top w:val="single" w:sz="4" w:space="0" w:color="auto"/>
              <w:left w:val="single" w:sz="4" w:space="0" w:color="auto"/>
              <w:bottom w:val="single" w:sz="4" w:space="0" w:color="auto"/>
              <w:right w:val="single" w:sz="4" w:space="0" w:color="auto"/>
            </w:tcBorders>
            <w:vAlign w:val="center"/>
          </w:tcPr>
          <w:p w14:paraId="2E62A41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142,639,790.78</w:t>
            </w:r>
          </w:p>
        </w:tc>
        <w:tc>
          <w:tcPr>
            <w:tcW w:w="400" w:type="pct"/>
            <w:tcBorders>
              <w:top w:val="single" w:sz="4" w:space="0" w:color="auto"/>
              <w:left w:val="single" w:sz="4" w:space="0" w:color="auto"/>
              <w:bottom w:val="single" w:sz="4" w:space="0" w:color="auto"/>
              <w:right w:val="single" w:sz="4" w:space="0" w:color="auto"/>
            </w:tcBorders>
            <w:vAlign w:val="center"/>
          </w:tcPr>
          <w:p w14:paraId="193E2D2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15.96</w:t>
            </w:r>
          </w:p>
        </w:tc>
      </w:tr>
      <w:tr w:rsidR="00B164D3" w14:paraId="43E188C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B74BD7"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7E56CD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基金投资</w:t>
            </w:r>
          </w:p>
        </w:tc>
        <w:tc>
          <w:tcPr>
            <w:tcW w:w="750" w:type="pct"/>
            <w:tcBorders>
              <w:top w:val="single" w:sz="4" w:space="0" w:color="auto"/>
              <w:left w:val="single" w:sz="4" w:space="0" w:color="auto"/>
              <w:bottom w:val="single" w:sz="4" w:space="0" w:color="auto"/>
              <w:right w:val="single" w:sz="4" w:space="0" w:color="auto"/>
            </w:tcBorders>
            <w:vAlign w:val="center"/>
          </w:tcPr>
          <w:p w14:paraId="078C811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441302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2D2C7C7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E4A46F7"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42913C6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固定收益投资</w:t>
            </w:r>
          </w:p>
        </w:tc>
        <w:tc>
          <w:tcPr>
            <w:tcW w:w="750" w:type="pct"/>
            <w:tcBorders>
              <w:top w:val="single" w:sz="4" w:space="0" w:color="auto"/>
              <w:left w:val="single" w:sz="4" w:space="0" w:color="auto"/>
              <w:bottom w:val="single" w:sz="4" w:space="0" w:color="auto"/>
              <w:right w:val="single" w:sz="4" w:space="0" w:color="auto"/>
            </w:tcBorders>
            <w:vAlign w:val="center"/>
          </w:tcPr>
          <w:p w14:paraId="58C84BD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689,776,071.60</w:t>
            </w:r>
          </w:p>
        </w:tc>
        <w:tc>
          <w:tcPr>
            <w:tcW w:w="400" w:type="pct"/>
            <w:tcBorders>
              <w:top w:val="single" w:sz="4" w:space="0" w:color="auto"/>
              <w:left w:val="single" w:sz="4" w:space="0" w:color="auto"/>
              <w:bottom w:val="single" w:sz="4" w:space="0" w:color="auto"/>
              <w:right w:val="single" w:sz="4" w:space="0" w:color="auto"/>
            </w:tcBorders>
            <w:vAlign w:val="center"/>
          </w:tcPr>
          <w:p w14:paraId="17121E9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77.16</w:t>
            </w:r>
          </w:p>
        </w:tc>
      </w:tr>
      <w:tr w:rsidR="00B164D3" w14:paraId="1DA607F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EB0CE5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7FE9581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其中：债券</w:t>
            </w:r>
          </w:p>
        </w:tc>
        <w:tc>
          <w:tcPr>
            <w:tcW w:w="750" w:type="pct"/>
            <w:tcBorders>
              <w:top w:val="single" w:sz="4" w:space="0" w:color="auto"/>
              <w:left w:val="single" w:sz="4" w:space="0" w:color="auto"/>
              <w:bottom w:val="single" w:sz="4" w:space="0" w:color="auto"/>
              <w:right w:val="single" w:sz="4" w:space="0" w:color="auto"/>
            </w:tcBorders>
            <w:vAlign w:val="center"/>
          </w:tcPr>
          <w:p w14:paraId="35E46A4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689,776,071.60</w:t>
            </w:r>
          </w:p>
        </w:tc>
        <w:tc>
          <w:tcPr>
            <w:tcW w:w="400" w:type="pct"/>
            <w:tcBorders>
              <w:top w:val="single" w:sz="4" w:space="0" w:color="auto"/>
              <w:left w:val="single" w:sz="4" w:space="0" w:color="auto"/>
              <w:bottom w:val="single" w:sz="4" w:space="0" w:color="auto"/>
              <w:right w:val="single" w:sz="4" w:space="0" w:color="auto"/>
            </w:tcBorders>
            <w:vAlign w:val="center"/>
          </w:tcPr>
          <w:p w14:paraId="16CEFBF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77.16</w:t>
            </w:r>
          </w:p>
        </w:tc>
      </w:tr>
      <w:tr w:rsidR="00B164D3" w14:paraId="75CEA74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8BFCD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666EF4A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资产支持证券</w:t>
            </w:r>
          </w:p>
        </w:tc>
        <w:tc>
          <w:tcPr>
            <w:tcW w:w="750" w:type="pct"/>
            <w:tcBorders>
              <w:top w:val="single" w:sz="4" w:space="0" w:color="auto"/>
              <w:left w:val="single" w:sz="4" w:space="0" w:color="auto"/>
              <w:bottom w:val="single" w:sz="4" w:space="0" w:color="auto"/>
              <w:right w:val="single" w:sz="4" w:space="0" w:color="auto"/>
            </w:tcBorders>
            <w:vAlign w:val="center"/>
          </w:tcPr>
          <w:p w14:paraId="49ADA2B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548D2E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42E3805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3F428B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18CA806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贵金属投资</w:t>
            </w:r>
          </w:p>
        </w:tc>
        <w:tc>
          <w:tcPr>
            <w:tcW w:w="750" w:type="pct"/>
            <w:tcBorders>
              <w:top w:val="single" w:sz="4" w:space="0" w:color="auto"/>
              <w:left w:val="single" w:sz="4" w:space="0" w:color="auto"/>
              <w:bottom w:val="single" w:sz="4" w:space="0" w:color="auto"/>
              <w:right w:val="single" w:sz="4" w:space="0" w:color="auto"/>
            </w:tcBorders>
            <w:vAlign w:val="center"/>
          </w:tcPr>
          <w:p w14:paraId="2BAC77F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1282E6F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52C8284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CBECDE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2EED603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金融衍生品投资</w:t>
            </w:r>
          </w:p>
        </w:tc>
        <w:tc>
          <w:tcPr>
            <w:tcW w:w="750" w:type="pct"/>
            <w:tcBorders>
              <w:top w:val="single" w:sz="4" w:space="0" w:color="auto"/>
              <w:left w:val="single" w:sz="4" w:space="0" w:color="auto"/>
              <w:bottom w:val="single" w:sz="4" w:space="0" w:color="auto"/>
              <w:right w:val="single" w:sz="4" w:space="0" w:color="auto"/>
            </w:tcBorders>
            <w:vAlign w:val="center"/>
          </w:tcPr>
          <w:p w14:paraId="63912D9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38FE81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52454E6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BD144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67C02A1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521B413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35,000,000.00</w:t>
            </w:r>
          </w:p>
        </w:tc>
        <w:tc>
          <w:tcPr>
            <w:tcW w:w="400" w:type="pct"/>
            <w:tcBorders>
              <w:top w:val="single" w:sz="4" w:space="0" w:color="auto"/>
              <w:left w:val="single" w:sz="4" w:space="0" w:color="auto"/>
              <w:bottom w:val="single" w:sz="4" w:space="0" w:color="auto"/>
              <w:right w:val="single" w:sz="4" w:space="0" w:color="auto"/>
            </w:tcBorders>
            <w:vAlign w:val="center"/>
          </w:tcPr>
          <w:p w14:paraId="7AA2CAA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3.92</w:t>
            </w:r>
          </w:p>
        </w:tc>
      </w:tr>
      <w:tr w:rsidR="00B164D3" w14:paraId="1F733C3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DE527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370F434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其中：买断式回购的买入返售金融资产</w:t>
            </w:r>
          </w:p>
        </w:tc>
        <w:tc>
          <w:tcPr>
            <w:tcW w:w="750" w:type="pct"/>
            <w:tcBorders>
              <w:top w:val="single" w:sz="4" w:space="0" w:color="auto"/>
              <w:left w:val="single" w:sz="4" w:space="0" w:color="auto"/>
              <w:bottom w:val="single" w:sz="4" w:space="0" w:color="auto"/>
              <w:right w:val="single" w:sz="4" w:space="0" w:color="auto"/>
            </w:tcBorders>
            <w:vAlign w:val="center"/>
          </w:tcPr>
          <w:p w14:paraId="5F95BC2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0E604CE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64F8D91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2DA055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210AA72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银行存款和结算备付金合计</w:t>
            </w:r>
          </w:p>
        </w:tc>
        <w:tc>
          <w:tcPr>
            <w:tcW w:w="750" w:type="pct"/>
            <w:tcBorders>
              <w:top w:val="single" w:sz="4" w:space="0" w:color="auto"/>
              <w:left w:val="single" w:sz="4" w:space="0" w:color="auto"/>
              <w:bottom w:val="single" w:sz="4" w:space="0" w:color="auto"/>
              <w:right w:val="single" w:sz="4" w:space="0" w:color="auto"/>
            </w:tcBorders>
            <w:vAlign w:val="center"/>
          </w:tcPr>
          <w:p w14:paraId="30BB5BE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11,698,770.13</w:t>
            </w:r>
          </w:p>
        </w:tc>
        <w:tc>
          <w:tcPr>
            <w:tcW w:w="400" w:type="pct"/>
            <w:tcBorders>
              <w:top w:val="single" w:sz="4" w:space="0" w:color="auto"/>
              <w:left w:val="single" w:sz="4" w:space="0" w:color="auto"/>
              <w:bottom w:val="single" w:sz="4" w:space="0" w:color="auto"/>
              <w:right w:val="single" w:sz="4" w:space="0" w:color="auto"/>
            </w:tcBorders>
            <w:vAlign w:val="center"/>
          </w:tcPr>
          <w:p w14:paraId="1EC0C95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1.31</w:t>
            </w:r>
          </w:p>
        </w:tc>
      </w:tr>
      <w:tr w:rsidR="00B164D3" w14:paraId="18174A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9ACE99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398A6CC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其他资产</w:t>
            </w:r>
          </w:p>
        </w:tc>
        <w:tc>
          <w:tcPr>
            <w:tcW w:w="750" w:type="pct"/>
            <w:tcBorders>
              <w:top w:val="single" w:sz="4" w:space="0" w:color="auto"/>
              <w:left w:val="single" w:sz="4" w:space="0" w:color="auto"/>
              <w:bottom w:val="single" w:sz="4" w:space="0" w:color="auto"/>
              <w:right w:val="single" w:sz="4" w:space="0" w:color="auto"/>
            </w:tcBorders>
            <w:vAlign w:val="center"/>
          </w:tcPr>
          <w:p w14:paraId="0E7C9C4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14,804,777.66</w:t>
            </w:r>
          </w:p>
        </w:tc>
        <w:tc>
          <w:tcPr>
            <w:tcW w:w="400" w:type="pct"/>
            <w:tcBorders>
              <w:top w:val="single" w:sz="4" w:space="0" w:color="auto"/>
              <w:left w:val="single" w:sz="4" w:space="0" w:color="auto"/>
              <w:bottom w:val="single" w:sz="4" w:space="0" w:color="auto"/>
              <w:right w:val="single" w:sz="4" w:space="0" w:color="auto"/>
            </w:tcBorders>
            <w:vAlign w:val="center"/>
          </w:tcPr>
          <w:p w14:paraId="5D837B1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1.66</w:t>
            </w:r>
          </w:p>
        </w:tc>
      </w:tr>
      <w:tr w:rsidR="00B164D3" w14:paraId="28F0915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9A7BB7"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5188F385"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0DF31F9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893,919,410.17</w:t>
            </w:r>
          </w:p>
        </w:tc>
        <w:tc>
          <w:tcPr>
            <w:tcW w:w="400" w:type="pct"/>
            <w:tcBorders>
              <w:top w:val="single" w:sz="4" w:space="0" w:color="auto"/>
              <w:left w:val="single" w:sz="4" w:space="0" w:color="auto"/>
              <w:bottom w:val="single" w:sz="4" w:space="0" w:color="auto"/>
              <w:right w:val="single" w:sz="4" w:space="0" w:color="auto"/>
            </w:tcBorders>
            <w:vAlign w:val="center"/>
          </w:tcPr>
          <w:p w14:paraId="430EC6E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100.00</w:t>
            </w:r>
          </w:p>
        </w:tc>
      </w:tr>
    </w:tbl>
    <w:p w14:paraId="300463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注：本基金本报告期末通过港股通机制投资香港股票的公允价值为4372630.33</w:t>
      </w:r>
      <w:r>
        <w:rPr>
          <w:rFonts w:ascii="宋体" w:hAnsi="宋体"/>
          <w:sz w:val="24"/>
        </w:rPr>
        <w:lastRenderedPageBreak/>
        <w:t>元，占基金资产净值比例为0.50%。</w:t>
      </w:r>
    </w:p>
    <w:p w14:paraId="337504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2、报告期末按行业分类的股票投资组合</w:t>
      </w:r>
    </w:p>
    <w:p w14:paraId="2B2D99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 报告期末按行业分类的境内股票投资组合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B164D3" w14:paraId="6D649E9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0F6864F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2F6B1D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D11A24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688C675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0F02375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824CC9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A</w:t>
            </w:r>
          </w:p>
        </w:tc>
        <w:tc>
          <w:tcPr>
            <w:tcW w:w="750" w:type="pct"/>
            <w:tcBorders>
              <w:top w:val="single" w:sz="4" w:space="0" w:color="auto"/>
              <w:left w:val="single" w:sz="4" w:space="0" w:color="auto"/>
              <w:bottom w:val="single" w:sz="4" w:space="0" w:color="auto"/>
              <w:right w:val="single" w:sz="4" w:space="0" w:color="auto"/>
            </w:tcBorders>
            <w:vAlign w:val="center"/>
          </w:tcPr>
          <w:p w14:paraId="46CA811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农、林、牧、渔业</w:t>
            </w:r>
          </w:p>
        </w:tc>
        <w:tc>
          <w:tcPr>
            <w:tcW w:w="750" w:type="pct"/>
            <w:tcBorders>
              <w:top w:val="single" w:sz="4" w:space="0" w:color="auto"/>
              <w:left w:val="single" w:sz="4" w:space="0" w:color="auto"/>
              <w:bottom w:val="single" w:sz="4" w:space="0" w:color="auto"/>
              <w:right w:val="single" w:sz="4" w:space="0" w:color="auto"/>
            </w:tcBorders>
            <w:vAlign w:val="center"/>
          </w:tcPr>
          <w:p w14:paraId="61C667C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11,290.28</w:t>
            </w:r>
          </w:p>
        </w:tc>
        <w:tc>
          <w:tcPr>
            <w:tcW w:w="400" w:type="pct"/>
            <w:tcBorders>
              <w:top w:val="single" w:sz="4" w:space="0" w:color="auto"/>
              <w:left w:val="single" w:sz="4" w:space="0" w:color="auto"/>
              <w:bottom w:val="single" w:sz="4" w:space="0" w:color="auto"/>
              <w:right w:val="single" w:sz="4" w:space="0" w:color="auto"/>
            </w:tcBorders>
            <w:vAlign w:val="center"/>
          </w:tcPr>
          <w:p w14:paraId="138922A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B164D3" w14:paraId="2AF291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117E3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B</w:t>
            </w:r>
          </w:p>
        </w:tc>
        <w:tc>
          <w:tcPr>
            <w:tcW w:w="750" w:type="pct"/>
            <w:tcBorders>
              <w:top w:val="single" w:sz="4" w:space="0" w:color="auto"/>
              <w:left w:val="single" w:sz="4" w:space="0" w:color="auto"/>
              <w:bottom w:val="single" w:sz="4" w:space="0" w:color="auto"/>
              <w:right w:val="single" w:sz="4" w:space="0" w:color="auto"/>
            </w:tcBorders>
            <w:vAlign w:val="center"/>
          </w:tcPr>
          <w:p w14:paraId="3124B32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采矿业</w:t>
            </w:r>
          </w:p>
        </w:tc>
        <w:tc>
          <w:tcPr>
            <w:tcW w:w="750" w:type="pct"/>
            <w:tcBorders>
              <w:top w:val="single" w:sz="4" w:space="0" w:color="auto"/>
              <w:left w:val="single" w:sz="4" w:space="0" w:color="auto"/>
              <w:bottom w:val="single" w:sz="4" w:space="0" w:color="auto"/>
              <w:right w:val="single" w:sz="4" w:space="0" w:color="auto"/>
            </w:tcBorders>
            <w:vAlign w:val="center"/>
          </w:tcPr>
          <w:p w14:paraId="67F942C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3,762,644.62</w:t>
            </w:r>
          </w:p>
        </w:tc>
        <w:tc>
          <w:tcPr>
            <w:tcW w:w="400" w:type="pct"/>
            <w:tcBorders>
              <w:top w:val="single" w:sz="4" w:space="0" w:color="auto"/>
              <w:left w:val="single" w:sz="4" w:space="0" w:color="auto"/>
              <w:bottom w:val="single" w:sz="4" w:space="0" w:color="auto"/>
              <w:right w:val="single" w:sz="4" w:space="0" w:color="auto"/>
            </w:tcBorders>
            <w:vAlign w:val="center"/>
          </w:tcPr>
          <w:p w14:paraId="60835F7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0.43</w:t>
            </w:r>
          </w:p>
        </w:tc>
      </w:tr>
      <w:tr w:rsidR="00B164D3" w14:paraId="15E40FF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D708A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C</w:t>
            </w:r>
          </w:p>
        </w:tc>
        <w:tc>
          <w:tcPr>
            <w:tcW w:w="750" w:type="pct"/>
            <w:tcBorders>
              <w:top w:val="single" w:sz="4" w:space="0" w:color="auto"/>
              <w:left w:val="single" w:sz="4" w:space="0" w:color="auto"/>
              <w:bottom w:val="single" w:sz="4" w:space="0" w:color="auto"/>
              <w:right w:val="single" w:sz="4" w:space="0" w:color="auto"/>
            </w:tcBorders>
            <w:vAlign w:val="center"/>
          </w:tcPr>
          <w:p w14:paraId="72749B0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制造业</w:t>
            </w:r>
          </w:p>
        </w:tc>
        <w:tc>
          <w:tcPr>
            <w:tcW w:w="750" w:type="pct"/>
            <w:tcBorders>
              <w:top w:val="single" w:sz="4" w:space="0" w:color="auto"/>
              <w:left w:val="single" w:sz="4" w:space="0" w:color="auto"/>
              <w:bottom w:val="single" w:sz="4" w:space="0" w:color="auto"/>
              <w:right w:val="single" w:sz="4" w:space="0" w:color="auto"/>
            </w:tcBorders>
            <w:vAlign w:val="center"/>
          </w:tcPr>
          <w:p w14:paraId="7E6D497D"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56,476,174.93</w:t>
            </w:r>
          </w:p>
        </w:tc>
        <w:tc>
          <w:tcPr>
            <w:tcW w:w="400" w:type="pct"/>
            <w:tcBorders>
              <w:top w:val="single" w:sz="4" w:space="0" w:color="auto"/>
              <w:left w:val="single" w:sz="4" w:space="0" w:color="auto"/>
              <w:bottom w:val="single" w:sz="4" w:space="0" w:color="auto"/>
              <w:right w:val="single" w:sz="4" w:space="0" w:color="auto"/>
            </w:tcBorders>
            <w:vAlign w:val="center"/>
          </w:tcPr>
          <w:p w14:paraId="41A945B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6.39</w:t>
            </w:r>
          </w:p>
        </w:tc>
      </w:tr>
      <w:tr w:rsidR="00B164D3" w14:paraId="415434F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946319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D</w:t>
            </w:r>
          </w:p>
        </w:tc>
        <w:tc>
          <w:tcPr>
            <w:tcW w:w="750" w:type="pct"/>
            <w:tcBorders>
              <w:top w:val="single" w:sz="4" w:space="0" w:color="auto"/>
              <w:left w:val="single" w:sz="4" w:space="0" w:color="auto"/>
              <w:bottom w:val="single" w:sz="4" w:space="0" w:color="auto"/>
              <w:right w:val="single" w:sz="4" w:space="0" w:color="auto"/>
            </w:tcBorders>
            <w:vAlign w:val="center"/>
          </w:tcPr>
          <w:p w14:paraId="44E8DE5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电力、热力、燃气及水生产和供应业</w:t>
            </w:r>
          </w:p>
        </w:tc>
        <w:tc>
          <w:tcPr>
            <w:tcW w:w="750" w:type="pct"/>
            <w:tcBorders>
              <w:top w:val="single" w:sz="4" w:space="0" w:color="auto"/>
              <w:left w:val="single" w:sz="4" w:space="0" w:color="auto"/>
              <w:bottom w:val="single" w:sz="4" w:space="0" w:color="auto"/>
              <w:right w:val="single" w:sz="4" w:space="0" w:color="auto"/>
            </w:tcBorders>
            <w:vAlign w:val="center"/>
          </w:tcPr>
          <w:p w14:paraId="34A6BF2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5,151,678.21</w:t>
            </w:r>
          </w:p>
        </w:tc>
        <w:tc>
          <w:tcPr>
            <w:tcW w:w="400" w:type="pct"/>
            <w:tcBorders>
              <w:top w:val="single" w:sz="4" w:space="0" w:color="auto"/>
              <w:left w:val="single" w:sz="4" w:space="0" w:color="auto"/>
              <w:bottom w:val="single" w:sz="4" w:space="0" w:color="auto"/>
              <w:right w:val="single" w:sz="4" w:space="0" w:color="auto"/>
            </w:tcBorders>
            <w:vAlign w:val="center"/>
          </w:tcPr>
          <w:p w14:paraId="7C00AF5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0.58</w:t>
            </w:r>
          </w:p>
        </w:tc>
      </w:tr>
      <w:tr w:rsidR="00B164D3" w14:paraId="532CA25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6819C5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E</w:t>
            </w:r>
          </w:p>
        </w:tc>
        <w:tc>
          <w:tcPr>
            <w:tcW w:w="750" w:type="pct"/>
            <w:tcBorders>
              <w:top w:val="single" w:sz="4" w:space="0" w:color="auto"/>
              <w:left w:val="single" w:sz="4" w:space="0" w:color="auto"/>
              <w:bottom w:val="single" w:sz="4" w:space="0" w:color="auto"/>
              <w:right w:val="single" w:sz="4" w:space="0" w:color="auto"/>
            </w:tcBorders>
            <w:vAlign w:val="center"/>
          </w:tcPr>
          <w:p w14:paraId="4558561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建筑业</w:t>
            </w:r>
          </w:p>
        </w:tc>
        <w:tc>
          <w:tcPr>
            <w:tcW w:w="750" w:type="pct"/>
            <w:tcBorders>
              <w:top w:val="single" w:sz="4" w:space="0" w:color="auto"/>
              <w:left w:val="single" w:sz="4" w:space="0" w:color="auto"/>
              <w:bottom w:val="single" w:sz="4" w:space="0" w:color="auto"/>
              <w:right w:val="single" w:sz="4" w:space="0" w:color="auto"/>
            </w:tcBorders>
            <w:vAlign w:val="center"/>
          </w:tcPr>
          <w:p w14:paraId="68EB233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8,844,981.37</w:t>
            </w:r>
          </w:p>
        </w:tc>
        <w:tc>
          <w:tcPr>
            <w:tcW w:w="400" w:type="pct"/>
            <w:tcBorders>
              <w:top w:val="single" w:sz="4" w:space="0" w:color="auto"/>
              <w:left w:val="single" w:sz="4" w:space="0" w:color="auto"/>
              <w:bottom w:val="single" w:sz="4" w:space="0" w:color="auto"/>
              <w:right w:val="single" w:sz="4" w:space="0" w:color="auto"/>
            </w:tcBorders>
            <w:vAlign w:val="center"/>
          </w:tcPr>
          <w:p w14:paraId="1FB3E38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1.00</w:t>
            </w:r>
          </w:p>
        </w:tc>
      </w:tr>
      <w:tr w:rsidR="00B164D3" w14:paraId="500C3F0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25D87F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F</w:t>
            </w:r>
          </w:p>
        </w:tc>
        <w:tc>
          <w:tcPr>
            <w:tcW w:w="750" w:type="pct"/>
            <w:tcBorders>
              <w:top w:val="single" w:sz="4" w:space="0" w:color="auto"/>
              <w:left w:val="single" w:sz="4" w:space="0" w:color="auto"/>
              <w:bottom w:val="single" w:sz="4" w:space="0" w:color="auto"/>
              <w:right w:val="single" w:sz="4" w:space="0" w:color="auto"/>
            </w:tcBorders>
            <w:vAlign w:val="center"/>
          </w:tcPr>
          <w:p w14:paraId="0936528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批发和零售业</w:t>
            </w:r>
          </w:p>
        </w:tc>
        <w:tc>
          <w:tcPr>
            <w:tcW w:w="750" w:type="pct"/>
            <w:tcBorders>
              <w:top w:val="single" w:sz="4" w:space="0" w:color="auto"/>
              <w:left w:val="single" w:sz="4" w:space="0" w:color="auto"/>
              <w:bottom w:val="single" w:sz="4" w:space="0" w:color="auto"/>
              <w:right w:val="single" w:sz="4" w:space="0" w:color="auto"/>
            </w:tcBorders>
            <w:vAlign w:val="center"/>
          </w:tcPr>
          <w:p w14:paraId="040883E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67,112.46</w:t>
            </w:r>
          </w:p>
        </w:tc>
        <w:tc>
          <w:tcPr>
            <w:tcW w:w="400" w:type="pct"/>
            <w:tcBorders>
              <w:top w:val="single" w:sz="4" w:space="0" w:color="auto"/>
              <w:left w:val="single" w:sz="4" w:space="0" w:color="auto"/>
              <w:bottom w:val="single" w:sz="4" w:space="0" w:color="auto"/>
              <w:right w:val="single" w:sz="4" w:space="0" w:color="auto"/>
            </w:tcBorders>
            <w:vAlign w:val="center"/>
          </w:tcPr>
          <w:p w14:paraId="55B9B2C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0.01</w:t>
            </w:r>
          </w:p>
        </w:tc>
      </w:tr>
      <w:tr w:rsidR="00B164D3" w14:paraId="1BD5677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DBCFD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G</w:t>
            </w:r>
          </w:p>
        </w:tc>
        <w:tc>
          <w:tcPr>
            <w:tcW w:w="750" w:type="pct"/>
            <w:tcBorders>
              <w:top w:val="single" w:sz="4" w:space="0" w:color="auto"/>
              <w:left w:val="single" w:sz="4" w:space="0" w:color="auto"/>
              <w:bottom w:val="single" w:sz="4" w:space="0" w:color="auto"/>
              <w:right w:val="single" w:sz="4" w:space="0" w:color="auto"/>
            </w:tcBorders>
            <w:vAlign w:val="center"/>
          </w:tcPr>
          <w:p w14:paraId="0BC1E14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交通运输、仓储和邮政业</w:t>
            </w:r>
          </w:p>
        </w:tc>
        <w:tc>
          <w:tcPr>
            <w:tcW w:w="750" w:type="pct"/>
            <w:tcBorders>
              <w:top w:val="single" w:sz="4" w:space="0" w:color="auto"/>
              <w:left w:val="single" w:sz="4" w:space="0" w:color="auto"/>
              <w:bottom w:val="single" w:sz="4" w:space="0" w:color="auto"/>
              <w:right w:val="single" w:sz="4" w:space="0" w:color="auto"/>
            </w:tcBorders>
            <w:vAlign w:val="center"/>
          </w:tcPr>
          <w:p w14:paraId="27EAFBD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12,456,292.56</w:t>
            </w:r>
          </w:p>
        </w:tc>
        <w:tc>
          <w:tcPr>
            <w:tcW w:w="400" w:type="pct"/>
            <w:tcBorders>
              <w:top w:val="single" w:sz="4" w:space="0" w:color="auto"/>
              <w:left w:val="single" w:sz="4" w:space="0" w:color="auto"/>
              <w:bottom w:val="single" w:sz="4" w:space="0" w:color="auto"/>
              <w:right w:val="single" w:sz="4" w:space="0" w:color="auto"/>
            </w:tcBorders>
            <w:vAlign w:val="center"/>
          </w:tcPr>
          <w:p w14:paraId="7CCB3C4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1.41</w:t>
            </w:r>
          </w:p>
        </w:tc>
      </w:tr>
      <w:tr w:rsidR="00B164D3" w14:paraId="001F724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4EE603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H</w:t>
            </w:r>
          </w:p>
        </w:tc>
        <w:tc>
          <w:tcPr>
            <w:tcW w:w="750" w:type="pct"/>
            <w:tcBorders>
              <w:top w:val="single" w:sz="4" w:space="0" w:color="auto"/>
              <w:left w:val="single" w:sz="4" w:space="0" w:color="auto"/>
              <w:bottom w:val="single" w:sz="4" w:space="0" w:color="auto"/>
              <w:right w:val="single" w:sz="4" w:space="0" w:color="auto"/>
            </w:tcBorders>
            <w:vAlign w:val="center"/>
          </w:tcPr>
          <w:p w14:paraId="27EF36F1"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住宿和餐饮业</w:t>
            </w:r>
          </w:p>
        </w:tc>
        <w:tc>
          <w:tcPr>
            <w:tcW w:w="750" w:type="pct"/>
            <w:tcBorders>
              <w:top w:val="single" w:sz="4" w:space="0" w:color="auto"/>
              <w:left w:val="single" w:sz="4" w:space="0" w:color="auto"/>
              <w:bottom w:val="single" w:sz="4" w:space="0" w:color="auto"/>
              <w:right w:val="single" w:sz="4" w:space="0" w:color="auto"/>
            </w:tcBorders>
            <w:vAlign w:val="center"/>
          </w:tcPr>
          <w:p w14:paraId="1F1B7E2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CC3D71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76C226D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7027C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I</w:t>
            </w:r>
          </w:p>
        </w:tc>
        <w:tc>
          <w:tcPr>
            <w:tcW w:w="750" w:type="pct"/>
            <w:tcBorders>
              <w:top w:val="single" w:sz="4" w:space="0" w:color="auto"/>
              <w:left w:val="single" w:sz="4" w:space="0" w:color="auto"/>
              <w:bottom w:val="single" w:sz="4" w:space="0" w:color="auto"/>
              <w:right w:val="single" w:sz="4" w:space="0" w:color="auto"/>
            </w:tcBorders>
            <w:vAlign w:val="center"/>
          </w:tcPr>
          <w:p w14:paraId="56B294D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信息传输、软件和信息技术服务业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1C0425D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6,046,145.51</w:t>
            </w:r>
          </w:p>
        </w:tc>
        <w:tc>
          <w:tcPr>
            <w:tcW w:w="400" w:type="pct"/>
            <w:tcBorders>
              <w:top w:val="single" w:sz="4" w:space="0" w:color="auto"/>
              <w:left w:val="single" w:sz="4" w:space="0" w:color="auto"/>
              <w:bottom w:val="single" w:sz="4" w:space="0" w:color="auto"/>
              <w:right w:val="single" w:sz="4" w:space="0" w:color="auto"/>
            </w:tcBorders>
            <w:vAlign w:val="center"/>
          </w:tcPr>
          <w:p w14:paraId="662D668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0.68</w:t>
            </w:r>
          </w:p>
        </w:tc>
      </w:tr>
      <w:tr w:rsidR="00B164D3" w14:paraId="5C0EB2D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1583CD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J</w:t>
            </w:r>
          </w:p>
        </w:tc>
        <w:tc>
          <w:tcPr>
            <w:tcW w:w="750" w:type="pct"/>
            <w:tcBorders>
              <w:top w:val="single" w:sz="4" w:space="0" w:color="auto"/>
              <w:left w:val="single" w:sz="4" w:space="0" w:color="auto"/>
              <w:bottom w:val="single" w:sz="4" w:space="0" w:color="auto"/>
              <w:right w:val="single" w:sz="4" w:space="0" w:color="auto"/>
            </w:tcBorders>
            <w:vAlign w:val="center"/>
          </w:tcPr>
          <w:p w14:paraId="0122524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金融业</w:t>
            </w:r>
          </w:p>
        </w:tc>
        <w:tc>
          <w:tcPr>
            <w:tcW w:w="750" w:type="pct"/>
            <w:tcBorders>
              <w:top w:val="single" w:sz="4" w:space="0" w:color="auto"/>
              <w:left w:val="single" w:sz="4" w:space="0" w:color="auto"/>
              <w:bottom w:val="single" w:sz="4" w:space="0" w:color="auto"/>
              <w:right w:val="single" w:sz="4" w:space="0" w:color="auto"/>
            </w:tcBorders>
            <w:vAlign w:val="center"/>
          </w:tcPr>
          <w:p w14:paraId="1CBB4FA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35,343,923.49</w:t>
            </w:r>
          </w:p>
        </w:tc>
        <w:tc>
          <w:tcPr>
            <w:tcW w:w="400" w:type="pct"/>
            <w:tcBorders>
              <w:top w:val="single" w:sz="4" w:space="0" w:color="auto"/>
              <w:left w:val="single" w:sz="4" w:space="0" w:color="auto"/>
              <w:bottom w:val="single" w:sz="4" w:space="0" w:color="auto"/>
              <w:right w:val="single" w:sz="4" w:space="0" w:color="auto"/>
            </w:tcBorders>
            <w:vAlign w:val="center"/>
          </w:tcPr>
          <w:p w14:paraId="58EB75A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4.00</w:t>
            </w:r>
          </w:p>
        </w:tc>
      </w:tr>
      <w:tr w:rsidR="00B164D3" w14:paraId="08F604E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AF0F39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K</w:t>
            </w:r>
          </w:p>
        </w:tc>
        <w:tc>
          <w:tcPr>
            <w:tcW w:w="750" w:type="pct"/>
            <w:tcBorders>
              <w:top w:val="single" w:sz="4" w:space="0" w:color="auto"/>
              <w:left w:val="single" w:sz="4" w:space="0" w:color="auto"/>
              <w:bottom w:val="single" w:sz="4" w:space="0" w:color="auto"/>
              <w:right w:val="single" w:sz="4" w:space="0" w:color="auto"/>
            </w:tcBorders>
            <w:vAlign w:val="center"/>
          </w:tcPr>
          <w:p w14:paraId="48BD0AB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房地产业</w:t>
            </w:r>
          </w:p>
        </w:tc>
        <w:tc>
          <w:tcPr>
            <w:tcW w:w="750" w:type="pct"/>
            <w:tcBorders>
              <w:top w:val="single" w:sz="4" w:space="0" w:color="auto"/>
              <w:left w:val="single" w:sz="4" w:space="0" w:color="auto"/>
              <w:bottom w:val="single" w:sz="4" w:space="0" w:color="auto"/>
              <w:right w:val="single" w:sz="4" w:space="0" w:color="auto"/>
            </w:tcBorders>
            <w:vAlign w:val="center"/>
          </w:tcPr>
          <w:p w14:paraId="1751172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5,759,639.00</w:t>
            </w:r>
          </w:p>
        </w:tc>
        <w:tc>
          <w:tcPr>
            <w:tcW w:w="400" w:type="pct"/>
            <w:tcBorders>
              <w:top w:val="single" w:sz="4" w:space="0" w:color="auto"/>
              <w:left w:val="single" w:sz="4" w:space="0" w:color="auto"/>
              <w:bottom w:val="single" w:sz="4" w:space="0" w:color="auto"/>
              <w:right w:val="single" w:sz="4" w:space="0" w:color="auto"/>
            </w:tcBorders>
            <w:vAlign w:val="center"/>
          </w:tcPr>
          <w:p w14:paraId="1CF1F2A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0.65</w:t>
            </w:r>
          </w:p>
        </w:tc>
      </w:tr>
      <w:tr w:rsidR="00B164D3" w14:paraId="4789B71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127A3E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L</w:t>
            </w:r>
          </w:p>
        </w:tc>
        <w:tc>
          <w:tcPr>
            <w:tcW w:w="750" w:type="pct"/>
            <w:tcBorders>
              <w:top w:val="single" w:sz="4" w:space="0" w:color="auto"/>
              <w:left w:val="single" w:sz="4" w:space="0" w:color="auto"/>
              <w:bottom w:val="single" w:sz="4" w:space="0" w:color="auto"/>
              <w:right w:val="single" w:sz="4" w:space="0" w:color="auto"/>
            </w:tcBorders>
            <w:vAlign w:val="center"/>
          </w:tcPr>
          <w:p w14:paraId="48C8C54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租赁和商务服务业</w:t>
            </w:r>
          </w:p>
        </w:tc>
        <w:tc>
          <w:tcPr>
            <w:tcW w:w="750" w:type="pct"/>
            <w:tcBorders>
              <w:top w:val="single" w:sz="4" w:space="0" w:color="auto"/>
              <w:left w:val="single" w:sz="4" w:space="0" w:color="auto"/>
              <w:bottom w:val="single" w:sz="4" w:space="0" w:color="auto"/>
              <w:right w:val="single" w:sz="4" w:space="0" w:color="auto"/>
            </w:tcBorders>
            <w:vAlign w:val="center"/>
          </w:tcPr>
          <w:p w14:paraId="5944997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37BF78C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2B59EB0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94117A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M</w:t>
            </w:r>
          </w:p>
        </w:tc>
        <w:tc>
          <w:tcPr>
            <w:tcW w:w="750" w:type="pct"/>
            <w:tcBorders>
              <w:top w:val="single" w:sz="4" w:space="0" w:color="auto"/>
              <w:left w:val="single" w:sz="4" w:space="0" w:color="auto"/>
              <w:bottom w:val="single" w:sz="4" w:space="0" w:color="auto"/>
              <w:right w:val="single" w:sz="4" w:space="0" w:color="auto"/>
            </w:tcBorders>
            <w:vAlign w:val="center"/>
          </w:tcPr>
          <w:p w14:paraId="2134A9D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科学研究和技术服务业</w:t>
            </w:r>
          </w:p>
        </w:tc>
        <w:tc>
          <w:tcPr>
            <w:tcW w:w="750" w:type="pct"/>
            <w:tcBorders>
              <w:top w:val="single" w:sz="4" w:space="0" w:color="auto"/>
              <w:left w:val="single" w:sz="4" w:space="0" w:color="auto"/>
              <w:bottom w:val="single" w:sz="4" w:space="0" w:color="auto"/>
              <w:right w:val="single" w:sz="4" w:space="0" w:color="auto"/>
            </w:tcBorders>
            <w:vAlign w:val="center"/>
          </w:tcPr>
          <w:p w14:paraId="7C64B74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881,650.00</w:t>
            </w:r>
          </w:p>
        </w:tc>
        <w:tc>
          <w:tcPr>
            <w:tcW w:w="400" w:type="pct"/>
            <w:tcBorders>
              <w:top w:val="single" w:sz="4" w:space="0" w:color="auto"/>
              <w:left w:val="single" w:sz="4" w:space="0" w:color="auto"/>
              <w:bottom w:val="single" w:sz="4" w:space="0" w:color="auto"/>
              <w:right w:val="single" w:sz="4" w:space="0" w:color="auto"/>
            </w:tcBorders>
            <w:vAlign w:val="center"/>
          </w:tcPr>
          <w:p w14:paraId="3ED9247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0.10</w:t>
            </w:r>
          </w:p>
        </w:tc>
      </w:tr>
      <w:tr w:rsidR="00B164D3" w14:paraId="6FE21D1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39A9C6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N</w:t>
            </w:r>
          </w:p>
        </w:tc>
        <w:tc>
          <w:tcPr>
            <w:tcW w:w="750" w:type="pct"/>
            <w:tcBorders>
              <w:top w:val="single" w:sz="4" w:space="0" w:color="auto"/>
              <w:left w:val="single" w:sz="4" w:space="0" w:color="auto"/>
              <w:bottom w:val="single" w:sz="4" w:space="0" w:color="auto"/>
              <w:right w:val="single" w:sz="4" w:space="0" w:color="auto"/>
            </w:tcBorders>
            <w:vAlign w:val="center"/>
          </w:tcPr>
          <w:p w14:paraId="4D6DDC2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水利、环境和公共设施管理业</w:t>
            </w:r>
          </w:p>
        </w:tc>
        <w:tc>
          <w:tcPr>
            <w:tcW w:w="750" w:type="pct"/>
            <w:tcBorders>
              <w:top w:val="single" w:sz="4" w:space="0" w:color="auto"/>
              <w:left w:val="single" w:sz="4" w:space="0" w:color="auto"/>
              <w:bottom w:val="single" w:sz="4" w:space="0" w:color="auto"/>
              <w:right w:val="single" w:sz="4" w:space="0" w:color="auto"/>
            </w:tcBorders>
            <w:vAlign w:val="center"/>
          </w:tcPr>
          <w:p w14:paraId="0AA29BE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13,285.02</w:t>
            </w:r>
          </w:p>
        </w:tc>
        <w:tc>
          <w:tcPr>
            <w:tcW w:w="400" w:type="pct"/>
            <w:tcBorders>
              <w:top w:val="single" w:sz="4" w:space="0" w:color="auto"/>
              <w:left w:val="single" w:sz="4" w:space="0" w:color="auto"/>
              <w:bottom w:val="single" w:sz="4" w:space="0" w:color="auto"/>
              <w:right w:val="single" w:sz="4" w:space="0" w:color="auto"/>
            </w:tcBorders>
            <w:vAlign w:val="center"/>
          </w:tcPr>
          <w:p w14:paraId="1B42E1E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0.00</w:t>
            </w:r>
          </w:p>
        </w:tc>
      </w:tr>
      <w:tr w:rsidR="00B164D3" w14:paraId="737909C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83971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O</w:t>
            </w:r>
          </w:p>
        </w:tc>
        <w:tc>
          <w:tcPr>
            <w:tcW w:w="750" w:type="pct"/>
            <w:tcBorders>
              <w:top w:val="single" w:sz="4" w:space="0" w:color="auto"/>
              <w:left w:val="single" w:sz="4" w:space="0" w:color="auto"/>
              <w:bottom w:val="single" w:sz="4" w:space="0" w:color="auto"/>
              <w:right w:val="single" w:sz="4" w:space="0" w:color="auto"/>
            </w:tcBorders>
            <w:vAlign w:val="center"/>
          </w:tcPr>
          <w:p w14:paraId="6348E23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居民服务、修理和其他服务业</w:t>
            </w:r>
          </w:p>
        </w:tc>
        <w:tc>
          <w:tcPr>
            <w:tcW w:w="750" w:type="pct"/>
            <w:tcBorders>
              <w:top w:val="single" w:sz="4" w:space="0" w:color="auto"/>
              <w:left w:val="single" w:sz="4" w:space="0" w:color="auto"/>
              <w:bottom w:val="single" w:sz="4" w:space="0" w:color="auto"/>
              <w:right w:val="single" w:sz="4" w:space="0" w:color="auto"/>
            </w:tcBorders>
            <w:vAlign w:val="center"/>
          </w:tcPr>
          <w:p w14:paraId="7E1B380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541AC3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49F38C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78257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P</w:t>
            </w:r>
          </w:p>
        </w:tc>
        <w:tc>
          <w:tcPr>
            <w:tcW w:w="750" w:type="pct"/>
            <w:tcBorders>
              <w:top w:val="single" w:sz="4" w:space="0" w:color="auto"/>
              <w:left w:val="single" w:sz="4" w:space="0" w:color="auto"/>
              <w:bottom w:val="single" w:sz="4" w:space="0" w:color="auto"/>
              <w:right w:val="single" w:sz="4" w:space="0" w:color="auto"/>
            </w:tcBorders>
            <w:vAlign w:val="center"/>
          </w:tcPr>
          <w:p w14:paraId="6D42969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教育</w:t>
            </w:r>
          </w:p>
        </w:tc>
        <w:tc>
          <w:tcPr>
            <w:tcW w:w="750" w:type="pct"/>
            <w:tcBorders>
              <w:top w:val="single" w:sz="4" w:space="0" w:color="auto"/>
              <w:left w:val="single" w:sz="4" w:space="0" w:color="auto"/>
              <w:bottom w:val="single" w:sz="4" w:space="0" w:color="auto"/>
              <w:right w:val="single" w:sz="4" w:space="0" w:color="auto"/>
            </w:tcBorders>
            <w:vAlign w:val="center"/>
          </w:tcPr>
          <w:p w14:paraId="2E98979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1,291,002.00</w:t>
            </w:r>
          </w:p>
        </w:tc>
        <w:tc>
          <w:tcPr>
            <w:tcW w:w="400" w:type="pct"/>
            <w:tcBorders>
              <w:top w:val="single" w:sz="4" w:space="0" w:color="auto"/>
              <w:left w:val="single" w:sz="4" w:space="0" w:color="auto"/>
              <w:bottom w:val="single" w:sz="4" w:space="0" w:color="auto"/>
              <w:right w:val="single" w:sz="4" w:space="0" w:color="auto"/>
            </w:tcBorders>
            <w:vAlign w:val="center"/>
          </w:tcPr>
          <w:p w14:paraId="2EFD640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0.15</w:t>
            </w:r>
          </w:p>
        </w:tc>
      </w:tr>
      <w:tr w:rsidR="00B164D3" w14:paraId="520633E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F6AA52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Q</w:t>
            </w:r>
          </w:p>
        </w:tc>
        <w:tc>
          <w:tcPr>
            <w:tcW w:w="750" w:type="pct"/>
            <w:tcBorders>
              <w:top w:val="single" w:sz="4" w:space="0" w:color="auto"/>
              <w:left w:val="single" w:sz="4" w:space="0" w:color="auto"/>
              <w:bottom w:val="single" w:sz="4" w:space="0" w:color="auto"/>
              <w:right w:val="single" w:sz="4" w:space="0" w:color="auto"/>
            </w:tcBorders>
            <w:vAlign w:val="center"/>
          </w:tcPr>
          <w:p w14:paraId="594E53A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卫生和社会工作</w:t>
            </w:r>
          </w:p>
        </w:tc>
        <w:tc>
          <w:tcPr>
            <w:tcW w:w="750" w:type="pct"/>
            <w:tcBorders>
              <w:top w:val="single" w:sz="4" w:space="0" w:color="auto"/>
              <w:left w:val="single" w:sz="4" w:space="0" w:color="auto"/>
              <w:bottom w:val="single" w:sz="4" w:space="0" w:color="auto"/>
              <w:right w:val="single" w:sz="4" w:space="0" w:color="auto"/>
            </w:tcBorders>
            <w:vAlign w:val="center"/>
          </w:tcPr>
          <w:p w14:paraId="2CEC3E5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7E20F93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1A11342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30245A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R</w:t>
            </w:r>
          </w:p>
        </w:tc>
        <w:tc>
          <w:tcPr>
            <w:tcW w:w="750" w:type="pct"/>
            <w:tcBorders>
              <w:top w:val="single" w:sz="4" w:space="0" w:color="auto"/>
              <w:left w:val="single" w:sz="4" w:space="0" w:color="auto"/>
              <w:bottom w:val="single" w:sz="4" w:space="0" w:color="auto"/>
              <w:right w:val="single" w:sz="4" w:space="0" w:color="auto"/>
            </w:tcBorders>
            <w:vAlign w:val="center"/>
          </w:tcPr>
          <w:p w14:paraId="19366FC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文化、体育和娱乐业</w:t>
            </w:r>
          </w:p>
        </w:tc>
        <w:tc>
          <w:tcPr>
            <w:tcW w:w="750" w:type="pct"/>
            <w:tcBorders>
              <w:top w:val="single" w:sz="4" w:space="0" w:color="auto"/>
              <w:left w:val="single" w:sz="4" w:space="0" w:color="auto"/>
              <w:bottom w:val="single" w:sz="4" w:space="0" w:color="auto"/>
              <w:right w:val="single" w:sz="4" w:space="0" w:color="auto"/>
            </w:tcBorders>
            <w:vAlign w:val="center"/>
          </w:tcPr>
          <w:p w14:paraId="586C19C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625253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1D6A83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10A841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S</w:t>
            </w:r>
          </w:p>
        </w:tc>
        <w:tc>
          <w:tcPr>
            <w:tcW w:w="750" w:type="pct"/>
            <w:tcBorders>
              <w:top w:val="single" w:sz="4" w:space="0" w:color="auto"/>
              <w:left w:val="single" w:sz="4" w:space="0" w:color="auto"/>
              <w:bottom w:val="single" w:sz="4" w:space="0" w:color="auto"/>
              <w:right w:val="single" w:sz="4" w:space="0" w:color="auto"/>
            </w:tcBorders>
            <w:vAlign w:val="center"/>
          </w:tcPr>
          <w:p w14:paraId="2B7A9B4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综合</w:t>
            </w:r>
          </w:p>
        </w:tc>
        <w:tc>
          <w:tcPr>
            <w:tcW w:w="750" w:type="pct"/>
            <w:tcBorders>
              <w:top w:val="single" w:sz="4" w:space="0" w:color="auto"/>
              <w:left w:val="single" w:sz="4" w:space="0" w:color="auto"/>
              <w:bottom w:val="single" w:sz="4" w:space="0" w:color="auto"/>
              <w:right w:val="single" w:sz="4" w:space="0" w:color="auto"/>
            </w:tcBorders>
            <w:vAlign w:val="center"/>
          </w:tcPr>
          <w:p w14:paraId="19A4F294"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2,161,341.00</w:t>
            </w:r>
          </w:p>
        </w:tc>
        <w:tc>
          <w:tcPr>
            <w:tcW w:w="400" w:type="pct"/>
            <w:tcBorders>
              <w:top w:val="single" w:sz="4" w:space="0" w:color="auto"/>
              <w:left w:val="single" w:sz="4" w:space="0" w:color="auto"/>
              <w:bottom w:val="single" w:sz="4" w:space="0" w:color="auto"/>
              <w:right w:val="single" w:sz="4" w:space="0" w:color="auto"/>
            </w:tcBorders>
            <w:vAlign w:val="center"/>
          </w:tcPr>
          <w:p w14:paraId="67FAD92D"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0.24</w:t>
            </w:r>
          </w:p>
        </w:tc>
      </w:tr>
      <w:tr w:rsidR="00B164D3" w14:paraId="04BCDE0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A35D63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1E67E98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1376A8F4"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138,267,160.45</w:t>
            </w:r>
          </w:p>
        </w:tc>
        <w:tc>
          <w:tcPr>
            <w:tcW w:w="400" w:type="pct"/>
            <w:tcBorders>
              <w:top w:val="single" w:sz="4" w:space="0" w:color="auto"/>
              <w:left w:val="single" w:sz="4" w:space="0" w:color="auto"/>
              <w:bottom w:val="single" w:sz="4" w:space="0" w:color="auto"/>
              <w:right w:val="single" w:sz="4" w:space="0" w:color="auto"/>
            </w:tcBorders>
            <w:vAlign w:val="center"/>
          </w:tcPr>
          <w:p w14:paraId="4A3C420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15.65</w:t>
            </w:r>
          </w:p>
        </w:tc>
      </w:tr>
    </w:tbl>
    <w:p w14:paraId="5C9E9F3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 报告期末按行业分类的港股通投资股票投资组合</w:t>
      </w:r>
    </w:p>
    <w:tbl>
      <w:tblPr>
        <w:tblW w:w="5000" w:type="pct"/>
        <w:tblCellMar>
          <w:left w:w="0" w:type="dxa"/>
          <w:right w:w="0" w:type="dxa"/>
        </w:tblCellMar>
        <w:tblLook w:val="0000" w:firstRow="0" w:lastRow="0" w:firstColumn="0" w:lastColumn="0" w:noHBand="0" w:noVBand="0"/>
      </w:tblPr>
      <w:tblGrid>
        <w:gridCol w:w="1544"/>
        <w:gridCol w:w="4634"/>
        <w:gridCol w:w="2472"/>
      </w:tblGrid>
      <w:tr w:rsidR="00B164D3" w14:paraId="7533825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4C4DDCD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行业类别</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621CF26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公允价值（人民币）</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0B8B2C6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71A1773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1B7D3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原材料</w:t>
            </w:r>
          </w:p>
        </w:tc>
        <w:tc>
          <w:tcPr>
            <w:tcW w:w="750" w:type="pct"/>
            <w:tcBorders>
              <w:top w:val="single" w:sz="4" w:space="0" w:color="auto"/>
              <w:left w:val="single" w:sz="4" w:space="0" w:color="auto"/>
              <w:bottom w:val="single" w:sz="4" w:space="0" w:color="auto"/>
              <w:right w:val="single" w:sz="4" w:space="0" w:color="auto"/>
            </w:tcBorders>
            <w:vAlign w:val="center"/>
          </w:tcPr>
          <w:p w14:paraId="3DA0C4A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3,838,102.14</w:t>
            </w:r>
          </w:p>
        </w:tc>
        <w:tc>
          <w:tcPr>
            <w:tcW w:w="400" w:type="pct"/>
            <w:tcBorders>
              <w:top w:val="single" w:sz="4" w:space="0" w:color="auto"/>
              <w:left w:val="single" w:sz="4" w:space="0" w:color="auto"/>
              <w:bottom w:val="single" w:sz="4" w:space="0" w:color="auto"/>
              <w:right w:val="single" w:sz="4" w:space="0" w:color="auto"/>
            </w:tcBorders>
            <w:vAlign w:val="center"/>
          </w:tcPr>
          <w:p w14:paraId="5BA55B0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0.43</w:t>
            </w:r>
          </w:p>
        </w:tc>
      </w:tr>
      <w:tr w:rsidR="00B164D3" w14:paraId="5F0C2C1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A66DC0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信息技术</w:t>
            </w:r>
          </w:p>
        </w:tc>
        <w:tc>
          <w:tcPr>
            <w:tcW w:w="750" w:type="pct"/>
            <w:tcBorders>
              <w:top w:val="single" w:sz="4" w:space="0" w:color="auto"/>
              <w:left w:val="single" w:sz="4" w:space="0" w:color="auto"/>
              <w:bottom w:val="single" w:sz="4" w:space="0" w:color="auto"/>
              <w:right w:val="single" w:sz="4" w:space="0" w:color="auto"/>
            </w:tcBorders>
            <w:vAlign w:val="center"/>
          </w:tcPr>
          <w:p w14:paraId="3715011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534,528.19</w:t>
            </w:r>
          </w:p>
        </w:tc>
        <w:tc>
          <w:tcPr>
            <w:tcW w:w="400" w:type="pct"/>
            <w:tcBorders>
              <w:top w:val="single" w:sz="4" w:space="0" w:color="auto"/>
              <w:left w:val="single" w:sz="4" w:space="0" w:color="auto"/>
              <w:bottom w:val="single" w:sz="4" w:space="0" w:color="auto"/>
              <w:right w:val="single" w:sz="4" w:space="0" w:color="auto"/>
            </w:tcBorders>
            <w:vAlign w:val="center"/>
          </w:tcPr>
          <w:p w14:paraId="3BD7C0C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0.06</w:t>
            </w:r>
          </w:p>
        </w:tc>
      </w:tr>
      <w:tr w:rsidR="00B164D3" w14:paraId="6C1783B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1049AB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58AF497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4,372,630.33</w:t>
            </w:r>
          </w:p>
        </w:tc>
        <w:tc>
          <w:tcPr>
            <w:tcW w:w="400" w:type="pct"/>
            <w:tcBorders>
              <w:top w:val="single" w:sz="4" w:space="0" w:color="auto"/>
              <w:left w:val="single" w:sz="4" w:space="0" w:color="auto"/>
              <w:bottom w:val="single" w:sz="4" w:space="0" w:color="auto"/>
              <w:right w:val="single" w:sz="4" w:space="0" w:color="auto"/>
            </w:tcBorders>
            <w:vAlign w:val="center"/>
          </w:tcPr>
          <w:p w14:paraId="57A18FD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0.50</w:t>
            </w:r>
          </w:p>
        </w:tc>
      </w:tr>
    </w:tbl>
    <w:p w14:paraId="5D2408A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注：本报告采用中证CICS一级分类标准编制。</w:t>
      </w:r>
    </w:p>
    <w:p w14:paraId="4A6D939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3、报告期末按公允价值占基金资产净值比例大小排序的前十名股票投资明细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B164D3" w14:paraId="31AD4BA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68C2D66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5A8E8A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BF1BBA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3B830C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数量（股）</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C3551C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4905F8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70C66A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03D2E4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2625FC8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002064</w:t>
            </w:r>
          </w:p>
        </w:tc>
        <w:tc>
          <w:tcPr>
            <w:tcW w:w="750" w:type="pct"/>
            <w:tcBorders>
              <w:top w:val="single" w:sz="4" w:space="0" w:color="auto"/>
              <w:left w:val="single" w:sz="4" w:space="0" w:color="auto"/>
              <w:bottom w:val="single" w:sz="4" w:space="0" w:color="auto"/>
              <w:right w:val="single" w:sz="4" w:space="0" w:color="auto"/>
            </w:tcBorders>
            <w:vAlign w:val="center"/>
          </w:tcPr>
          <w:p w14:paraId="1A5524C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华峰化学</w:t>
            </w:r>
          </w:p>
        </w:tc>
        <w:tc>
          <w:tcPr>
            <w:tcW w:w="750" w:type="pct"/>
            <w:tcBorders>
              <w:top w:val="single" w:sz="4" w:space="0" w:color="auto"/>
              <w:left w:val="single" w:sz="4" w:space="0" w:color="auto"/>
              <w:bottom w:val="single" w:sz="4" w:space="0" w:color="auto"/>
              <w:right w:val="single" w:sz="4" w:space="0" w:color="auto"/>
            </w:tcBorders>
            <w:vAlign w:val="center"/>
          </w:tcPr>
          <w:p w14:paraId="4F71A5F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744,404</w:t>
            </w:r>
          </w:p>
        </w:tc>
        <w:tc>
          <w:tcPr>
            <w:tcW w:w="750" w:type="pct"/>
            <w:tcBorders>
              <w:top w:val="single" w:sz="4" w:space="0" w:color="auto"/>
              <w:left w:val="single" w:sz="4" w:space="0" w:color="auto"/>
              <w:bottom w:val="single" w:sz="4" w:space="0" w:color="auto"/>
              <w:right w:val="single" w:sz="4" w:space="0" w:color="auto"/>
            </w:tcBorders>
            <w:vAlign w:val="center"/>
          </w:tcPr>
          <w:p w14:paraId="55F7BD6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10,570,536.80</w:t>
            </w:r>
          </w:p>
        </w:tc>
        <w:tc>
          <w:tcPr>
            <w:tcW w:w="750" w:type="pct"/>
            <w:tcBorders>
              <w:top w:val="single" w:sz="4" w:space="0" w:color="auto"/>
              <w:left w:val="single" w:sz="4" w:space="0" w:color="auto"/>
              <w:bottom w:val="single" w:sz="4" w:space="0" w:color="auto"/>
              <w:right w:val="single" w:sz="4" w:space="0" w:color="auto"/>
            </w:tcBorders>
            <w:vAlign w:val="center"/>
          </w:tcPr>
          <w:p w14:paraId="1C29203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1.20</w:t>
            </w:r>
          </w:p>
        </w:tc>
      </w:tr>
      <w:tr w:rsidR="00B164D3" w14:paraId="0F6A3A6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6E3112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50165EA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002493</w:t>
            </w:r>
          </w:p>
        </w:tc>
        <w:tc>
          <w:tcPr>
            <w:tcW w:w="750" w:type="pct"/>
            <w:tcBorders>
              <w:top w:val="single" w:sz="4" w:space="0" w:color="auto"/>
              <w:left w:val="single" w:sz="4" w:space="0" w:color="auto"/>
              <w:bottom w:val="single" w:sz="4" w:space="0" w:color="auto"/>
              <w:right w:val="single" w:sz="4" w:space="0" w:color="auto"/>
            </w:tcBorders>
            <w:vAlign w:val="center"/>
          </w:tcPr>
          <w:p w14:paraId="053B450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荣盛石化</w:t>
            </w:r>
          </w:p>
        </w:tc>
        <w:tc>
          <w:tcPr>
            <w:tcW w:w="750" w:type="pct"/>
            <w:tcBorders>
              <w:top w:val="single" w:sz="4" w:space="0" w:color="auto"/>
              <w:left w:val="single" w:sz="4" w:space="0" w:color="auto"/>
              <w:bottom w:val="single" w:sz="4" w:space="0" w:color="auto"/>
              <w:right w:val="single" w:sz="4" w:space="0" w:color="auto"/>
            </w:tcBorders>
            <w:vAlign w:val="center"/>
          </w:tcPr>
          <w:p w14:paraId="4DD3F522"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469,650</w:t>
            </w:r>
          </w:p>
        </w:tc>
        <w:tc>
          <w:tcPr>
            <w:tcW w:w="750" w:type="pct"/>
            <w:tcBorders>
              <w:top w:val="single" w:sz="4" w:space="0" w:color="auto"/>
              <w:left w:val="single" w:sz="4" w:space="0" w:color="auto"/>
              <w:bottom w:val="single" w:sz="4" w:space="0" w:color="auto"/>
              <w:right w:val="single" w:sz="4" w:space="0" w:color="auto"/>
            </w:tcBorders>
            <w:vAlign w:val="center"/>
          </w:tcPr>
          <w:p w14:paraId="5770002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8,110,855.50</w:t>
            </w:r>
          </w:p>
        </w:tc>
        <w:tc>
          <w:tcPr>
            <w:tcW w:w="750" w:type="pct"/>
            <w:tcBorders>
              <w:top w:val="single" w:sz="4" w:space="0" w:color="auto"/>
              <w:left w:val="single" w:sz="4" w:space="0" w:color="auto"/>
              <w:bottom w:val="single" w:sz="4" w:space="0" w:color="auto"/>
              <w:right w:val="single" w:sz="4" w:space="0" w:color="auto"/>
            </w:tcBorders>
            <w:vAlign w:val="center"/>
          </w:tcPr>
          <w:p w14:paraId="7EC2BA1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0.92</w:t>
            </w:r>
          </w:p>
        </w:tc>
      </w:tr>
      <w:tr w:rsidR="00B164D3" w14:paraId="57FC88E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5076C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EE9DB4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600919</w:t>
            </w:r>
          </w:p>
        </w:tc>
        <w:tc>
          <w:tcPr>
            <w:tcW w:w="750" w:type="pct"/>
            <w:tcBorders>
              <w:top w:val="single" w:sz="4" w:space="0" w:color="auto"/>
              <w:left w:val="single" w:sz="4" w:space="0" w:color="auto"/>
              <w:bottom w:val="single" w:sz="4" w:space="0" w:color="auto"/>
              <w:right w:val="single" w:sz="4" w:space="0" w:color="auto"/>
            </w:tcBorders>
            <w:vAlign w:val="center"/>
          </w:tcPr>
          <w:p w14:paraId="0C8E201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江苏银行</w:t>
            </w:r>
          </w:p>
        </w:tc>
        <w:tc>
          <w:tcPr>
            <w:tcW w:w="750" w:type="pct"/>
            <w:tcBorders>
              <w:top w:val="single" w:sz="4" w:space="0" w:color="auto"/>
              <w:left w:val="single" w:sz="4" w:space="0" w:color="auto"/>
              <w:bottom w:val="single" w:sz="4" w:space="0" w:color="auto"/>
              <w:right w:val="single" w:sz="4" w:space="0" w:color="auto"/>
            </w:tcBorders>
            <w:vAlign w:val="center"/>
          </w:tcPr>
          <w:p w14:paraId="4372D2E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1,105,400</w:t>
            </w:r>
          </w:p>
        </w:tc>
        <w:tc>
          <w:tcPr>
            <w:tcW w:w="750" w:type="pct"/>
            <w:tcBorders>
              <w:top w:val="single" w:sz="4" w:space="0" w:color="auto"/>
              <w:left w:val="single" w:sz="4" w:space="0" w:color="auto"/>
              <w:bottom w:val="single" w:sz="4" w:space="0" w:color="auto"/>
              <w:right w:val="single" w:sz="4" w:space="0" w:color="auto"/>
            </w:tcBorders>
            <w:vAlign w:val="center"/>
          </w:tcPr>
          <w:p w14:paraId="27119DA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7,848,340.00</w:t>
            </w:r>
          </w:p>
        </w:tc>
        <w:tc>
          <w:tcPr>
            <w:tcW w:w="750" w:type="pct"/>
            <w:tcBorders>
              <w:top w:val="single" w:sz="4" w:space="0" w:color="auto"/>
              <w:left w:val="single" w:sz="4" w:space="0" w:color="auto"/>
              <w:bottom w:val="single" w:sz="4" w:space="0" w:color="auto"/>
              <w:right w:val="single" w:sz="4" w:space="0" w:color="auto"/>
            </w:tcBorders>
            <w:vAlign w:val="center"/>
          </w:tcPr>
          <w:p w14:paraId="69D97F7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0.89</w:t>
            </w:r>
          </w:p>
        </w:tc>
      </w:tr>
      <w:tr w:rsidR="00B164D3" w14:paraId="1FD9E30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E1C92A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9330C3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601601</w:t>
            </w:r>
          </w:p>
        </w:tc>
        <w:tc>
          <w:tcPr>
            <w:tcW w:w="750" w:type="pct"/>
            <w:tcBorders>
              <w:top w:val="single" w:sz="4" w:space="0" w:color="auto"/>
              <w:left w:val="single" w:sz="4" w:space="0" w:color="auto"/>
              <w:bottom w:val="single" w:sz="4" w:space="0" w:color="auto"/>
              <w:right w:val="single" w:sz="4" w:space="0" w:color="auto"/>
            </w:tcBorders>
            <w:vAlign w:val="center"/>
          </w:tcPr>
          <w:p w14:paraId="3668D4B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中国太保</w:t>
            </w:r>
          </w:p>
        </w:tc>
        <w:tc>
          <w:tcPr>
            <w:tcW w:w="750" w:type="pct"/>
            <w:tcBorders>
              <w:top w:val="single" w:sz="4" w:space="0" w:color="auto"/>
              <w:left w:val="single" w:sz="4" w:space="0" w:color="auto"/>
              <w:bottom w:val="single" w:sz="4" w:space="0" w:color="auto"/>
              <w:right w:val="single" w:sz="4" w:space="0" w:color="auto"/>
            </w:tcBorders>
            <w:vAlign w:val="center"/>
          </w:tcPr>
          <w:p w14:paraId="6EB4C9BD"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268,887</w:t>
            </w:r>
          </w:p>
        </w:tc>
        <w:tc>
          <w:tcPr>
            <w:tcW w:w="750" w:type="pct"/>
            <w:tcBorders>
              <w:top w:val="single" w:sz="4" w:space="0" w:color="auto"/>
              <w:left w:val="single" w:sz="4" w:space="0" w:color="auto"/>
              <w:bottom w:val="single" w:sz="4" w:space="0" w:color="auto"/>
              <w:right w:val="single" w:sz="4" w:space="0" w:color="auto"/>
            </w:tcBorders>
            <w:vAlign w:val="center"/>
          </w:tcPr>
          <w:p w14:paraId="28AC5B6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7,789,656.39</w:t>
            </w:r>
          </w:p>
        </w:tc>
        <w:tc>
          <w:tcPr>
            <w:tcW w:w="750" w:type="pct"/>
            <w:tcBorders>
              <w:top w:val="single" w:sz="4" w:space="0" w:color="auto"/>
              <w:left w:val="single" w:sz="4" w:space="0" w:color="auto"/>
              <w:bottom w:val="single" w:sz="4" w:space="0" w:color="auto"/>
              <w:right w:val="single" w:sz="4" w:space="0" w:color="auto"/>
            </w:tcBorders>
            <w:vAlign w:val="center"/>
          </w:tcPr>
          <w:p w14:paraId="773AA50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0.88</w:t>
            </w:r>
          </w:p>
        </w:tc>
      </w:tr>
      <w:tr w:rsidR="00B164D3" w14:paraId="7BED49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4E6286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0CA7DF9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601838</w:t>
            </w:r>
          </w:p>
        </w:tc>
        <w:tc>
          <w:tcPr>
            <w:tcW w:w="750" w:type="pct"/>
            <w:tcBorders>
              <w:top w:val="single" w:sz="4" w:space="0" w:color="auto"/>
              <w:left w:val="single" w:sz="4" w:space="0" w:color="auto"/>
              <w:bottom w:val="single" w:sz="4" w:space="0" w:color="auto"/>
              <w:right w:val="single" w:sz="4" w:space="0" w:color="auto"/>
            </w:tcBorders>
            <w:vAlign w:val="center"/>
          </w:tcPr>
          <w:p w14:paraId="1F3A63B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成都银行</w:t>
            </w:r>
          </w:p>
        </w:tc>
        <w:tc>
          <w:tcPr>
            <w:tcW w:w="750" w:type="pct"/>
            <w:tcBorders>
              <w:top w:val="single" w:sz="4" w:space="0" w:color="auto"/>
              <w:left w:val="single" w:sz="4" w:space="0" w:color="auto"/>
              <w:bottom w:val="single" w:sz="4" w:space="0" w:color="auto"/>
              <w:right w:val="single" w:sz="4" w:space="0" w:color="auto"/>
            </w:tcBorders>
            <w:vAlign w:val="center"/>
          </w:tcPr>
          <w:p w14:paraId="1E109A4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611,800</w:t>
            </w:r>
          </w:p>
        </w:tc>
        <w:tc>
          <w:tcPr>
            <w:tcW w:w="750" w:type="pct"/>
            <w:tcBorders>
              <w:top w:val="single" w:sz="4" w:space="0" w:color="auto"/>
              <w:left w:val="single" w:sz="4" w:space="0" w:color="auto"/>
              <w:bottom w:val="single" w:sz="4" w:space="0" w:color="auto"/>
              <w:right w:val="single" w:sz="4" w:space="0" w:color="auto"/>
            </w:tcBorders>
            <w:vAlign w:val="center"/>
          </w:tcPr>
          <w:p w14:paraId="7DFC83F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7,733,152.00</w:t>
            </w:r>
          </w:p>
        </w:tc>
        <w:tc>
          <w:tcPr>
            <w:tcW w:w="750" w:type="pct"/>
            <w:tcBorders>
              <w:top w:val="single" w:sz="4" w:space="0" w:color="auto"/>
              <w:left w:val="single" w:sz="4" w:space="0" w:color="auto"/>
              <w:bottom w:val="single" w:sz="4" w:space="0" w:color="auto"/>
              <w:right w:val="single" w:sz="4" w:space="0" w:color="auto"/>
            </w:tcBorders>
            <w:vAlign w:val="center"/>
          </w:tcPr>
          <w:p w14:paraId="5B5F8E9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0.88</w:t>
            </w:r>
          </w:p>
        </w:tc>
      </w:tr>
      <w:tr w:rsidR="00B164D3" w14:paraId="57A0403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93C254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73701CB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000001</w:t>
            </w:r>
          </w:p>
        </w:tc>
        <w:tc>
          <w:tcPr>
            <w:tcW w:w="750" w:type="pct"/>
            <w:tcBorders>
              <w:top w:val="single" w:sz="4" w:space="0" w:color="auto"/>
              <w:left w:val="single" w:sz="4" w:space="0" w:color="auto"/>
              <w:bottom w:val="single" w:sz="4" w:space="0" w:color="auto"/>
              <w:right w:val="single" w:sz="4" w:space="0" w:color="auto"/>
            </w:tcBorders>
            <w:vAlign w:val="center"/>
          </w:tcPr>
          <w:p w14:paraId="2F0B851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平安银行</w:t>
            </w:r>
          </w:p>
        </w:tc>
        <w:tc>
          <w:tcPr>
            <w:tcW w:w="750" w:type="pct"/>
            <w:tcBorders>
              <w:top w:val="single" w:sz="4" w:space="0" w:color="auto"/>
              <w:left w:val="single" w:sz="4" w:space="0" w:color="auto"/>
              <w:bottom w:val="single" w:sz="4" w:space="0" w:color="auto"/>
              <w:right w:val="single" w:sz="4" w:space="0" w:color="auto"/>
            </w:tcBorders>
            <w:vAlign w:val="center"/>
          </w:tcPr>
          <w:p w14:paraId="67FD4B5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309,000</w:t>
            </w:r>
          </w:p>
        </w:tc>
        <w:tc>
          <w:tcPr>
            <w:tcW w:w="750" w:type="pct"/>
            <w:tcBorders>
              <w:top w:val="single" w:sz="4" w:space="0" w:color="auto"/>
              <w:left w:val="single" w:sz="4" w:space="0" w:color="auto"/>
              <w:bottom w:val="single" w:sz="4" w:space="0" w:color="auto"/>
              <w:right w:val="single" w:sz="4" w:space="0" w:color="auto"/>
            </w:tcBorders>
            <w:vAlign w:val="center"/>
          </w:tcPr>
          <w:p w14:paraId="7B41660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6,989,580.00</w:t>
            </w:r>
          </w:p>
        </w:tc>
        <w:tc>
          <w:tcPr>
            <w:tcW w:w="750" w:type="pct"/>
            <w:tcBorders>
              <w:top w:val="single" w:sz="4" w:space="0" w:color="auto"/>
              <w:left w:val="single" w:sz="4" w:space="0" w:color="auto"/>
              <w:bottom w:val="single" w:sz="4" w:space="0" w:color="auto"/>
              <w:right w:val="single" w:sz="4" w:space="0" w:color="auto"/>
            </w:tcBorders>
            <w:vAlign w:val="center"/>
          </w:tcPr>
          <w:p w14:paraId="16F5328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0.79</w:t>
            </w:r>
          </w:p>
        </w:tc>
      </w:tr>
      <w:tr w:rsidR="00B164D3" w14:paraId="67973C8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9CCF37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06A4385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603799</w:t>
            </w:r>
          </w:p>
        </w:tc>
        <w:tc>
          <w:tcPr>
            <w:tcW w:w="750" w:type="pct"/>
            <w:tcBorders>
              <w:top w:val="single" w:sz="4" w:space="0" w:color="auto"/>
              <w:left w:val="single" w:sz="4" w:space="0" w:color="auto"/>
              <w:bottom w:val="single" w:sz="4" w:space="0" w:color="auto"/>
              <w:right w:val="single" w:sz="4" w:space="0" w:color="auto"/>
            </w:tcBorders>
            <w:vAlign w:val="center"/>
          </w:tcPr>
          <w:p w14:paraId="6512A9A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华友钴业</w:t>
            </w:r>
          </w:p>
        </w:tc>
        <w:tc>
          <w:tcPr>
            <w:tcW w:w="750" w:type="pct"/>
            <w:tcBorders>
              <w:top w:val="single" w:sz="4" w:space="0" w:color="auto"/>
              <w:left w:val="single" w:sz="4" w:space="0" w:color="auto"/>
              <w:bottom w:val="single" w:sz="4" w:space="0" w:color="auto"/>
              <w:right w:val="single" w:sz="4" w:space="0" w:color="auto"/>
            </w:tcBorders>
            <w:vAlign w:val="center"/>
          </w:tcPr>
          <w:p w14:paraId="1803B7D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60,600</w:t>
            </w:r>
          </w:p>
        </w:tc>
        <w:tc>
          <w:tcPr>
            <w:tcW w:w="750" w:type="pct"/>
            <w:tcBorders>
              <w:top w:val="single" w:sz="4" w:space="0" w:color="auto"/>
              <w:left w:val="single" w:sz="4" w:space="0" w:color="auto"/>
              <w:bottom w:val="single" w:sz="4" w:space="0" w:color="auto"/>
              <w:right w:val="single" w:sz="4" w:space="0" w:color="auto"/>
            </w:tcBorders>
            <w:vAlign w:val="center"/>
          </w:tcPr>
          <w:p w14:paraId="61B0D88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6,920,520.00</w:t>
            </w:r>
          </w:p>
        </w:tc>
        <w:tc>
          <w:tcPr>
            <w:tcW w:w="750" w:type="pct"/>
            <w:tcBorders>
              <w:top w:val="single" w:sz="4" w:space="0" w:color="auto"/>
              <w:left w:val="single" w:sz="4" w:space="0" w:color="auto"/>
              <w:bottom w:val="single" w:sz="4" w:space="0" w:color="auto"/>
              <w:right w:val="single" w:sz="4" w:space="0" w:color="auto"/>
            </w:tcBorders>
            <w:vAlign w:val="center"/>
          </w:tcPr>
          <w:p w14:paraId="58704F1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0.78</w:t>
            </w:r>
          </w:p>
        </w:tc>
      </w:tr>
      <w:tr w:rsidR="00B164D3" w14:paraId="3039C28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FFB28E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515D999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601117</w:t>
            </w:r>
          </w:p>
        </w:tc>
        <w:tc>
          <w:tcPr>
            <w:tcW w:w="750" w:type="pct"/>
            <w:tcBorders>
              <w:top w:val="single" w:sz="4" w:space="0" w:color="auto"/>
              <w:left w:val="single" w:sz="4" w:space="0" w:color="auto"/>
              <w:bottom w:val="single" w:sz="4" w:space="0" w:color="auto"/>
              <w:right w:val="single" w:sz="4" w:space="0" w:color="auto"/>
            </w:tcBorders>
            <w:vAlign w:val="center"/>
          </w:tcPr>
          <w:p w14:paraId="0ED9DDA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中国化学</w:t>
            </w:r>
          </w:p>
        </w:tc>
        <w:tc>
          <w:tcPr>
            <w:tcW w:w="750" w:type="pct"/>
            <w:tcBorders>
              <w:top w:val="single" w:sz="4" w:space="0" w:color="auto"/>
              <w:left w:val="single" w:sz="4" w:space="0" w:color="auto"/>
              <w:bottom w:val="single" w:sz="4" w:space="0" w:color="auto"/>
              <w:right w:val="single" w:sz="4" w:space="0" w:color="auto"/>
            </w:tcBorders>
            <w:vAlign w:val="center"/>
          </w:tcPr>
          <w:p w14:paraId="5718C7B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741,500</w:t>
            </w:r>
          </w:p>
        </w:tc>
        <w:tc>
          <w:tcPr>
            <w:tcW w:w="750" w:type="pct"/>
            <w:tcBorders>
              <w:top w:val="single" w:sz="4" w:space="0" w:color="auto"/>
              <w:left w:val="single" w:sz="4" w:space="0" w:color="auto"/>
              <w:bottom w:val="single" w:sz="4" w:space="0" w:color="auto"/>
              <w:right w:val="single" w:sz="4" w:space="0" w:color="auto"/>
            </w:tcBorders>
            <w:vAlign w:val="center"/>
          </w:tcPr>
          <w:p w14:paraId="6CB2FAA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6,495,540.00</w:t>
            </w:r>
          </w:p>
        </w:tc>
        <w:tc>
          <w:tcPr>
            <w:tcW w:w="750" w:type="pct"/>
            <w:tcBorders>
              <w:top w:val="single" w:sz="4" w:space="0" w:color="auto"/>
              <w:left w:val="single" w:sz="4" w:space="0" w:color="auto"/>
              <w:bottom w:val="single" w:sz="4" w:space="0" w:color="auto"/>
              <w:right w:val="single" w:sz="4" w:space="0" w:color="auto"/>
            </w:tcBorders>
            <w:vAlign w:val="center"/>
          </w:tcPr>
          <w:p w14:paraId="294752A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0.74</w:t>
            </w:r>
          </w:p>
        </w:tc>
      </w:tr>
      <w:tr w:rsidR="00B164D3" w14:paraId="36CAFE2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2E89F4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2133C97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000002</w:t>
            </w:r>
          </w:p>
        </w:tc>
        <w:tc>
          <w:tcPr>
            <w:tcW w:w="750" w:type="pct"/>
            <w:tcBorders>
              <w:top w:val="single" w:sz="4" w:space="0" w:color="auto"/>
              <w:left w:val="single" w:sz="4" w:space="0" w:color="auto"/>
              <w:bottom w:val="single" w:sz="4" w:space="0" w:color="auto"/>
              <w:right w:val="single" w:sz="4" w:space="0" w:color="auto"/>
            </w:tcBorders>
            <w:vAlign w:val="center"/>
          </w:tcPr>
          <w:p w14:paraId="5AC42C6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万</w:t>
            </w:r>
            <w:r>
              <w:rPr>
                <w:rFonts w:ascii="Times New Roman" w:hAnsi="Times New Roman"/>
                <w:color w:val="000000"/>
                <w:kern w:val="0"/>
                <w:sz w:val="25"/>
                <w:szCs w:val="24"/>
              </w:rPr>
              <w:t xml:space="preserve"> </w:t>
            </w:r>
            <w:r>
              <w:rPr>
                <w:rFonts w:ascii="Times New Roman" w:hAnsi="Times New Roman"/>
                <w:color w:val="000000"/>
                <w:kern w:val="0"/>
                <w:sz w:val="25"/>
                <w:szCs w:val="24"/>
              </w:rPr>
              <w:t>科Ａ</w:t>
            </w:r>
          </w:p>
        </w:tc>
        <w:tc>
          <w:tcPr>
            <w:tcW w:w="750" w:type="pct"/>
            <w:tcBorders>
              <w:top w:val="single" w:sz="4" w:space="0" w:color="auto"/>
              <w:left w:val="single" w:sz="4" w:space="0" w:color="auto"/>
              <w:bottom w:val="single" w:sz="4" w:space="0" w:color="auto"/>
              <w:right w:val="single" w:sz="4" w:space="0" w:color="auto"/>
            </w:tcBorders>
            <w:vAlign w:val="center"/>
          </w:tcPr>
          <w:p w14:paraId="32E7326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241,900</w:t>
            </w:r>
          </w:p>
        </w:tc>
        <w:tc>
          <w:tcPr>
            <w:tcW w:w="750" w:type="pct"/>
            <w:tcBorders>
              <w:top w:val="single" w:sz="4" w:space="0" w:color="auto"/>
              <w:left w:val="single" w:sz="4" w:space="0" w:color="auto"/>
              <w:bottom w:val="single" w:sz="4" w:space="0" w:color="auto"/>
              <w:right w:val="single" w:sz="4" w:space="0" w:color="auto"/>
            </w:tcBorders>
            <w:vAlign w:val="center"/>
          </w:tcPr>
          <w:p w14:paraId="6A86210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5,759,639.00</w:t>
            </w:r>
          </w:p>
        </w:tc>
        <w:tc>
          <w:tcPr>
            <w:tcW w:w="750" w:type="pct"/>
            <w:tcBorders>
              <w:top w:val="single" w:sz="4" w:space="0" w:color="auto"/>
              <w:left w:val="single" w:sz="4" w:space="0" w:color="auto"/>
              <w:bottom w:val="single" w:sz="4" w:space="0" w:color="auto"/>
              <w:right w:val="single" w:sz="4" w:space="0" w:color="auto"/>
            </w:tcBorders>
            <w:vAlign w:val="center"/>
          </w:tcPr>
          <w:p w14:paraId="36AD70B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0.65</w:t>
            </w:r>
          </w:p>
        </w:tc>
      </w:tr>
      <w:tr w:rsidR="00B164D3" w14:paraId="591E0E8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484921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0CE5E64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600905</w:t>
            </w:r>
          </w:p>
        </w:tc>
        <w:tc>
          <w:tcPr>
            <w:tcW w:w="750" w:type="pct"/>
            <w:tcBorders>
              <w:top w:val="single" w:sz="4" w:space="0" w:color="auto"/>
              <w:left w:val="single" w:sz="4" w:space="0" w:color="auto"/>
              <w:bottom w:val="single" w:sz="4" w:space="0" w:color="auto"/>
              <w:right w:val="single" w:sz="4" w:space="0" w:color="auto"/>
            </w:tcBorders>
            <w:vAlign w:val="center"/>
          </w:tcPr>
          <w:p w14:paraId="6AC0352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三峡能源</w:t>
            </w:r>
          </w:p>
        </w:tc>
        <w:tc>
          <w:tcPr>
            <w:tcW w:w="750" w:type="pct"/>
            <w:tcBorders>
              <w:top w:val="single" w:sz="4" w:space="0" w:color="auto"/>
              <w:left w:val="single" w:sz="4" w:space="0" w:color="auto"/>
              <w:bottom w:val="single" w:sz="4" w:space="0" w:color="auto"/>
              <w:right w:val="single" w:sz="4" w:space="0" w:color="auto"/>
            </w:tcBorders>
            <w:vAlign w:val="center"/>
          </w:tcPr>
          <w:p w14:paraId="6AC38FE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907,763</w:t>
            </w:r>
          </w:p>
        </w:tc>
        <w:tc>
          <w:tcPr>
            <w:tcW w:w="750" w:type="pct"/>
            <w:tcBorders>
              <w:top w:val="single" w:sz="4" w:space="0" w:color="auto"/>
              <w:left w:val="single" w:sz="4" w:space="0" w:color="auto"/>
              <w:bottom w:val="single" w:sz="4" w:space="0" w:color="auto"/>
              <w:right w:val="single" w:sz="4" w:space="0" w:color="auto"/>
            </w:tcBorders>
            <w:vAlign w:val="center"/>
          </w:tcPr>
          <w:p w14:paraId="6B73707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5,147,016.21</w:t>
            </w:r>
          </w:p>
        </w:tc>
        <w:tc>
          <w:tcPr>
            <w:tcW w:w="750" w:type="pct"/>
            <w:tcBorders>
              <w:top w:val="single" w:sz="4" w:space="0" w:color="auto"/>
              <w:left w:val="single" w:sz="4" w:space="0" w:color="auto"/>
              <w:bottom w:val="single" w:sz="4" w:space="0" w:color="auto"/>
              <w:right w:val="single" w:sz="4" w:space="0" w:color="auto"/>
            </w:tcBorders>
            <w:vAlign w:val="center"/>
          </w:tcPr>
          <w:p w14:paraId="46AF961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0.58</w:t>
            </w:r>
          </w:p>
        </w:tc>
      </w:tr>
    </w:tbl>
    <w:p w14:paraId="71203BE3"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7CA6746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4、报告期末按债券品种分类的债券投资组合</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B164D3" w14:paraId="678C62F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8CCF79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0A429FF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债券品种</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90081B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637DAE1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2B76394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BCDFC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BE133B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国家债券</w:t>
            </w:r>
          </w:p>
        </w:tc>
        <w:tc>
          <w:tcPr>
            <w:tcW w:w="750" w:type="pct"/>
            <w:tcBorders>
              <w:top w:val="single" w:sz="4" w:space="0" w:color="auto"/>
              <w:left w:val="single" w:sz="4" w:space="0" w:color="auto"/>
              <w:bottom w:val="single" w:sz="4" w:space="0" w:color="auto"/>
              <w:right w:val="single" w:sz="4" w:space="0" w:color="auto"/>
            </w:tcBorders>
            <w:vAlign w:val="center"/>
          </w:tcPr>
          <w:p w14:paraId="698A320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45,781,008.90</w:t>
            </w:r>
          </w:p>
        </w:tc>
        <w:tc>
          <w:tcPr>
            <w:tcW w:w="400" w:type="pct"/>
            <w:tcBorders>
              <w:top w:val="single" w:sz="4" w:space="0" w:color="auto"/>
              <w:left w:val="single" w:sz="4" w:space="0" w:color="auto"/>
              <w:bottom w:val="single" w:sz="4" w:space="0" w:color="auto"/>
              <w:right w:val="single" w:sz="4" w:space="0" w:color="auto"/>
            </w:tcBorders>
            <w:vAlign w:val="center"/>
          </w:tcPr>
          <w:p w14:paraId="75ADE6A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5.18</w:t>
            </w:r>
          </w:p>
        </w:tc>
      </w:tr>
      <w:tr w:rsidR="00B164D3" w14:paraId="6C87032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1815EC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B1E7C7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央行票据</w:t>
            </w:r>
          </w:p>
        </w:tc>
        <w:tc>
          <w:tcPr>
            <w:tcW w:w="750" w:type="pct"/>
            <w:tcBorders>
              <w:top w:val="single" w:sz="4" w:space="0" w:color="auto"/>
              <w:left w:val="single" w:sz="4" w:space="0" w:color="auto"/>
              <w:bottom w:val="single" w:sz="4" w:space="0" w:color="auto"/>
              <w:right w:val="single" w:sz="4" w:space="0" w:color="auto"/>
            </w:tcBorders>
            <w:vAlign w:val="center"/>
          </w:tcPr>
          <w:p w14:paraId="2B98EE1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4F1D50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11BEF64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290C83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575C84D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金融债券</w:t>
            </w:r>
          </w:p>
        </w:tc>
        <w:tc>
          <w:tcPr>
            <w:tcW w:w="750" w:type="pct"/>
            <w:tcBorders>
              <w:top w:val="single" w:sz="4" w:space="0" w:color="auto"/>
              <w:left w:val="single" w:sz="4" w:space="0" w:color="auto"/>
              <w:bottom w:val="single" w:sz="4" w:space="0" w:color="auto"/>
              <w:right w:val="single" w:sz="4" w:space="0" w:color="auto"/>
            </w:tcBorders>
            <w:vAlign w:val="center"/>
          </w:tcPr>
          <w:p w14:paraId="13604CA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19,998,000.00</w:t>
            </w:r>
          </w:p>
        </w:tc>
        <w:tc>
          <w:tcPr>
            <w:tcW w:w="400" w:type="pct"/>
            <w:tcBorders>
              <w:top w:val="single" w:sz="4" w:space="0" w:color="auto"/>
              <w:left w:val="single" w:sz="4" w:space="0" w:color="auto"/>
              <w:bottom w:val="single" w:sz="4" w:space="0" w:color="auto"/>
              <w:right w:val="single" w:sz="4" w:space="0" w:color="auto"/>
            </w:tcBorders>
            <w:vAlign w:val="center"/>
          </w:tcPr>
          <w:p w14:paraId="7069466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2.26</w:t>
            </w:r>
          </w:p>
        </w:tc>
      </w:tr>
      <w:tr w:rsidR="00B164D3" w14:paraId="024DE16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5FAA3E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 xml:space="preserve">　</w:t>
            </w:r>
          </w:p>
        </w:tc>
        <w:tc>
          <w:tcPr>
            <w:tcW w:w="750" w:type="pct"/>
            <w:tcBorders>
              <w:top w:val="single" w:sz="4" w:space="0" w:color="auto"/>
              <w:left w:val="single" w:sz="4" w:space="0" w:color="auto"/>
              <w:bottom w:val="single" w:sz="4" w:space="0" w:color="auto"/>
              <w:right w:val="single" w:sz="4" w:space="0" w:color="auto"/>
            </w:tcBorders>
            <w:vAlign w:val="center"/>
          </w:tcPr>
          <w:p w14:paraId="5B6E07B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其中：政策性金融债</w:t>
            </w:r>
          </w:p>
        </w:tc>
        <w:tc>
          <w:tcPr>
            <w:tcW w:w="750" w:type="pct"/>
            <w:tcBorders>
              <w:top w:val="single" w:sz="4" w:space="0" w:color="auto"/>
              <w:left w:val="single" w:sz="4" w:space="0" w:color="auto"/>
              <w:bottom w:val="single" w:sz="4" w:space="0" w:color="auto"/>
              <w:right w:val="single" w:sz="4" w:space="0" w:color="auto"/>
            </w:tcBorders>
            <w:vAlign w:val="center"/>
          </w:tcPr>
          <w:p w14:paraId="272BDA6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5866FEE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2683C0B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0CDCF9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2A1A82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企业债券</w:t>
            </w:r>
          </w:p>
        </w:tc>
        <w:tc>
          <w:tcPr>
            <w:tcW w:w="750" w:type="pct"/>
            <w:tcBorders>
              <w:top w:val="single" w:sz="4" w:space="0" w:color="auto"/>
              <w:left w:val="single" w:sz="4" w:space="0" w:color="auto"/>
              <w:bottom w:val="single" w:sz="4" w:space="0" w:color="auto"/>
              <w:right w:val="single" w:sz="4" w:space="0" w:color="auto"/>
            </w:tcBorders>
            <w:vAlign w:val="center"/>
          </w:tcPr>
          <w:p w14:paraId="3EBCB7E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311,545,000.00</w:t>
            </w:r>
          </w:p>
        </w:tc>
        <w:tc>
          <w:tcPr>
            <w:tcW w:w="400" w:type="pct"/>
            <w:tcBorders>
              <w:top w:val="single" w:sz="4" w:space="0" w:color="auto"/>
              <w:left w:val="single" w:sz="4" w:space="0" w:color="auto"/>
              <w:bottom w:val="single" w:sz="4" w:space="0" w:color="auto"/>
              <w:right w:val="single" w:sz="4" w:space="0" w:color="auto"/>
            </w:tcBorders>
            <w:vAlign w:val="center"/>
          </w:tcPr>
          <w:p w14:paraId="68E7FA8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35.27</w:t>
            </w:r>
          </w:p>
        </w:tc>
      </w:tr>
      <w:tr w:rsidR="00B164D3" w14:paraId="16EF6D4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78465D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1D431E7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企业短期融资券</w:t>
            </w:r>
          </w:p>
        </w:tc>
        <w:tc>
          <w:tcPr>
            <w:tcW w:w="750" w:type="pct"/>
            <w:tcBorders>
              <w:top w:val="single" w:sz="4" w:space="0" w:color="auto"/>
              <w:left w:val="single" w:sz="4" w:space="0" w:color="auto"/>
              <w:bottom w:val="single" w:sz="4" w:space="0" w:color="auto"/>
              <w:right w:val="single" w:sz="4" w:space="0" w:color="auto"/>
            </w:tcBorders>
            <w:vAlign w:val="center"/>
          </w:tcPr>
          <w:p w14:paraId="32F50B7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70,332,000.00</w:t>
            </w:r>
          </w:p>
        </w:tc>
        <w:tc>
          <w:tcPr>
            <w:tcW w:w="400" w:type="pct"/>
            <w:tcBorders>
              <w:top w:val="single" w:sz="4" w:space="0" w:color="auto"/>
              <w:left w:val="single" w:sz="4" w:space="0" w:color="auto"/>
              <w:bottom w:val="single" w:sz="4" w:space="0" w:color="auto"/>
              <w:right w:val="single" w:sz="4" w:space="0" w:color="auto"/>
            </w:tcBorders>
            <w:vAlign w:val="center"/>
          </w:tcPr>
          <w:p w14:paraId="7DC558D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7.96</w:t>
            </w:r>
          </w:p>
        </w:tc>
      </w:tr>
      <w:tr w:rsidR="00B164D3" w14:paraId="38610FC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A3F356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65F05B4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中期票据</w:t>
            </w:r>
          </w:p>
        </w:tc>
        <w:tc>
          <w:tcPr>
            <w:tcW w:w="750" w:type="pct"/>
            <w:tcBorders>
              <w:top w:val="single" w:sz="4" w:space="0" w:color="auto"/>
              <w:left w:val="single" w:sz="4" w:space="0" w:color="auto"/>
              <w:bottom w:val="single" w:sz="4" w:space="0" w:color="auto"/>
              <w:right w:val="single" w:sz="4" w:space="0" w:color="auto"/>
            </w:tcBorders>
            <w:vAlign w:val="center"/>
          </w:tcPr>
          <w:p w14:paraId="50EA88B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212,104,000.00</w:t>
            </w:r>
          </w:p>
        </w:tc>
        <w:tc>
          <w:tcPr>
            <w:tcW w:w="400" w:type="pct"/>
            <w:tcBorders>
              <w:top w:val="single" w:sz="4" w:space="0" w:color="auto"/>
              <w:left w:val="single" w:sz="4" w:space="0" w:color="auto"/>
              <w:bottom w:val="single" w:sz="4" w:space="0" w:color="auto"/>
              <w:right w:val="single" w:sz="4" w:space="0" w:color="auto"/>
            </w:tcBorders>
            <w:vAlign w:val="center"/>
          </w:tcPr>
          <w:p w14:paraId="508C7B3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24.01</w:t>
            </w:r>
          </w:p>
        </w:tc>
      </w:tr>
      <w:tr w:rsidR="00B164D3" w14:paraId="50AAFE9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EA6403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4AFA8DC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可转债（可交换债）</w:t>
            </w:r>
          </w:p>
        </w:tc>
        <w:tc>
          <w:tcPr>
            <w:tcW w:w="750" w:type="pct"/>
            <w:tcBorders>
              <w:top w:val="single" w:sz="4" w:space="0" w:color="auto"/>
              <w:left w:val="single" w:sz="4" w:space="0" w:color="auto"/>
              <w:bottom w:val="single" w:sz="4" w:space="0" w:color="auto"/>
              <w:right w:val="single" w:sz="4" w:space="0" w:color="auto"/>
            </w:tcBorders>
            <w:vAlign w:val="center"/>
          </w:tcPr>
          <w:p w14:paraId="091D87ED"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871,062.70</w:t>
            </w:r>
          </w:p>
        </w:tc>
        <w:tc>
          <w:tcPr>
            <w:tcW w:w="400" w:type="pct"/>
            <w:tcBorders>
              <w:top w:val="single" w:sz="4" w:space="0" w:color="auto"/>
              <w:left w:val="single" w:sz="4" w:space="0" w:color="auto"/>
              <w:bottom w:val="single" w:sz="4" w:space="0" w:color="auto"/>
              <w:right w:val="single" w:sz="4" w:space="0" w:color="auto"/>
            </w:tcBorders>
            <w:vAlign w:val="center"/>
          </w:tcPr>
          <w:p w14:paraId="4CF43BE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0.10</w:t>
            </w:r>
          </w:p>
        </w:tc>
      </w:tr>
      <w:tr w:rsidR="00B164D3" w14:paraId="15ED2AD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AF5890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48967E6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同业存单</w:t>
            </w:r>
          </w:p>
        </w:tc>
        <w:tc>
          <w:tcPr>
            <w:tcW w:w="750" w:type="pct"/>
            <w:tcBorders>
              <w:top w:val="single" w:sz="4" w:space="0" w:color="auto"/>
              <w:left w:val="single" w:sz="4" w:space="0" w:color="auto"/>
              <w:bottom w:val="single" w:sz="4" w:space="0" w:color="auto"/>
              <w:right w:val="single" w:sz="4" w:space="0" w:color="auto"/>
            </w:tcBorders>
            <w:vAlign w:val="center"/>
          </w:tcPr>
          <w:p w14:paraId="507CEDD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29,145,000.00</w:t>
            </w:r>
          </w:p>
        </w:tc>
        <w:tc>
          <w:tcPr>
            <w:tcW w:w="400" w:type="pct"/>
            <w:tcBorders>
              <w:top w:val="single" w:sz="4" w:space="0" w:color="auto"/>
              <w:left w:val="single" w:sz="4" w:space="0" w:color="auto"/>
              <w:bottom w:val="single" w:sz="4" w:space="0" w:color="auto"/>
              <w:right w:val="single" w:sz="4" w:space="0" w:color="auto"/>
            </w:tcBorders>
            <w:vAlign w:val="center"/>
          </w:tcPr>
          <w:p w14:paraId="63BE486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3.30</w:t>
            </w:r>
          </w:p>
        </w:tc>
      </w:tr>
      <w:tr w:rsidR="00B164D3" w14:paraId="0EBEA6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691E24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65A3C6D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750" w:type="pct"/>
            <w:tcBorders>
              <w:top w:val="single" w:sz="4" w:space="0" w:color="auto"/>
              <w:left w:val="single" w:sz="4" w:space="0" w:color="auto"/>
              <w:bottom w:val="single" w:sz="4" w:space="0" w:color="auto"/>
              <w:right w:val="single" w:sz="4" w:space="0" w:color="auto"/>
            </w:tcBorders>
            <w:vAlign w:val="center"/>
          </w:tcPr>
          <w:p w14:paraId="57110824"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4372309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0323992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00F64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16F5005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750" w:type="pct"/>
            <w:tcBorders>
              <w:top w:val="single" w:sz="4" w:space="0" w:color="auto"/>
              <w:left w:val="single" w:sz="4" w:space="0" w:color="auto"/>
              <w:bottom w:val="single" w:sz="4" w:space="0" w:color="auto"/>
              <w:right w:val="single" w:sz="4" w:space="0" w:color="auto"/>
            </w:tcBorders>
            <w:vAlign w:val="center"/>
          </w:tcPr>
          <w:p w14:paraId="501B282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689,776,071.60</w:t>
            </w:r>
          </w:p>
        </w:tc>
        <w:tc>
          <w:tcPr>
            <w:tcW w:w="400" w:type="pct"/>
            <w:tcBorders>
              <w:top w:val="single" w:sz="4" w:space="0" w:color="auto"/>
              <w:left w:val="single" w:sz="4" w:space="0" w:color="auto"/>
              <w:bottom w:val="single" w:sz="4" w:space="0" w:color="auto"/>
              <w:right w:val="single" w:sz="4" w:space="0" w:color="auto"/>
            </w:tcBorders>
            <w:vAlign w:val="center"/>
          </w:tcPr>
          <w:p w14:paraId="3CE0477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78.09</w:t>
            </w:r>
          </w:p>
        </w:tc>
      </w:tr>
    </w:tbl>
    <w:p w14:paraId="07B606C4"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6D2E52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5、报告期末按公允价值占基金资产净值比例大小排序的前五名债券投资明细</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B164D3" w14:paraId="7B1B94E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2511FDB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E40487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328493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债券名称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7B8E340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数量（张）</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96EB0F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6886F1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r>
      <w:tr w:rsidR="00B164D3" w14:paraId="020EABA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C2B8AC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5D77C4B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019640</w:t>
            </w:r>
          </w:p>
        </w:tc>
        <w:tc>
          <w:tcPr>
            <w:tcW w:w="750" w:type="pct"/>
            <w:tcBorders>
              <w:top w:val="single" w:sz="4" w:space="0" w:color="auto"/>
              <w:left w:val="single" w:sz="4" w:space="0" w:color="auto"/>
              <w:bottom w:val="single" w:sz="4" w:space="0" w:color="auto"/>
              <w:right w:val="single" w:sz="4" w:space="0" w:color="auto"/>
            </w:tcBorders>
            <w:vAlign w:val="center"/>
          </w:tcPr>
          <w:p w14:paraId="56C1906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w:t>
            </w:r>
            <w:r>
              <w:rPr>
                <w:rFonts w:ascii="Times New Roman" w:hAnsi="Times New Roman"/>
                <w:color w:val="000000"/>
                <w:kern w:val="0"/>
                <w:sz w:val="25"/>
                <w:szCs w:val="24"/>
              </w:rPr>
              <w:t>国债</w:t>
            </w: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5ACD413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312,170</w:t>
            </w:r>
          </w:p>
        </w:tc>
        <w:tc>
          <w:tcPr>
            <w:tcW w:w="750" w:type="pct"/>
            <w:tcBorders>
              <w:top w:val="single" w:sz="4" w:space="0" w:color="auto"/>
              <w:left w:val="single" w:sz="4" w:space="0" w:color="auto"/>
              <w:bottom w:val="single" w:sz="4" w:space="0" w:color="auto"/>
              <w:right w:val="single" w:sz="4" w:space="0" w:color="auto"/>
            </w:tcBorders>
            <w:vAlign w:val="center"/>
          </w:tcPr>
          <w:p w14:paraId="0F4BC29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31,217,000.00</w:t>
            </w:r>
          </w:p>
        </w:tc>
        <w:tc>
          <w:tcPr>
            <w:tcW w:w="750" w:type="pct"/>
            <w:tcBorders>
              <w:top w:val="single" w:sz="4" w:space="0" w:color="auto"/>
              <w:left w:val="single" w:sz="4" w:space="0" w:color="auto"/>
              <w:bottom w:val="single" w:sz="4" w:space="0" w:color="auto"/>
              <w:right w:val="single" w:sz="4" w:space="0" w:color="auto"/>
            </w:tcBorders>
            <w:vAlign w:val="center"/>
          </w:tcPr>
          <w:p w14:paraId="6875962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3.53</w:t>
            </w:r>
          </w:p>
        </w:tc>
      </w:tr>
      <w:tr w:rsidR="00B164D3" w14:paraId="23CFFF08"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7DB790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9BE380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155366</w:t>
            </w:r>
          </w:p>
        </w:tc>
        <w:tc>
          <w:tcPr>
            <w:tcW w:w="750" w:type="pct"/>
            <w:tcBorders>
              <w:top w:val="single" w:sz="4" w:space="0" w:color="auto"/>
              <w:left w:val="single" w:sz="4" w:space="0" w:color="auto"/>
              <w:bottom w:val="single" w:sz="4" w:space="0" w:color="auto"/>
              <w:right w:val="single" w:sz="4" w:space="0" w:color="auto"/>
            </w:tcBorders>
            <w:vAlign w:val="center"/>
          </w:tcPr>
          <w:p w14:paraId="6178C13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19</w:t>
            </w:r>
            <w:r>
              <w:rPr>
                <w:rFonts w:ascii="Times New Roman" w:hAnsi="Times New Roman"/>
                <w:color w:val="000000"/>
                <w:kern w:val="0"/>
                <w:sz w:val="25"/>
                <w:szCs w:val="24"/>
              </w:rPr>
              <w:t>浦集</w:t>
            </w:r>
            <w:r>
              <w:rPr>
                <w:rFonts w:ascii="Times New Roman" w:hAnsi="Times New Roman"/>
                <w:color w:val="000000"/>
                <w:kern w:val="0"/>
                <w:sz w:val="25"/>
                <w:szCs w:val="24"/>
              </w:rPr>
              <w:t>01</w:t>
            </w:r>
          </w:p>
        </w:tc>
        <w:tc>
          <w:tcPr>
            <w:tcW w:w="750" w:type="pct"/>
            <w:tcBorders>
              <w:top w:val="single" w:sz="4" w:space="0" w:color="auto"/>
              <w:left w:val="single" w:sz="4" w:space="0" w:color="auto"/>
              <w:bottom w:val="single" w:sz="4" w:space="0" w:color="auto"/>
              <w:right w:val="single" w:sz="4" w:space="0" w:color="auto"/>
            </w:tcBorders>
            <w:vAlign w:val="center"/>
          </w:tcPr>
          <w:p w14:paraId="7098897C"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300,000</w:t>
            </w:r>
          </w:p>
        </w:tc>
        <w:tc>
          <w:tcPr>
            <w:tcW w:w="750" w:type="pct"/>
            <w:tcBorders>
              <w:top w:val="single" w:sz="4" w:space="0" w:color="auto"/>
              <w:left w:val="single" w:sz="4" w:space="0" w:color="auto"/>
              <w:bottom w:val="single" w:sz="4" w:space="0" w:color="auto"/>
              <w:right w:val="single" w:sz="4" w:space="0" w:color="auto"/>
            </w:tcBorders>
            <w:vAlign w:val="center"/>
          </w:tcPr>
          <w:p w14:paraId="26DF49B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30,249,000.00</w:t>
            </w:r>
          </w:p>
        </w:tc>
        <w:tc>
          <w:tcPr>
            <w:tcW w:w="750" w:type="pct"/>
            <w:tcBorders>
              <w:top w:val="single" w:sz="4" w:space="0" w:color="auto"/>
              <w:left w:val="single" w:sz="4" w:space="0" w:color="auto"/>
              <w:bottom w:val="single" w:sz="4" w:space="0" w:color="auto"/>
              <w:right w:val="single" w:sz="4" w:space="0" w:color="auto"/>
            </w:tcBorders>
            <w:vAlign w:val="center"/>
          </w:tcPr>
          <w:p w14:paraId="5F1AD7A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3.42</w:t>
            </w:r>
          </w:p>
        </w:tc>
      </w:tr>
      <w:tr w:rsidR="00B164D3" w14:paraId="56C9FCA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D7795D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6FBB70C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101900333</w:t>
            </w:r>
          </w:p>
        </w:tc>
        <w:tc>
          <w:tcPr>
            <w:tcW w:w="750" w:type="pct"/>
            <w:tcBorders>
              <w:top w:val="single" w:sz="4" w:space="0" w:color="auto"/>
              <w:left w:val="single" w:sz="4" w:space="0" w:color="auto"/>
              <w:bottom w:val="single" w:sz="4" w:space="0" w:color="auto"/>
              <w:right w:val="single" w:sz="4" w:space="0" w:color="auto"/>
            </w:tcBorders>
            <w:vAlign w:val="center"/>
          </w:tcPr>
          <w:p w14:paraId="04E36EA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19</w:t>
            </w:r>
            <w:r>
              <w:rPr>
                <w:rFonts w:ascii="Times New Roman" w:hAnsi="Times New Roman"/>
                <w:color w:val="000000"/>
                <w:kern w:val="0"/>
                <w:sz w:val="25"/>
                <w:szCs w:val="24"/>
              </w:rPr>
              <w:t>国开投</w:t>
            </w:r>
            <w:r>
              <w:rPr>
                <w:rFonts w:ascii="Times New Roman" w:hAnsi="Times New Roman"/>
                <w:color w:val="000000"/>
                <w:kern w:val="0"/>
                <w:sz w:val="25"/>
                <w:szCs w:val="24"/>
              </w:rPr>
              <w:t>MTN001A</w:t>
            </w:r>
          </w:p>
        </w:tc>
        <w:tc>
          <w:tcPr>
            <w:tcW w:w="750" w:type="pct"/>
            <w:tcBorders>
              <w:top w:val="single" w:sz="4" w:space="0" w:color="auto"/>
              <w:left w:val="single" w:sz="4" w:space="0" w:color="auto"/>
              <w:bottom w:val="single" w:sz="4" w:space="0" w:color="auto"/>
              <w:right w:val="single" w:sz="4" w:space="0" w:color="auto"/>
            </w:tcBorders>
            <w:vAlign w:val="center"/>
          </w:tcPr>
          <w:p w14:paraId="24197C40"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300,000</w:t>
            </w:r>
          </w:p>
        </w:tc>
        <w:tc>
          <w:tcPr>
            <w:tcW w:w="750" w:type="pct"/>
            <w:tcBorders>
              <w:top w:val="single" w:sz="4" w:space="0" w:color="auto"/>
              <w:left w:val="single" w:sz="4" w:space="0" w:color="auto"/>
              <w:bottom w:val="single" w:sz="4" w:space="0" w:color="auto"/>
              <w:right w:val="single" w:sz="4" w:space="0" w:color="auto"/>
            </w:tcBorders>
            <w:vAlign w:val="center"/>
          </w:tcPr>
          <w:p w14:paraId="00C06CD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30,213,000.00</w:t>
            </w:r>
          </w:p>
        </w:tc>
        <w:tc>
          <w:tcPr>
            <w:tcW w:w="750" w:type="pct"/>
            <w:tcBorders>
              <w:top w:val="single" w:sz="4" w:space="0" w:color="auto"/>
              <w:left w:val="single" w:sz="4" w:space="0" w:color="auto"/>
              <w:bottom w:val="single" w:sz="4" w:space="0" w:color="auto"/>
              <w:right w:val="single" w:sz="4" w:space="0" w:color="auto"/>
            </w:tcBorders>
            <w:vAlign w:val="center"/>
          </w:tcPr>
          <w:p w14:paraId="711BE91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3.42</w:t>
            </w:r>
          </w:p>
        </w:tc>
      </w:tr>
      <w:tr w:rsidR="00B164D3" w14:paraId="4BC9558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EEB497"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6992CC7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042100064</w:t>
            </w:r>
          </w:p>
        </w:tc>
        <w:tc>
          <w:tcPr>
            <w:tcW w:w="750" w:type="pct"/>
            <w:tcBorders>
              <w:top w:val="single" w:sz="4" w:space="0" w:color="auto"/>
              <w:left w:val="single" w:sz="4" w:space="0" w:color="auto"/>
              <w:bottom w:val="single" w:sz="4" w:space="0" w:color="auto"/>
              <w:right w:val="single" w:sz="4" w:space="0" w:color="auto"/>
            </w:tcBorders>
            <w:vAlign w:val="center"/>
          </w:tcPr>
          <w:p w14:paraId="3FBBA3C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21</w:t>
            </w:r>
            <w:r>
              <w:rPr>
                <w:rFonts w:ascii="Times New Roman" w:hAnsi="Times New Roman"/>
                <w:color w:val="000000"/>
                <w:kern w:val="0"/>
                <w:sz w:val="25"/>
                <w:szCs w:val="24"/>
              </w:rPr>
              <w:t>深能源</w:t>
            </w:r>
            <w:r>
              <w:rPr>
                <w:rFonts w:ascii="Times New Roman" w:hAnsi="Times New Roman"/>
                <w:color w:val="000000"/>
                <w:kern w:val="0"/>
                <w:sz w:val="25"/>
                <w:szCs w:val="24"/>
              </w:rPr>
              <w:t>CP001</w:t>
            </w:r>
          </w:p>
        </w:tc>
        <w:tc>
          <w:tcPr>
            <w:tcW w:w="750" w:type="pct"/>
            <w:tcBorders>
              <w:top w:val="single" w:sz="4" w:space="0" w:color="auto"/>
              <w:left w:val="single" w:sz="4" w:space="0" w:color="auto"/>
              <w:bottom w:val="single" w:sz="4" w:space="0" w:color="auto"/>
              <w:right w:val="single" w:sz="4" w:space="0" w:color="auto"/>
            </w:tcBorders>
            <w:vAlign w:val="center"/>
          </w:tcPr>
          <w:p w14:paraId="1C864D34"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300,000</w:t>
            </w:r>
          </w:p>
        </w:tc>
        <w:tc>
          <w:tcPr>
            <w:tcW w:w="750" w:type="pct"/>
            <w:tcBorders>
              <w:top w:val="single" w:sz="4" w:space="0" w:color="auto"/>
              <w:left w:val="single" w:sz="4" w:space="0" w:color="auto"/>
              <w:bottom w:val="single" w:sz="4" w:space="0" w:color="auto"/>
              <w:right w:val="single" w:sz="4" w:space="0" w:color="auto"/>
            </w:tcBorders>
            <w:vAlign w:val="center"/>
          </w:tcPr>
          <w:p w14:paraId="674C83CD"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30,180,000.00</w:t>
            </w:r>
          </w:p>
        </w:tc>
        <w:tc>
          <w:tcPr>
            <w:tcW w:w="750" w:type="pct"/>
            <w:tcBorders>
              <w:top w:val="single" w:sz="4" w:space="0" w:color="auto"/>
              <w:left w:val="single" w:sz="4" w:space="0" w:color="auto"/>
              <w:bottom w:val="single" w:sz="4" w:space="0" w:color="auto"/>
              <w:right w:val="single" w:sz="4" w:space="0" w:color="auto"/>
            </w:tcBorders>
            <w:vAlign w:val="center"/>
          </w:tcPr>
          <w:p w14:paraId="7D694D59"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3.42</w:t>
            </w:r>
          </w:p>
        </w:tc>
      </w:tr>
      <w:tr w:rsidR="00B164D3" w14:paraId="59C614D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5E3022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lastRenderedPageBreak/>
              <w:t>5</w:t>
            </w:r>
          </w:p>
        </w:tc>
        <w:tc>
          <w:tcPr>
            <w:tcW w:w="750" w:type="pct"/>
            <w:tcBorders>
              <w:top w:val="single" w:sz="4" w:space="0" w:color="auto"/>
              <w:left w:val="single" w:sz="4" w:space="0" w:color="auto"/>
              <w:bottom w:val="single" w:sz="4" w:space="0" w:color="auto"/>
              <w:right w:val="single" w:sz="4" w:space="0" w:color="auto"/>
            </w:tcBorders>
            <w:vAlign w:val="center"/>
          </w:tcPr>
          <w:p w14:paraId="70D71B9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101900328</w:t>
            </w:r>
          </w:p>
        </w:tc>
        <w:tc>
          <w:tcPr>
            <w:tcW w:w="750" w:type="pct"/>
            <w:tcBorders>
              <w:top w:val="single" w:sz="4" w:space="0" w:color="auto"/>
              <w:left w:val="single" w:sz="4" w:space="0" w:color="auto"/>
              <w:bottom w:val="single" w:sz="4" w:space="0" w:color="auto"/>
              <w:right w:val="single" w:sz="4" w:space="0" w:color="auto"/>
            </w:tcBorders>
            <w:vAlign w:val="center"/>
          </w:tcPr>
          <w:p w14:paraId="07494B6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19</w:t>
            </w:r>
            <w:r>
              <w:rPr>
                <w:rFonts w:ascii="Times New Roman" w:hAnsi="Times New Roman"/>
                <w:color w:val="000000"/>
                <w:kern w:val="0"/>
                <w:sz w:val="25"/>
                <w:szCs w:val="24"/>
              </w:rPr>
              <w:t>沪港务</w:t>
            </w:r>
            <w:r>
              <w:rPr>
                <w:rFonts w:ascii="Times New Roman" w:hAnsi="Times New Roman"/>
                <w:color w:val="000000"/>
                <w:kern w:val="0"/>
                <w:sz w:val="25"/>
                <w:szCs w:val="24"/>
              </w:rPr>
              <w:t>MTN001</w:t>
            </w:r>
          </w:p>
        </w:tc>
        <w:tc>
          <w:tcPr>
            <w:tcW w:w="750" w:type="pct"/>
            <w:tcBorders>
              <w:top w:val="single" w:sz="4" w:space="0" w:color="auto"/>
              <w:left w:val="single" w:sz="4" w:space="0" w:color="auto"/>
              <w:bottom w:val="single" w:sz="4" w:space="0" w:color="auto"/>
              <w:right w:val="single" w:sz="4" w:space="0" w:color="auto"/>
            </w:tcBorders>
            <w:vAlign w:val="center"/>
          </w:tcPr>
          <w:p w14:paraId="21DDFA58"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300,000</w:t>
            </w:r>
          </w:p>
        </w:tc>
        <w:tc>
          <w:tcPr>
            <w:tcW w:w="750" w:type="pct"/>
            <w:tcBorders>
              <w:top w:val="single" w:sz="4" w:space="0" w:color="auto"/>
              <w:left w:val="single" w:sz="4" w:space="0" w:color="auto"/>
              <w:bottom w:val="single" w:sz="4" w:space="0" w:color="auto"/>
              <w:right w:val="single" w:sz="4" w:space="0" w:color="auto"/>
            </w:tcBorders>
            <w:vAlign w:val="center"/>
          </w:tcPr>
          <w:p w14:paraId="5BD9D29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30,153,000.00</w:t>
            </w:r>
          </w:p>
        </w:tc>
        <w:tc>
          <w:tcPr>
            <w:tcW w:w="750" w:type="pct"/>
            <w:tcBorders>
              <w:top w:val="single" w:sz="4" w:space="0" w:color="auto"/>
              <w:left w:val="single" w:sz="4" w:space="0" w:color="auto"/>
              <w:bottom w:val="single" w:sz="4" w:space="0" w:color="auto"/>
              <w:right w:val="single" w:sz="4" w:space="0" w:color="auto"/>
            </w:tcBorders>
            <w:vAlign w:val="center"/>
          </w:tcPr>
          <w:p w14:paraId="4E70D5C7"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3.41</w:t>
            </w:r>
          </w:p>
        </w:tc>
      </w:tr>
    </w:tbl>
    <w:p w14:paraId="1F1AB5B5"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5EB991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6、报告期末按公允价值占基金资产净值比例大小排序的前十名资产支持证券投资明细</w:t>
      </w:r>
    </w:p>
    <w:p w14:paraId="100852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2A445C7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7、报告期末按公允价值占基金资产净值比例大小排序的前五名贵金属投资明细</w:t>
      </w:r>
    </w:p>
    <w:p w14:paraId="1B9C00D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AD9407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8、报告期末按公允价值占基金资产净值比例大小排序的前五名权证投资明细</w:t>
      </w:r>
    </w:p>
    <w:p w14:paraId="0B8B52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7AE02B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9、报告期末本基金投资的股指期货交易情况说明</w:t>
      </w:r>
    </w:p>
    <w:p w14:paraId="050433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9.1 报告期末本基金投资的股指期货持仓和损益明细</w:t>
      </w:r>
    </w:p>
    <w:p w14:paraId="0D2EC3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60E76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9.2 本基金投资股指期货的投资政策</w:t>
      </w:r>
    </w:p>
    <w:p w14:paraId="03F0F2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4D9B1D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10、报告期末本基金投资的国债期货交易情况说明</w:t>
      </w:r>
    </w:p>
    <w:p w14:paraId="52CF85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10.1 本期国债期货投资政策</w:t>
      </w:r>
    </w:p>
    <w:p w14:paraId="7E3F0DF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5408061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10.2 报告期末本基金投资的国债期货持仓和损益明细</w:t>
      </w:r>
    </w:p>
    <w:p w14:paraId="52DD705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142BEC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10.3 本期国债期货投资评价</w:t>
      </w:r>
    </w:p>
    <w:p w14:paraId="7423D4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1D8B1F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11、投资组合报告附注</w:t>
      </w:r>
    </w:p>
    <w:p w14:paraId="7D374E5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11.1 本基金投资的前十名证券的发行主体本期是否出现被监管部门立案调查，或在报告编制日前一年内受到公开谴责、处罚的情形</w:t>
      </w:r>
    </w:p>
    <w:p w14:paraId="4DC485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报告期内本基金投资的前十名证券的发行主体未被监管部门立案调查，在本报告编制日前一年内本基金投资的前十名证券的发行主体未受到公开谴责和处罚。</w:t>
      </w:r>
    </w:p>
    <w:p w14:paraId="0738734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11.2 基金投资的前十名股票是否超出基金合同规定的备选股票库</w:t>
      </w:r>
    </w:p>
    <w:p w14:paraId="1BAAC6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本基金投资的前十名股票中，没有超出基金合同规定的备选股票库之外的股票。</w:t>
      </w:r>
    </w:p>
    <w:p w14:paraId="017DC6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11.3 其他资产构成</w:t>
      </w:r>
    </w:p>
    <w:tbl>
      <w:tblPr>
        <w:tblW w:w="5000" w:type="pct"/>
        <w:tblCellMar>
          <w:left w:w="0" w:type="dxa"/>
          <w:right w:w="0" w:type="dxa"/>
        </w:tblCellMar>
        <w:tblLook w:val="0000" w:firstRow="0" w:lastRow="0" w:firstColumn="0" w:lastColumn="0" w:noHBand="0" w:noVBand="0"/>
      </w:tblPr>
      <w:tblGrid>
        <w:gridCol w:w="1544"/>
        <w:gridCol w:w="4634"/>
        <w:gridCol w:w="2472"/>
      </w:tblGrid>
      <w:tr w:rsidR="00B164D3" w14:paraId="6075D63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514668B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52CFC4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名称</w:t>
            </w:r>
          </w:p>
        </w:tc>
        <w:tc>
          <w:tcPr>
            <w:tcW w:w="400" w:type="pct"/>
            <w:tcBorders>
              <w:top w:val="single" w:sz="4" w:space="0" w:color="auto"/>
              <w:left w:val="single" w:sz="4" w:space="0" w:color="auto"/>
              <w:bottom w:val="single" w:sz="4" w:space="0" w:color="auto"/>
              <w:right w:val="single" w:sz="4" w:space="0" w:color="auto"/>
            </w:tcBorders>
            <w:shd w:val="clear" w:color="auto" w:fill="D9D9D9"/>
            <w:vAlign w:val="center"/>
          </w:tcPr>
          <w:p w14:paraId="79D7A22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金额（元）</w:t>
            </w:r>
          </w:p>
        </w:tc>
      </w:tr>
      <w:tr w:rsidR="00B164D3" w14:paraId="168395F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3A7E09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7A60985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存出保证金</w:t>
            </w:r>
          </w:p>
        </w:tc>
        <w:tc>
          <w:tcPr>
            <w:tcW w:w="400" w:type="pct"/>
            <w:tcBorders>
              <w:top w:val="single" w:sz="4" w:space="0" w:color="auto"/>
              <w:left w:val="single" w:sz="4" w:space="0" w:color="auto"/>
              <w:bottom w:val="single" w:sz="4" w:space="0" w:color="auto"/>
              <w:right w:val="single" w:sz="4" w:space="0" w:color="auto"/>
            </w:tcBorders>
            <w:vAlign w:val="center"/>
          </w:tcPr>
          <w:p w14:paraId="66C1090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134,781.82</w:t>
            </w:r>
          </w:p>
        </w:tc>
      </w:tr>
      <w:tr w:rsidR="00B164D3" w14:paraId="5C22A21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11D622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6F4B2CD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应收证券清算款</w:t>
            </w:r>
          </w:p>
        </w:tc>
        <w:tc>
          <w:tcPr>
            <w:tcW w:w="400" w:type="pct"/>
            <w:tcBorders>
              <w:top w:val="single" w:sz="4" w:space="0" w:color="auto"/>
              <w:left w:val="single" w:sz="4" w:space="0" w:color="auto"/>
              <w:bottom w:val="single" w:sz="4" w:space="0" w:color="auto"/>
              <w:right w:val="single" w:sz="4" w:space="0" w:color="auto"/>
            </w:tcBorders>
            <w:vAlign w:val="center"/>
          </w:tcPr>
          <w:p w14:paraId="3203F03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4,491,492.97</w:t>
            </w:r>
          </w:p>
        </w:tc>
      </w:tr>
      <w:tr w:rsidR="00B164D3" w14:paraId="588282E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B0B30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10D1049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应收股利</w:t>
            </w:r>
          </w:p>
        </w:tc>
        <w:tc>
          <w:tcPr>
            <w:tcW w:w="400" w:type="pct"/>
            <w:tcBorders>
              <w:top w:val="single" w:sz="4" w:space="0" w:color="auto"/>
              <w:left w:val="single" w:sz="4" w:space="0" w:color="auto"/>
              <w:bottom w:val="single" w:sz="4" w:space="0" w:color="auto"/>
              <w:right w:val="single" w:sz="4" w:space="0" w:color="auto"/>
            </w:tcBorders>
            <w:vAlign w:val="center"/>
          </w:tcPr>
          <w:p w14:paraId="3DAAB22F"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69,994.15</w:t>
            </w:r>
          </w:p>
        </w:tc>
      </w:tr>
      <w:tr w:rsidR="00B164D3" w14:paraId="082486B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1E58D6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7E6D561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应收利息</w:t>
            </w:r>
          </w:p>
        </w:tc>
        <w:tc>
          <w:tcPr>
            <w:tcW w:w="400" w:type="pct"/>
            <w:tcBorders>
              <w:top w:val="single" w:sz="4" w:space="0" w:color="auto"/>
              <w:left w:val="single" w:sz="4" w:space="0" w:color="auto"/>
              <w:bottom w:val="single" w:sz="4" w:space="0" w:color="auto"/>
              <w:right w:val="single" w:sz="4" w:space="0" w:color="auto"/>
            </w:tcBorders>
            <w:vAlign w:val="center"/>
          </w:tcPr>
          <w:p w14:paraId="438CB5B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9,995,914.23</w:t>
            </w:r>
          </w:p>
        </w:tc>
      </w:tr>
      <w:tr w:rsidR="00B164D3" w14:paraId="0C0955C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C504A9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2F4B046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应收申购款</w:t>
            </w:r>
          </w:p>
        </w:tc>
        <w:tc>
          <w:tcPr>
            <w:tcW w:w="400" w:type="pct"/>
            <w:tcBorders>
              <w:top w:val="single" w:sz="4" w:space="0" w:color="auto"/>
              <w:left w:val="single" w:sz="4" w:space="0" w:color="auto"/>
              <w:bottom w:val="single" w:sz="4" w:space="0" w:color="auto"/>
              <w:right w:val="single" w:sz="4" w:space="0" w:color="auto"/>
            </w:tcBorders>
            <w:vAlign w:val="center"/>
          </w:tcPr>
          <w:p w14:paraId="6BF408F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112,594.49</w:t>
            </w:r>
          </w:p>
        </w:tc>
      </w:tr>
      <w:tr w:rsidR="00B164D3" w14:paraId="7DAED23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D2DAAC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3BFCB60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其他应收款</w:t>
            </w:r>
          </w:p>
        </w:tc>
        <w:tc>
          <w:tcPr>
            <w:tcW w:w="400" w:type="pct"/>
            <w:tcBorders>
              <w:top w:val="single" w:sz="4" w:space="0" w:color="auto"/>
              <w:left w:val="single" w:sz="4" w:space="0" w:color="auto"/>
              <w:bottom w:val="single" w:sz="4" w:space="0" w:color="auto"/>
              <w:right w:val="single" w:sz="4" w:space="0" w:color="auto"/>
            </w:tcBorders>
            <w:vAlign w:val="center"/>
          </w:tcPr>
          <w:p w14:paraId="68E03DC6"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64D6981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6C3301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7917DCE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待摊费用</w:t>
            </w:r>
          </w:p>
        </w:tc>
        <w:tc>
          <w:tcPr>
            <w:tcW w:w="400" w:type="pct"/>
            <w:tcBorders>
              <w:top w:val="single" w:sz="4" w:space="0" w:color="auto"/>
              <w:left w:val="single" w:sz="4" w:space="0" w:color="auto"/>
              <w:bottom w:val="single" w:sz="4" w:space="0" w:color="auto"/>
              <w:right w:val="single" w:sz="4" w:space="0" w:color="auto"/>
            </w:tcBorders>
            <w:vAlign w:val="center"/>
          </w:tcPr>
          <w:p w14:paraId="23829D3B"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05D4EB9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7961C1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74BFDDB1"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其他</w:t>
            </w:r>
          </w:p>
        </w:tc>
        <w:tc>
          <w:tcPr>
            <w:tcW w:w="400" w:type="pct"/>
            <w:tcBorders>
              <w:top w:val="single" w:sz="4" w:space="0" w:color="auto"/>
              <w:left w:val="single" w:sz="4" w:space="0" w:color="auto"/>
              <w:bottom w:val="single" w:sz="4" w:space="0" w:color="auto"/>
              <w:right w:val="single" w:sz="4" w:space="0" w:color="auto"/>
            </w:tcBorders>
            <w:vAlign w:val="center"/>
          </w:tcPr>
          <w:p w14:paraId="7FA8B281"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w:t>
            </w:r>
          </w:p>
        </w:tc>
      </w:tr>
      <w:tr w:rsidR="00B164D3" w14:paraId="6069F6D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45EA28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4D8EB285"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合计</w:t>
            </w:r>
          </w:p>
        </w:tc>
        <w:tc>
          <w:tcPr>
            <w:tcW w:w="400" w:type="pct"/>
            <w:tcBorders>
              <w:top w:val="single" w:sz="4" w:space="0" w:color="auto"/>
              <w:left w:val="single" w:sz="4" w:space="0" w:color="auto"/>
              <w:bottom w:val="single" w:sz="4" w:space="0" w:color="auto"/>
              <w:right w:val="single" w:sz="4" w:space="0" w:color="auto"/>
            </w:tcBorders>
            <w:vAlign w:val="center"/>
          </w:tcPr>
          <w:p w14:paraId="7663741A"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14,804,777.66</w:t>
            </w:r>
          </w:p>
        </w:tc>
      </w:tr>
    </w:tbl>
    <w:p w14:paraId="5C2F77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11.4 报告期末持有的处于转股期的可转换债券明细</w:t>
      </w:r>
    </w:p>
    <w:p w14:paraId="2405DBA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无。</w:t>
      </w:r>
    </w:p>
    <w:p w14:paraId="0FC878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11.5 报告期末前十名股票中存在流通受限情况的说明</w:t>
      </w:r>
    </w:p>
    <w:tbl>
      <w:tblPr>
        <w:tblW w:w="5000" w:type="pct"/>
        <w:tblCellMar>
          <w:left w:w="0" w:type="dxa"/>
          <w:right w:w="0" w:type="dxa"/>
        </w:tblCellMar>
        <w:tblLook w:val="0000" w:firstRow="0" w:lastRow="0" w:firstColumn="0" w:lastColumn="0" w:noHBand="0" w:noVBand="0"/>
      </w:tblPr>
      <w:tblGrid>
        <w:gridCol w:w="540"/>
        <w:gridCol w:w="1622"/>
        <w:gridCol w:w="1622"/>
        <w:gridCol w:w="1622"/>
        <w:gridCol w:w="1622"/>
        <w:gridCol w:w="1622"/>
      </w:tblGrid>
      <w:tr w:rsidR="00B164D3" w14:paraId="04818D6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shd w:val="clear" w:color="auto" w:fill="D9D9D9"/>
            <w:vAlign w:val="center"/>
          </w:tcPr>
          <w:p w14:paraId="18D4CF9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372D322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股票代码</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5BEA72B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股票名称</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4C3EA65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流通受限部分的公允价值（元）</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1A7F969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占基金资产净值比例（</w:t>
            </w:r>
            <w:r>
              <w:rPr>
                <w:rFonts w:ascii="Times New Roman" w:hAnsi="Times New Roman"/>
                <w:color w:val="000000"/>
                <w:kern w:val="0"/>
                <w:sz w:val="25"/>
                <w:szCs w:val="24"/>
              </w:rPr>
              <w:t>%</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center"/>
          </w:tcPr>
          <w:p w14:paraId="2BC01F67"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流通受限情况说明</w:t>
            </w:r>
          </w:p>
        </w:tc>
      </w:tr>
      <w:tr w:rsidR="00B164D3" w14:paraId="4BC42EA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19AFB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69769B0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600905</w:t>
            </w:r>
          </w:p>
        </w:tc>
        <w:tc>
          <w:tcPr>
            <w:tcW w:w="750" w:type="pct"/>
            <w:tcBorders>
              <w:top w:val="single" w:sz="4" w:space="0" w:color="auto"/>
              <w:left w:val="single" w:sz="4" w:space="0" w:color="auto"/>
              <w:bottom w:val="single" w:sz="4" w:space="0" w:color="auto"/>
              <w:right w:val="single" w:sz="4" w:space="0" w:color="auto"/>
            </w:tcBorders>
            <w:vAlign w:val="center"/>
          </w:tcPr>
          <w:p w14:paraId="06273BE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三峡能源</w:t>
            </w:r>
          </w:p>
        </w:tc>
        <w:tc>
          <w:tcPr>
            <w:tcW w:w="750" w:type="pct"/>
            <w:tcBorders>
              <w:top w:val="single" w:sz="4" w:space="0" w:color="auto"/>
              <w:left w:val="single" w:sz="4" w:space="0" w:color="auto"/>
              <w:bottom w:val="single" w:sz="4" w:space="0" w:color="auto"/>
              <w:right w:val="single" w:sz="4" w:space="0" w:color="auto"/>
            </w:tcBorders>
            <w:vAlign w:val="center"/>
          </w:tcPr>
          <w:p w14:paraId="2A32FD1E"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5,147,016.21</w:t>
            </w:r>
          </w:p>
        </w:tc>
        <w:tc>
          <w:tcPr>
            <w:tcW w:w="750" w:type="pct"/>
            <w:tcBorders>
              <w:top w:val="single" w:sz="4" w:space="0" w:color="auto"/>
              <w:left w:val="single" w:sz="4" w:space="0" w:color="auto"/>
              <w:bottom w:val="single" w:sz="4" w:space="0" w:color="auto"/>
              <w:right w:val="single" w:sz="4" w:space="0" w:color="auto"/>
            </w:tcBorders>
            <w:vAlign w:val="center"/>
          </w:tcPr>
          <w:p w14:paraId="012531B5"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0.58</w:t>
            </w:r>
          </w:p>
        </w:tc>
        <w:tc>
          <w:tcPr>
            <w:tcW w:w="750" w:type="pct"/>
            <w:tcBorders>
              <w:top w:val="single" w:sz="4" w:space="0" w:color="auto"/>
              <w:left w:val="single" w:sz="4" w:space="0" w:color="auto"/>
              <w:bottom w:val="single" w:sz="4" w:space="0" w:color="auto"/>
              <w:right w:val="single" w:sz="4" w:space="0" w:color="auto"/>
            </w:tcBorders>
            <w:vAlign w:val="center"/>
          </w:tcPr>
          <w:p w14:paraId="0AF09D03" w14:textId="77777777" w:rsidR="00B164D3" w:rsidRDefault="000605B5">
            <w:pPr>
              <w:widowControl/>
              <w:snapToGrid w:val="0"/>
              <w:jc w:val="right"/>
              <w:rPr>
                <w:rFonts w:ascii="宋体" w:hAnsi="宋体"/>
                <w:color w:val="000000"/>
                <w:kern w:val="0"/>
                <w:sz w:val="25"/>
                <w:szCs w:val="24"/>
              </w:rPr>
            </w:pPr>
            <w:r>
              <w:rPr>
                <w:rFonts w:ascii="Times New Roman" w:hAnsi="Times New Roman"/>
                <w:color w:val="000000"/>
                <w:kern w:val="0"/>
                <w:sz w:val="25"/>
                <w:szCs w:val="24"/>
              </w:rPr>
              <w:t>限售股</w:t>
            </w:r>
          </w:p>
        </w:tc>
      </w:tr>
    </w:tbl>
    <w:p w14:paraId="403F2C6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11.6 投资组合报告附注的其他文字描述部分</w:t>
      </w:r>
    </w:p>
    <w:p w14:paraId="529738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由于四舍五入的原因，分项之和与合计项之间可能存在尾差。</w:t>
      </w:r>
    </w:p>
    <w:p w14:paraId="0E51BD49"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70D744D3"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0D785269"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BFE2E14" w14:textId="77777777" w:rsidR="00B164D3" w:rsidRDefault="000605B5">
      <w:pPr>
        <w:pStyle w:val="1"/>
        <w:snapToGrid w:val="0"/>
        <w:spacing w:beforeLines="0" w:before="240" w:after="240"/>
        <w:rPr>
          <w:rFonts w:ascii="宋体" w:hAnsi="宋体"/>
          <w:szCs w:val="30"/>
        </w:rPr>
      </w:pPr>
      <w:bookmarkStart w:id="13" w:name="_Toc85115625"/>
      <w:r>
        <w:rPr>
          <w:rFonts w:ascii="Times New Roman" w:hAnsi="Times New Roman"/>
          <w:sz w:val="30"/>
        </w:rPr>
        <w:lastRenderedPageBreak/>
        <w:t>十、基金的业绩</w:t>
      </w:r>
      <w:bookmarkEnd w:id="13"/>
    </w:p>
    <w:p w14:paraId="413AAE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基金业绩截止日为2021年06月30日，所载财务数据未经审计师审计。</w:t>
      </w:r>
    </w:p>
    <w:p w14:paraId="033F7A8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354D547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1、基金份额净值增长率及其与同期业绩比较基准收益率的比较</w:t>
      </w:r>
    </w:p>
    <w:tbl>
      <w:tblPr>
        <w:tblW w:w="5000" w:type="pct"/>
        <w:tblCellMar>
          <w:left w:w="0" w:type="dxa"/>
          <w:right w:w="0" w:type="dxa"/>
        </w:tblCellMar>
        <w:tblLook w:val="0000" w:firstRow="0" w:lastRow="0" w:firstColumn="0" w:lastColumn="0" w:noHBand="0" w:noVBand="0"/>
      </w:tblPr>
      <w:tblGrid>
        <w:gridCol w:w="1297"/>
        <w:gridCol w:w="1297"/>
        <w:gridCol w:w="1297"/>
        <w:gridCol w:w="1298"/>
        <w:gridCol w:w="1298"/>
        <w:gridCol w:w="1298"/>
        <w:gridCol w:w="865"/>
      </w:tblGrid>
      <w:tr w:rsidR="00B164D3" w14:paraId="35734BCC"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72AEC3A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阶段</w:t>
            </w:r>
          </w:p>
        </w:tc>
        <w:tc>
          <w:tcPr>
            <w:tcW w:w="750" w:type="pct"/>
            <w:tcBorders>
              <w:top w:val="single" w:sz="4" w:space="0" w:color="auto"/>
              <w:left w:val="single" w:sz="4" w:space="0" w:color="auto"/>
              <w:bottom w:val="single" w:sz="4" w:space="0" w:color="auto"/>
              <w:right w:val="single" w:sz="4" w:space="0" w:color="auto"/>
            </w:tcBorders>
            <w:vAlign w:val="center"/>
          </w:tcPr>
          <w:p w14:paraId="3595E89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w:t>
            </w:r>
            <w:r>
              <w:rPr>
                <w:rFonts w:ascii="Times New Roman" w:hAnsi="Times New Roman"/>
                <w:color w:val="000000"/>
                <w:kern w:val="0"/>
                <w:sz w:val="25"/>
                <w:szCs w:val="24"/>
              </w:rPr>
              <w:t>①</w:t>
            </w:r>
          </w:p>
        </w:tc>
        <w:tc>
          <w:tcPr>
            <w:tcW w:w="750" w:type="pct"/>
            <w:tcBorders>
              <w:top w:val="single" w:sz="4" w:space="0" w:color="auto"/>
              <w:left w:val="single" w:sz="4" w:space="0" w:color="auto"/>
              <w:bottom w:val="single" w:sz="4" w:space="0" w:color="auto"/>
              <w:right w:val="single" w:sz="4" w:space="0" w:color="auto"/>
            </w:tcBorders>
            <w:vAlign w:val="center"/>
          </w:tcPr>
          <w:p w14:paraId="5309B95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净值增长率标准差</w:t>
            </w:r>
            <w:r>
              <w:rPr>
                <w:rFonts w:ascii="Times New Roman" w:hAnsi="Times New Roman"/>
                <w:color w:val="000000"/>
                <w:kern w:val="0"/>
                <w:sz w:val="25"/>
                <w:szCs w:val="24"/>
              </w:rPr>
              <w:t>②</w:t>
            </w:r>
          </w:p>
        </w:tc>
        <w:tc>
          <w:tcPr>
            <w:tcW w:w="750" w:type="pct"/>
            <w:tcBorders>
              <w:top w:val="single" w:sz="4" w:space="0" w:color="auto"/>
              <w:left w:val="single" w:sz="4" w:space="0" w:color="auto"/>
              <w:bottom w:val="single" w:sz="4" w:space="0" w:color="auto"/>
              <w:right w:val="single" w:sz="4" w:space="0" w:color="auto"/>
            </w:tcBorders>
            <w:vAlign w:val="center"/>
          </w:tcPr>
          <w:p w14:paraId="3718CE9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w:t>
            </w:r>
            <w:r>
              <w:rPr>
                <w:rFonts w:ascii="Times New Roman" w:hAnsi="Times New Roman"/>
                <w:color w:val="000000"/>
                <w:kern w:val="0"/>
                <w:sz w:val="25"/>
                <w:szCs w:val="24"/>
              </w:rPr>
              <w:t>③</w:t>
            </w:r>
          </w:p>
        </w:tc>
        <w:tc>
          <w:tcPr>
            <w:tcW w:w="750" w:type="pct"/>
            <w:tcBorders>
              <w:top w:val="single" w:sz="4" w:space="0" w:color="auto"/>
              <w:left w:val="single" w:sz="4" w:space="0" w:color="auto"/>
              <w:bottom w:val="single" w:sz="4" w:space="0" w:color="auto"/>
              <w:right w:val="single" w:sz="4" w:space="0" w:color="auto"/>
            </w:tcBorders>
            <w:vAlign w:val="center"/>
          </w:tcPr>
          <w:p w14:paraId="4DBA84B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业绩比较基准收益率标准差</w:t>
            </w:r>
            <w:r>
              <w:rPr>
                <w:rFonts w:ascii="Times New Roman" w:hAnsi="Times New Roman"/>
                <w:color w:val="000000"/>
                <w:kern w:val="0"/>
                <w:sz w:val="25"/>
                <w:szCs w:val="24"/>
              </w:rPr>
              <w:t>④</w:t>
            </w:r>
          </w:p>
        </w:tc>
        <w:tc>
          <w:tcPr>
            <w:tcW w:w="750" w:type="pct"/>
            <w:tcBorders>
              <w:top w:val="single" w:sz="4" w:space="0" w:color="auto"/>
              <w:left w:val="single" w:sz="4" w:space="0" w:color="auto"/>
              <w:bottom w:val="single" w:sz="4" w:space="0" w:color="auto"/>
              <w:right w:val="single" w:sz="4" w:space="0" w:color="auto"/>
            </w:tcBorders>
            <w:vAlign w:val="center"/>
          </w:tcPr>
          <w:p w14:paraId="0781749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①-③</w:t>
            </w:r>
          </w:p>
        </w:tc>
        <w:tc>
          <w:tcPr>
            <w:tcW w:w="750" w:type="pct"/>
            <w:tcBorders>
              <w:top w:val="single" w:sz="4" w:space="0" w:color="auto"/>
              <w:left w:val="single" w:sz="4" w:space="0" w:color="auto"/>
              <w:bottom w:val="single" w:sz="4" w:space="0" w:color="auto"/>
              <w:right w:val="single" w:sz="4" w:space="0" w:color="auto"/>
            </w:tcBorders>
            <w:vAlign w:val="center"/>
          </w:tcPr>
          <w:p w14:paraId="0C6262C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②-④</w:t>
            </w:r>
          </w:p>
        </w:tc>
      </w:tr>
      <w:tr w:rsidR="00B164D3" w14:paraId="39675CA2"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232FA81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过去三个月</w:t>
            </w:r>
          </w:p>
        </w:tc>
        <w:tc>
          <w:tcPr>
            <w:tcW w:w="750" w:type="pct"/>
            <w:tcBorders>
              <w:top w:val="single" w:sz="4" w:space="0" w:color="auto"/>
              <w:left w:val="single" w:sz="4" w:space="0" w:color="auto"/>
              <w:bottom w:val="single" w:sz="4" w:space="0" w:color="auto"/>
              <w:right w:val="single" w:sz="4" w:space="0" w:color="auto"/>
            </w:tcBorders>
            <w:vAlign w:val="center"/>
          </w:tcPr>
          <w:p w14:paraId="7650C2D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2.38%</w:t>
            </w:r>
          </w:p>
        </w:tc>
        <w:tc>
          <w:tcPr>
            <w:tcW w:w="750" w:type="pct"/>
            <w:tcBorders>
              <w:top w:val="single" w:sz="4" w:space="0" w:color="auto"/>
              <w:left w:val="single" w:sz="4" w:space="0" w:color="auto"/>
              <w:bottom w:val="single" w:sz="4" w:space="0" w:color="auto"/>
              <w:right w:val="single" w:sz="4" w:space="0" w:color="auto"/>
            </w:tcBorders>
            <w:vAlign w:val="center"/>
          </w:tcPr>
          <w:p w14:paraId="135074D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0.14%</w:t>
            </w:r>
          </w:p>
        </w:tc>
        <w:tc>
          <w:tcPr>
            <w:tcW w:w="750" w:type="pct"/>
            <w:tcBorders>
              <w:top w:val="single" w:sz="4" w:space="0" w:color="auto"/>
              <w:left w:val="single" w:sz="4" w:space="0" w:color="auto"/>
              <w:bottom w:val="single" w:sz="4" w:space="0" w:color="auto"/>
              <w:right w:val="single" w:sz="4" w:space="0" w:color="auto"/>
            </w:tcBorders>
            <w:vAlign w:val="center"/>
          </w:tcPr>
          <w:p w14:paraId="109E82B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1.75%</w:t>
            </w:r>
          </w:p>
        </w:tc>
        <w:tc>
          <w:tcPr>
            <w:tcW w:w="750" w:type="pct"/>
            <w:tcBorders>
              <w:top w:val="single" w:sz="4" w:space="0" w:color="auto"/>
              <w:left w:val="single" w:sz="4" w:space="0" w:color="auto"/>
              <w:bottom w:val="single" w:sz="4" w:space="0" w:color="auto"/>
              <w:right w:val="single" w:sz="4" w:space="0" w:color="auto"/>
            </w:tcBorders>
            <w:vAlign w:val="center"/>
          </w:tcPr>
          <w:p w14:paraId="2C098BE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0.23%</w:t>
            </w:r>
          </w:p>
        </w:tc>
        <w:tc>
          <w:tcPr>
            <w:tcW w:w="750" w:type="pct"/>
            <w:tcBorders>
              <w:top w:val="single" w:sz="4" w:space="0" w:color="auto"/>
              <w:left w:val="single" w:sz="4" w:space="0" w:color="auto"/>
              <w:bottom w:val="single" w:sz="4" w:space="0" w:color="auto"/>
              <w:right w:val="single" w:sz="4" w:space="0" w:color="auto"/>
            </w:tcBorders>
            <w:vAlign w:val="center"/>
          </w:tcPr>
          <w:p w14:paraId="054A276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0.63%</w:t>
            </w:r>
          </w:p>
        </w:tc>
        <w:tc>
          <w:tcPr>
            <w:tcW w:w="750" w:type="pct"/>
            <w:tcBorders>
              <w:top w:val="single" w:sz="4" w:space="0" w:color="auto"/>
              <w:left w:val="single" w:sz="4" w:space="0" w:color="auto"/>
              <w:bottom w:val="single" w:sz="4" w:space="0" w:color="auto"/>
              <w:right w:val="single" w:sz="4" w:space="0" w:color="auto"/>
            </w:tcBorders>
            <w:vAlign w:val="center"/>
          </w:tcPr>
          <w:p w14:paraId="08D6F45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r w:rsidR="00B164D3" w14:paraId="18893141"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4D5975D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2021</w:t>
            </w:r>
            <w:r>
              <w:rPr>
                <w:rFonts w:ascii="Times New Roman" w:hAnsi="Times New Roman"/>
                <w:color w:val="000000"/>
                <w:kern w:val="0"/>
                <w:sz w:val="25"/>
                <w:szCs w:val="24"/>
              </w:rPr>
              <w:t>上半年</w:t>
            </w:r>
          </w:p>
        </w:tc>
        <w:tc>
          <w:tcPr>
            <w:tcW w:w="750" w:type="pct"/>
            <w:tcBorders>
              <w:top w:val="single" w:sz="4" w:space="0" w:color="auto"/>
              <w:left w:val="single" w:sz="4" w:space="0" w:color="auto"/>
              <w:bottom w:val="single" w:sz="4" w:space="0" w:color="auto"/>
              <w:right w:val="single" w:sz="4" w:space="0" w:color="auto"/>
            </w:tcBorders>
            <w:vAlign w:val="center"/>
          </w:tcPr>
          <w:p w14:paraId="7C0A7B6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3.33%</w:t>
            </w:r>
          </w:p>
        </w:tc>
        <w:tc>
          <w:tcPr>
            <w:tcW w:w="750" w:type="pct"/>
            <w:tcBorders>
              <w:top w:val="single" w:sz="4" w:space="0" w:color="auto"/>
              <w:left w:val="single" w:sz="4" w:space="0" w:color="auto"/>
              <w:bottom w:val="single" w:sz="4" w:space="0" w:color="auto"/>
              <w:right w:val="single" w:sz="4" w:space="0" w:color="auto"/>
            </w:tcBorders>
            <w:vAlign w:val="center"/>
          </w:tcPr>
          <w:p w14:paraId="392D883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14:paraId="22CEB53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2.17%</w:t>
            </w:r>
          </w:p>
        </w:tc>
        <w:tc>
          <w:tcPr>
            <w:tcW w:w="750" w:type="pct"/>
            <w:tcBorders>
              <w:top w:val="single" w:sz="4" w:space="0" w:color="auto"/>
              <w:left w:val="single" w:sz="4" w:space="0" w:color="auto"/>
              <w:bottom w:val="single" w:sz="4" w:space="0" w:color="auto"/>
              <w:right w:val="single" w:sz="4" w:space="0" w:color="auto"/>
            </w:tcBorders>
            <w:vAlign w:val="center"/>
          </w:tcPr>
          <w:p w14:paraId="6F0ACAA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0.31%</w:t>
            </w:r>
          </w:p>
        </w:tc>
        <w:tc>
          <w:tcPr>
            <w:tcW w:w="750" w:type="pct"/>
            <w:tcBorders>
              <w:top w:val="single" w:sz="4" w:space="0" w:color="auto"/>
              <w:left w:val="single" w:sz="4" w:space="0" w:color="auto"/>
              <w:bottom w:val="single" w:sz="4" w:space="0" w:color="auto"/>
              <w:right w:val="single" w:sz="4" w:space="0" w:color="auto"/>
            </w:tcBorders>
            <w:vAlign w:val="center"/>
          </w:tcPr>
          <w:p w14:paraId="0C0D7A6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1.16%</w:t>
            </w:r>
          </w:p>
        </w:tc>
        <w:tc>
          <w:tcPr>
            <w:tcW w:w="750" w:type="pct"/>
            <w:tcBorders>
              <w:top w:val="single" w:sz="4" w:space="0" w:color="auto"/>
              <w:left w:val="single" w:sz="4" w:space="0" w:color="auto"/>
              <w:bottom w:val="single" w:sz="4" w:space="0" w:color="auto"/>
              <w:right w:val="single" w:sz="4" w:space="0" w:color="auto"/>
            </w:tcBorders>
            <w:vAlign w:val="center"/>
          </w:tcPr>
          <w:p w14:paraId="7C1DA67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-0.10%</w:t>
            </w:r>
          </w:p>
        </w:tc>
      </w:tr>
      <w:tr w:rsidR="00B164D3" w14:paraId="2EE22337" w14:textId="77777777">
        <w:trPr>
          <w:cantSplit/>
          <w:trHeight w:val="375"/>
        </w:trPr>
        <w:tc>
          <w:tcPr>
            <w:tcW w:w="750" w:type="pct"/>
            <w:tcBorders>
              <w:top w:val="single" w:sz="4" w:space="0" w:color="auto"/>
              <w:left w:val="single" w:sz="4" w:space="0" w:color="auto"/>
              <w:bottom w:val="single" w:sz="4" w:space="0" w:color="auto"/>
              <w:right w:val="single" w:sz="4" w:space="0" w:color="auto"/>
            </w:tcBorders>
            <w:vAlign w:val="center"/>
          </w:tcPr>
          <w:p w14:paraId="6233394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自基金合同生效起至今</w:t>
            </w:r>
          </w:p>
        </w:tc>
        <w:tc>
          <w:tcPr>
            <w:tcW w:w="750" w:type="pct"/>
            <w:tcBorders>
              <w:top w:val="single" w:sz="4" w:space="0" w:color="auto"/>
              <w:left w:val="single" w:sz="4" w:space="0" w:color="auto"/>
              <w:bottom w:val="single" w:sz="4" w:space="0" w:color="auto"/>
              <w:right w:val="single" w:sz="4" w:space="0" w:color="auto"/>
            </w:tcBorders>
            <w:vAlign w:val="center"/>
          </w:tcPr>
          <w:p w14:paraId="6229D24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3.56%</w:t>
            </w:r>
          </w:p>
        </w:tc>
        <w:tc>
          <w:tcPr>
            <w:tcW w:w="750" w:type="pct"/>
            <w:tcBorders>
              <w:top w:val="single" w:sz="4" w:space="0" w:color="auto"/>
              <w:left w:val="single" w:sz="4" w:space="0" w:color="auto"/>
              <w:bottom w:val="single" w:sz="4" w:space="0" w:color="auto"/>
              <w:right w:val="single" w:sz="4" w:space="0" w:color="auto"/>
            </w:tcBorders>
            <w:vAlign w:val="center"/>
          </w:tcPr>
          <w:p w14:paraId="7975CEE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0.21%</w:t>
            </w:r>
          </w:p>
        </w:tc>
        <w:tc>
          <w:tcPr>
            <w:tcW w:w="750" w:type="pct"/>
            <w:tcBorders>
              <w:top w:val="single" w:sz="4" w:space="0" w:color="auto"/>
              <w:left w:val="single" w:sz="4" w:space="0" w:color="auto"/>
              <w:bottom w:val="single" w:sz="4" w:space="0" w:color="auto"/>
              <w:right w:val="single" w:sz="4" w:space="0" w:color="auto"/>
            </w:tcBorders>
            <w:vAlign w:val="center"/>
          </w:tcPr>
          <w:p w14:paraId="37905D1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3.59%</w:t>
            </w:r>
          </w:p>
        </w:tc>
        <w:tc>
          <w:tcPr>
            <w:tcW w:w="750" w:type="pct"/>
            <w:tcBorders>
              <w:top w:val="single" w:sz="4" w:space="0" w:color="auto"/>
              <w:left w:val="single" w:sz="4" w:space="0" w:color="auto"/>
              <w:bottom w:val="single" w:sz="4" w:space="0" w:color="auto"/>
              <w:right w:val="single" w:sz="4" w:space="0" w:color="auto"/>
            </w:tcBorders>
            <w:vAlign w:val="center"/>
          </w:tcPr>
          <w:p w14:paraId="384F68D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0.30%</w:t>
            </w:r>
          </w:p>
        </w:tc>
        <w:tc>
          <w:tcPr>
            <w:tcW w:w="750" w:type="pct"/>
            <w:tcBorders>
              <w:top w:val="single" w:sz="4" w:space="0" w:color="auto"/>
              <w:left w:val="single" w:sz="4" w:space="0" w:color="auto"/>
              <w:bottom w:val="single" w:sz="4" w:space="0" w:color="auto"/>
              <w:right w:val="single" w:sz="4" w:space="0" w:color="auto"/>
            </w:tcBorders>
            <w:vAlign w:val="center"/>
          </w:tcPr>
          <w:p w14:paraId="59769A4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-0.03%</w:t>
            </w:r>
          </w:p>
        </w:tc>
        <w:tc>
          <w:tcPr>
            <w:tcW w:w="750" w:type="pct"/>
            <w:tcBorders>
              <w:top w:val="single" w:sz="4" w:space="0" w:color="auto"/>
              <w:left w:val="single" w:sz="4" w:space="0" w:color="auto"/>
              <w:bottom w:val="single" w:sz="4" w:space="0" w:color="auto"/>
              <w:right w:val="single" w:sz="4" w:space="0" w:color="auto"/>
            </w:tcBorders>
            <w:vAlign w:val="center"/>
          </w:tcPr>
          <w:p w14:paraId="3609BE9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-0.09%</w:t>
            </w:r>
          </w:p>
        </w:tc>
      </w:tr>
    </w:tbl>
    <w:p w14:paraId="346DC5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2、自基金合同生效以来基金份额累计净值增长率变动及其与同期业绩比较基准收益率变动的比较</w:t>
      </w:r>
    </w:p>
    <w:p w14:paraId="724B2F7A" w14:textId="77777777" w:rsidR="00B164D3" w:rsidRDefault="000605B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交银施罗德臻选回报混合型证券投资基金</w:t>
      </w:r>
    </w:p>
    <w:p w14:paraId="496956E0" w14:textId="77777777" w:rsidR="00B164D3" w:rsidRDefault="000605B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份额累计净值增长率与业绩比较基准收益率的历史走势对比图</w:t>
      </w:r>
    </w:p>
    <w:p w14:paraId="6936BD71" w14:textId="77777777" w:rsidR="00B164D3" w:rsidRDefault="000605B5">
      <w:pPr>
        <w:autoSpaceDE w:val="0"/>
        <w:autoSpaceDN w:val="0"/>
        <w:adjustRightInd w:val="0"/>
        <w:snapToGrid w:val="0"/>
        <w:spacing w:line="360" w:lineRule="auto"/>
        <w:ind w:firstLineChars="200" w:firstLine="480"/>
        <w:jc w:val="center"/>
        <w:rPr>
          <w:rFonts w:ascii="宋体" w:hAnsi="宋体"/>
          <w:szCs w:val="24"/>
        </w:rPr>
      </w:pPr>
      <w:r>
        <w:rPr>
          <w:rFonts w:ascii="宋体" w:hAnsi="宋体"/>
          <w:sz w:val="24"/>
        </w:rPr>
        <w:t>（2020年12月23日至2021年06月30日）</w:t>
      </w:r>
    </w:p>
    <w:p w14:paraId="740E91BB" w14:textId="3626299B" w:rsidR="00B164D3" w:rsidRDefault="00C105ED">
      <w:pPr>
        <w:autoSpaceDE w:val="0"/>
        <w:autoSpaceDN w:val="0"/>
        <w:adjustRightInd w:val="0"/>
        <w:snapToGrid w:val="0"/>
        <w:spacing w:line="360" w:lineRule="auto"/>
        <w:ind w:firstLineChars="200" w:firstLine="480"/>
        <w:jc w:val="left"/>
        <w:rPr>
          <w:rFonts w:ascii="宋体" w:hAnsi="宋体"/>
          <w:szCs w:val="24"/>
        </w:rPr>
      </w:pPr>
      <w:r>
        <w:rPr>
          <w:rFonts w:ascii="宋体" w:hAnsi="宋体"/>
          <w:noProof/>
          <w:kern w:val="0"/>
          <w:sz w:val="24"/>
        </w:rPr>
        <w:drawing>
          <wp:inline distT="0" distB="0" distL="0" distR="0" wp14:anchorId="54965325" wp14:editId="6C3130B3">
            <wp:extent cx="5581650" cy="3409950"/>
            <wp:effectExtent l="0" t="0" r="0" b="0"/>
            <wp:docPr id="3" name="图片 2" descr="152125661024202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21256610242020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3409950"/>
                    </a:xfrm>
                    <a:prstGeom prst="rect">
                      <a:avLst/>
                    </a:prstGeom>
                    <a:noFill/>
                    <a:ln>
                      <a:noFill/>
                    </a:ln>
                  </pic:spPr>
                </pic:pic>
              </a:graphicData>
            </a:graphic>
          </wp:inline>
        </w:drawing>
      </w:r>
    </w:p>
    <w:p w14:paraId="6DF9B2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注：本基金基金合同生效日为2020年12月23日，基金合同生效日至报告期期</w:t>
      </w:r>
      <w:r>
        <w:rPr>
          <w:rFonts w:ascii="宋体" w:hAnsi="宋体"/>
          <w:sz w:val="24"/>
        </w:rPr>
        <w:lastRenderedPageBreak/>
        <w:t>末，本基金运作时间未满一年。本基金建仓期为自基金合同生效日起的6个月。截至建仓期结束，本基金各项资产配置比例符合基金合同及招募说明书有关投资比例的约定。</w:t>
      </w:r>
    </w:p>
    <w:p w14:paraId="1F431880"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6C0F9B2C"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2DC0DB6D"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AAEA290" w14:textId="77777777" w:rsidR="00B164D3" w:rsidRDefault="000605B5">
      <w:pPr>
        <w:pStyle w:val="1"/>
        <w:snapToGrid w:val="0"/>
        <w:spacing w:beforeLines="0" w:before="240" w:after="240"/>
        <w:rPr>
          <w:rFonts w:ascii="宋体" w:hAnsi="宋体"/>
          <w:szCs w:val="30"/>
        </w:rPr>
      </w:pPr>
      <w:bookmarkStart w:id="14" w:name="_Toc85115626"/>
      <w:r>
        <w:rPr>
          <w:rFonts w:ascii="Times New Roman" w:hAnsi="Times New Roman"/>
          <w:sz w:val="30"/>
        </w:rPr>
        <w:lastRenderedPageBreak/>
        <w:t>十一、基金的财产</w:t>
      </w:r>
      <w:bookmarkEnd w:id="14"/>
    </w:p>
    <w:p w14:paraId="789F507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（一）基金资产总值</w:t>
      </w:r>
    </w:p>
    <w:p w14:paraId="12DEE37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基金资产总值是指基金拥有的各类有价证券、股指期货合约、银行存款本息、基金应收申购款及其他资产的价值总和。</w:t>
      </w:r>
    </w:p>
    <w:p w14:paraId="0BC9E87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（二）基金资产净值</w:t>
      </w:r>
    </w:p>
    <w:p w14:paraId="5BE6C2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p>
    <w:p w14:paraId="3EC9B36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（三）基金财产的账户</w:t>
      </w:r>
    </w:p>
    <w:p w14:paraId="5AF3B7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52E3EC91"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（四）基金财产的保管和处分</w:t>
      </w:r>
    </w:p>
    <w:p w14:paraId="0CF75E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90370A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64060D69"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73D6550" w14:textId="77777777" w:rsidR="00B164D3" w:rsidRDefault="000605B5">
      <w:pPr>
        <w:pStyle w:val="1"/>
        <w:snapToGrid w:val="0"/>
        <w:spacing w:beforeLines="0" w:before="240" w:after="240"/>
        <w:rPr>
          <w:rFonts w:ascii="宋体" w:hAnsi="宋体"/>
          <w:szCs w:val="30"/>
        </w:rPr>
      </w:pPr>
      <w:bookmarkStart w:id="15" w:name="_Toc85115627"/>
      <w:r>
        <w:rPr>
          <w:rFonts w:ascii="Times New Roman" w:hAnsi="Times New Roman"/>
          <w:sz w:val="30"/>
        </w:rPr>
        <w:lastRenderedPageBreak/>
        <w:t>十二、基金资产的估值</w:t>
      </w:r>
      <w:bookmarkEnd w:id="15"/>
    </w:p>
    <w:p w14:paraId="696484AD"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（一）估值日</w:t>
      </w:r>
    </w:p>
    <w:p w14:paraId="5042E02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本基金的估值日为本基金相关的证券交易场所的交易日以及国家法律法规规定需要对外披露基金净值的非交易日。</w:t>
      </w:r>
    </w:p>
    <w:p w14:paraId="309E02F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（二）估值对象</w:t>
      </w:r>
    </w:p>
    <w:p w14:paraId="38E3E2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基金所拥有的股票、债券、衍生工具和其他投资等持续以公允价值计量的金融资产及负债。</w:t>
      </w:r>
    </w:p>
    <w:p w14:paraId="1971066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（三）估值原则</w:t>
      </w:r>
    </w:p>
    <w:p w14:paraId="20102C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2796B7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BFD90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9A38B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227800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14:paraId="40675A52"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（四）估值方法</w:t>
      </w:r>
    </w:p>
    <w:p w14:paraId="5800C4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306FC86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（1）交易所上市的有价证券，以其估值日在证券交易所挂牌的市价（收盘</w:t>
      </w:r>
      <w:r>
        <w:rPr>
          <w:rFonts w:ascii="宋体" w:hAnsi="宋体"/>
          <w:sz w:val="24"/>
        </w:rPr>
        <w:lastRenderedPageBreak/>
        <w:t>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B68D3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（2）交易所上市交易或挂牌转让的固定收益品种（另有规定的除外），选取估值日第三方估值机构提供的相应品种当日的估值净价进行估值；</w:t>
      </w:r>
    </w:p>
    <w:p w14:paraId="0F79DC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5115D0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（4）交易所上市实行全价交易的债券（可转债除外），选取第三方估值机构提供的估值全价减去估值全价中所含的债券（税后）应收利息得到的净价进行估值；</w:t>
      </w:r>
    </w:p>
    <w:p w14:paraId="4CDB153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（5）交易所上市不存在活跃市场的有价证券，采用估值技术确定公允价值。交易所市场挂牌转让的资产支持证券，采用估值技术确定公允价值；</w:t>
      </w:r>
    </w:p>
    <w:p w14:paraId="0BCA4D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AFCC20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14:paraId="7DAC49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（1）送股、转增股、配股和公开增发的新股，按估值日在证券交易所挂牌的同一股票的估值方法估值；该日无交易的，以最近一日的市价（收盘价）估值；</w:t>
      </w:r>
    </w:p>
    <w:p w14:paraId="5587E8F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（2）首次公开发行未上市的股票和债券，采用估值技术确定公允价值，在估值技术难以可靠计量公允价值的情况下，按成本估值；</w:t>
      </w:r>
    </w:p>
    <w:p w14:paraId="5A01977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w:t>
      </w:r>
      <w:r>
        <w:rPr>
          <w:rFonts w:ascii="宋体" w:hAnsi="宋体"/>
          <w:sz w:val="24"/>
        </w:rPr>
        <w:lastRenderedPageBreak/>
        <w:t>构或行业协会有关规定确定公允价值。</w:t>
      </w:r>
    </w:p>
    <w:p w14:paraId="0A1C5F2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7A90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61FF3BA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5、同一股票同时在两个或两个以上市场交易的，按股票所处的市场分别估值。</w:t>
      </w:r>
    </w:p>
    <w:p w14:paraId="17A079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14:paraId="026C36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C853E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6、如有确凿证据表明按上述方法进行估值不能客观反映其公允价值的，基金管理人可根据具体情况与基金托管人商定后，按最能反映公允价值的价格估值。</w:t>
      </w:r>
    </w:p>
    <w:p w14:paraId="6EB30B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7、当发生大额申购或赎回情形时，基金管理人可以采用摆动定价机制，以确保基金估值的公平性。</w:t>
      </w:r>
    </w:p>
    <w:p w14:paraId="65CD18F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8、本基金投资存托凭证的估值核算依照境内上市交易的股票执行。</w:t>
      </w:r>
    </w:p>
    <w:p w14:paraId="08428C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9、相关法律法规以及监管部门有强制规定的，从其规定。如有新增事项，按国家最新规定估值。</w:t>
      </w:r>
    </w:p>
    <w:p w14:paraId="7C029E0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B75DA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w:t>
      </w:r>
      <w:r>
        <w:rPr>
          <w:rFonts w:ascii="宋体" w:hAnsi="宋体"/>
          <w:sz w:val="24"/>
        </w:rPr>
        <w:lastRenderedPageBreak/>
        <w:t>担。本基金的基金会计责任方由基金管理人担任，因此，就与本基金有关的会计问题，如经相关各方在平等基础上充分讨论后，仍无法达成一致的意见，按照基金管理人对基金净值信息的计算结果对外予以公布。</w:t>
      </w:r>
    </w:p>
    <w:p w14:paraId="4338E8E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（五）估值程序</w:t>
      </w:r>
    </w:p>
    <w:p w14:paraId="794C850A" w14:textId="7384A591"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w:t>
      </w:r>
      <w:r w:rsidR="00897434" w:rsidRPr="00F716E4">
        <w:rPr>
          <w:rFonts w:hint="eastAsia"/>
          <w:bCs/>
          <w:sz w:val="24"/>
        </w:rPr>
        <w:t>各类基金份额的</w:t>
      </w:r>
      <w:r>
        <w:rPr>
          <w:rFonts w:ascii="宋体" w:hAnsi="宋体"/>
          <w:sz w:val="24"/>
        </w:rPr>
        <w:t>基金份额净值是按照每个工作日闭市后，</w:t>
      </w:r>
      <w:r w:rsidR="00A81024">
        <w:rPr>
          <w:rFonts w:hint="eastAsia"/>
          <w:bCs/>
          <w:sz w:val="24"/>
        </w:rPr>
        <w:t>该类基金份额的</w:t>
      </w:r>
      <w:r>
        <w:rPr>
          <w:rFonts w:ascii="宋体" w:hAnsi="宋体"/>
          <w:sz w:val="24"/>
        </w:rPr>
        <w:t>基金资产净值除以当日</w:t>
      </w:r>
      <w:r w:rsidR="00E2609B">
        <w:rPr>
          <w:rFonts w:hint="eastAsia"/>
          <w:bCs/>
          <w:sz w:val="24"/>
        </w:rPr>
        <w:t>该类</w:t>
      </w:r>
      <w:r>
        <w:rPr>
          <w:rFonts w:ascii="宋体" w:hAnsi="宋体"/>
          <w:sz w:val="24"/>
        </w:rPr>
        <w:t>基金份额的余额数量计算，精确到0.0001元，小数点后第5位四舍五入。基金管理人可以设立大额赎回情形下的净值精度应急调整机制，具体可参见相关公告。国家另有规定的，从其规定。</w:t>
      </w:r>
    </w:p>
    <w:p w14:paraId="0798D2A3" w14:textId="4F80CC0D"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基金管理人于每个工作日计算</w:t>
      </w:r>
      <w:r w:rsidR="00D337E6" w:rsidRPr="00F716E4">
        <w:rPr>
          <w:rFonts w:hint="eastAsia"/>
          <w:bCs/>
          <w:sz w:val="24"/>
        </w:rPr>
        <w:t>各类基金份额的</w:t>
      </w:r>
      <w:r>
        <w:rPr>
          <w:rFonts w:ascii="宋体" w:hAnsi="宋体"/>
          <w:sz w:val="24"/>
        </w:rPr>
        <w:t>基金资产净值及基金份额净值，并按规定公告。如遇特殊情况，经履行适当程序，可以适当延迟计算或公告。</w:t>
      </w:r>
    </w:p>
    <w:p w14:paraId="0CD57063" w14:textId="29EDA88E"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2、基金管理人应每个工作日对基金资产估值。但基金管理人根据法律法规或基金合同的规定暂停估值时除外。基金管理人每个工作日对基金资产估值后，将</w:t>
      </w:r>
      <w:r w:rsidR="00687208">
        <w:rPr>
          <w:rFonts w:hint="eastAsia"/>
          <w:bCs/>
          <w:sz w:val="24"/>
        </w:rPr>
        <w:t>各类</w:t>
      </w:r>
      <w:r>
        <w:rPr>
          <w:rFonts w:ascii="宋体" w:hAnsi="宋体"/>
          <w:sz w:val="24"/>
        </w:rPr>
        <w:t>基金份额净值结果发送基金托管人，经基金托管人复核无误后，由基金管理人依据基金合同和相关法律法规的规定对外公布。</w:t>
      </w:r>
    </w:p>
    <w:p w14:paraId="7345502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（六）估值错误的处理</w:t>
      </w:r>
    </w:p>
    <w:p w14:paraId="45206E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基金管理人和基金托管人将采取必要、适当、合理的措施确保基金资产估值的准确性、及时性。当基金份额净值小数点后4位以内（含第4位）发生估值错误时，视为基金份额净值错误。</w:t>
      </w:r>
    </w:p>
    <w:p w14:paraId="083D68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基金合同的当事人应按照以下约定处理：</w:t>
      </w:r>
    </w:p>
    <w:p w14:paraId="36E070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1、估值错误类型</w:t>
      </w:r>
    </w:p>
    <w:p w14:paraId="5B39FD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5AC49F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上述估值错误的主要类型包括但不限于：资料申报差错、数据传输差错、数据计算差错、系统故障差错、下达指令差错等。</w:t>
      </w:r>
    </w:p>
    <w:p w14:paraId="4426BA7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对于因技术原因引起的差错，若系同行业现有技术水平无法预见、无法避免、无法抗拒，则属不可抗力，按照下述规定执行。</w:t>
      </w:r>
    </w:p>
    <w:p w14:paraId="1CCBB1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由于不可抗力原因造成投资人的交易资料灭失或被错误处理或造成其他错误等，因不可抗力原因出现估值错误的当事人不对其他当事人承担赔偿责任，但因该</w:t>
      </w:r>
      <w:r>
        <w:rPr>
          <w:rFonts w:ascii="宋体" w:hAnsi="宋体"/>
          <w:sz w:val="24"/>
        </w:rPr>
        <w:lastRenderedPageBreak/>
        <w:t>估值错误取得不当得利的当事人仍应负有返还不当得利的义务。</w:t>
      </w:r>
    </w:p>
    <w:p w14:paraId="4D5CF96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2、估值错误处理原则</w:t>
      </w:r>
    </w:p>
    <w:p w14:paraId="02D829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C95B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（2）估值错误的责任方对有关当事人的直接损失负责，不对间接损失负责，并且仅对估值错误的有关直接当事人负责，不对第三方负责。</w:t>
      </w:r>
    </w:p>
    <w:p w14:paraId="7CD53F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BE9F83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（4）估值错误调整采用尽量恢复至假设未发生估值错误的正确情形的方式。</w:t>
      </w:r>
    </w:p>
    <w:p w14:paraId="79E413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（5）按法律法规规定的其他原则处理估值错误。</w:t>
      </w:r>
    </w:p>
    <w:p w14:paraId="3DBB8E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3、估值错误处理程序</w:t>
      </w:r>
    </w:p>
    <w:p w14:paraId="5F5B4C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估值错误被发现后，有关的当事人应当及时进行处理，处理的程序如下：</w:t>
      </w:r>
    </w:p>
    <w:p w14:paraId="4CA1AC9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（1）查明估值错误发生的原因，列明所有的当事人，并根据估值错误发生的原因确定估值错误的责任方；</w:t>
      </w:r>
    </w:p>
    <w:p w14:paraId="71669D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（2）根据估值错误处理原则或当事人协商的方法对因估值错误造成的损失进行评估；</w:t>
      </w:r>
    </w:p>
    <w:p w14:paraId="08AAB6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（3）根据估值错误处理原则或当事人协商的方法由估值错误的责任方进行更正和赔偿损失；</w:t>
      </w:r>
    </w:p>
    <w:p w14:paraId="1831C72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（4）根据估值错误处理的方法，需要修改基金登记机构交易数据的，由基金登记机构进行更正，并就估值错误的更正向有关当事人进行确认。</w:t>
      </w:r>
    </w:p>
    <w:p w14:paraId="48B30AF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4、基金份额净值估值错误处理的方法如下：</w:t>
      </w:r>
    </w:p>
    <w:p w14:paraId="17B8D5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（1）基金份额净值计算出现错误时，基金管理人应当立即予以纠正，通报基金托管人，并采取合理的措施防止损失进一步扩大。</w:t>
      </w:r>
    </w:p>
    <w:p w14:paraId="28E1018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（2）错误偏差达到基金份额净值的0.25%时，基金管理人应当通报基金托管人并报中国证监会备案；错误偏差达到基金份额净值的0.5%时，基金管理人应当公告，并报中国证监会备案。</w:t>
      </w:r>
    </w:p>
    <w:p w14:paraId="5B0387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（3）前述内容如法律法规或监管机关另有规定的，从其规定处理。</w:t>
      </w:r>
    </w:p>
    <w:p w14:paraId="3166D1D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（七）暂停估值的情形</w:t>
      </w:r>
    </w:p>
    <w:p w14:paraId="508C4F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31DCC9F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2、因不可抗力致使基金管理人、基金托管人无法准确评估基金资产价值时；</w:t>
      </w:r>
    </w:p>
    <w:p w14:paraId="7E3C4E8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14:paraId="6A9CCC4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14:paraId="1C54E3B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（八）基金净值的确认</w:t>
      </w:r>
    </w:p>
    <w:p w14:paraId="7FB06786" w14:textId="7F181A8B" w:rsidR="00B164D3" w:rsidRDefault="0034536E">
      <w:pPr>
        <w:autoSpaceDE w:val="0"/>
        <w:autoSpaceDN w:val="0"/>
        <w:adjustRightInd w:val="0"/>
        <w:snapToGrid w:val="0"/>
        <w:spacing w:line="360" w:lineRule="auto"/>
        <w:ind w:firstLineChars="200" w:firstLine="480"/>
        <w:jc w:val="left"/>
        <w:rPr>
          <w:rFonts w:ascii="宋体" w:hAnsi="宋体"/>
          <w:szCs w:val="24"/>
        </w:rPr>
      </w:pPr>
      <w:r w:rsidRPr="005F1F24">
        <w:rPr>
          <w:rFonts w:hint="eastAsia"/>
          <w:bCs/>
          <w:sz w:val="24"/>
        </w:rPr>
        <w:t>各类基金份额的</w:t>
      </w:r>
      <w:r w:rsidR="000605B5">
        <w:rPr>
          <w:rFonts w:ascii="宋体" w:hAnsi="宋体"/>
          <w:sz w:val="24"/>
        </w:rPr>
        <w:t>基金资产净值和基金份额净值由基金管理人负责计算，基金托管人负责进行复核。基金管理人应于每个开放日交易结束后计算当日</w:t>
      </w:r>
      <w:r w:rsidRPr="00D0195B">
        <w:rPr>
          <w:rFonts w:hint="eastAsia"/>
          <w:bCs/>
          <w:sz w:val="24"/>
        </w:rPr>
        <w:t>各类基金份额</w:t>
      </w:r>
      <w:r w:rsidR="000605B5">
        <w:rPr>
          <w:rFonts w:ascii="宋体" w:hAnsi="宋体"/>
          <w:sz w:val="24"/>
        </w:rPr>
        <w:t>的基金资产净值和基金份额净值并发送给基金托管人。基金托管人对净值计算结果复核确认后发送给基金管理人，由基金管理人依据基金合同和相关法律法规的规定对基金净值予以公布。</w:t>
      </w:r>
    </w:p>
    <w:p w14:paraId="2D80788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（九）特殊情形的处理</w:t>
      </w:r>
    </w:p>
    <w:p w14:paraId="349D1F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1、基金管理人或基金托管人按估值方法的第6项进行估值时，所造成的误差不作为基金资产估值错误处理。</w:t>
      </w:r>
    </w:p>
    <w:p w14:paraId="0ACF25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47EE010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（十）实施侧袋机制期间的基金资产估值</w:t>
      </w:r>
    </w:p>
    <w:p w14:paraId="10AA82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本基金实施侧袋机制的，应根据本部分的约定对主袋账户资产进行估值并披露主袋账户的基金净值信息，暂停披露侧袋账户份额净值。</w:t>
      </w:r>
    </w:p>
    <w:p w14:paraId="78538BC4"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3825D916" w14:textId="77777777" w:rsidR="00B164D3" w:rsidRDefault="000605B5">
      <w:pPr>
        <w:pStyle w:val="1"/>
        <w:snapToGrid w:val="0"/>
        <w:spacing w:beforeLines="0" w:before="240" w:after="240"/>
        <w:rPr>
          <w:rFonts w:ascii="宋体" w:hAnsi="宋体"/>
          <w:szCs w:val="30"/>
        </w:rPr>
      </w:pPr>
      <w:bookmarkStart w:id="16" w:name="_Toc85115628"/>
      <w:r>
        <w:rPr>
          <w:rFonts w:ascii="Times New Roman" w:hAnsi="Times New Roman"/>
          <w:sz w:val="30"/>
        </w:rPr>
        <w:lastRenderedPageBreak/>
        <w:t>十三、基金收益与分配</w:t>
      </w:r>
      <w:bookmarkEnd w:id="16"/>
    </w:p>
    <w:p w14:paraId="1F05F6A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（一）基金利润的构成</w:t>
      </w:r>
    </w:p>
    <w:p w14:paraId="42D3964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基金利润指基金利息收入、投资收益、公允价值变动收益和其他收入扣除相关费用后的余额，基金已实现收益指基金利润减去公允价值变动收益后的余额。</w:t>
      </w:r>
    </w:p>
    <w:p w14:paraId="4A39953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（二）基金可供分配利润</w:t>
      </w:r>
    </w:p>
    <w:p w14:paraId="1E1EFE6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基金可供分配利润指截至收益分配基准日基金未分配利润与未分配利润中已实现收益的孰低数。</w:t>
      </w:r>
    </w:p>
    <w:p w14:paraId="2612ACEE"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（三）基金收益分配原则</w:t>
      </w:r>
    </w:p>
    <w:p w14:paraId="3580F5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1、在符合有关基金分红条件的前提下，本基金管理人可以根据实际情况进行收益分配，具体分配方案以公告为准，若《基金合同》生效不满3个月可不进行收益分配；</w:t>
      </w:r>
    </w:p>
    <w:p w14:paraId="2F548E66" w14:textId="0DC7772E"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2、本基金收益分配方式分两种：现金分红与红利再投资，投资者可选择现金红利或将现金红利自动转为</w:t>
      </w:r>
      <w:r w:rsidR="0038331F">
        <w:rPr>
          <w:rFonts w:ascii="宋体" w:hAnsi="宋体" w:hint="eastAsia"/>
          <w:sz w:val="24"/>
        </w:rPr>
        <w:t>相应类别的</w:t>
      </w:r>
      <w:r>
        <w:rPr>
          <w:rFonts w:ascii="宋体" w:hAnsi="宋体"/>
          <w:sz w:val="24"/>
        </w:rPr>
        <w:t>基金份额进行再投资；若投资者不选择，本基金默认的收益分配方式是现金分红；</w:t>
      </w:r>
      <w:r w:rsidR="000F6DB8" w:rsidRPr="0077646C">
        <w:rPr>
          <w:rFonts w:hint="eastAsia"/>
          <w:bCs/>
          <w:sz w:val="24"/>
        </w:rPr>
        <w:t>基金份额持有人可对其持有的</w:t>
      </w:r>
      <w:r w:rsidR="000F6DB8" w:rsidRPr="0077646C">
        <w:rPr>
          <w:rFonts w:hint="eastAsia"/>
          <w:bCs/>
          <w:sz w:val="24"/>
        </w:rPr>
        <w:t>A</w:t>
      </w:r>
      <w:r w:rsidR="000F6DB8" w:rsidRPr="0077646C">
        <w:rPr>
          <w:rFonts w:hint="eastAsia"/>
          <w:bCs/>
          <w:sz w:val="24"/>
        </w:rPr>
        <w:t>类基金份额和</w:t>
      </w:r>
      <w:r w:rsidR="000F6DB8" w:rsidRPr="0077646C">
        <w:rPr>
          <w:rFonts w:hint="eastAsia"/>
          <w:bCs/>
          <w:sz w:val="24"/>
        </w:rPr>
        <w:t>C</w:t>
      </w:r>
      <w:r w:rsidR="000F6DB8" w:rsidRPr="0077646C">
        <w:rPr>
          <w:rFonts w:hint="eastAsia"/>
          <w:bCs/>
          <w:sz w:val="24"/>
        </w:rPr>
        <w:t>类基金份额分别选择不同的收益分配方式；</w:t>
      </w:r>
    </w:p>
    <w:p w14:paraId="59E7A82F" w14:textId="51841BC4"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3、基金收益分配后</w:t>
      </w:r>
      <w:r w:rsidR="000F6DB8">
        <w:rPr>
          <w:rFonts w:hint="eastAsia"/>
          <w:bCs/>
          <w:sz w:val="24"/>
        </w:rPr>
        <w:t>任一类</w:t>
      </w:r>
      <w:r>
        <w:rPr>
          <w:rFonts w:ascii="宋体" w:hAnsi="宋体"/>
          <w:sz w:val="24"/>
        </w:rPr>
        <w:t>基金份额净值不能低于面值；即基金收益分配基准日的</w:t>
      </w:r>
      <w:r w:rsidR="000F6DB8">
        <w:rPr>
          <w:rFonts w:ascii="宋体" w:hAnsi="宋体" w:hint="eastAsia"/>
          <w:sz w:val="24"/>
        </w:rPr>
        <w:t>任一类</w:t>
      </w:r>
      <w:r>
        <w:rPr>
          <w:rFonts w:ascii="宋体" w:hAnsi="宋体"/>
          <w:sz w:val="24"/>
        </w:rPr>
        <w:t>基金份额净值减去每单位</w:t>
      </w:r>
      <w:r w:rsidR="000F6DB8">
        <w:rPr>
          <w:rFonts w:hint="eastAsia"/>
          <w:bCs/>
          <w:sz w:val="24"/>
        </w:rPr>
        <w:t>该类</w:t>
      </w:r>
      <w:r>
        <w:rPr>
          <w:rFonts w:ascii="宋体" w:hAnsi="宋体"/>
          <w:sz w:val="24"/>
        </w:rPr>
        <w:t>基金份额收益分配金额后不能低于面值；</w:t>
      </w:r>
    </w:p>
    <w:p w14:paraId="272BF7B4" w14:textId="23D1DFDB"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w:t>
      </w:r>
      <w:r w:rsidR="004E3C18">
        <w:rPr>
          <w:rFonts w:ascii="宋体" w:hAnsi="宋体" w:hint="eastAsia"/>
          <w:sz w:val="24"/>
        </w:rPr>
        <w:t>由</w:t>
      </w:r>
      <w:r w:rsidR="004E3C18" w:rsidRPr="00971EA6">
        <w:rPr>
          <w:rFonts w:ascii="Times New Roman" w:hAnsi="Times New Roman" w:hint="eastAsia"/>
          <w:bCs/>
          <w:sz w:val="24"/>
        </w:rPr>
        <w:t>于本基金</w:t>
      </w:r>
      <w:r w:rsidR="004E3C18" w:rsidRPr="00971EA6">
        <w:rPr>
          <w:rFonts w:ascii="Times New Roman" w:hAnsi="Times New Roman"/>
          <w:bCs/>
          <w:sz w:val="24"/>
        </w:rPr>
        <w:t>A</w:t>
      </w:r>
      <w:r w:rsidR="004E3C18" w:rsidRPr="00971EA6">
        <w:rPr>
          <w:rFonts w:ascii="Times New Roman" w:hAnsi="Times New Roman" w:hint="eastAsia"/>
          <w:bCs/>
          <w:sz w:val="24"/>
        </w:rPr>
        <w:t>类基金份额不收取销售服务费，</w:t>
      </w:r>
      <w:r w:rsidR="004E3C18" w:rsidRPr="00971EA6">
        <w:rPr>
          <w:rFonts w:ascii="Times New Roman" w:hAnsi="Times New Roman"/>
          <w:bCs/>
          <w:sz w:val="24"/>
        </w:rPr>
        <w:t>C</w:t>
      </w:r>
      <w:r w:rsidR="004E3C18" w:rsidRPr="00971EA6">
        <w:rPr>
          <w:rFonts w:ascii="Times New Roman" w:hAnsi="Times New Roman" w:hint="eastAsia"/>
          <w:bCs/>
          <w:sz w:val="24"/>
        </w:rPr>
        <w:t>类基金份</w:t>
      </w:r>
      <w:r w:rsidR="004E3C18">
        <w:rPr>
          <w:rFonts w:ascii="宋体" w:hAnsi="宋体" w:hint="eastAsia"/>
          <w:sz w:val="24"/>
        </w:rPr>
        <w:t>额收取销售服务费，各基金份额类别对应的可供分配利润将有所不同；</w:t>
      </w:r>
      <w:r w:rsidR="004E3C18">
        <w:rPr>
          <w:rFonts w:ascii="宋体" w:hAnsi="宋体" w:hint="eastAsia"/>
          <w:bCs/>
          <w:sz w:val="24"/>
        </w:rPr>
        <w:t>本基金同一基金份额类别的</w:t>
      </w:r>
      <w:r>
        <w:rPr>
          <w:rFonts w:ascii="宋体" w:hAnsi="宋体"/>
          <w:sz w:val="24"/>
        </w:rPr>
        <w:t>每一基金份额享有同等分配权；</w:t>
      </w:r>
    </w:p>
    <w:p w14:paraId="5CCA8C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5、法律法规或监管机关另有规定的，从其规定。</w:t>
      </w:r>
    </w:p>
    <w:p w14:paraId="616BE2DB"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（四）收益分配方案</w:t>
      </w:r>
    </w:p>
    <w:p w14:paraId="02EAC9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基金收益分配方案中应载明截止收益分配基准日的可供分配利润、基金收益分配对象、分配时间、分配数额及比例、分配方式等内容。</w:t>
      </w:r>
    </w:p>
    <w:p w14:paraId="043C04E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（五）收益分配方案的确定、公告与实施</w:t>
      </w:r>
    </w:p>
    <w:p w14:paraId="0D93C42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本基金收益分配方案由基金管理人拟定，并由基金托管人复核，依照《信息披露办法》的规定在规定媒介公告。</w:t>
      </w:r>
    </w:p>
    <w:p w14:paraId="78D978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法律法规或监管机关另有规定的，从其规定。</w:t>
      </w:r>
    </w:p>
    <w:p w14:paraId="49EA33D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（六）基金收益分配中发生的费用</w:t>
      </w:r>
    </w:p>
    <w:p w14:paraId="38D401B2" w14:textId="07B7ADB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基金收益分配时所发生的银行转账或其他手续费用由投资者自行承担。当投资</w:t>
      </w:r>
      <w:r>
        <w:rPr>
          <w:rFonts w:ascii="宋体" w:hAnsi="宋体"/>
          <w:sz w:val="24"/>
        </w:rPr>
        <w:lastRenderedPageBreak/>
        <w:t>者的现金红利小于一定金额，不足以支付银行转账或其他手续费用时，基金登记机构可将基金份额持有人的现金红利自动转为</w:t>
      </w:r>
      <w:r w:rsidR="00392421">
        <w:rPr>
          <w:rFonts w:ascii="宋体" w:hAnsi="宋体" w:hint="eastAsia"/>
          <w:sz w:val="24"/>
        </w:rPr>
        <w:t>相应类别的</w:t>
      </w:r>
      <w:r>
        <w:rPr>
          <w:rFonts w:ascii="宋体" w:hAnsi="宋体"/>
          <w:sz w:val="24"/>
        </w:rPr>
        <w:t>基金份额。红利再投资的计算方法，依照《业务规则》执行。</w:t>
      </w:r>
    </w:p>
    <w:p w14:paraId="3851D8C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（七）收益分配方式的修改</w:t>
      </w:r>
    </w:p>
    <w:p w14:paraId="36F6900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投资人可至销售机构办理收益分配方式的修改，投资人对本基金不同的交易账户可设置不同的收益分配方式。</w:t>
      </w:r>
    </w:p>
    <w:p w14:paraId="2C0043C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投资人同一日多次申报收益分配方式变更的，按照《业务规则》执行，最终确认的收益分配方式以登记机构记录为准。</w:t>
      </w:r>
    </w:p>
    <w:p w14:paraId="2135A82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（八）实施侧袋机制期间的收益分配</w:t>
      </w:r>
    </w:p>
    <w:p w14:paraId="227FA4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本基金实施侧袋机制的，侧袋账户不进行收益分配。</w:t>
      </w:r>
    </w:p>
    <w:p w14:paraId="15CCEFD0"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218B9C1" w14:textId="77777777" w:rsidR="00B164D3" w:rsidRDefault="000605B5">
      <w:pPr>
        <w:pStyle w:val="1"/>
        <w:snapToGrid w:val="0"/>
        <w:spacing w:beforeLines="0" w:before="240" w:after="240"/>
        <w:rPr>
          <w:rFonts w:ascii="宋体" w:hAnsi="宋体"/>
          <w:szCs w:val="30"/>
        </w:rPr>
      </w:pPr>
      <w:bookmarkStart w:id="17" w:name="_Toc85115629"/>
      <w:r>
        <w:rPr>
          <w:rFonts w:ascii="Times New Roman" w:hAnsi="Times New Roman"/>
          <w:sz w:val="30"/>
        </w:rPr>
        <w:lastRenderedPageBreak/>
        <w:t>十四、基金的费用与税收</w:t>
      </w:r>
      <w:bookmarkEnd w:id="17"/>
    </w:p>
    <w:p w14:paraId="399B0DF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（一）基金费用的种类</w:t>
      </w:r>
    </w:p>
    <w:p w14:paraId="0C74538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65B5AA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055CBF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3、《基金合同》生效后与基金相关的信息披露费用；</w:t>
      </w:r>
    </w:p>
    <w:p w14:paraId="52355B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4、《基金合同》生效后与基金相关的会计师费、律师费、仲裁费和诉讼费；</w:t>
      </w:r>
    </w:p>
    <w:p w14:paraId="6410B2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5、基金份额持有人大会费用；</w:t>
      </w:r>
    </w:p>
    <w:p w14:paraId="6F9CB4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6、基金的证券、期货交易费用；</w:t>
      </w:r>
    </w:p>
    <w:p w14:paraId="69BA62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7、基金的银行汇划费用；</w:t>
      </w:r>
    </w:p>
    <w:p w14:paraId="2E5025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8、基金的开户费用、账户维护费用；</w:t>
      </w:r>
    </w:p>
    <w:p w14:paraId="53BC64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9、因投资港股通标的股票而产生的各项合理费用；</w:t>
      </w:r>
    </w:p>
    <w:p w14:paraId="6FC55F53" w14:textId="77777777" w:rsidR="000D5BCE" w:rsidRPr="000D5BCE" w:rsidRDefault="000605B5" w:rsidP="000D5BCE">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10、</w:t>
      </w:r>
      <w:r w:rsidR="000D5BCE" w:rsidRPr="000D5BCE">
        <w:rPr>
          <w:rFonts w:ascii="宋体" w:hAnsi="宋体" w:hint="eastAsia"/>
          <w:sz w:val="24"/>
        </w:rPr>
        <w:t>本基金从C类基金份额的基金财产中计提的销售服务费；</w:t>
      </w:r>
    </w:p>
    <w:p w14:paraId="7D5E5AD6" w14:textId="01E6F4EF" w:rsidR="00B164D3" w:rsidRDefault="000D5BCE" w:rsidP="000D5BCE">
      <w:pPr>
        <w:autoSpaceDE w:val="0"/>
        <w:autoSpaceDN w:val="0"/>
        <w:adjustRightInd w:val="0"/>
        <w:snapToGrid w:val="0"/>
        <w:spacing w:line="360" w:lineRule="auto"/>
        <w:ind w:firstLineChars="200" w:firstLine="480"/>
        <w:jc w:val="left"/>
        <w:rPr>
          <w:rFonts w:ascii="宋体" w:hAnsi="宋体"/>
          <w:szCs w:val="24"/>
        </w:rPr>
      </w:pPr>
      <w:r w:rsidRPr="000D5BCE">
        <w:rPr>
          <w:rFonts w:ascii="宋体" w:hAnsi="宋体" w:hint="eastAsia"/>
          <w:sz w:val="24"/>
        </w:rPr>
        <w:t>11、</w:t>
      </w:r>
      <w:r w:rsidR="000605B5">
        <w:rPr>
          <w:rFonts w:ascii="宋体" w:hAnsi="宋体"/>
          <w:sz w:val="24"/>
        </w:rPr>
        <w:t>按照国家有关规定和《基金合同》约定，可以在基金财产中列支的其他费用。</w:t>
      </w:r>
    </w:p>
    <w:p w14:paraId="27CFCC6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（二）基金费用计提方法、计提标准和支付方式</w:t>
      </w:r>
    </w:p>
    <w:p w14:paraId="69E1BDF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1、与基金运作有关的费用</w:t>
      </w:r>
    </w:p>
    <w:p w14:paraId="1441CD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（1）基金管理人的管理费</w:t>
      </w:r>
    </w:p>
    <w:p w14:paraId="3B7686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本基金的管理费按前一日基金资产净值的0.6%年费率计提。管理费的计算方法如下：</w:t>
      </w:r>
    </w:p>
    <w:p w14:paraId="4D08B5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H＝E×年管理费率÷当年天数</w:t>
      </w:r>
    </w:p>
    <w:p w14:paraId="62399C7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H为每日应计提的基金管理费</w:t>
      </w:r>
    </w:p>
    <w:p w14:paraId="57349C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185E42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基金管理费每日计提，按月支付。由基金管理人向基金托管人发送基金管理费划付指令，经基金托管人复核无误后于次月首日起3个工作日内从基金财产中一次性支付给基金管理人。</w:t>
      </w:r>
    </w:p>
    <w:p w14:paraId="732C9E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11D3F39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（2）基金托管人的托管费</w:t>
      </w:r>
    </w:p>
    <w:p w14:paraId="0B33A8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本基金的托管费按前一日基金资产净值的0.15%年费率计提。托管费的计算方</w:t>
      </w:r>
      <w:r>
        <w:rPr>
          <w:rFonts w:ascii="宋体" w:hAnsi="宋体"/>
          <w:sz w:val="24"/>
        </w:rPr>
        <w:lastRenderedPageBreak/>
        <w:t>法如下：</w:t>
      </w:r>
    </w:p>
    <w:p w14:paraId="57E2000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H＝E×年托管费率÷当年天数</w:t>
      </w:r>
    </w:p>
    <w:p w14:paraId="1428BD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H为每日应计提的基金托管费</w:t>
      </w:r>
    </w:p>
    <w:p w14:paraId="79F7DC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E为前一日的基金资产净值</w:t>
      </w:r>
    </w:p>
    <w:p w14:paraId="34C3EC0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基金托管费每日计提，按月支付。由基金管理人向基金托管人发送基金托管费划付指令，经基金托管人复核无误后于次月首日起3个工作日内从基金财产中一次性支付给基金托管人。</w:t>
      </w:r>
    </w:p>
    <w:p w14:paraId="5B4271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若遇法定节假日、休息日或不可抗力致使无法按时支付的，顺延至最近可支付日支付。</w:t>
      </w:r>
    </w:p>
    <w:p w14:paraId="326FD51F" w14:textId="77777777" w:rsidR="00A95689" w:rsidRPr="00A95689" w:rsidRDefault="000605B5" w:rsidP="00A95689">
      <w:pPr>
        <w:autoSpaceDE w:val="0"/>
        <w:autoSpaceDN w:val="0"/>
        <w:adjustRightInd w:val="0"/>
        <w:snapToGrid w:val="0"/>
        <w:spacing w:line="360" w:lineRule="auto"/>
        <w:ind w:firstLineChars="200" w:firstLine="480"/>
        <w:jc w:val="left"/>
        <w:rPr>
          <w:rFonts w:ascii="宋体" w:hAnsi="宋体"/>
          <w:sz w:val="24"/>
        </w:rPr>
      </w:pPr>
      <w:r>
        <w:rPr>
          <w:rFonts w:ascii="宋体" w:hAnsi="宋体"/>
          <w:sz w:val="24"/>
        </w:rPr>
        <w:t>（3）</w:t>
      </w:r>
      <w:r w:rsidR="00A95689" w:rsidRPr="00A95689">
        <w:rPr>
          <w:rFonts w:ascii="宋体" w:hAnsi="宋体" w:hint="eastAsia"/>
          <w:sz w:val="24"/>
        </w:rPr>
        <w:t>C类基金份额的销售服务费</w:t>
      </w:r>
    </w:p>
    <w:p w14:paraId="074FCD86" w14:textId="1B6073D0"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本基金A类基金份额不收取销售服务费，C类基金份额的销售服务费按前一日C类基金资产净值的0</w:t>
      </w:r>
      <w:r w:rsidR="00DB3B56">
        <w:rPr>
          <w:rFonts w:ascii="宋体" w:hAnsi="宋体" w:hint="eastAsia"/>
          <w:sz w:val="24"/>
        </w:rPr>
        <w:t>.</w:t>
      </w:r>
      <w:r w:rsidR="00DB3B56">
        <w:rPr>
          <w:rFonts w:ascii="宋体" w:hAnsi="宋体"/>
          <w:sz w:val="24"/>
        </w:rPr>
        <w:t>1</w:t>
      </w:r>
      <w:r w:rsidRPr="00A95689">
        <w:rPr>
          <w:rFonts w:ascii="宋体" w:hAnsi="宋体" w:hint="eastAsia"/>
          <w:sz w:val="24"/>
        </w:rPr>
        <w:t>%年费率计提。计算方法如下：</w:t>
      </w:r>
    </w:p>
    <w:p w14:paraId="1B8C3731" w14:textId="10ABAAA2"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H＝E×</w:t>
      </w:r>
      <w:r w:rsidR="00DB3B56">
        <w:rPr>
          <w:rFonts w:ascii="宋体" w:hAnsi="宋体" w:hint="eastAsia"/>
          <w:sz w:val="24"/>
        </w:rPr>
        <w:t>0.</w:t>
      </w:r>
      <w:r w:rsidR="00DB3B56">
        <w:rPr>
          <w:rFonts w:ascii="宋体" w:hAnsi="宋体"/>
          <w:sz w:val="24"/>
        </w:rPr>
        <w:t>1</w:t>
      </w:r>
      <w:r w:rsidRPr="00A95689">
        <w:rPr>
          <w:rFonts w:ascii="宋体" w:hAnsi="宋体" w:hint="eastAsia"/>
          <w:sz w:val="24"/>
        </w:rPr>
        <w:t>%÷当年天数</w:t>
      </w:r>
    </w:p>
    <w:p w14:paraId="6D2E1E67" w14:textId="77777777"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H为C类基金份额每日应计提的销售服务费</w:t>
      </w:r>
    </w:p>
    <w:p w14:paraId="1D5139D3" w14:textId="77777777"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E为C类基金份额前一日基金资产净值</w:t>
      </w:r>
    </w:p>
    <w:p w14:paraId="5024166A" w14:textId="77777777"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C类基金份额销售服务费每日计提，按月支付。由基金管理人向基金托管人发送销售服务费划付指令，经基金托管人复核无误后于次月首日起5个工作日内从基金财产中一次性支付给基金管理人，由基金管理人代付给销售机构。若遇法定节假日、休息日或不可抗力致使无法按时支付的，顺延至最近可支付日支付。</w:t>
      </w:r>
    </w:p>
    <w:p w14:paraId="137CB448" w14:textId="77777777" w:rsidR="00A95689" w:rsidRPr="00A95689" w:rsidRDefault="00A95689" w:rsidP="00A95689">
      <w:pPr>
        <w:autoSpaceDE w:val="0"/>
        <w:autoSpaceDN w:val="0"/>
        <w:adjustRightInd w:val="0"/>
        <w:snapToGrid w:val="0"/>
        <w:spacing w:line="360" w:lineRule="auto"/>
        <w:ind w:firstLineChars="200" w:firstLine="480"/>
        <w:jc w:val="left"/>
        <w:rPr>
          <w:rFonts w:ascii="宋体" w:hAnsi="宋体"/>
          <w:sz w:val="24"/>
        </w:rPr>
      </w:pPr>
      <w:r w:rsidRPr="00A95689">
        <w:rPr>
          <w:rFonts w:ascii="宋体" w:hAnsi="宋体" w:hint="eastAsia"/>
          <w:sz w:val="24"/>
        </w:rPr>
        <w:t>C类基金份额的销售服务费将专门用于本基金的推广、销售与基金份额持有人服务。</w:t>
      </w:r>
    </w:p>
    <w:p w14:paraId="1F0A2F99" w14:textId="1027F5CA" w:rsidR="00B164D3" w:rsidRDefault="00086D1F" w:rsidP="00A95689">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w:t>
      </w:r>
      <w:r>
        <w:rPr>
          <w:rFonts w:ascii="宋体" w:hAnsi="宋体" w:hint="eastAsia"/>
          <w:sz w:val="24"/>
        </w:rPr>
        <w:t>4</w:t>
      </w:r>
      <w:r>
        <w:rPr>
          <w:rFonts w:ascii="宋体" w:hAnsi="宋体"/>
          <w:sz w:val="24"/>
        </w:rPr>
        <w:t>）</w:t>
      </w:r>
      <w:r w:rsidR="000605B5">
        <w:rPr>
          <w:rFonts w:ascii="宋体" w:hAnsi="宋体"/>
          <w:sz w:val="24"/>
        </w:rPr>
        <w:t>上述“（一）基金费用的种类”中第3－</w:t>
      </w:r>
      <w:r>
        <w:rPr>
          <w:rFonts w:ascii="宋体" w:hAnsi="宋体"/>
          <w:sz w:val="24"/>
        </w:rPr>
        <w:t>9</w:t>
      </w:r>
      <w:r w:rsidR="000605B5">
        <w:rPr>
          <w:rFonts w:ascii="宋体" w:hAnsi="宋体"/>
          <w:sz w:val="24"/>
        </w:rPr>
        <w:t>项</w:t>
      </w:r>
      <w:r w:rsidR="00595128" w:rsidRPr="00595128">
        <w:rPr>
          <w:rFonts w:ascii="宋体" w:hAnsi="宋体" w:hint="eastAsia"/>
          <w:sz w:val="24"/>
        </w:rPr>
        <w:t>、第11项</w:t>
      </w:r>
      <w:r w:rsidR="000605B5">
        <w:rPr>
          <w:rFonts w:ascii="宋体" w:hAnsi="宋体"/>
          <w:sz w:val="24"/>
        </w:rPr>
        <w:t>费用，根据有关法规及相应协议规定，按费用实际支出金额列入当期费用，由基金托管人从基金财产中支付。</w:t>
      </w:r>
    </w:p>
    <w:p w14:paraId="64D0B5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2、与基金销售有关的费用</w:t>
      </w:r>
    </w:p>
    <w:p w14:paraId="35C0B3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（1）申购费</w:t>
      </w:r>
    </w:p>
    <w:p w14:paraId="3CABCA1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本基金申购费的费率水平、计算公式和收取方式详见“基金份额的申购与赎回”一章。</w:t>
      </w:r>
    </w:p>
    <w:p w14:paraId="2575DA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（2）赎回费</w:t>
      </w:r>
    </w:p>
    <w:p w14:paraId="35551F1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本基金赎回费的费率水平、计算公式和收取方式详见“基金份额的申购与赎</w:t>
      </w:r>
      <w:r>
        <w:rPr>
          <w:rFonts w:ascii="宋体" w:hAnsi="宋体"/>
          <w:sz w:val="24"/>
        </w:rPr>
        <w:lastRenderedPageBreak/>
        <w:t>回”一章。</w:t>
      </w:r>
    </w:p>
    <w:p w14:paraId="1D97539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（三）不列入基金费用的项目</w:t>
      </w:r>
    </w:p>
    <w:p w14:paraId="516E4F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下列费用不列入基金费用：</w:t>
      </w:r>
    </w:p>
    <w:p w14:paraId="0FFB089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1、基金管理人和基金托管人因未履行或未完全履行义务导致的费用支出或基金财产的损失；</w:t>
      </w:r>
    </w:p>
    <w:p w14:paraId="2C843B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2、基金管理人和基金托管人处理与基金运作无关的事项发生的费用；</w:t>
      </w:r>
    </w:p>
    <w:p w14:paraId="67D956A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3、《基金合同》生效前的相关费用；</w:t>
      </w:r>
    </w:p>
    <w:p w14:paraId="17DE40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4、其他根据相关法律法规及中国证监会的有关规定不得列入基金费用的项目。</w:t>
      </w:r>
    </w:p>
    <w:p w14:paraId="444CF8F6"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（四）实施侧袋机制期间的基金费用</w:t>
      </w:r>
    </w:p>
    <w:p w14:paraId="57F7C9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本基金实施侧袋机制的，与侧袋账户有关的费用可以从侧袋账户中列支，但应待侧袋账户资产变现后方可列支，有关费用可酌情收取或减免，但不得收取管理费，详见本招募说明书“侧袋机制”部分的规定。</w:t>
      </w:r>
    </w:p>
    <w:p w14:paraId="580BBEF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（五）基金税收</w:t>
      </w:r>
    </w:p>
    <w:p w14:paraId="55AA6A2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5B6C172"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F27E823" w14:textId="77777777" w:rsidR="00B164D3" w:rsidRDefault="000605B5">
      <w:pPr>
        <w:pStyle w:val="1"/>
        <w:snapToGrid w:val="0"/>
        <w:spacing w:beforeLines="0" w:before="240" w:after="240"/>
        <w:rPr>
          <w:rFonts w:ascii="宋体" w:hAnsi="宋体"/>
          <w:szCs w:val="30"/>
        </w:rPr>
      </w:pPr>
      <w:bookmarkStart w:id="18" w:name="_Toc85115630"/>
      <w:r>
        <w:rPr>
          <w:rFonts w:ascii="Times New Roman" w:hAnsi="Times New Roman"/>
          <w:sz w:val="30"/>
        </w:rPr>
        <w:lastRenderedPageBreak/>
        <w:t>十五、基金的会计与审计</w:t>
      </w:r>
      <w:bookmarkEnd w:id="18"/>
    </w:p>
    <w:p w14:paraId="4901699F"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（一）基金会计政策</w:t>
      </w:r>
    </w:p>
    <w:p w14:paraId="563DC9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1、基金管理人为本基金的基金会计责任方；</w:t>
      </w:r>
    </w:p>
    <w:p w14:paraId="1B6C3F2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2、基金的会计年度为公历年度的1月1日至12月31日；基金首次募集的会计年度按如下原则：如果《基金合同》生效少于2个月，可以并入下一个会计年度披露；</w:t>
      </w:r>
    </w:p>
    <w:p w14:paraId="22BEF6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3、基金核算以人民币为记账本位币，以人民币元为记账单位；</w:t>
      </w:r>
    </w:p>
    <w:p w14:paraId="131310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4、会计制度执行国家有关会计制度；</w:t>
      </w:r>
    </w:p>
    <w:p w14:paraId="5D6440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5、本基金独立建账、独立核算；</w:t>
      </w:r>
    </w:p>
    <w:p w14:paraId="69FDA8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6、基金管理人及基金托管人各自保留完整的会计账目、凭证并进行日常的会计核算，按照有关规定编制基金会计报表；</w:t>
      </w:r>
    </w:p>
    <w:p w14:paraId="4341A6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7、基金托管人每月与基金管理人就基金的会计核算、报表编制等进行核对并以书面方式确认。</w:t>
      </w:r>
    </w:p>
    <w:p w14:paraId="48A6EB4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（二）基金的年度审计</w:t>
      </w:r>
    </w:p>
    <w:p w14:paraId="469C6F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1、基金管理人聘请与基金管理人、基金托管人相互独立的符合《中华人民共和国证券法》规定的会计师事务所及其注册会计师对本基金的年度财务报表进行审计。</w:t>
      </w:r>
    </w:p>
    <w:p w14:paraId="7A6FC0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2、会计师事务所更换经办注册会计师，应事先征得基金管理人同意。</w:t>
      </w:r>
    </w:p>
    <w:p w14:paraId="2C45214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3、基金管理人认为有充足理由更换会计师事务所，须通报基金托管人。更换会计师事务所需依照《信息披露办法》的规定在规定媒介公告。</w:t>
      </w:r>
    </w:p>
    <w:p w14:paraId="7319F39C"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45A39392" w14:textId="77777777" w:rsidR="00B164D3" w:rsidRDefault="000605B5">
      <w:pPr>
        <w:pStyle w:val="1"/>
        <w:snapToGrid w:val="0"/>
        <w:spacing w:beforeLines="0" w:before="240" w:after="240"/>
        <w:rPr>
          <w:rFonts w:ascii="宋体" w:hAnsi="宋体"/>
          <w:szCs w:val="30"/>
        </w:rPr>
      </w:pPr>
      <w:bookmarkStart w:id="19" w:name="_Toc85115631"/>
      <w:r>
        <w:rPr>
          <w:rFonts w:ascii="Times New Roman" w:hAnsi="Times New Roman"/>
          <w:sz w:val="30"/>
        </w:rPr>
        <w:lastRenderedPageBreak/>
        <w:t>十六、基金的信息披露</w:t>
      </w:r>
      <w:bookmarkEnd w:id="19"/>
    </w:p>
    <w:p w14:paraId="2F6111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（一）本基金的信息披露应符合《基金法》、《运作办法》、《信息披露办法》、《流动性风险管理规定》、《基金合同》及其他有关规定。</w:t>
      </w:r>
    </w:p>
    <w:p w14:paraId="39D9A361"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（二）信息披露义务人</w:t>
      </w:r>
    </w:p>
    <w:p w14:paraId="6D5D9C0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本基金信息披露义务人包括基金管理人、基金托管人、召集基金份额持有人大会的基金份额持有人等法律、行政法规和中国证监会规定的自然人、法人和非法人组织。</w:t>
      </w:r>
    </w:p>
    <w:p w14:paraId="3B377F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本基金信息披露义务人以保护基金份额持有人利益为根本出发点，按照法律法规和中国证监会的规定披露基金信息，并保证所披露信息的真实性、准确性、完整性、及时性、简明性和易得性。</w:t>
      </w:r>
    </w:p>
    <w:p w14:paraId="5B260B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D9D034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（三）本基金信息披露义务人承诺公开披露的基金信息，不得有下列行为：</w:t>
      </w:r>
    </w:p>
    <w:p w14:paraId="6B9304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1、虚假记载、误导性陈述或者重大遗漏；</w:t>
      </w:r>
    </w:p>
    <w:p w14:paraId="022515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2、对证券投资业绩进行预测；</w:t>
      </w:r>
    </w:p>
    <w:p w14:paraId="63A6D8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3、违规承诺收益或者承担损失；</w:t>
      </w:r>
    </w:p>
    <w:p w14:paraId="12C18D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4、诋毁其他基金管理人、基金托管人或者基金销售机构；</w:t>
      </w:r>
    </w:p>
    <w:p w14:paraId="264CF8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5、登载任何自然人、法人和非法人组织的祝贺性、恭维性或推荐性的文字；</w:t>
      </w:r>
    </w:p>
    <w:p w14:paraId="71EFAD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6、中国证监会禁止的其他行为。</w:t>
      </w:r>
    </w:p>
    <w:p w14:paraId="12D07F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（四）本基金公开披露的信息应采用中文文本。如同时采用外文文本的，基金信息披露义务人应保证不同文本的内容一致。不同文本之间发生歧义的，以中文文本为准。</w:t>
      </w:r>
    </w:p>
    <w:p w14:paraId="63BD44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本基金公开披露的信息采用阿拉伯数字；除特别说明外，货币单位为人民币元。</w:t>
      </w:r>
    </w:p>
    <w:p w14:paraId="6F08ACE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（五）公开披露的基金信息</w:t>
      </w:r>
    </w:p>
    <w:p w14:paraId="3ADDFE1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公开披露的基金信息包括：</w:t>
      </w:r>
    </w:p>
    <w:p w14:paraId="7169D9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1、基金招募说明书、《基金合同》、基金托管协议、基金产品资料概要</w:t>
      </w:r>
    </w:p>
    <w:p w14:paraId="04C51E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（1）《基金合同》是界定《基金合同》当事人的各项权利、义务关系，明确基</w:t>
      </w:r>
      <w:r>
        <w:rPr>
          <w:rFonts w:ascii="宋体" w:hAnsi="宋体"/>
          <w:sz w:val="24"/>
        </w:rPr>
        <w:lastRenderedPageBreak/>
        <w:t>金份额持有人大会召开的规则及具体程序，说明基金产品的特性等涉及基金投资者重大利益的事项的法律文件。</w:t>
      </w:r>
    </w:p>
    <w:p w14:paraId="1942344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1BDBC7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（3）基金托管协议是界定基金托管人和基金管理人在基金财产保管及基金运作监督等活动中的权利、义务关系的法律文件。</w:t>
      </w:r>
    </w:p>
    <w:p w14:paraId="5976001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1EED4E6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10E601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2、基金份额发售公告</w:t>
      </w:r>
    </w:p>
    <w:p w14:paraId="62E24E7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基金管理人应当就基金份额发售的具体事宜编制基金份额发售公告，并在披露招募说明书的当日登载于规定媒介上。</w:t>
      </w:r>
    </w:p>
    <w:p w14:paraId="1EE8A9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3、《基金合同》生效公告</w:t>
      </w:r>
    </w:p>
    <w:p w14:paraId="5EC732B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基金管理人应当在收到中国证监会确认文件的次日在规定媒介上登载《基金合同》生效公告。</w:t>
      </w:r>
    </w:p>
    <w:p w14:paraId="1AF203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4、基金净值信息</w:t>
      </w:r>
    </w:p>
    <w:p w14:paraId="5170CDFB" w14:textId="511BC2C5"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《基金合同》生效后，在开始办理基金份额申购或者赎回前，基金管理人应当</w:t>
      </w:r>
      <w:r>
        <w:rPr>
          <w:rFonts w:ascii="宋体" w:hAnsi="宋体"/>
          <w:sz w:val="24"/>
        </w:rPr>
        <w:lastRenderedPageBreak/>
        <w:t>至少每周在规定网站</w:t>
      </w:r>
      <w:r w:rsidR="00F00CFA">
        <w:rPr>
          <w:rFonts w:hint="eastAsia"/>
          <w:bCs/>
          <w:sz w:val="24"/>
        </w:rPr>
        <w:t>分别</w:t>
      </w:r>
      <w:r>
        <w:rPr>
          <w:rFonts w:ascii="宋体" w:hAnsi="宋体"/>
          <w:sz w:val="24"/>
        </w:rPr>
        <w:t>披露一次</w:t>
      </w:r>
      <w:r w:rsidR="00F00CFA" w:rsidRPr="00F00CFA">
        <w:rPr>
          <w:rFonts w:ascii="宋体" w:hAnsi="宋体" w:hint="eastAsia"/>
          <w:sz w:val="24"/>
        </w:rPr>
        <w:t>A类基金份额和C类基金份额所对应的</w:t>
      </w:r>
      <w:r>
        <w:rPr>
          <w:rFonts w:ascii="宋体" w:hAnsi="宋体"/>
          <w:sz w:val="24"/>
        </w:rPr>
        <w:t>基金份额净值和基金份额累计净值。</w:t>
      </w:r>
    </w:p>
    <w:p w14:paraId="6F9B00F4" w14:textId="771AF01D"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在开始办理基金份额申购或者赎回后，基金管理人应当在不晚于每个开放日的次日，通过规定网站、基金销售机构网站或者营业网点</w:t>
      </w:r>
      <w:r w:rsidR="00F00CFA">
        <w:rPr>
          <w:rFonts w:hint="eastAsia"/>
          <w:bCs/>
          <w:sz w:val="24"/>
        </w:rPr>
        <w:t>分别</w:t>
      </w:r>
      <w:r>
        <w:rPr>
          <w:rFonts w:ascii="宋体" w:hAnsi="宋体"/>
          <w:sz w:val="24"/>
        </w:rPr>
        <w:t>披露开放日</w:t>
      </w:r>
      <w:r w:rsidR="00F00CFA" w:rsidRPr="00F00CFA">
        <w:rPr>
          <w:rFonts w:ascii="宋体" w:hAnsi="宋体" w:hint="eastAsia"/>
          <w:sz w:val="24"/>
        </w:rPr>
        <w:t>A类基金份额和C类基金份额所对应</w:t>
      </w:r>
      <w:r>
        <w:rPr>
          <w:rFonts w:ascii="宋体" w:hAnsi="宋体"/>
          <w:sz w:val="24"/>
        </w:rPr>
        <w:t>的基金份额净值和基金份额累计净值。</w:t>
      </w:r>
    </w:p>
    <w:p w14:paraId="28808AA0" w14:textId="4811A075"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基金管理人应当在不晚于半年度和年度最后一日的次日，在规定网站披露半年度和年度最后一日</w:t>
      </w:r>
      <w:r w:rsidR="00F00CFA" w:rsidRPr="00F00CFA">
        <w:rPr>
          <w:rFonts w:ascii="宋体" w:hAnsi="宋体" w:hint="eastAsia"/>
          <w:sz w:val="24"/>
        </w:rPr>
        <w:t>A类基金份额和C类基金份额所对应</w:t>
      </w:r>
      <w:r>
        <w:rPr>
          <w:rFonts w:ascii="宋体" w:hAnsi="宋体"/>
          <w:sz w:val="24"/>
        </w:rPr>
        <w:t>的基金份额净值和基金份额累计净值。</w:t>
      </w:r>
    </w:p>
    <w:p w14:paraId="6652EA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5、基金份额申购、赎回价格</w:t>
      </w:r>
    </w:p>
    <w:p w14:paraId="160969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0222CEF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6、基金定期报告，包括基金年度报告、基金中期报告和基金季度报告</w:t>
      </w:r>
    </w:p>
    <w:p w14:paraId="0C6BA36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1868FB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基金管理人应当在上半年结束之日起两个月内，编制完成基金中期报告，将中期报告登载在规定网站上，并将中期报告提示性公告登载在规定报刊上。</w:t>
      </w:r>
    </w:p>
    <w:p w14:paraId="0E8E77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基金管理人应当在季度结束之日起15个工作日内，编制完成基金季度报告，将季度报告登载在规定网站上，并将季度报告提示性公告登载在规定报刊上。</w:t>
      </w:r>
    </w:p>
    <w:p w14:paraId="0A8BC2D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《基金合同》生效不足2个月的，基金管理人可以不编制当期季度报告、中期报告或者年度报告。</w:t>
      </w:r>
    </w:p>
    <w:p w14:paraId="2EBE263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FCD742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基金管理人应当在基金年度报告和中期报告中披露基金组合资产情况及其流动性风险分析等。</w:t>
      </w:r>
    </w:p>
    <w:p w14:paraId="17ED954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7、临时报告</w:t>
      </w:r>
    </w:p>
    <w:p w14:paraId="1085BC0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本基金发生重大事件，有关信息披露义务人应当依照《信息披露办法》的规定编制临时报告书，并登载在规定报刊和规定网站上。</w:t>
      </w:r>
    </w:p>
    <w:p w14:paraId="758B71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前款所称重大事件，是指可能对基金份额持有人权益或者基金份额的价格产生重大影响的下列事件：</w:t>
      </w:r>
    </w:p>
    <w:p w14:paraId="019E3D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（1）基金份额持有人大会的召开及决定的事项；</w:t>
      </w:r>
    </w:p>
    <w:p w14:paraId="2EAE394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（2）《基金合同》终止、基金清算；</w:t>
      </w:r>
    </w:p>
    <w:p w14:paraId="6CD733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（3）转换基金运作方式、基金合并；</w:t>
      </w:r>
    </w:p>
    <w:p w14:paraId="16D426E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（4）更换基金管理人、基金托管人、基金份额登记机构，基金改聘会计师事务所；</w:t>
      </w:r>
    </w:p>
    <w:p w14:paraId="63E50F0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（5）基金管理人委托基金服务机构代为办理基金的份额登记、核算、估值等事项，基金托管人委托基金服务机构代为办理基金的核算、估值、复核等事项；</w:t>
      </w:r>
    </w:p>
    <w:p w14:paraId="657F938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（6）基金管理人、基金托管人的法定名称、住所发生变更；</w:t>
      </w:r>
    </w:p>
    <w:p w14:paraId="6A4C980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（7）基金管理人变更持有百分之五以上股权的股东、基金管理人的实际控制人变更；</w:t>
      </w:r>
    </w:p>
    <w:p w14:paraId="177074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（8）基金募集期延长或提前结束募集；</w:t>
      </w:r>
    </w:p>
    <w:p w14:paraId="502D2CB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（9）基金管理人的高级管理人员、基金经理和基金托管人专门基金托管部门负责人发生变动；</w:t>
      </w:r>
    </w:p>
    <w:p w14:paraId="701937E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（10）基金管理人的董事在最近12个月内变更超过百分之五十，基金管理人、基金托管人专门基金托管部门的主要业务人员在最近12个月内变动超过百分之三十；</w:t>
      </w:r>
    </w:p>
    <w:p w14:paraId="128287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（11）涉及基金财产、基金管理业务、基金托管业务的诉讼或仲裁；</w:t>
      </w:r>
    </w:p>
    <w:p w14:paraId="3492AA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79A4EA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6D3EB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（14）基金收益分配事项；</w:t>
      </w:r>
    </w:p>
    <w:p w14:paraId="4AF48F33" w14:textId="0F0DD3BC"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（15）管理费、托管费、</w:t>
      </w:r>
      <w:r w:rsidR="00F00CFA" w:rsidRPr="00655779">
        <w:rPr>
          <w:rFonts w:hint="eastAsia"/>
          <w:bCs/>
          <w:sz w:val="24"/>
        </w:rPr>
        <w:t>销售服务费、</w:t>
      </w:r>
      <w:r>
        <w:rPr>
          <w:rFonts w:ascii="宋体" w:hAnsi="宋体"/>
          <w:sz w:val="24"/>
        </w:rPr>
        <w:t>申购费、赎回费等费用计提标准、计提方式和费率发生变更；</w:t>
      </w:r>
    </w:p>
    <w:p w14:paraId="23268407" w14:textId="7D5CD3A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w:t>
      </w:r>
      <w:r w:rsidR="00D92ACF">
        <w:rPr>
          <w:rFonts w:hint="eastAsia"/>
          <w:bCs/>
          <w:sz w:val="24"/>
        </w:rPr>
        <w:t>任一类</w:t>
      </w:r>
      <w:r>
        <w:rPr>
          <w:rFonts w:ascii="宋体" w:hAnsi="宋体"/>
          <w:sz w:val="24"/>
        </w:rPr>
        <w:t>基金份额净值计价错误达</w:t>
      </w:r>
      <w:r w:rsidR="00D92ACF">
        <w:rPr>
          <w:rFonts w:hint="eastAsia"/>
          <w:bCs/>
          <w:sz w:val="24"/>
        </w:rPr>
        <w:t>该类</w:t>
      </w:r>
      <w:r>
        <w:rPr>
          <w:rFonts w:ascii="宋体" w:hAnsi="宋体"/>
          <w:sz w:val="24"/>
        </w:rPr>
        <w:t>基金份额净值百分之零点五；</w:t>
      </w:r>
    </w:p>
    <w:p w14:paraId="17A3B4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（17）本基金开始办理申购、赎回；</w:t>
      </w:r>
    </w:p>
    <w:p w14:paraId="7E54F47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（18）本基金发生巨额赎回并延期办理；</w:t>
      </w:r>
    </w:p>
    <w:p w14:paraId="1C32E4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（19）本基金连续发生巨额赎回并暂停接受赎回申请或延缓支付赎回款项；</w:t>
      </w:r>
    </w:p>
    <w:p w14:paraId="678529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（20）本基金暂停接受申购、赎回申请或重新接受申购、赎回申请；</w:t>
      </w:r>
    </w:p>
    <w:p w14:paraId="7A91E49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（21）发生涉及基金申购、赎回事项调整或潜在影响投资者赎回等重大事项时；</w:t>
      </w:r>
    </w:p>
    <w:p w14:paraId="49FBCAC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（22）基金管理人采用摆动定价机制进行估值；</w:t>
      </w:r>
    </w:p>
    <w:p w14:paraId="5B9EFE3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（23）本基金增加或调整基金份额类别；</w:t>
      </w:r>
    </w:p>
    <w:p w14:paraId="7D8C9B7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（24）本基金推出新业务或服务；</w:t>
      </w:r>
    </w:p>
    <w:p w14:paraId="16340E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（25）《基金合同》生效后，本基金连续30、40、45个工作日出现基金份额持有人数量不满200人或者基金资产净值低于5000万元情形，基金管理人应当发布提示性公告；</w:t>
      </w:r>
    </w:p>
    <w:p w14:paraId="6626A7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（26）基金信息披露义务人认为可能对基金份额持有人权益或者基金份额的价格产生重大影响的其他事项或中国证监会规定和基金合同约定的其他事项。</w:t>
      </w:r>
    </w:p>
    <w:p w14:paraId="73EF0C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8、澄清公告</w:t>
      </w:r>
    </w:p>
    <w:p w14:paraId="34B004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5F9E391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9、基金份额持有人大会决议</w:t>
      </w:r>
    </w:p>
    <w:p w14:paraId="540157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基金份额持有人大会决定的事项，应当依法报中国证监会备案，并予以公告。</w:t>
      </w:r>
    </w:p>
    <w:p w14:paraId="528FB77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基金份额持有人依法自行召集基金份额持有人大会，基金管理人、基金托管人对基金份额持有人大会决定的事项不依法履行信息披露义务的，召集人应当履行相关信息披露义务。</w:t>
      </w:r>
    </w:p>
    <w:p w14:paraId="6E7E26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10、清算报告</w:t>
      </w:r>
    </w:p>
    <w:p w14:paraId="78A52B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终止的，基金管理人应当依法组织清算小组对基金财产进行清算并作出清算报告。清算报告应当经过符合《中华人民共和国证券法》规定的会计师事务所审计，并由律师事务所出具法律意见书。清算小组应当将清算报告登载在规定网站上，并将清算报告提示性公告登载在规定报刊上。</w:t>
      </w:r>
    </w:p>
    <w:p w14:paraId="738D15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11、基金投资资产支持证券情况</w:t>
      </w:r>
    </w:p>
    <w:p w14:paraId="0689852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基金管理人应在基金年度报告及中期报告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64C7025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12、基金投资股指期货情况</w:t>
      </w:r>
    </w:p>
    <w:p w14:paraId="41B27CA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股指期货，基金管理人需按照法规要求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77650E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13、投资港股通标的股票相关公告</w:t>
      </w:r>
    </w:p>
    <w:p w14:paraId="7AF68DA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基金应当在季度报告、中期报告、年度报告等定期报告和招募说明书（更新）等文件中披露港股通标的股票的投资情况。法律法规或中国证监会另有规定的，从其规定。</w:t>
      </w:r>
    </w:p>
    <w:p w14:paraId="5FA5AA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14、实施侧袋机制期间的信息披露</w:t>
      </w:r>
    </w:p>
    <w:p w14:paraId="7198E7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本基金实施侧袋机制的，相关信息披露义务人应当根据法律法规、基金合同和招募说明书的规定进行信息披露，详见本招募说明书“侧袋机制”部分的规定。</w:t>
      </w:r>
    </w:p>
    <w:p w14:paraId="11E5E1B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15、中国证监会规定的其他信息。</w:t>
      </w:r>
    </w:p>
    <w:p w14:paraId="3B107E8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（六）信息披露事务管理</w:t>
      </w:r>
    </w:p>
    <w:p w14:paraId="02D397A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基金管理人、基金托管人应当建立健全信息披露管理制度，指定专门部门及高级管理人员负责管理信息披露事务。</w:t>
      </w:r>
    </w:p>
    <w:p w14:paraId="0A6CBC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基金信息披露义务人公开披露基金信息，应当符合中国证监会相关基金信息披露内容与格式准则等法规的规定。</w:t>
      </w:r>
    </w:p>
    <w:p w14:paraId="087534E8" w14:textId="1DEAD8E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基金托管人应当按照相关法律法规、中国证监会的规定和《基金合同》的约定，对基金管理人编制的基金资产净值、</w:t>
      </w:r>
      <w:r w:rsidR="000931CF">
        <w:rPr>
          <w:rFonts w:hint="eastAsia"/>
          <w:bCs/>
          <w:sz w:val="24"/>
        </w:rPr>
        <w:t>各类</w:t>
      </w:r>
      <w:r>
        <w:rPr>
          <w:rFonts w:ascii="宋体" w:hAnsi="宋体"/>
          <w:sz w:val="24"/>
        </w:rPr>
        <w:t>基金份额净值、基金份额申购赎回价格、基金定期报告、更新的招募说明书、基金产品资料概要、基金清算报告等相关基金信息进行复核、审查，并向基金管理人进行书面或电子确认。</w:t>
      </w:r>
    </w:p>
    <w:p w14:paraId="137B57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基金管理人、基金托管人应当在规定报刊中选择一家披露信息的报刊。基金管理人、基金托管人应当向中国证监会基金电子披露网站报送拟披露的基金信息，并</w:t>
      </w:r>
      <w:r>
        <w:rPr>
          <w:rFonts w:ascii="宋体" w:hAnsi="宋体"/>
          <w:sz w:val="24"/>
        </w:rPr>
        <w:lastRenderedPageBreak/>
        <w:t>保证相关报送信息的真实、准确、完整、及时。</w:t>
      </w:r>
    </w:p>
    <w:p w14:paraId="7DE33E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1CF18C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为基金信息披露义务人公开披露的基金信息出具审计报告、法律意见书的专业机构，应当制作工作底稿，并将相关档案至少保存到《基金合同》终止后10年。</w:t>
      </w:r>
    </w:p>
    <w:p w14:paraId="50F5CDA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00E041B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（七）信息披露文件的存放与查阅</w:t>
      </w:r>
    </w:p>
    <w:p w14:paraId="3645B1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依法必须披露的信息发布后，基金管理人、基金托管人应当按照相关法律法规规定将信息置备于各自办公场所，供社会公众查阅、复制。</w:t>
      </w:r>
    </w:p>
    <w:p w14:paraId="2AA8A91D"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36C7AFA" w14:textId="77777777" w:rsidR="00B164D3" w:rsidRDefault="000605B5">
      <w:pPr>
        <w:pStyle w:val="1"/>
        <w:snapToGrid w:val="0"/>
        <w:spacing w:beforeLines="0" w:before="240" w:after="240"/>
        <w:rPr>
          <w:rFonts w:ascii="宋体" w:hAnsi="宋体"/>
          <w:szCs w:val="30"/>
        </w:rPr>
      </w:pPr>
      <w:bookmarkStart w:id="20" w:name="_Toc85115632"/>
      <w:r>
        <w:rPr>
          <w:rFonts w:ascii="Times New Roman" w:hAnsi="Times New Roman"/>
          <w:sz w:val="30"/>
        </w:rPr>
        <w:lastRenderedPageBreak/>
        <w:t>十七、侧袋机制</w:t>
      </w:r>
      <w:bookmarkEnd w:id="20"/>
    </w:p>
    <w:p w14:paraId="13B6A09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（一）侧袋机制的实施条件</w:t>
      </w:r>
    </w:p>
    <w:p w14:paraId="603A82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FB473A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基金管理人应当在启用侧袋机制后及时发布临时公告，并在五个工作日内聘请侧袋机制启用日发表意见且符合《中华人民共和国证券法》规定的会计师事务所进行审计并披露专项审计意见。</w:t>
      </w:r>
    </w:p>
    <w:p w14:paraId="08C4AB3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（二）实施侧袋机制期间基金份额的申购与赎回</w:t>
      </w:r>
    </w:p>
    <w:p w14:paraId="7BE98B5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启用侧袋机制当日，基金登记机构以基金份额持有人的原有账户份额为基础，确认相应侧袋账户基金份额持有人名册和份额；当日收到的申购申请，按照启用侧袋机制后的主袋账户份额办理；当日收到的赎回申请，仅办理主袋账户的赎回申请并支付赎回款项。</w:t>
      </w:r>
    </w:p>
    <w:p w14:paraId="499356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2、实施侧袋机制期间，基金管理人不办理侧袋账户份额的申购、赎回和转换；同时，基金管理人按照基金合同和招募说明书的约定办理主袋账户份额的赎回，并根据主袋账户运作情况确定是否暂停申购。</w:t>
      </w:r>
    </w:p>
    <w:p w14:paraId="345A36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除基金管理人应按照主袋账户的份额净值办理主袋账户份额的申购和赎回外，本招募说明书“基金份额的申购与赎回”部分的申购、赎回规定适用于主袋账户份额。巨额赎回按照单个开放日内主袋账户份额净赎回申请超过前一开放日主袋账户总份额的10%认定。</w:t>
      </w:r>
    </w:p>
    <w:p w14:paraId="03EC822B"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（三）实施侧袋机制期间的基金投资</w:t>
      </w:r>
    </w:p>
    <w:p w14:paraId="234A5A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招募说明书“基金的投资”部分约定的投资组合比例、投资策略、组合限制、业绩比较基准、风险收益特征等约定仅适用于主袋账户。基金管理人计算各项投资运作指标和基金业绩指标时仅需考虑主袋账户资产。</w:t>
      </w:r>
    </w:p>
    <w:p w14:paraId="76715C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基金管理人原则上应当在侧袋机制启用后20个交易日内完成对主袋账户投资组合的调整，因资产流动性受限等中国证监会规定的情形除外。</w:t>
      </w:r>
    </w:p>
    <w:p w14:paraId="75EE5FB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基金管理人不得在侧袋账户中进行除特定资产处置变现以外的其他投资操作。</w:t>
      </w:r>
    </w:p>
    <w:p w14:paraId="54DAF1C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（四）实施侧袋机制期间的基金估值</w:t>
      </w:r>
    </w:p>
    <w:p w14:paraId="6E7A5A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本基金实施侧袋机制的，基金管理人和基金托管人应对主袋账户资产进行估值并披露主袋账户的基金净值信息，暂停披露侧袋账户份额净值。侧袋账户的会计核</w:t>
      </w:r>
      <w:r>
        <w:rPr>
          <w:rFonts w:ascii="宋体" w:hAnsi="宋体"/>
          <w:sz w:val="24"/>
        </w:rPr>
        <w:lastRenderedPageBreak/>
        <w:t>算应符合《企业会计准则》的相关要求。</w:t>
      </w:r>
    </w:p>
    <w:p w14:paraId="66F6651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（五）实施侧袋账户期间的基金费用</w:t>
      </w:r>
    </w:p>
    <w:p w14:paraId="1590D1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1、本基金实施侧袋机制的，管理费和托管费按主袋账户基金资产净值作为基数计提。</w:t>
      </w:r>
    </w:p>
    <w:p w14:paraId="6FCB03D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2、与侧袋账户有关的费用可从侧袋账户中列支，但应待侧袋账户资产变现后方可列支，有关费用可酌情收取或减免，但不得收取管理费。</w:t>
      </w:r>
    </w:p>
    <w:p w14:paraId="5A5F5A8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（六）侧袋账户中特定资产的处置变现和支付</w:t>
      </w:r>
    </w:p>
    <w:p w14:paraId="172188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特定资产以可出售、可转让、恢复交易等方式恢复流动性后，基金管理人应当按照基金份额持有人利益最大化原则，采取将特定资产予以处置变现等方式，及时向侧袋账户份额持有人支付对应变现款项。</w:t>
      </w:r>
    </w:p>
    <w:p w14:paraId="7C6D105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无论侧袋账户资产是否全部完成变现，基金管理人都应当及时向侧袋账户全部份额持有人支付已变现部分对应的款项。若侧袋账户资产无法一次性完成处置变现，基金管理人在每次处置变现后均应按照相关法律法规要求及时发布临时公告。</w:t>
      </w:r>
    </w:p>
    <w:p w14:paraId="7F19E8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侧袋账户资产全部完成变现并终止侧袋机制后，基金管理人应及时聘请符合《中华人民共和国证券法》规定的会计师事务所进行审计并披露专项审计意见。</w:t>
      </w:r>
    </w:p>
    <w:p w14:paraId="1FF758D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（七）侧袋机制的信息披露</w:t>
      </w:r>
    </w:p>
    <w:p w14:paraId="6F17506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1、临时公告</w:t>
      </w:r>
    </w:p>
    <w:p w14:paraId="6C751A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在启用侧袋机制、处置特定资产、终止侧袋机制以及发生其他可能对投资者利益产生重大影响的事项后基金管理人应及时发布临时公告。</w:t>
      </w:r>
    </w:p>
    <w:p w14:paraId="6391DC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2、基金净值信息</w:t>
      </w:r>
    </w:p>
    <w:p w14:paraId="6DCE871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基金管理人应按照招募说明书“基金的信息披露”部分规定的基金净值信息披露方式和频率披露主袋账户份额的基金净值信息。实施侧袋机制期间本基金暂停披露侧袋账户份额净值和累计净值。</w:t>
      </w:r>
    </w:p>
    <w:p w14:paraId="272179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3、定期报告</w:t>
      </w:r>
    </w:p>
    <w:p w14:paraId="4A36D02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实施期间，基金管理人应当在基金定期报告中披露报告期内侧袋账户相关信息，基金定期报告中的基金会计报表仅需针对主袋账户进行编制。会计师事务所对基金年度报告进行审计时，应对报告期内基金侧袋机制运行相关的会计核算和年度报告披露等发表审计意见。</w:t>
      </w:r>
    </w:p>
    <w:p w14:paraId="33DBE120"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5585F9F" w14:textId="77777777" w:rsidR="00B164D3" w:rsidRDefault="000605B5">
      <w:pPr>
        <w:pStyle w:val="1"/>
        <w:snapToGrid w:val="0"/>
        <w:spacing w:beforeLines="0" w:before="240" w:after="240"/>
        <w:rPr>
          <w:rFonts w:ascii="宋体" w:hAnsi="宋体"/>
          <w:szCs w:val="30"/>
        </w:rPr>
      </w:pPr>
      <w:bookmarkStart w:id="21" w:name="_Toc85115633"/>
      <w:r>
        <w:rPr>
          <w:rFonts w:ascii="Times New Roman" w:hAnsi="Times New Roman"/>
          <w:sz w:val="30"/>
        </w:rPr>
        <w:lastRenderedPageBreak/>
        <w:t>十八、风险揭示</w:t>
      </w:r>
      <w:bookmarkEnd w:id="21"/>
    </w:p>
    <w:p w14:paraId="7A5905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4440FF7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后扣除申购申请份额总数及基金转换中转入申请份额总数后的余额）超过上一开放日基金总份额的百分之十时，投资人将可能无法及时赎回持有的全部基金份额。基金分为股票型基金、混合型基金、债券型基金、货币市场基金等不同类型，投资人投资不同类型的基金将获得不同的收益预期，也将承担不同程度的风险。一般来说，基金的收益预期越高，投资人承担的风险也越大。</w:t>
      </w:r>
    </w:p>
    <w:p w14:paraId="0C9538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投资人应当认真阅读《基金合同》、《招募说明书》等基金法律文件，了解基金的风险收益特征，并根据自身的投资目的、投资期限、投资经验、资产状况等判断基金是否和投资人的风险承受能力相适应。</w:t>
      </w:r>
    </w:p>
    <w:p w14:paraId="539D7A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5B78FC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因拆分、分红等行为导致基金份额净值变化，不会改变基金的风险收益特征，不会降低基金投资风险或提高基金投资收益。以1元初始面值开展基金募集或因拆分、分红等行为导致基金份额净值调整至1元初始面值或1元附近，在市场波动等因素的影响下，基金投资仍有可能出现亏损或基金净值仍有可能低于初始面值。</w:t>
      </w:r>
    </w:p>
    <w:p w14:paraId="4B8020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0D60267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基金份额持有人须了解并承受以下风险：</w:t>
      </w:r>
    </w:p>
    <w:p w14:paraId="3CB03FDB"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（一）市场风险</w:t>
      </w:r>
    </w:p>
    <w:p w14:paraId="508E76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证券市场价格因受到经济因素、政治因素、投资心理和交易制度等各种因素的影响而引起的波动，将对基金收益水平产生潜在风险，主要包括：</w:t>
      </w:r>
    </w:p>
    <w:p w14:paraId="047319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1、政策风险。因国家宏观政策（如货币政策、财政政策、行业政策、地区发展政策等）和证券市场监管政策发生变化，导致市场价格波动而产生风险。</w:t>
      </w:r>
    </w:p>
    <w:p w14:paraId="4E9FC7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2、经济周期风险。证券市场受宏观经济运行的影响，而经济运行具有周期性的特点，宏观经济运行状况将对证券市场的收益水平产生影响，从而对基金收益造成影响。</w:t>
      </w:r>
    </w:p>
    <w:p w14:paraId="62AD53E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p>
    <w:p w14:paraId="2E79701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03CEA0D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5、购买力风险。基金投资的目的是基金资产的保值增值，如果发生通货膨胀，基金投资于证券所获得的收益可能会被通货膨胀抵消，从而使基金的实际收益下降，影响基金资产的保值增值。</w:t>
      </w:r>
    </w:p>
    <w:p w14:paraId="28FC1FB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（二）管理风险</w:t>
      </w:r>
    </w:p>
    <w:p w14:paraId="6B593BE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14:paraId="595C860E"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（三）流动性风险</w:t>
      </w:r>
    </w:p>
    <w:p w14:paraId="4D8F9F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属于开放式基金，在基金的所有开放日，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w:t>
      </w:r>
      <w:r>
        <w:rPr>
          <w:rFonts w:ascii="宋体" w:hAnsi="宋体"/>
          <w:sz w:val="24"/>
        </w:rPr>
        <w:lastRenderedPageBreak/>
        <w:t>金份额净值。</w:t>
      </w:r>
    </w:p>
    <w:p w14:paraId="19DE38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1、本基金的申购、赎回安排</w:t>
      </w:r>
    </w:p>
    <w:p w14:paraId="7D2EC65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采用开放方式运作，基金管理人在开放日办理基金份额的申购和赎回，具体办理时间为上海证券交易所、深圳证券交易所的正常交易日的交易时间（若该工作日为非港股通交易日，则本基金可不开放），但基金管理人根据法律法规、中国证监会的要求或基金合同的规定公告暂停申购、赎回时除外。基金管理人自基金合同生效之日起不超过3个月开始办理申购和赎回业务，具体业务办理时间在申购赎回开始公告中规定。</w:t>
      </w:r>
    </w:p>
    <w:p w14:paraId="067CA3C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2、投资市场、行业及资产的流动性风险评估</w:t>
      </w:r>
    </w:p>
    <w:p w14:paraId="76A3893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7AD3FC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3、巨额赎回情形下的流动性风险管理措施</w:t>
      </w:r>
    </w:p>
    <w:p w14:paraId="317F9F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082707C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当基金出现巨额赎回时，基金管理人可以根据基金当时的资产组合状况决定全额赎回或部分延期赎回。</w:t>
      </w:r>
    </w:p>
    <w:p w14:paraId="5C6194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（1）全额赎回：当基金管理人认为有能力支付投资人的全部赎回申请时，按正常赎回程序执行。</w:t>
      </w:r>
    </w:p>
    <w:p w14:paraId="26839E0D" w14:textId="7F931D16"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F31B44">
        <w:rPr>
          <w:rFonts w:ascii="Times New Roman" w:hAnsi="Times New Roman"/>
          <w:sz w:val="24"/>
        </w:rPr>
        <w:t>该类</w:t>
      </w:r>
      <w:r>
        <w:rPr>
          <w:rFonts w:ascii="宋体" w:hAnsi="宋体"/>
          <w:sz w:val="24"/>
        </w:rPr>
        <w:t>基金份额净值为基础计算赎回金额，以此类推，直到全部赎回</w:t>
      </w:r>
      <w:r>
        <w:rPr>
          <w:rFonts w:ascii="宋体" w:hAnsi="宋体"/>
          <w:sz w:val="24"/>
        </w:rPr>
        <w:lastRenderedPageBreak/>
        <w:t>为止。如投资人在提交赎回申请时未作明确选择，投资人未能赎回部分作自动延期赎回处理。</w:t>
      </w:r>
    </w:p>
    <w:p w14:paraId="22531C2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（3）本基金如发生巨额赎回且单个开放日内单个基金份额持有人申请赎回的基金份额超过前一开放日的基金总份额的20%时，本基金管理人有权采取如下措施：</w:t>
      </w:r>
    </w:p>
    <w:p w14:paraId="696C16A7" w14:textId="6AB4F8DF"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当日超过20%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00BA123B">
        <w:rPr>
          <w:rFonts w:ascii="Times New Roman" w:hAnsi="Times New Roman"/>
          <w:sz w:val="24"/>
        </w:rPr>
        <w:t>该类</w:t>
      </w:r>
      <w:r>
        <w:rPr>
          <w:rFonts w:ascii="宋体" w:hAnsi="宋体"/>
          <w:sz w:val="24"/>
        </w:rPr>
        <w:t>基金份额净值为基础计算赎回金额，以此类推，直到全部赎回为止。</w:t>
      </w:r>
    </w:p>
    <w:p w14:paraId="72ADE2A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对于基金份额持有人未超过上述比例的部分，基金管理人可以根据前段“（1）全额赎回”或“（2）部分延期赎回”的约定方式与其他基金份额持有人的赎回申请一并办理。但是，如基金份额持有人在当日选择取消赎回，则其当日未获受理的部分赎回申请将被撤销。</w:t>
      </w:r>
    </w:p>
    <w:p w14:paraId="13DC0B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14:paraId="7BBCFB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4、实施备用的流动性风险管理工具的情形、程序及对投资者的潜在影响</w:t>
      </w:r>
    </w:p>
    <w:p w14:paraId="1BF63F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本基金在面临大规模赎回的情况下有可能因为无法变现造成流动性风险。</w:t>
      </w:r>
    </w:p>
    <w:p w14:paraId="50E1F4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摆动定价、暂停基金估值、实施侧袋机制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75B1B6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w:t>
      </w:r>
      <w:r>
        <w:rPr>
          <w:rFonts w:ascii="宋体" w:hAnsi="宋体"/>
          <w:sz w:val="24"/>
        </w:rPr>
        <w:lastRenderedPageBreak/>
        <w:t>并不得办理申购、赎回和转换，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14:paraId="4D3782C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65A1F5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基金管理人将根据主袋账户运作情况合理确定申购政策， 因此实施侧袋机制后主袋账户份额存在暂停申购的可能。</w:t>
      </w:r>
    </w:p>
    <w:p w14:paraId="115D833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启用侧袋机制后，基金管理人计算各项投资运作指标和基金业绩指标时仅需考虑主袋账户资产，基金业绩指标应当以主袋账户资产为基准，因此本基金披露的业绩指标不能反映特定资产的真实价值及变化情况。</w:t>
      </w:r>
    </w:p>
    <w:p w14:paraId="4B7FC53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（四）信用风险</w:t>
      </w:r>
    </w:p>
    <w:p w14:paraId="7FBDF9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基金在交易过程中发生交收违约，或者基金所投资债券之发行人出现违约、拒绝支付到期本息，都可能导致基金资产损失和收益变化，从而产生风险。</w:t>
      </w:r>
    </w:p>
    <w:p w14:paraId="36118711"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（五）本基金的特有风险</w:t>
      </w:r>
    </w:p>
    <w:p w14:paraId="597762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属于混合型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540411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3B1F2A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3、本基金可投资港股通标的股票，会面临港股通机制下因投资环境、投资标的、市场制度以及交易规则等差异带来的特有风险，具体如下：</w:t>
      </w:r>
    </w:p>
    <w:p w14:paraId="35AC28F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（1）港股交易失败风险</w:t>
      </w:r>
    </w:p>
    <w:p w14:paraId="28AB4AA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港股通业务目前存在每日额度。在香港联合交易所开市前阶段，当日额度使用完毕的，新增的买单申报将面临失败的风险；在香港联合交易所持续交易时段，当</w:t>
      </w:r>
      <w:r>
        <w:rPr>
          <w:rFonts w:ascii="宋体" w:hAnsi="宋体"/>
          <w:sz w:val="24"/>
        </w:rPr>
        <w:lastRenderedPageBreak/>
        <w:t>日额度使用完毕的，当日本基金将面临不能通过港股通进行买入交易的风险。</w:t>
      </w:r>
    </w:p>
    <w:p w14:paraId="4E5B4C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（2）汇率风险</w:t>
      </w:r>
    </w:p>
    <w:p w14:paraId="1F8133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3A9C49C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18C8479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（3）境外市场的风险</w:t>
      </w:r>
    </w:p>
    <w:p w14:paraId="566E567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1F74C4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2）香港市场交易规则有别于内地A 股市场规则，此外，在“内地与香港股票市场交易互联互通机制”下参与香港股票投资还将面临包括但不限于如下特殊风险：</w:t>
      </w:r>
    </w:p>
    <w:p w14:paraId="6735F2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a）香港市场实行T+0 回转交易机制（即当日买入的股票，在交收前可以于当日卖出），且证券交易价格并无涨跌幅上下限的规定，因此每日涨跌幅空间相对较大，可能表现出比A股更为剧烈的股价波动；</w:t>
      </w:r>
    </w:p>
    <w:p w14:paraId="1BAE50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095899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香港出现台风、黑色暴雨或者香港联合交易所规定的其他情形时，香港联合交易所将可能停市，投资者将面临在停市期间无法进行港股通交易的风险；出现上海证券交易所及深圳证券交易所证券交易服务公司认定的交易异常情况时，上海</w:t>
      </w:r>
      <w:r>
        <w:rPr>
          <w:rFonts w:ascii="宋体" w:hAnsi="宋体"/>
          <w:sz w:val="24"/>
        </w:rPr>
        <w:lastRenderedPageBreak/>
        <w:t>证券交易所及深圳证券交易所证券交易服务公司将可能暂停提供部分或者全部港股通服务，投资者将面临在暂停服务期间无法进行港股通交易的风险；</w:t>
      </w:r>
    </w:p>
    <w:p w14:paraId="2711B2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6CFAC9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6C0F03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（4）本基金可根据投资策略需要或不同配置地市场环境的变化，选择将部分基金资产投资于港股或选择不将基金资产投资于港股，基金资产并非必然投资港股。</w:t>
      </w:r>
    </w:p>
    <w:p w14:paraId="170798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以上所述因素可能会给本基金投资带来特殊交易风险。</w:t>
      </w:r>
    </w:p>
    <w:p w14:paraId="198492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4、基金合同提前终止风险。连续50个工作日出现基金份额持有人数量不满200人或者基金资产净值低于5000万元情形的，基金管理人提前终止基金合同，不需召开基金份额持有人大会。</w:t>
      </w:r>
    </w:p>
    <w:p w14:paraId="0DF6FC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5、本基金可投资创业板股票，创业板个股上市后的前五个交易日不设价格涨跌幅限制，第六个交易日开始涨跌幅限制比例为20%。</w:t>
      </w:r>
    </w:p>
    <w:p w14:paraId="572E3822"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（六）投资股指期货的特定风险</w:t>
      </w:r>
    </w:p>
    <w:p w14:paraId="232C49A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具体为：</w:t>
      </w:r>
    </w:p>
    <w:p w14:paraId="7512EC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（1）市场风险是指由于股指期货价格变动而给投资者带来的风险。市场风险</w:t>
      </w:r>
      <w:r>
        <w:rPr>
          <w:rFonts w:ascii="宋体" w:hAnsi="宋体"/>
          <w:sz w:val="24"/>
        </w:rPr>
        <w:lastRenderedPageBreak/>
        <w:t>是股指期货投资中最主要的风险。</w:t>
      </w:r>
    </w:p>
    <w:p w14:paraId="7203151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（2）流动性风险是指由于股指期货合约无法及时变现所带来的风险。</w:t>
      </w:r>
    </w:p>
    <w:p w14:paraId="7B4DC54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（3）基差风险是指股指期货合约价格和指数价格之间的价格差的波动所造成的风险，以及不同股指期货合约价格之间价格差的波动所造成的期现价差风险。</w:t>
      </w:r>
    </w:p>
    <w:p w14:paraId="719673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（4）保证金风险是指由于无法及时筹措资金满足建立或者维持股指期货合约头寸所要求的保证金而带来的风险。</w:t>
      </w:r>
    </w:p>
    <w:p w14:paraId="33EA7F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（5）信用风险是指期货经纪公司违约而产生损失的风险。</w:t>
      </w:r>
    </w:p>
    <w:p w14:paraId="4633C0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（6）操作风险是指由于内部流程的不完善，业务人员出现差错或者疏漏，或者系统出现故障等原因造成损失的风险。</w:t>
      </w:r>
    </w:p>
    <w:p w14:paraId="4A60F0A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此外，由于衍生品通常具有杠杆效应，价格波动比标的工具更为剧烈，并且其定价相当复杂，不适当的估值也有可能使基金资产面临损失风险。</w:t>
      </w:r>
    </w:p>
    <w:p w14:paraId="03FD93EF"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（七）投资资产支持证券的特定风险</w:t>
      </w:r>
    </w:p>
    <w:p w14:paraId="3220FA1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3626012B"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（八）投资流通受限证券的特定风险</w:t>
      </w:r>
    </w:p>
    <w:p w14:paraId="6B07A1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ED6B40D"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（九）投资科创板股票的特定风险</w:t>
      </w:r>
    </w:p>
    <w:p w14:paraId="2DC61F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集中度风险、系统性风险、政策风险等。</w:t>
      </w:r>
    </w:p>
    <w:p w14:paraId="24ACB3B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（1）市场风险</w:t>
      </w:r>
    </w:p>
    <w:p w14:paraId="1077DB1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科创板个股集中来自新一代信息技术、高端装备、新材料、新能源、节能环保及生物医药等高新技术和战略新兴产业领域。大多数企业为初创型公司，企业未来</w:t>
      </w:r>
      <w:r>
        <w:rPr>
          <w:rFonts w:ascii="宋体" w:hAnsi="宋体"/>
          <w:sz w:val="24"/>
        </w:rPr>
        <w:lastRenderedPageBreak/>
        <w:t>盈利、现金流、估值均存在不确定性，与传统二级市场投资存在差异，整体投资难度加大，个股市场风险加大。</w:t>
      </w:r>
    </w:p>
    <w:p w14:paraId="611C9FC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科创板个股上市前五日无涨跌停限制，第六日开始涨跌幅限制在正负20%以内，个股波动幅度较其他股票加大，市场风险随之上升。</w:t>
      </w:r>
    </w:p>
    <w:p w14:paraId="222A65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（2）流动性风险</w:t>
      </w:r>
    </w:p>
    <w:p w14:paraId="4F808DD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整体投资门槛较高，个人投资者必须满足交易满两年并且资金在50万以上才可参与，二级市场上个人投资者参与度相对较低，机构持有个股大量流通盘导致个股流动性较差，基金组合存在无法及时变现及其他相关流动性风险。</w:t>
      </w:r>
    </w:p>
    <w:p w14:paraId="11CE22C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（3）退市风险</w:t>
      </w:r>
    </w:p>
    <w:p w14:paraId="2C193CE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14:paraId="5F4259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（4）集中度风险</w:t>
      </w:r>
    </w:p>
    <w:p w14:paraId="0F6FD5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科创板为新设板块，初期可投标的较少，投资者容易集中投资于少量个股，市场可能存在高集中度状况，整体存在集中度风险。</w:t>
      </w:r>
    </w:p>
    <w:p w14:paraId="5063EE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（5）系统性风险</w:t>
      </w:r>
    </w:p>
    <w:p w14:paraId="24C0F93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科创板企业均为市场认可度较高的科技创新企业，在企业经营及盈利模式上存在趋同，所以科创板个股相关性较高，市场表现不佳时，系统性风险将更为显著。</w:t>
      </w:r>
    </w:p>
    <w:p w14:paraId="1A24A7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（6）政策风险</w:t>
      </w:r>
    </w:p>
    <w:p w14:paraId="0B2AF27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国家对高新技术产业扶持力度及重视程度的变化会对科创板企业带来较大影响，国际经济形势变化对战略新兴产业及科创板个股也会带来政策影响。</w:t>
      </w:r>
    </w:p>
    <w:p w14:paraId="09A4F2FD"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（十）投资存托凭证的特定风险</w:t>
      </w:r>
    </w:p>
    <w:p w14:paraId="180A7E0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659162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w:t>
      </w:r>
      <w:r>
        <w:rPr>
          <w:rFonts w:ascii="宋体" w:hAnsi="宋体"/>
          <w:sz w:val="24"/>
        </w:rPr>
        <w:lastRenderedPageBreak/>
        <w:t>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15883C4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本基金可根据投资策略需要或市场环境的变化，选择将部分基金资产投资于存托凭证或选择不将基金资产投资于存托凭证，基金资产并非必然投资存托凭证。</w:t>
      </w:r>
    </w:p>
    <w:p w14:paraId="267D0F31"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（十一）其他风险</w:t>
      </w:r>
    </w:p>
    <w:p w14:paraId="26BC82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1、因技术因素而产生的风险，如电脑系统不可靠产生的风险；</w:t>
      </w:r>
    </w:p>
    <w:p w14:paraId="28E354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2、因基金业务快速发展，在制度建设、人员配备、内控制度建立等方面的不完善产生的风险；</w:t>
      </w:r>
    </w:p>
    <w:p w14:paraId="3427DD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3、因人为因素而产生的风险、如内幕交易、欺诈行为等产生的风险；</w:t>
      </w:r>
    </w:p>
    <w:p w14:paraId="786D66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4、对主要业务人员如基金经理的依赖而可能产生的风险；</w:t>
      </w:r>
    </w:p>
    <w:p w14:paraId="17F43C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5、因业务竞争压力可能产生的风险；</w:t>
      </w:r>
    </w:p>
    <w:p w14:paraId="0FD360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6、战争、自然灾害等不可抗力可能导致基金财产的损失，影响基金收益水平，从而带来风险；</w:t>
      </w:r>
    </w:p>
    <w:p w14:paraId="3B33156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7、其他意外导致的风险。</w:t>
      </w:r>
    </w:p>
    <w:p w14:paraId="31C96CC9"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175F165E" w14:textId="77777777" w:rsidR="00B164D3" w:rsidRDefault="000605B5">
      <w:pPr>
        <w:pStyle w:val="1"/>
        <w:snapToGrid w:val="0"/>
        <w:spacing w:beforeLines="0" w:before="240" w:after="240"/>
        <w:rPr>
          <w:rFonts w:ascii="宋体" w:hAnsi="宋体"/>
          <w:szCs w:val="30"/>
        </w:rPr>
      </w:pPr>
      <w:bookmarkStart w:id="22" w:name="_Toc85115634"/>
      <w:r>
        <w:rPr>
          <w:rFonts w:ascii="Times New Roman" w:hAnsi="Times New Roman"/>
          <w:sz w:val="30"/>
        </w:rPr>
        <w:lastRenderedPageBreak/>
        <w:t>十九、基金合同的变更、终止与基金财产的清算</w:t>
      </w:r>
      <w:bookmarkEnd w:id="22"/>
    </w:p>
    <w:p w14:paraId="35E9C23B"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（一）《基金合同》的变更</w:t>
      </w:r>
    </w:p>
    <w:p w14:paraId="63CD20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4F55A1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14:paraId="231C9321"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（二）《基金合同》的终止事由</w:t>
      </w:r>
    </w:p>
    <w:p w14:paraId="1A4515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676072D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7A237B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3E4F4B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3、连续50个工作日出现基金份额持有人数量不满200人或者基金资产净值低于5000万元情形的，基金管理人提前终止《基金合同》，不需召开基金份额持有人大会；</w:t>
      </w:r>
    </w:p>
    <w:p w14:paraId="02FFAE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25DA4B9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42920306"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（三）基金财产的清算</w:t>
      </w:r>
    </w:p>
    <w:p w14:paraId="768AC5A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44CCCA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F811A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16DB67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7A1A831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14:paraId="66246E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（2）对基金财产和债权债务进行清理和确认；</w:t>
      </w:r>
    </w:p>
    <w:p w14:paraId="1EAF76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（3）对基金财产进行估值和变现；</w:t>
      </w:r>
    </w:p>
    <w:p w14:paraId="4C648B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484CF84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4BDE7BE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31438C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0762BD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71FC76DD"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（四）清算费用</w:t>
      </w:r>
    </w:p>
    <w:p w14:paraId="7D68EAE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D07977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（五）基金财产清算剩余资产的分配</w:t>
      </w:r>
    </w:p>
    <w:p w14:paraId="674ADFC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3E78124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（六）基金财产清算的公告</w:t>
      </w:r>
    </w:p>
    <w:p w14:paraId="1F6171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785C65EA"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（七）基金财产清算账册及文件的保存</w:t>
      </w:r>
    </w:p>
    <w:p w14:paraId="0BBEB3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14:paraId="2DF9FCB7"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6A60B492" w14:textId="77777777" w:rsidR="00B164D3" w:rsidRDefault="000605B5">
      <w:pPr>
        <w:pStyle w:val="1"/>
        <w:snapToGrid w:val="0"/>
        <w:spacing w:beforeLines="0" w:before="240" w:after="240"/>
        <w:rPr>
          <w:rFonts w:ascii="宋体" w:hAnsi="宋体"/>
          <w:szCs w:val="30"/>
        </w:rPr>
      </w:pPr>
      <w:bookmarkStart w:id="23" w:name="_Toc85115635"/>
      <w:r>
        <w:rPr>
          <w:rFonts w:ascii="Times New Roman" w:hAnsi="Times New Roman"/>
          <w:sz w:val="30"/>
        </w:rPr>
        <w:lastRenderedPageBreak/>
        <w:t>二十、基金合同内容摘要</w:t>
      </w:r>
      <w:bookmarkEnd w:id="23"/>
    </w:p>
    <w:p w14:paraId="1AFC38CE"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（一）基金份额持有人、基金管理人和基金托管人的权利与义务</w:t>
      </w:r>
    </w:p>
    <w:p w14:paraId="591C02A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1、基金管理人的权利与义务</w:t>
      </w:r>
    </w:p>
    <w:p w14:paraId="229F06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根据《基金法》、《运作办法》及其他有关规定，基金管理人的权利包括但不限于：</w:t>
      </w:r>
    </w:p>
    <w:p w14:paraId="49D1042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w:t>
      </w:r>
    </w:p>
    <w:p w14:paraId="7299210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（2）自《基金合同》生效之日起，根据法律法规和《基金合同》独立运用并管理基金财产；</w:t>
      </w:r>
    </w:p>
    <w:p w14:paraId="779634E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（3）依照《基金合同》收取基金管理费以及法律法规规定或中国证监会批准的其他费用；</w:t>
      </w:r>
    </w:p>
    <w:p w14:paraId="587991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（4）销售基金份额；</w:t>
      </w:r>
    </w:p>
    <w:p w14:paraId="4AD5DC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（5）按照规定召集基金份额持有人大会；</w:t>
      </w:r>
    </w:p>
    <w:p w14:paraId="09727DD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（6）依据《基金合同》及有关法律规定监督基金托管人，如认为基金托管人违反了《基金合同》及国家有关法律规定，应呈报中国证监会和其他监管部门，并采取必要措施保护基金投资者的利益；</w:t>
      </w:r>
    </w:p>
    <w:p w14:paraId="0852C6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（7）在基金托管人更换时，提名新的基金托管人；</w:t>
      </w:r>
    </w:p>
    <w:p w14:paraId="6AA624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（8）选择、更换基金销售机构，对基金销售机构的相关行为进行监督和处理；</w:t>
      </w:r>
    </w:p>
    <w:p w14:paraId="02D12C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（9）担任或委托其他符合条件的机构担任基金登记机构办理基金登记业务并获得《基金合同》规定的费用；</w:t>
      </w:r>
    </w:p>
    <w:p w14:paraId="2D925F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（10）依据《基金合同》及有关法律规定决定基金收益的分配方案；</w:t>
      </w:r>
    </w:p>
    <w:p w14:paraId="63771C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（11）在《基金合同》约定的范围内，拒绝或暂停受理申购与赎回申请；</w:t>
      </w:r>
    </w:p>
    <w:p w14:paraId="6B8A992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（12）依照法律法规为基金的利益对被投资公司行使股东权利，为基金的利益行使因基金财产投资于证券所产生的权利；</w:t>
      </w:r>
    </w:p>
    <w:p w14:paraId="3F233EC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（13）在法律法规允许的前提下，为基金的利益依法为基金进行融资；</w:t>
      </w:r>
    </w:p>
    <w:p w14:paraId="462CDD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（14）以基金管理人的名义，代表基金份额持有人的利益行使诉讼权利或者实施其他法律行为；</w:t>
      </w:r>
    </w:p>
    <w:p w14:paraId="42486B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（15）选择、更换律师事务所、会计师事务所、证券经纪商、期货经纪机构或其他为基金提供服务的外部机构；</w:t>
      </w:r>
    </w:p>
    <w:p w14:paraId="6F5510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（16）在符合有关法律、法规的前提下，制定和调整有关基金认购、申购、赎回、转换等的业务规则；</w:t>
      </w:r>
    </w:p>
    <w:p w14:paraId="2D78D70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（17）法律法规及中国证监会规定的和《基金合同》约定的其他权利。</w:t>
      </w:r>
    </w:p>
    <w:p w14:paraId="0FDD243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根据《基金法》、《运作办法》及其他有关规定，基金管理人的义务包括但不限于：</w:t>
      </w:r>
    </w:p>
    <w:p w14:paraId="31C25C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（1）依法募集资金，办理或者委托经中国证监会认定的其他机构办理基金份额的发售、申购、赎回和登记事宜；</w:t>
      </w:r>
    </w:p>
    <w:p w14:paraId="0851EF9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（2）办理基金备案手续；</w:t>
      </w:r>
    </w:p>
    <w:p w14:paraId="4A60FBF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（3）自《基金合同》生效之日起，以诚实信用、谨慎勤勉的原则管理和运用基金财产；</w:t>
      </w:r>
    </w:p>
    <w:p w14:paraId="05AE646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（4）配备足够的具有专业资格的人员进行基金投资分析、决策，以专业化的经营方式管理和运作基金财产；</w:t>
      </w:r>
    </w:p>
    <w:p w14:paraId="0E4FB0E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（5）建立健全内部风险控制、监察与稽核、财务管理及人事管理等制度，保证所管理的基金财产和基金管理人的财产相互独立，对所管理的不同基金分别管理，分别记账，进行证券投资；</w:t>
      </w:r>
    </w:p>
    <w:p w14:paraId="224302D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（6）除依据《基金法》、《基金合同》及其他有关规定外，不得利用基金财产为自己及任何第三人谋取利益，不得委托第三人运作基金财产；</w:t>
      </w:r>
    </w:p>
    <w:p w14:paraId="7FD183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（7）依法接受基金托管人的监督；</w:t>
      </w:r>
    </w:p>
    <w:p w14:paraId="23AC77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（8）采取适当合理的措施使计算基金份额认购、申购、赎回和注销价格的方法符合《基金合同》等法律文件的规定，按有关规定计算并公告基金净值信息，确定基金份额申购、赎回的价格；</w:t>
      </w:r>
    </w:p>
    <w:p w14:paraId="2A7F56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（9）进行基金会计核算并编制基金财务会计报告；</w:t>
      </w:r>
    </w:p>
    <w:p w14:paraId="721A67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（10）编制季度报告、中期报告和年度报告；</w:t>
      </w:r>
    </w:p>
    <w:p w14:paraId="7A0BE5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（11）严格按照《基金法》、《基金合同》及其他有关规定，履行信息披露及报告义务；</w:t>
      </w:r>
    </w:p>
    <w:p w14:paraId="357CDA3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（12）保守基金商业秘密，不泄露基金投资计划、投资意向等。除《基金法》、《基金合同》及其他有关规定另有规定外，在基金信息公开披露前应予保密，不向他人泄露；</w:t>
      </w:r>
    </w:p>
    <w:p w14:paraId="11CB847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（13）按《基金合同》的约定确定基金收益分配方案，及时向基金份额持有人分配基金收益；</w:t>
      </w:r>
    </w:p>
    <w:p w14:paraId="47A563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（14）按规定受理申购与赎回申请，及时、足额支付赎回款项；</w:t>
      </w:r>
    </w:p>
    <w:p w14:paraId="2EEB08C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（15）依据《基金法》、《基金合同》及其他有关规定召集基金份额持有人大会或配合基金托管人、基金份额持有人依法召集基金份额持有人大会；</w:t>
      </w:r>
    </w:p>
    <w:p w14:paraId="09BB86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（16）按规定保存基金财产管理业务活动的会计账册、报表、记录和其他相关资料15年以上；</w:t>
      </w:r>
    </w:p>
    <w:p w14:paraId="7A281F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0421CD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（18）组织并参加基金财产清算小组，参与基金财产的保管、清理、估价、变现和分配；</w:t>
      </w:r>
    </w:p>
    <w:p w14:paraId="3359C6E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（19）面临解散、依法被撤销或者被依法宣告破产时，及时报告中国证监会并通知基金托管人；</w:t>
      </w:r>
    </w:p>
    <w:p w14:paraId="1630D24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（20）因违反《基金合同》导致基金财产的损失或损害基金份额持有人合法权益时，应当承担赔偿责任，其赔偿责任不因其退任而免除；</w:t>
      </w:r>
    </w:p>
    <w:p w14:paraId="69FED9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（21）监督基金托管人按法律法规和《基金合同》规定履行自己的义务，基金托管人违反《基金合同》造成基金财产损失时，基金管理人应为基金份额持有人利益向基金托管人追偿；</w:t>
      </w:r>
    </w:p>
    <w:p w14:paraId="70F99D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（22）当基金管理人将其义务委托第三方处理时，应当对第三方处理有关基金事务的行为承担责任；</w:t>
      </w:r>
    </w:p>
    <w:p w14:paraId="332A6DF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（23）以基金管理人名义，代表基金份额持有人利益行使诉讼权利或实施其他法律行为；</w:t>
      </w:r>
    </w:p>
    <w:p w14:paraId="7DCA9E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24）基金管理人在募集期间未能达到基金的备案条件，《基金合同》不能生效，基金管理人承担因募集行为而产生的债务和费用，将已募集资金并加计银行同期活期存款利息在基金募集期结束后30日内退还基金认购人；</w:t>
      </w:r>
    </w:p>
    <w:p w14:paraId="612B12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（25）执行生效的基金份额持有人大会的决议；</w:t>
      </w:r>
    </w:p>
    <w:p w14:paraId="4C6377F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（26）建立并保存基金份额持有人名册；</w:t>
      </w:r>
    </w:p>
    <w:p w14:paraId="1EFF3CB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（27）法律法规及中国证监会规定的和《基金合同》约定的其他义务。</w:t>
      </w:r>
    </w:p>
    <w:p w14:paraId="40C9127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2、基金托管人的权利与义务</w:t>
      </w:r>
    </w:p>
    <w:p w14:paraId="7CD665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根据《基金法》、《运作办法》及其他有关规定，基金托管人的权利包括但不限于：</w:t>
      </w:r>
    </w:p>
    <w:p w14:paraId="47F54D0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（1）自《基金合同》生效之日起，依法律法规和《基金合同》的规定安全保管基金财产；</w:t>
      </w:r>
    </w:p>
    <w:p w14:paraId="289947A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（2）依《基金合同》约定获得基金托管费以及法律法规规定或监管部门批准的其他费用；</w:t>
      </w:r>
    </w:p>
    <w:p w14:paraId="1B5FD04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5C512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（4）根据相关市场规则，为基金开设资金账户、证券账户等投资所需账户、为基金办理证券、期货交易资金清算；</w:t>
      </w:r>
    </w:p>
    <w:p w14:paraId="346842C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（5）提议召开或召集基金份额持有人大会；</w:t>
      </w:r>
    </w:p>
    <w:p w14:paraId="1ED62D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（6）在基金管理人更换时，提名新的基金管理人；</w:t>
      </w:r>
    </w:p>
    <w:p w14:paraId="199688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（7）法律法规及中国证监会规定的和《基金合同》约定的其他权利。</w:t>
      </w:r>
    </w:p>
    <w:p w14:paraId="3EFF4F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根据《基金法》、《运作办法》及其他有关规定，基金托管人的义务包括但不限于：</w:t>
      </w:r>
    </w:p>
    <w:p w14:paraId="63A6036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（1）以诚实信用、勤勉尽责的原则持有并安全保管基金财产；</w:t>
      </w:r>
    </w:p>
    <w:p w14:paraId="72DD77A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（2）设立专门的基金托管部门，具有符合要求的营业场所，配备足够的、合格的熟悉基金托管业务的专职人员，负责基金财产托管事宜；</w:t>
      </w:r>
    </w:p>
    <w:p w14:paraId="35436D4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C4E8B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（4）除依据《基金法》、《基金合同》及其他有关规定外，不得利用基金财产为自己及任何第三人谋取利益，不得委托第三人托管基金财产；</w:t>
      </w:r>
    </w:p>
    <w:p w14:paraId="7B212B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（5）保管由基金管理人代表基金签订的与基金有关的重大合同及有关凭证；</w:t>
      </w:r>
    </w:p>
    <w:p w14:paraId="429DC1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（6）按规定开设基金财产的资金账户和证券账户等投资所需账户，按照《基金合同》的约定，根据基金管理人的投资指令，及时办理清算、交割事宜；</w:t>
      </w:r>
    </w:p>
    <w:p w14:paraId="391A75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（7）保守基金商业秘密，除《基金法》、《基金合同》及其他有关规定另有规定外，在基金信息公开披露前予以保密，不得向他人泄露；</w:t>
      </w:r>
    </w:p>
    <w:p w14:paraId="470CA145" w14:textId="0C5A3EEA"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（8）复核、审查基金管理人计算的基金资产净值、</w:t>
      </w:r>
      <w:r w:rsidR="00BB70F3">
        <w:rPr>
          <w:rFonts w:hint="eastAsia"/>
          <w:bCs/>
          <w:sz w:val="24"/>
        </w:rPr>
        <w:t>各类</w:t>
      </w:r>
      <w:r>
        <w:rPr>
          <w:rFonts w:ascii="宋体" w:hAnsi="宋体"/>
          <w:sz w:val="24"/>
        </w:rPr>
        <w:t>基金份额净值、基金份额申购、赎回价格；</w:t>
      </w:r>
    </w:p>
    <w:p w14:paraId="4A93C0F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（9）办理与基金托管业务活动有关的信息披露事项；</w:t>
      </w:r>
    </w:p>
    <w:p w14:paraId="215D8E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D21704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（11）保存基金托管业务活动的记录、账册、报表和其他相关资料不低于法律法规规定的最低期限；</w:t>
      </w:r>
    </w:p>
    <w:p w14:paraId="26DC74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（12）建立并保存基金份额持有人名册；</w:t>
      </w:r>
    </w:p>
    <w:p w14:paraId="727350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（13）按规定制作相关账册并与基金管理人核对；</w:t>
      </w:r>
    </w:p>
    <w:p w14:paraId="4CF0B70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（14）依据基金管理人的指令或有关规定向基金份额持有人支付基金收益和赎回款项；</w:t>
      </w:r>
    </w:p>
    <w:p w14:paraId="49AA2B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（15）依据《基金法》、《基金合同》及其他有关规定，召集基金份额持有人大会或配合基金管理人、基金份额持有人依法召集基金份额持有人大会；</w:t>
      </w:r>
    </w:p>
    <w:p w14:paraId="20459BE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（16）按照法律法规和《基金合同》的规定监督基金管理人的投资运作；</w:t>
      </w:r>
    </w:p>
    <w:p w14:paraId="297AE3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（17）参加基金财产清算小组，参与基金财产的保管、清理、估价、变现和分配；</w:t>
      </w:r>
    </w:p>
    <w:p w14:paraId="6A88DFB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（18）面临解散、依法被撤销或者被依法宣告破产时，及时报告中国证监会和银行业监督管理机构，并通知基金管理人；</w:t>
      </w:r>
    </w:p>
    <w:p w14:paraId="1FFB268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（19）因违反《基金合同》导致基金财产损失时，应承担赔偿责任，其赔偿责任不因其退任而免除；</w:t>
      </w:r>
    </w:p>
    <w:p w14:paraId="0102DC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（20）按规定监督基金管理人按法律法规和《基金合同》规定履行自己的义务，基金管理人因违反《基金合同》造成基金财产损失时，应为基金份额持有人利益向基金管理人追偿；</w:t>
      </w:r>
    </w:p>
    <w:p w14:paraId="65D0BAF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（21）执行生效的基金份额持有人大会的决议；</w:t>
      </w:r>
    </w:p>
    <w:p w14:paraId="13A25C1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（22）法律法规及中国证监会规定的和《基金合同》约定的其他义务。</w:t>
      </w:r>
    </w:p>
    <w:p w14:paraId="56B4D8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3、基金份额持有人的权利与义务</w:t>
      </w:r>
    </w:p>
    <w:p w14:paraId="72F195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者持有本基金基金份额的行为即视为对《基金合同》的承认和接受，基金投资者自依据《基金合同》取得本基金基金份额，即成为本基金份额持有人和《基金合同》的当事人，直至其不再持有本基金的基金份额。基金份额持有人作为《基金合同》当事人并不以在《基金合同》上书面签章或签字为必要条件。</w:t>
      </w:r>
    </w:p>
    <w:p w14:paraId="3902D2DC" w14:textId="2AA9BA67" w:rsidR="00B164D3" w:rsidRDefault="00B676C2">
      <w:pPr>
        <w:autoSpaceDE w:val="0"/>
        <w:autoSpaceDN w:val="0"/>
        <w:adjustRightInd w:val="0"/>
        <w:snapToGrid w:val="0"/>
        <w:spacing w:line="360" w:lineRule="auto"/>
        <w:ind w:firstLineChars="200" w:firstLine="480"/>
        <w:jc w:val="left"/>
        <w:rPr>
          <w:rFonts w:ascii="宋体" w:hAnsi="宋体"/>
          <w:szCs w:val="24"/>
        </w:rPr>
      </w:pPr>
      <w:r>
        <w:rPr>
          <w:rFonts w:ascii="宋体" w:hAnsi="宋体" w:hint="eastAsia"/>
          <w:sz w:val="24"/>
        </w:rPr>
        <w:lastRenderedPageBreak/>
        <w:t>同一类别的</w:t>
      </w:r>
      <w:r w:rsidR="000605B5">
        <w:rPr>
          <w:rFonts w:ascii="宋体" w:hAnsi="宋体"/>
          <w:sz w:val="24"/>
        </w:rPr>
        <w:t>每份基金份额具有同等的合法权益。</w:t>
      </w:r>
    </w:p>
    <w:p w14:paraId="3C6001F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根据《基金法》、《运作办法》及其他有关规定，基金份额持有人的权利包括但不限于：</w:t>
      </w:r>
    </w:p>
    <w:p w14:paraId="4A39060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（1）分享基金财产收益；</w:t>
      </w:r>
    </w:p>
    <w:p w14:paraId="08A8059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（2）参与分配清算后的剩余基金财产；</w:t>
      </w:r>
    </w:p>
    <w:p w14:paraId="30EB58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（3）依法并按照基金合同和招募说明书的规定转让或者申请赎回其持有的基金份额；</w:t>
      </w:r>
    </w:p>
    <w:p w14:paraId="4FB506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（4）按照规定要求召开基金份额持有人大会或者召集基金份额持有人大会；</w:t>
      </w:r>
    </w:p>
    <w:p w14:paraId="6ED8F4B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（5）出席或者委派代表出席基金份额持有人大会，对基金份额持有人大会审议事项行使表决权；</w:t>
      </w:r>
    </w:p>
    <w:p w14:paraId="1430F92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（6）查阅或者复制公开披露的基金信息资料；</w:t>
      </w:r>
    </w:p>
    <w:p w14:paraId="35D343E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（7）监督基金管理人的投资运作；</w:t>
      </w:r>
    </w:p>
    <w:p w14:paraId="04E1D7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（8）对基金管理人、基金托管人、基金服务机构损害其合法权益的行为依法提起诉讼或仲裁；</w:t>
      </w:r>
    </w:p>
    <w:p w14:paraId="671451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（9）法律法规及中国证监会规定的和《基金合同》约定的其他权利。</w:t>
      </w:r>
    </w:p>
    <w:p w14:paraId="117D7C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根据《基金法》、《运作办法》及其他有关规定，基金份额持有人的义务包括但不限于：</w:t>
      </w:r>
    </w:p>
    <w:p w14:paraId="162DB1C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（1）认真阅读并遵守《基金合同》、招募说明书等信息披露文件；</w:t>
      </w:r>
    </w:p>
    <w:p w14:paraId="72096B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（2）了解所投资基金产品，了解自身风险承受能力，自主判断基金的投资价值，自主做出投资决策，自行承担投资风险；</w:t>
      </w:r>
    </w:p>
    <w:p w14:paraId="6E77330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（3）关注基金信息披露，及时行使权利和履行义务；</w:t>
      </w:r>
    </w:p>
    <w:p w14:paraId="6DEEBA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（4）交纳基金认购、申购款项及法律法规和《基金合同》所规定的费用；</w:t>
      </w:r>
    </w:p>
    <w:p w14:paraId="7A875A9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（5）在其持有的基金份额范围内，承担基金亏损或者《基金合同》终止的有限责任；</w:t>
      </w:r>
    </w:p>
    <w:p w14:paraId="35AB29F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（6）不从事任何有损基金及其他《基金合同》当事人合法权益的活动；</w:t>
      </w:r>
    </w:p>
    <w:p w14:paraId="0276FF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（7）执行生效的基金份额持有人大会的决议；</w:t>
      </w:r>
    </w:p>
    <w:p w14:paraId="2A240A7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（8）返还在基金交易过程中因任何原因获得的不当得利；</w:t>
      </w:r>
    </w:p>
    <w:p w14:paraId="43B14DA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（9）遵守基金管理人、基金托管人、销售机构和登记机构的相关交易及业务规则；</w:t>
      </w:r>
    </w:p>
    <w:p w14:paraId="03FD87F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（10）提供基金管理人和监管机构依法要求提供的信息，以及不时的更新和补</w:t>
      </w:r>
      <w:r>
        <w:rPr>
          <w:rFonts w:ascii="宋体" w:hAnsi="宋体"/>
          <w:sz w:val="24"/>
        </w:rPr>
        <w:lastRenderedPageBreak/>
        <w:t>充，并保证其真实性；</w:t>
      </w:r>
    </w:p>
    <w:p w14:paraId="3054F4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（11）法律法规及中国证监会规定的和《基金合同》约定的其他义务。</w:t>
      </w:r>
    </w:p>
    <w:p w14:paraId="46413F6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（二）基金份额持有人大会召集、议事及表决的程序和规则</w:t>
      </w:r>
    </w:p>
    <w:p w14:paraId="502A63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基金份额持有人大会由基金份额持有人组成，基金份额持有人的合法授权代表有权代表基金份额持有人出席会议并表决。基金份额持有人持有的每一基金份额拥有平等的投票权。</w:t>
      </w:r>
    </w:p>
    <w:p w14:paraId="052BB2D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本基金份额持有人大会不设日常机构。</w:t>
      </w:r>
    </w:p>
    <w:p w14:paraId="7879388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1、召开事由</w:t>
      </w:r>
    </w:p>
    <w:p w14:paraId="5D7B4D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（1）当出现或需要决定下列事由之一的，应当召开基金份额持有人大会，法律法规、基金合同和中国证监会另有规定的除外：</w:t>
      </w:r>
    </w:p>
    <w:p w14:paraId="5E59A8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1）终止《基金合同》；</w:t>
      </w:r>
    </w:p>
    <w:p w14:paraId="3093D8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2）更换基金管理人；</w:t>
      </w:r>
    </w:p>
    <w:p w14:paraId="32E195C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3）更换基金托管人；</w:t>
      </w:r>
    </w:p>
    <w:p w14:paraId="133C9D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4）转换基金运作方式；</w:t>
      </w:r>
    </w:p>
    <w:p w14:paraId="17791B1D" w14:textId="41B4616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5）调整基金管理人、基金托管人的报酬标准</w:t>
      </w:r>
      <w:r w:rsidR="005500CC" w:rsidRPr="00FC73E5">
        <w:rPr>
          <w:rFonts w:hint="eastAsia"/>
          <w:sz w:val="24"/>
        </w:rPr>
        <w:t>或</w:t>
      </w:r>
      <w:r w:rsidR="005500CC">
        <w:rPr>
          <w:rFonts w:hint="eastAsia"/>
          <w:sz w:val="24"/>
        </w:rPr>
        <w:t>提高</w:t>
      </w:r>
      <w:r w:rsidR="005500CC" w:rsidRPr="00FC73E5">
        <w:rPr>
          <w:rFonts w:hint="eastAsia"/>
          <w:sz w:val="24"/>
        </w:rPr>
        <w:t>销售服务费率</w:t>
      </w:r>
      <w:r>
        <w:rPr>
          <w:rFonts w:ascii="宋体" w:hAnsi="宋体"/>
          <w:sz w:val="24"/>
        </w:rPr>
        <w:t>；</w:t>
      </w:r>
    </w:p>
    <w:p w14:paraId="1C11DC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6）变更基金类别；</w:t>
      </w:r>
    </w:p>
    <w:p w14:paraId="743CB18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7）本基金与其他基金的合并；</w:t>
      </w:r>
    </w:p>
    <w:p w14:paraId="5774C1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8）变更基金投资目标、范围或策略；</w:t>
      </w:r>
    </w:p>
    <w:p w14:paraId="352B2E4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9）变更基金份额持有人大会程序；</w:t>
      </w:r>
    </w:p>
    <w:p w14:paraId="549A5E2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10）基金管理人或基金托管人要求召开基金份额持有人大会；</w:t>
      </w:r>
    </w:p>
    <w:p w14:paraId="411B2FF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11）单独或合计持有本基金总份额10%以上（含10%）基金份额的基金份额持有人（以基金管理人收到提议当日的基金份额计算，下同）就同一事项书面要求召开基金份额持有人大会；</w:t>
      </w:r>
    </w:p>
    <w:p w14:paraId="4B0C3E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12）对基金合同当事人权利和义务产生重大影响的其他事项；</w:t>
      </w:r>
    </w:p>
    <w:p w14:paraId="2FC93C1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13）法律法规、《基金合同》或中国证监会规定的其他应当召开基金份额持有人大会的事项。</w:t>
      </w:r>
    </w:p>
    <w:p w14:paraId="5612D1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（2）在法律法规规定和《基金合同》约定的范围内且对基金份额持有人利益无实质性不利影响的前提下，以下情况可由基金管理人和基金托管人协商后修改，不需召开基金份额持有人大会：</w:t>
      </w:r>
    </w:p>
    <w:p w14:paraId="2B0321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1）法律法规要求增加的基金费用的收取；</w:t>
      </w:r>
    </w:p>
    <w:p w14:paraId="322A3B05" w14:textId="5E11CE95"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2）在法律法规和《基金合同》规定的范围内调整本基金的申购费率、调低赎回费率</w:t>
      </w:r>
      <w:r w:rsidR="00FC342D">
        <w:rPr>
          <w:rFonts w:ascii="宋体" w:hAnsi="宋体" w:hint="eastAsia"/>
          <w:sz w:val="24"/>
        </w:rPr>
        <w:t>及销售服务费率</w:t>
      </w:r>
      <w:r>
        <w:rPr>
          <w:rFonts w:ascii="宋体" w:hAnsi="宋体"/>
          <w:sz w:val="24"/>
        </w:rPr>
        <w:t>、在对现有基金份额持有人利益无实质性不利影响的前提下变更收费方式；</w:t>
      </w:r>
    </w:p>
    <w:p w14:paraId="1926F5C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3）因相应的法律法规、登记机构的相关业务规则发生变动而应当对《基金合同》进行修改；</w:t>
      </w:r>
    </w:p>
    <w:p w14:paraId="06AF874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4）对《基金合同》的修改对基金份额持有人利益无实质性不利影响或修改不涉及《基金合同》当事人权利义务关系发生重大变化；</w:t>
      </w:r>
    </w:p>
    <w:p w14:paraId="16E6245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5）在法律法规允许的情况下，且在对现有基金份额持有人利益无实质性不利影响的前提下，基金推出新业务或服务；</w:t>
      </w:r>
    </w:p>
    <w:p w14:paraId="160CB3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6）在符合法律法规及本基金合同规定、并且对基金份额持有人利益无实质不利影响的前提下，调整本基金份额类别的设置；</w:t>
      </w:r>
    </w:p>
    <w:p w14:paraId="0059F6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7）在不违反法律法规及对基金份额持有人利益无实质性不利影响的前提下，基金管理人、登记机构、销售机构调整有关基金认购、申购、赎回、转换、收益分配、非交易过户、转托管等业务的规则；</w:t>
      </w:r>
    </w:p>
    <w:p w14:paraId="16607C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8）按照法律法规和《基金合同》规定不需召开基金份额持有人大会的其他情形。</w:t>
      </w:r>
    </w:p>
    <w:p w14:paraId="0E8639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2、会议召集人及召集方式</w:t>
      </w:r>
    </w:p>
    <w:p w14:paraId="4E6190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（1）除法律法规规定或《基金合同》另有约定外，基金份额持有人大会由基金管理人召集；</w:t>
      </w:r>
    </w:p>
    <w:p w14:paraId="1001F03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（2）基金管理人未按规定召集或不能召集时，由基金托管人召集；</w:t>
      </w:r>
    </w:p>
    <w:p w14:paraId="3569D77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387B7D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w:t>
      </w:r>
      <w:r>
        <w:rPr>
          <w:rFonts w:ascii="宋体" w:hAnsi="宋体"/>
          <w:sz w:val="24"/>
        </w:rPr>
        <w:lastRenderedPageBreak/>
        <w:t>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7478EB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DE2476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（6）基金份额持有人会议的召集人负责选择确定开会时间、地点、方式和权益登记日。</w:t>
      </w:r>
    </w:p>
    <w:p w14:paraId="4CDA2D9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3、召开基金份额持有人大会的通知时间、通知内容、通知方式</w:t>
      </w:r>
    </w:p>
    <w:p w14:paraId="69138D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（1）召开基金份额持有人大会，召集人应于会议召开前30日，在规定媒介公告。基金份额持有人大会通知应至少载明以下内容：</w:t>
      </w:r>
    </w:p>
    <w:p w14:paraId="2E38FDB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1）会议召开的时间、地点和会议形式；</w:t>
      </w:r>
    </w:p>
    <w:p w14:paraId="5B6B15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2）会议拟审议的事项、议事程序和表决方式；</w:t>
      </w:r>
    </w:p>
    <w:p w14:paraId="3621C14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3）有权出席基金份额持有人大会的基金份额持有人的权益登记日；</w:t>
      </w:r>
    </w:p>
    <w:p w14:paraId="4801847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4）授权委托证明的内容要求（包括但不限于代理人身份，代理权限和代理有效期限等）、送达时间和地点；</w:t>
      </w:r>
    </w:p>
    <w:p w14:paraId="7D4456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5）会务常设联系人姓名及联系电话；</w:t>
      </w:r>
    </w:p>
    <w:p w14:paraId="41C684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6）出席会议者必须准备的文件和必须履行的手续；</w:t>
      </w:r>
    </w:p>
    <w:p w14:paraId="77E299B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7）召集人需要通知的其他事项。</w:t>
      </w:r>
    </w:p>
    <w:p w14:paraId="4B3121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D897E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w:t>
      </w:r>
      <w:r>
        <w:rPr>
          <w:rFonts w:ascii="宋体" w:hAnsi="宋体"/>
          <w:sz w:val="24"/>
        </w:rPr>
        <w:lastRenderedPageBreak/>
        <w:t>或基金托管人拒不派代表对表决意见的计票进行监督的，不影响表决意见的计票效力。</w:t>
      </w:r>
    </w:p>
    <w:p w14:paraId="2E48C44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4、基金份额持有人出席会议的方式</w:t>
      </w:r>
    </w:p>
    <w:p w14:paraId="389E8A3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基金份额持有人大会可通过现场开会方式、通讯开会方式或法律法规、监管机构允许的其他方式召开，会议的召开方式由会议召集人确定。</w:t>
      </w:r>
    </w:p>
    <w:p w14:paraId="352969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0C30C9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5C6791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4A20FDD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（2）通讯开会。通讯开会系指基金份额持有人将其对表决事项的投票以会议通知载明的形式或基金合同约定的其他方式在表决截止日以前送达至召集人指定的地址或系统。</w:t>
      </w:r>
    </w:p>
    <w:p w14:paraId="6EB7E7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在同时符合以下条件时，通讯开会的方式视为有效：</w:t>
      </w:r>
    </w:p>
    <w:p w14:paraId="202D2F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1）会议召集人按《基金合同》约定公布会议通知后，在2个工作日内连续公布相关提示性公告；</w:t>
      </w:r>
    </w:p>
    <w:p w14:paraId="0090703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02DE18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3B3188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65266B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23B747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5、议事内容与程序</w:t>
      </w:r>
    </w:p>
    <w:p w14:paraId="4DEFC7F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（1）议事内容及提案权</w:t>
      </w:r>
    </w:p>
    <w:p w14:paraId="02D7BE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议事内容为关系基金份额持有人利益的重大事项，如《基金合同》的重大修改、决定终止《基金合同》、更换基金管理人、更换基金托管人、与其他基金合并（法律法规、基金合同和中国证监会另有规定的除外）、法律法规及《基金合同》规定的其他事项以及会议召集人认为需提交基金份额持有人大会讨论的其他事项。</w:t>
      </w:r>
    </w:p>
    <w:p w14:paraId="29AE58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基金份额持有人大会的召集人发出召集会议的通知后，对原有提案的修改应当在基金份额持有人大会召开前及时公告。</w:t>
      </w:r>
    </w:p>
    <w:p w14:paraId="207A0CF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基金份额持有人大会不得对未事先公告的议事内容进行表决。</w:t>
      </w:r>
    </w:p>
    <w:p w14:paraId="054F72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（2）议事程序</w:t>
      </w:r>
    </w:p>
    <w:p w14:paraId="53F35E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3A892A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在现场开会的方式下，首先由大会主持人按照下列第7条规定程序确定和公布监票人，然后由大会主持人宣读提案，经讨论后进行表决，并形成大会决议。大会</w:t>
      </w:r>
      <w:r>
        <w:rPr>
          <w:rFonts w:ascii="宋体" w:hAnsi="宋体"/>
          <w:sz w:val="24"/>
        </w:rPr>
        <w:lastRenderedPageBreak/>
        <w:t>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或代理人作为该次基金份额持有人大会的主持人。基金管理人和基金托管人拒不出席或主持基金份额持有人大会，不影响基金份额持有人大会作出的决议的效力。</w:t>
      </w:r>
    </w:p>
    <w:p w14:paraId="3B33418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会议召集人应当制作出席会议人员的签名册。签名册载明参加会议人员姓名（或单位名称）、身份证明文件号码、持有或代表有表决权的基金份额、委托人姓名（或单位名称）和联系方式等事项。</w:t>
      </w:r>
    </w:p>
    <w:p w14:paraId="38651EF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1A611A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在通讯开会的情况下，首先由召集人提前30日公布提案，在所通知的表决截止日期后2个工作日内在公证机关监督下由召集人统计全部有效表决，在公证机关监督下形成决议。</w:t>
      </w:r>
    </w:p>
    <w:p w14:paraId="1A3DEDB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6、表决</w:t>
      </w:r>
    </w:p>
    <w:p w14:paraId="54D5E76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基金份额持有人所持每份基金份额有一票表决权。</w:t>
      </w:r>
    </w:p>
    <w:p w14:paraId="2D1AB3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基金份额持有人大会决议分为一般决议和特别决议：</w:t>
      </w:r>
    </w:p>
    <w:p w14:paraId="746917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EBF18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特别决议，特别决议应当经参加大会的基金份额持有人或其代理人所持表决权的三分之二以上（含三分之二）通过方可做出。转换基金运作方式、更换基金管理人或者基金托管人、终止《基金合同》、本基金与其他基金合并（法律法规、《基金合同》和中国证监会另有规定的除外）以特别决议通过方为有效。</w:t>
      </w:r>
    </w:p>
    <w:p w14:paraId="0418E4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基金份额持有人大会采取记名方式进行投票表决。</w:t>
      </w:r>
    </w:p>
    <w:p w14:paraId="4A0C0A1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AEBEF9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基金份额持有人大会的各项提案或同一项提案内并列的各项议题应当分开审议、逐项表决。</w:t>
      </w:r>
    </w:p>
    <w:p w14:paraId="585463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7、计票</w:t>
      </w:r>
    </w:p>
    <w:p w14:paraId="3875580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（1）现场开会</w:t>
      </w:r>
    </w:p>
    <w:p w14:paraId="08BFE66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4F7DF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2）监票人应当在基金份额持有人表决后立即进行清点并由大会主持人当场公布计票结果。</w:t>
      </w:r>
    </w:p>
    <w:p w14:paraId="7447288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8EA2E1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4）计票过程应由公证机关予以公证，基金管理人或基金托管人拒不出席大会的，不影响计票的效力。</w:t>
      </w:r>
    </w:p>
    <w:p w14:paraId="7AF5FB0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（2）通讯开会</w:t>
      </w:r>
    </w:p>
    <w:p w14:paraId="49ACD0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5B580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8、实施侧袋机制期间基金份额持有人大会的特殊约定</w:t>
      </w:r>
    </w:p>
    <w:p w14:paraId="1F06CE3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321736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（1）基金份额持有人行使提议权、召集权、提名权所需单独或合计代表相关基金份额10%以上（含10%）；</w:t>
      </w:r>
    </w:p>
    <w:p w14:paraId="155476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（2）现场开会的到会者在权益登记日代表的基金份额不少于本基金在权益登记日相关基金份额的二分之一（含二分之一）；</w:t>
      </w:r>
    </w:p>
    <w:p w14:paraId="644A6F6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（3）通讯开会的直接出具表决意见或授权他人代表出具表决意见的基金份额持有人所持有的基金份额不小于在权益登记日相关基金份额的二分之一（含二分之一）；</w:t>
      </w:r>
    </w:p>
    <w:p w14:paraId="16A105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A584C3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（5）现场开会由出席大会的基金份额持有人和代理人所持表决权的50%以上（含50%）选举产生一名基金份额持有人或代理人作为该次基金份额持有人大会的主持人；</w:t>
      </w:r>
    </w:p>
    <w:p w14:paraId="68704B4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（6）一般决议须经参加大会的基金份额持有人或其代理人所持表决权的二分之一以上（含二分之一）通过；</w:t>
      </w:r>
    </w:p>
    <w:p w14:paraId="3705655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（7）特别决议应当经参加大会的基金份额持有人或其代理人所持表决权的三分之二以上（含三分之二）通过。</w:t>
      </w:r>
    </w:p>
    <w:p w14:paraId="650EC1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同一主侧袋账户内的每份基金份额具有平等的表决权。</w:t>
      </w:r>
    </w:p>
    <w:p w14:paraId="0219C3D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9、生效与公告</w:t>
      </w:r>
    </w:p>
    <w:p w14:paraId="317B036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基金份额持有人大会的决议，召集人应当自通过之日起5日内报中国证监会备案。</w:t>
      </w:r>
    </w:p>
    <w:p w14:paraId="573E0F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基金份额持有人大会的决议自表决通过之日起生效。法律法规另有规定的，从其规定。</w:t>
      </w:r>
    </w:p>
    <w:p w14:paraId="02F6374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3AB3E8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基金管理人、基金托管人和基金份额持有人应当执行生效的基金份额持有人大会的决议。生效的基金份额持有人大会决议对全体基金份额持有人、基金管理人、基金托管人均有约束力。</w:t>
      </w:r>
    </w:p>
    <w:p w14:paraId="22DFCF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本部分对基金份额持有人大会召开事由、召开条件、议事程序、表决条件等规定，凡是直接引用法律法规的部分，如将来法律法规修改导致相关内容被取消或变更的，基金管理人经与基金托管人协商一致并提前公告后，可直接对本部分内</w:t>
      </w:r>
      <w:r>
        <w:rPr>
          <w:rFonts w:ascii="宋体" w:hAnsi="宋体"/>
          <w:sz w:val="24"/>
        </w:rPr>
        <w:lastRenderedPageBreak/>
        <w:t>容进行修改和调整，无需召开基金份额持有人大会审议。</w:t>
      </w:r>
    </w:p>
    <w:p w14:paraId="7F39DC4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（三）基金合同解除和终止的事由、程序</w:t>
      </w:r>
    </w:p>
    <w:p w14:paraId="69C41CF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1、《基金合同》的变更</w:t>
      </w:r>
    </w:p>
    <w:p w14:paraId="2398A1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184F0E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（2）关于《基金合同》变更的基金份额持有人大会决议自生效后方可执行，自决议生效后依照《信息披露办法》的规定在规定媒介公告。</w:t>
      </w:r>
    </w:p>
    <w:p w14:paraId="541B5C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2、《基金合同》的终止事由</w:t>
      </w:r>
    </w:p>
    <w:p w14:paraId="38B217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有下列情形之一的，经履行相关程序后，《基金合同》应当终止：</w:t>
      </w:r>
    </w:p>
    <w:p w14:paraId="233B5AB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（1）基金份额持有人大会决定终止的；</w:t>
      </w:r>
    </w:p>
    <w:p w14:paraId="37131B0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（2）基金管理人、基金托管人职责终止，在6个月内没有新基金管理人、新基金托管人承接的；</w:t>
      </w:r>
    </w:p>
    <w:p w14:paraId="7301D1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（3）连续50个工作日出现基金份额持有人数量不满200人或者基金资产净值低于5000万元情形的，基金管理人提前终止《基金合同》，不需召开基金份额持有人大会；</w:t>
      </w:r>
    </w:p>
    <w:p w14:paraId="27C9982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（4）《基金合同》约定的其他情形；</w:t>
      </w:r>
    </w:p>
    <w:p w14:paraId="7BDDFE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（5）相关法律法规和中国证监会规定的其他情况。</w:t>
      </w:r>
    </w:p>
    <w:p w14:paraId="0E76B7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3、基金财产的清算</w:t>
      </w:r>
    </w:p>
    <w:p w14:paraId="7B574A5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5ECC1F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57EFFC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2CA8BF2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60BA1F5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1）《基金合同》终止情形出现时，由基金财产清算小组统一接管基金；</w:t>
      </w:r>
    </w:p>
    <w:p w14:paraId="5F516D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2）对基金财产和债权债务进行清理和确认；</w:t>
      </w:r>
    </w:p>
    <w:p w14:paraId="51E49A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3）对基金财产进行估值和变现；</w:t>
      </w:r>
    </w:p>
    <w:p w14:paraId="4A02709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4）制作清算报告；</w:t>
      </w:r>
    </w:p>
    <w:p w14:paraId="5AA75C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5）聘请会计师事务所对清算报告进行外部审计，聘请律师事务所对清算报告出具法律意见书；</w:t>
      </w:r>
    </w:p>
    <w:p w14:paraId="618AF0F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6）将清算报告报中国证监会备案并公告；</w:t>
      </w:r>
    </w:p>
    <w:p w14:paraId="2A4A4A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7）对基金剩余财产进行分配。</w:t>
      </w:r>
    </w:p>
    <w:p w14:paraId="7F22BB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（5）基金财产清算的期限为6个月，但因本基金所持证券的流动性受到限制而不能及时变现的，清算期限相应顺延。</w:t>
      </w:r>
    </w:p>
    <w:p w14:paraId="72918A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4、清算费用</w:t>
      </w:r>
    </w:p>
    <w:p w14:paraId="5486005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3C7A97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5、基金财产清算剩余资产的分配</w:t>
      </w:r>
    </w:p>
    <w:p w14:paraId="0DBC823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13DB240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6、基金财产清算的公告</w:t>
      </w:r>
    </w:p>
    <w:p w14:paraId="59013F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FFCB52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7、基金财产清算账册及文件的保存</w:t>
      </w:r>
    </w:p>
    <w:p w14:paraId="3CBEF3F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14:paraId="04A1E6D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（四）争议解决方式</w:t>
      </w:r>
    </w:p>
    <w:p w14:paraId="5221314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各方当事人均有约束力，除非仲裁裁决另有规</w:t>
      </w:r>
      <w:r>
        <w:rPr>
          <w:rFonts w:ascii="宋体" w:hAnsi="宋体"/>
          <w:sz w:val="24"/>
        </w:rPr>
        <w:lastRenderedPageBreak/>
        <w:t>定，仲裁费由败诉方承担。</w:t>
      </w:r>
    </w:p>
    <w:p w14:paraId="5E6C379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争议处理期间，基金合同当事人应恪守各自的职责，继续忠实、勤勉、尽责地履行基金合同规定的义务，维护基金份额持有人的合法权益。</w:t>
      </w:r>
    </w:p>
    <w:p w14:paraId="789DDB5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《基金合同》受中国法律（不含港澳台地区法律）管辖。</w:t>
      </w:r>
    </w:p>
    <w:p w14:paraId="5AF5AFD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（五）基金合同存放地和投资者取得基金合同的方式</w:t>
      </w:r>
    </w:p>
    <w:p w14:paraId="1E67AD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《基金合同》正本一式三份，除上报有关监管机构一式一份外，基金管理人、基金托管人各持有一份，每份具有同等的法律效力。</w:t>
      </w:r>
    </w:p>
    <w:p w14:paraId="0A719B1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《基金合同》可印制成册，供投资者在基金管理人、基金托管人、销售机构的办公场所和营业场所查阅，但应以《基金合同》正本为准。</w:t>
      </w:r>
    </w:p>
    <w:p w14:paraId="43580CA3"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3E99B0A" w14:textId="77777777" w:rsidR="00B164D3" w:rsidRDefault="000605B5">
      <w:pPr>
        <w:pStyle w:val="1"/>
        <w:snapToGrid w:val="0"/>
        <w:spacing w:beforeLines="0" w:before="240" w:after="240"/>
        <w:rPr>
          <w:rFonts w:ascii="宋体" w:hAnsi="宋体"/>
          <w:szCs w:val="30"/>
        </w:rPr>
      </w:pPr>
      <w:bookmarkStart w:id="24" w:name="_Toc85115636"/>
      <w:r>
        <w:rPr>
          <w:rFonts w:ascii="Times New Roman" w:hAnsi="Times New Roman"/>
          <w:sz w:val="30"/>
        </w:rPr>
        <w:lastRenderedPageBreak/>
        <w:t>二十一、托管协议的内容摘要</w:t>
      </w:r>
      <w:bookmarkEnd w:id="24"/>
    </w:p>
    <w:p w14:paraId="53ED8F9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（一）托管协议当事人</w:t>
      </w:r>
    </w:p>
    <w:p w14:paraId="5BAAA69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w:t>
      </w:r>
    </w:p>
    <w:p w14:paraId="3CC4D5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名称：交银施罗德基金管理有限公司</w:t>
      </w:r>
    </w:p>
    <w:p w14:paraId="66330A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注册地址：中国（上海）自由贸易试验区银城中路188号交通银行大楼二层（裙）</w:t>
      </w:r>
    </w:p>
    <w:p w14:paraId="4F2C39F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办公地址：上海市浦东新区世纪大道8号国金中心二期21-22楼</w:t>
      </w:r>
    </w:p>
    <w:p w14:paraId="6EB904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邮政编码：200120</w:t>
      </w:r>
    </w:p>
    <w:p w14:paraId="4ADE98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法定代表人：阮红</w:t>
      </w:r>
    </w:p>
    <w:p w14:paraId="589813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成立日期：2005年8月4日</w:t>
      </w:r>
    </w:p>
    <w:p w14:paraId="5D41AB8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批准设立机关及批准设立文号：中国证监会证监基金字[2005]128号</w:t>
      </w:r>
    </w:p>
    <w:p w14:paraId="3B5DAB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组织形式：有限责任公司</w:t>
      </w:r>
    </w:p>
    <w:p w14:paraId="139521A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注册资本：2亿元人民币</w:t>
      </w:r>
    </w:p>
    <w:p w14:paraId="5B37F9E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0D79DE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经营范围：基金募集、基金销售、资产管理和中国证监会许可的其它业务。</w:t>
      </w:r>
    </w:p>
    <w:p w14:paraId="1764D21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w:t>
      </w:r>
    </w:p>
    <w:p w14:paraId="11DD57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名称：中信银行股份有限公司</w:t>
      </w:r>
    </w:p>
    <w:p w14:paraId="7364A0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住所：北京市朝阳区光华路10号院1号楼</w:t>
      </w:r>
    </w:p>
    <w:p w14:paraId="767A8096" w14:textId="680D0638"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法定代表人：</w:t>
      </w:r>
      <w:r w:rsidR="006021E3" w:rsidRPr="00AB4973">
        <w:rPr>
          <w:rFonts w:ascii="宋体" w:hAnsi="宋体" w:hint="eastAsia"/>
          <w:color w:val="0D0D0D"/>
          <w:sz w:val="24"/>
          <w:szCs w:val="24"/>
        </w:rPr>
        <w:t>朱鹤新</w:t>
      </w:r>
    </w:p>
    <w:p w14:paraId="54A3F4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成立时间：1987年4月20日</w:t>
      </w:r>
    </w:p>
    <w:p w14:paraId="30EF5AC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批准设立文号：中华人民共和国国务院办公厅国办函[1987]14号</w:t>
      </w:r>
    </w:p>
    <w:p w14:paraId="6979953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基金托管业务批准文号：中国证监会证监基金字[2004]125号</w:t>
      </w:r>
    </w:p>
    <w:p w14:paraId="785F8A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组织形式：股份有限公司</w:t>
      </w:r>
    </w:p>
    <w:p w14:paraId="045A9A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注册资本：489.35亿元人民币</w:t>
      </w:r>
    </w:p>
    <w:p w14:paraId="22EDB2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存续期间：持续经营</w:t>
      </w:r>
    </w:p>
    <w:p w14:paraId="13EB5A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w:t>
      </w:r>
      <w:r>
        <w:rPr>
          <w:rFonts w:ascii="宋体" w:hAnsi="宋体"/>
          <w:sz w:val="24"/>
        </w:rPr>
        <w:lastRenderedPageBreak/>
        <w:t>售汇业务；代理开放式基金业务；办理黄金业务；黄金进出口；开展证券投资基金、企业年金基金、保险资金、合格境外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46EF6250"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（二）基金托管人对基金管理人的业务监督和核查</w:t>
      </w:r>
    </w:p>
    <w:p w14:paraId="689B7B7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1、基金托管人对基金管理人的投资行为行使监督权</w:t>
      </w:r>
    </w:p>
    <w:p w14:paraId="2FDC6D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（1）基金托管人根据有关法律法规的规定和基金合同的约定，对下述基金投资范围、投资对象进行监督。本基金将投资于以下金融工具：</w:t>
      </w:r>
    </w:p>
    <w:p w14:paraId="365C0F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的投资范围为具有良好流动性的金融工具，包括国内依法发行上市的股票（含中小板、创业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04D814B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如法律法规或监管机构以后允许基金投资其他品种，基金管理人在履行适当程序后，可以将其纳入投资范围。</w:t>
      </w:r>
    </w:p>
    <w:p w14:paraId="709F0B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的投资组合比例为：股票投资（含存托凭证）占基金资产的比例为0%-45%（其中投资于港股通标的股票的比例占股票资产的0%-50%），同业存单投资占基金资产的比例不超过20%；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2081F8A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如果法律法规或中国证监会变更投资品种的投资比例限制，基金管理人在履行适当程序后，可以调整上述投资品种的投资比例。</w:t>
      </w:r>
    </w:p>
    <w:p w14:paraId="352D94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（2）基金托管人根据有关法律法规的规定及基金合同的约定对下述基金投融资比例进行监督：</w:t>
      </w:r>
    </w:p>
    <w:p w14:paraId="30ACD76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1）股票投资（含存托凭证）占基金资产的比例为0%-45%（其中投资于港股通标的股票的比例占股票资产的0%-50%），同业存单投资占基金资产的比例不超过</w:t>
      </w:r>
      <w:r>
        <w:rPr>
          <w:rFonts w:ascii="宋体" w:hAnsi="宋体"/>
          <w:sz w:val="24"/>
        </w:rPr>
        <w:lastRenderedPageBreak/>
        <w:t>20%；</w:t>
      </w:r>
    </w:p>
    <w:p w14:paraId="71CFA9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每个交易日日终在扣除股指期货合约需缴纳的交易保证金后，本基金持有的现金或者到期日在一年以内的政府债券的投资比例合计不低于基金资产净值的5%，其中现金不包括结算备付金、存出保证金和应收申购款等；</w:t>
      </w:r>
    </w:p>
    <w:p w14:paraId="46968CB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3）本基金持有一家公司发行的证券（同一家公司在内地和香港同时上市的A+H 股合计计算），其市值不超过基金资产净值的10％；</w:t>
      </w:r>
    </w:p>
    <w:p w14:paraId="18A0BB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4）本基金管理人管理的全部基金持有一家公司发行的证券（同一家公司在内地和香港同时上市的A+H 股合计计算），不超过该证券的10％，完全按照有关指数的构成比例进行证券投资的基金品种可以不受此条款规定的比例限制；</w:t>
      </w:r>
    </w:p>
    <w:p w14:paraId="695226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5）本基金投资于同一原始权益人的各类资产支持证券的比例，不得超过基金资产净值的10％；</w:t>
      </w:r>
    </w:p>
    <w:p w14:paraId="0F972ED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6）本基金持有的全部资产支持证券，其市值不得超过基金资产净值的20％；</w:t>
      </w:r>
    </w:p>
    <w:p w14:paraId="35EC61D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7）本基金持有的同一（指同一信用级别）资产支持证券的比例，不得超过该资产支持证券规模的10％；</w:t>
      </w:r>
    </w:p>
    <w:p w14:paraId="487170D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8）本基金管理人管理的全部基金投资于同一原始权益人的各类资产支持证券，不得超过其各类资产支持证券合计规模的10％；</w:t>
      </w:r>
    </w:p>
    <w:p w14:paraId="43036AE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75292EF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10）基金财产参与股票发行申购，本基金所申报的金额不超过本基金的总资产，本基金所申报的股票数量不超过拟发行股票公司本次发行股票的总量；</w:t>
      </w:r>
    </w:p>
    <w:p w14:paraId="47FB3D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11）本基金进入全国银行间同业市场进行债券回购的资金余额不得超过基金资产净值的40%，进入全国银行间同业市场进行债券回购的最长期限为1年，债券回购到期后不得展期；</w:t>
      </w:r>
    </w:p>
    <w:p w14:paraId="0C6C8E9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12）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BA61C5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13）本基金主动投资于流动性受限资产的市值合计不得超过基金资产净值的</w:t>
      </w:r>
      <w:r>
        <w:rPr>
          <w:rFonts w:ascii="宋体" w:hAnsi="宋体"/>
          <w:sz w:val="24"/>
        </w:rPr>
        <w:lastRenderedPageBreak/>
        <w:t>15%；因证券市场波动、上市公司股票停牌、基金规模变动等基金管理人之外的因素致使基金不符合该比例限制的，基金管理人不得主动新增流动性受限资产的投资；</w:t>
      </w:r>
    </w:p>
    <w:p w14:paraId="6E9A94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14）本基金与私募类证券资管产品及中国证监会认定的其他主体为交易对手开展逆回购交易的，可接受质押品的资质要求应当与基金合同约定的投资范围保持一致；</w:t>
      </w:r>
    </w:p>
    <w:p w14:paraId="3B2F352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15）本基金参与股指期货交易，则：</w:t>
      </w:r>
    </w:p>
    <w:p w14:paraId="1D17F9D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a．本基金在任何交易日日终，持有的买入股指期货合约价值，不得超过基金资产净值的10%；</w:t>
      </w:r>
    </w:p>
    <w:p w14:paraId="3BD91FB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b.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13A2DB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c.本基金在任何交易日日终，持有的卖出股指期货合约价值不得超过基金持有的股票总市值的20%；</w:t>
      </w:r>
    </w:p>
    <w:p w14:paraId="69DA91F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d．本基金所持有的股票市值和买入、卖出股指期货合约价值，合计（轧差计算）应当符合基金合同关于股票投资比例的有关约定；</w:t>
      </w:r>
    </w:p>
    <w:p w14:paraId="011DBBC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e.本基金在任何交易日内交易（不包括平仓）的股指期货合约的成交金额不得超过上一交易日基金资产净值的20%；</w:t>
      </w:r>
    </w:p>
    <w:p w14:paraId="6CB939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16）本基金投资可转换债券、可交换公司债券的比例合计不超过基金资产的20%；</w:t>
      </w:r>
    </w:p>
    <w:p w14:paraId="18E5814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17）本基金资产总值不超过基金资产净值的140%；</w:t>
      </w:r>
    </w:p>
    <w:p w14:paraId="379D5C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18）本基金投资存托凭证的比例限制依照境内上市交易的股票执行；</w:t>
      </w:r>
    </w:p>
    <w:p w14:paraId="2AEFC7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19）法律法规及中国证监会规定的和《基金合同》约定的其他投资限制。</w:t>
      </w:r>
    </w:p>
    <w:p w14:paraId="4BC23D7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5BC15A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基金管理人应当自基金合同生效之日起6个月内使基金的投资组合比例符合基金合同的有关约定。在上述期间内，本基金的投资范围、投资策略应当符合基金合</w:t>
      </w:r>
      <w:r>
        <w:rPr>
          <w:rFonts w:ascii="宋体" w:hAnsi="宋体"/>
          <w:sz w:val="24"/>
        </w:rPr>
        <w:lastRenderedPageBreak/>
        <w:t>同的约定。基金托管人对基金的投资的监督与检查自基金合同生效之日起开始。</w:t>
      </w:r>
    </w:p>
    <w:p w14:paraId="4B96ABD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法律法规对上述投资组合比例限制进行变更的，以变更后的规定为准。法律法规或监管部门取消上述限制，如适用于本基金，基金管理人在履行适当程序后，则本基金投资不再受相关限制。</w:t>
      </w:r>
    </w:p>
    <w:p w14:paraId="6E4A1A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（3）基金托管人根据有关法律法规的规定及基金合同的约定对下述基金投资禁止行为进行监督：</w:t>
      </w:r>
    </w:p>
    <w:p w14:paraId="2BF365A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为维护基金份额持有人的合法权益，基金财产不得用于下列投资或者活动：</w:t>
      </w:r>
    </w:p>
    <w:p w14:paraId="338F3A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1）承销证券；</w:t>
      </w:r>
    </w:p>
    <w:p w14:paraId="18D30F6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2）违反规定向他人贷款或者提供担保；</w:t>
      </w:r>
    </w:p>
    <w:p w14:paraId="74029C5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3）从事承担无限责任的投资；</w:t>
      </w:r>
    </w:p>
    <w:p w14:paraId="233478B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4）买卖其他基金份额，但是中国证监会另有规定的除外；</w:t>
      </w:r>
    </w:p>
    <w:p w14:paraId="2F08E14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5）向其基金管理人、基金托管人出资；</w:t>
      </w:r>
    </w:p>
    <w:p w14:paraId="02B7028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6）从事内幕交易、操纵证券交易价格及其他不正当的证券交易活动；</w:t>
      </w:r>
    </w:p>
    <w:p w14:paraId="41E82B6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7）法律、行政法规和中国证监会规定禁止的其他活动。</w:t>
      </w:r>
    </w:p>
    <w:p w14:paraId="02D55FF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4ECF5FE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（4）基金托管人依据有关法律法规的规定和基金合同的约定对于基金关联投资进行监督。</w:t>
      </w:r>
    </w:p>
    <w:p w14:paraId="049EB3E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76787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如法律、行政法规或监管部门取消上述规定，如适用于本基金，基金管理人在履行适当程序后，本基金可不受上述规定的限制。</w:t>
      </w:r>
    </w:p>
    <w:p w14:paraId="39C5D4E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法律法规有关基金从事的关联交易的规定，基金管理人和基金托管人应事先相互提供与本机构有控股关系的股东或与本机构有其他重大利害关系的公司名单及有关关联方发行的证券名单及其更新，加盖公章并书面提交，并确保所提供名单</w:t>
      </w:r>
      <w:r>
        <w:rPr>
          <w:rFonts w:ascii="宋体" w:hAnsi="宋体"/>
          <w:sz w:val="24"/>
        </w:rPr>
        <w:lastRenderedPageBreak/>
        <w:t>的真实性、完整性、全面性。基金管理人或基金托管人在名单变更后应及时发送对方，收到方于2个工作日内进行回函确认已知名单的变更。名单变更时间以收到方回函确认的时间为准。如果基金托管人在运作中严格遵循了监督流程，基金管理人仍违规进行交易，并造成基金资产损失的，由基金管理人承担责任，基金托管人不承担任何损失和责任。</w:t>
      </w:r>
    </w:p>
    <w:p w14:paraId="75864E0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相关交易必须事先得到基金托管人的同意，若基金托管人发现基金管理人与关联方进行违反法律法规规定的关联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3C6B684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（5）基金托管人依据有关法律法规的规定和基金合同的约定对基金管理人参与银行间债券市场进行监督。</w:t>
      </w:r>
    </w:p>
    <w:p w14:paraId="7F8B9B6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1）基金托管人依据有关法律法规的规定和基金合同的约定对于基金管理人参与银行间债券市场交易时面临的交易对手资信风险进行监督。</w:t>
      </w:r>
    </w:p>
    <w:p w14:paraId="29D54F5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在基金投资运作之前向基金托管人提供符合法律法规及行业标准的银行间债券市场交易对手的名单。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77520BA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21951AD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有责任控制交易对手的资信风险，按银行间债券市场的交易规则进行交易。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7032C3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（6）基金托管人对基金投资流通受限证券的监督</w:t>
      </w:r>
    </w:p>
    <w:p w14:paraId="6683F8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流通受限证券，应遵守有关法律法规规定。流通受限证券包括由《上市公司证券发行管理办法》规范的在发行时明确一定期限锁定期的可交易证券，不包括由于发布重大消息或其他原因而临时停牌的证券、已发行未上市证券、回购交易中的质押券等流通受限证券。</w:t>
      </w:r>
    </w:p>
    <w:p w14:paraId="6FE898C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14:paraId="493B165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7AD5CD9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773E0C7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并报告中国证监会。因拒绝执行该指令造成基金财产损失的，基金托管人不承担任何责任，但基金托管人未经提前告知基金管理人于合理时间内提供说明的除外。</w:t>
      </w:r>
    </w:p>
    <w:p w14:paraId="227080E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如基金管理人和基金托管人无法达成一致，应及时上报中国证监会请求解决。</w:t>
      </w:r>
    </w:p>
    <w:p w14:paraId="510DF1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（7）基金托管人根据有关法律法规的规定及基金合同的约定，对基金管理人选择存款银行进行监督。</w:t>
      </w:r>
    </w:p>
    <w:p w14:paraId="1F00A9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777336F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本基金投资银行存款应符合如下规定：</w:t>
      </w:r>
    </w:p>
    <w:p w14:paraId="1A0F922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1）基金管理人、基金托管人应当与存款银行建立定期对账机制，确保基金银行存款业务账目及核算的真实、准确。</w:t>
      </w:r>
    </w:p>
    <w:p w14:paraId="6267548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2）基金托管人应加强对基金银行存款业务的监督与核查，严格审查、复核相</w:t>
      </w:r>
      <w:r>
        <w:rPr>
          <w:rFonts w:ascii="宋体" w:hAnsi="宋体"/>
          <w:sz w:val="24"/>
        </w:rPr>
        <w:lastRenderedPageBreak/>
        <w:t>关协议、账户资料、投资指令、存款证实书等有关文件，切实履行托管职责。</w:t>
      </w:r>
    </w:p>
    <w:p w14:paraId="3123E31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3）基金管理人与基金托管人在开展基金存款业务时，应严格遵守《基金法》、《运作办法》等有关法律法规，以及国家有关账户管理、利率管理、支付结算等的各项规定。</w:t>
      </w:r>
    </w:p>
    <w:p w14:paraId="48CBCDD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对基金管理人选择存款银行的监督应依据基金管理人向基金托管人提供的符合条件的存款银行的名单执行，如基金托管人发现基金管理人将基金资产投资于该名单之外的存款银行，有权拒绝执行。该名单如有变更，基金管理人应在启用新名单前提前及时将新名单发送给基金托管人。</w:t>
      </w:r>
    </w:p>
    <w:p w14:paraId="4DA45479" w14:textId="2723531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2、基金托管人应根据有关法律法规的规定及基金合同的约定，对基金资产净值计算、</w:t>
      </w:r>
      <w:r w:rsidR="00B01A81" w:rsidRPr="00B01A81">
        <w:rPr>
          <w:rFonts w:ascii="宋体" w:hAnsi="宋体" w:hint="eastAsia"/>
          <w:sz w:val="24"/>
        </w:rPr>
        <w:t>各类</w:t>
      </w:r>
      <w:r>
        <w:rPr>
          <w:rFonts w:ascii="宋体" w:hAnsi="宋体"/>
          <w:sz w:val="24"/>
        </w:rPr>
        <w:t>基金份额净值计算、应收资金到账、基金费用开支及收入确定、基金收益分配、相关信息披露、基金宣传推介材料中登载基金业绩表现数据等进行监督和核查。</w:t>
      </w:r>
    </w:p>
    <w:p w14:paraId="3449759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0131986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在限期内，基金托管人有权随时对通知事项进行复查，督促基金管理人改正。基金管理人对基金托管人通知的违规事项未能在限期内纠正的，基金托管人应报告中国证监会。</w:t>
      </w:r>
    </w:p>
    <w:p w14:paraId="66AF3EE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基金托管人发现基金管理人的投资指令违反关法律法规规定或者违反基金合同约定的，应当拒绝执行，立即通知基金管理人。</w:t>
      </w:r>
    </w:p>
    <w:p w14:paraId="6C0D7F0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5CCE598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734D55C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基金托管人发现基金管理人有重大违规行为，应立即报告中国证监会，同时通知基金管理人限期纠正。</w:t>
      </w:r>
    </w:p>
    <w:p w14:paraId="78E1776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7CAFAEC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遵守中华人民共和国反洗钱法律法规，不参与涉嫌洗钱、恐怖融资、扩散融资等违法犯罪活动；主动配合基金托管人客户身份识别与尽职调查，提供真实、准确、完整客户资料，遵守反洗钱与反恐怖融资相关管理规定。对具备合理理由怀疑涉嫌洗钱、恐怖融资的客户，基金托管人将按照中国人民银行反洗钱监管规定采取必要管控措施。</w:t>
      </w:r>
    </w:p>
    <w:p w14:paraId="7AD0A67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（三）基金管理人对基金托管人的业务核查</w:t>
      </w:r>
    </w:p>
    <w:p w14:paraId="318FEB0B" w14:textId="6B3A485E"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基金管理人对基金托管人履行托管职责情况进行核查，核查事项包括但不限于基金托管人安全保管基金财产、开设基金财产的资金账户和证券账户等投资所需账户、复核基金管理人计算的基金资产净值和</w:t>
      </w:r>
      <w:r w:rsidR="00775E1E" w:rsidRPr="00F42D8B">
        <w:rPr>
          <w:rFonts w:ascii="宋体" w:hAnsi="宋体" w:hint="eastAsia"/>
          <w:color w:val="0D0D0D"/>
          <w:sz w:val="24"/>
          <w:szCs w:val="24"/>
        </w:rPr>
        <w:t>各类</w:t>
      </w:r>
      <w:r>
        <w:rPr>
          <w:rFonts w:ascii="宋体" w:hAnsi="宋体"/>
          <w:sz w:val="24"/>
        </w:rPr>
        <w:t>基金份额净值、根据基金管理人指令办理清算交收、相关信息披露和监督基金投资运作等行为。</w:t>
      </w:r>
    </w:p>
    <w:p w14:paraId="7938D28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擅自挪用基金财产、未对基金财产实行分账管理、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基金管理人因此所遭受的损失。</w:t>
      </w:r>
    </w:p>
    <w:p w14:paraId="13F21EA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基金管理人发现基金托管人有重大违规行为，应立即报告中国证监会和银行业监督管理机构，同时通知基金托管人限期纠正。</w:t>
      </w:r>
    </w:p>
    <w:p w14:paraId="4A8DAAF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基金托管人应积极配合基金管理人的核查行为，包括但不限于：提交相关资料以供基金管理人核查托管财产的完整性和真实性，在规定时间内答复基金管理人并改正。</w:t>
      </w:r>
    </w:p>
    <w:p w14:paraId="37E5244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6CAD30AC"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（四）基金财产保管</w:t>
      </w:r>
    </w:p>
    <w:p w14:paraId="4B312CD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1、基金财产保管的原则</w:t>
      </w:r>
    </w:p>
    <w:p w14:paraId="3893408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（1）基金财产应独立于基金管理人、基金托管人的固有财产。</w:t>
      </w:r>
    </w:p>
    <w:p w14:paraId="04203D6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（2）基金托管人应安全保管基金财产。除依据法律法规规定、基金合同和本托管协议约定及基金管理人的正当指令外，不得自行运用、处分、分配基金的任何财产。</w:t>
      </w:r>
    </w:p>
    <w:p w14:paraId="63DFC27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（3）基金托管人按照规定开设基金财产的资金账户和证券账户等投资所需账户。</w:t>
      </w:r>
    </w:p>
    <w:p w14:paraId="1A348F0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（4）基金托管人对所托管的不同基金财产分别设置账户，与基金托管人的其他业务和其他基金的托管业务实行严格的分账管理，确保基金财产的完整与独立。</w:t>
      </w:r>
    </w:p>
    <w:p w14:paraId="6D60993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（5）基金托管人根据基金管理人的指令，按照基金合同和本协议的约定保管基金财产，如有特殊情况双方可另行协商解决。</w:t>
      </w:r>
    </w:p>
    <w:p w14:paraId="2DE20B3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（6）除依据法律法规和基金合同的规定外，基金托管人不得委托第三人托管基金资产。</w:t>
      </w:r>
    </w:p>
    <w:p w14:paraId="53D47D1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2、募集资金的验资</w:t>
      </w:r>
    </w:p>
    <w:p w14:paraId="19CED1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基金募集期间募集认购款项应存于基金认购专用账户，该账户由基金管理人或基金管理人委托的登记机构开立并管理。</w:t>
      </w:r>
    </w:p>
    <w:p w14:paraId="2E41BA1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14:paraId="2A8DDDA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若基金募集期限届满，未能达到基金备案条件，由基金管理人按规定办理退款事宜，基金托管人应提供充分协助。</w:t>
      </w:r>
    </w:p>
    <w:p w14:paraId="1F7C1C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3、基金的银行账户的开立和管理</w:t>
      </w:r>
    </w:p>
    <w:p w14:paraId="7770016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（1）基金托管人以本基金的名义在其营业机构开立基金的银行账户，并根据基金管理人合法合规的指令办理资金收付。本基金的银行预留印鉴由基金托管人刻制、保管和使用。</w:t>
      </w:r>
    </w:p>
    <w:p w14:paraId="1EF2A5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（2）基金银行账户的开立和使用，限于满足开展本基金业务的需要。基金托管人和基金管理人不得假借本基金的名义开立任何其他银行账户；亦不得使用本基</w:t>
      </w:r>
      <w:r>
        <w:rPr>
          <w:rFonts w:ascii="宋体" w:hAnsi="宋体"/>
          <w:sz w:val="24"/>
        </w:rPr>
        <w:lastRenderedPageBreak/>
        <w:t>金的任何账户进行本基金业务以外的活动。</w:t>
      </w:r>
    </w:p>
    <w:p w14:paraId="5DCFC4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（3）基金银行账户的开立和管理应符合有关法律法规以及银行业监督管理机构的有关规定。</w:t>
      </w:r>
    </w:p>
    <w:p w14:paraId="06B235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4、基金证券账户与证券交易资金账户的开设和管理</w:t>
      </w:r>
    </w:p>
    <w:p w14:paraId="7DB0938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基金托管人以基金托管人和本基金联名的方式在中国证券登记结算有限责任公司上海分公司/深圳分公司开设证券账户。</w:t>
      </w:r>
    </w:p>
    <w:p w14:paraId="7A19DC9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基金托管人以基金托管人的名义在中国证券登记结算有限责任公司上海分公司/深圳分公司开立基金证券交易资金账户，用于证券清算。</w:t>
      </w:r>
    </w:p>
    <w:p w14:paraId="4D2F9E3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36D4667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5、债券托管账户的开立和管理</w:t>
      </w:r>
    </w:p>
    <w:p w14:paraId="0D6C951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由基金托管人负责本基金的债券的后台匹配及资金的清算。</w:t>
      </w:r>
    </w:p>
    <w:p w14:paraId="19A0585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（2）基金管理人和基金托管人应一起负责为本基金对外签订全国银行间国债市场回购主协议，正本由基金托管人保管，基金管理人保存副本。</w:t>
      </w:r>
    </w:p>
    <w:p w14:paraId="376ACCC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6、其他账户的开设和管理</w:t>
      </w:r>
    </w:p>
    <w:p w14:paraId="173F358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EF5553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7、基金财产投资的有关实物证券、银行定期存款存单等有价凭证的保管</w:t>
      </w:r>
    </w:p>
    <w:p w14:paraId="54D2B1F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投资的有关实物证券由基金托管人存放于基金托管人的保管库；其中实物证券也可存入中央国债登记结算有限责任公司或银行间市场清算所股份有限公司或中国证券登记结算有限责任公司上海分公司/深圳分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w:t>
      </w:r>
      <w:r>
        <w:rPr>
          <w:rFonts w:ascii="宋体" w:hAnsi="宋体"/>
          <w:sz w:val="24"/>
        </w:rPr>
        <w:lastRenderedPageBreak/>
        <w:t>承担保管责任。</w:t>
      </w:r>
    </w:p>
    <w:p w14:paraId="32011C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8、与基金财产有关的重大合同的保管</w:t>
      </w:r>
    </w:p>
    <w:p w14:paraId="6FAA870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基金财产有关的重大合同的签署，由基金管理人负责。由基金管理人代表本基金签署的与本基金有关的重大合同的原件分别应由基金托管人、基金管理人保管。基金管理人在代表本基金签署与本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不低于法律法规规定的最低期限。对于无法取得二份以上的正本的，基金管理人应向基金托管人提供加盖授权业务章的合同传真件，未经双方协商或未在合同约定范围内，合同原件不得转移，由基金管理人保管。</w:t>
      </w:r>
    </w:p>
    <w:p w14:paraId="7C0C31C6"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（五）基金资产净值计算和会计核算</w:t>
      </w:r>
    </w:p>
    <w:p w14:paraId="7ADE655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w:t>
      </w:r>
    </w:p>
    <w:p w14:paraId="40E3013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（1）基金资产净值的计算、复核的时间和程序</w:t>
      </w:r>
    </w:p>
    <w:p w14:paraId="5FB36F61" w14:textId="3631CDC3"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基金资产净值是指基金资产总值减去基金负债后的价值。</w:t>
      </w:r>
      <w:r w:rsidR="00BA1AC6" w:rsidRPr="00BA1AC6">
        <w:rPr>
          <w:rFonts w:ascii="宋体" w:hAnsi="宋体" w:hint="eastAsia"/>
          <w:sz w:val="24"/>
        </w:rPr>
        <w:t>各类基金份额的</w:t>
      </w:r>
      <w:r>
        <w:rPr>
          <w:rFonts w:ascii="宋体" w:hAnsi="宋体"/>
          <w:sz w:val="24"/>
        </w:rPr>
        <w:t>基金份额净值是指每个工作日闭市后，</w:t>
      </w:r>
      <w:r w:rsidR="00BA1AC6" w:rsidRPr="00BA1AC6">
        <w:rPr>
          <w:rFonts w:ascii="宋体" w:hAnsi="宋体" w:hint="eastAsia"/>
          <w:sz w:val="24"/>
        </w:rPr>
        <w:t>该类基金份额的</w:t>
      </w:r>
      <w:r>
        <w:rPr>
          <w:rFonts w:ascii="宋体" w:hAnsi="宋体"/>
          <w:sz w:val="24"/>
        </w:rPr>
        <w:t>基金资产净值除以当日</w:t>
      </w:r>
      <w:r w:rsidR="00BA1AC6" w:rsidRPr="000D45F0">
        <w:rPr>
          <w:rFonts w:ascii="宋体" w:hAnsi="宋体" w:hint="eastAsia"/>
          <w:color w:val="0D0D0D"/>
          <w:sz w:val="24"/>
          <w:szCs w:val="24"/>
        </w:rPr>
        <w:t>该类</w:t>
      </w:r>
      <w:r>
        <w:rPr>
          <w:rFonts w:ascii="宋体" w:hAnsi="宋体"/>
          <w:sz w:val="24"/>
        </w:rPr>
        <w:t>基金份额的数值。</w:t>
      </w:r>
      <w:r w:rsidR="00BA1AC6" w:rsidRPr="00BA1AC6">
        <w:rPr>
          <w:rFonts w:ascii="宋体" w:hAnsi="宋体" w:hint="eastAsia"/>
          <w:sz w:val="24"/>
        </w:rPr>
        <w:t>各类基金份额的</w:t>
      </w:r>
      <w:r>
        <w:rPr>
          <w:rFonts w:ascii="宋体" w:hAnsi="宋体"/>
          <w:sz w:val="24"/>
        </w:rPr>
        <w:t>基金份额净值的计算</w:t>
      </w:r>
      <w:r w:rsidR="00BA1AC6" w:rsidRPr="00BA1AC6">
        <w:rPr>
          <w:rFonts w:ascii="宋体" w:hAnsi="宋体" w:hint="eastAsia"/>
          <w:sz w:val="24"/>
        </w:rPr>
        <w:t>均</w:t>
      </w:r>
      <w:r>
        <w:rPr>
          <w:rFonts w:ascii="宋体" w:hAnsi="宋体"/>
          <w:sz w:val="24"/>
        </w:rPr>
        <w:t>保留到小数点后4位，小数点后第5位四舍五入，由此产生的误差计入基金财产。基金管理人可以设立大额赎回情形下的净值精度应急调整机制，具体可参见相关公告。国家另有规定的，从其规定。</w:t>
      </w:r>
    </w:p>
    <w:p w14:paraId="01C4BD80" w14:textId="11D9DDE8"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基金管理人应每个估值日对基金资产估值，但基金管理人根据法律法规或基金合同的规定暂停估值时除外。估值原则应符合基金合同及相关法律、法规的规定。</w:t>
      </w:r>
      <w:r w:rsidR="004D7C88" w:rsidRPr="004D7C88">
        <w:rPr>
          <w:rFonts w:ascii="宋体" w:hAnsi="宋体" w:hint="eastAsia"/>
          <w:sz w:val="24"/>
        </w:rPr>
        <w:t>各类基金份额的</w:t>
      </w:r>
      <w:r>
        <w:rPr>
          <w:rFonts w:ascii="宋体" w:hAnsi="宋体"/>
          <w:sz w:val="24"/>
        </w:rPr>
        <w:t>基金资产净值和基金份额净值由基金管理人负责计算，基金托管人复核。基金管理人应于每个估值日交易结束后计算当日</w:t>
      </w:r>
      <w:r w:rsidR="004D7C88" w:rsidRPr="00BE2427">
        <w:rPr>
          <w:rFonts w:ascii="宋体" w:hAnsi="宋体" w:hint="eastAsia"/>
          <w:color w:val="0D0D0D"/>
          <w:sz w:val="24"/>
          <w:szCs w:val="24"/>
        </w:rPr>
        <w:t>各类基金份额</w:t>
      </w:r>
      <w:r>
        <w:rPr>
          <w:rFonts w:ascii="宋体" w:hAnsi="宋体"/>
          <w:sz w:val="24"/>
        </w:rPr>
        <w:t>的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14:paraId="73A68222" w14:textId="56B48941"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根据《基金法》，基金管理人计算并公告</w:t>
      </w:r>
      <w:r w:rsidR="00C105ED" w:rsidRPr="00112A58">
        <w:rPr>
          <w:rFonts w:ascii="Times New Roman" w:hAnsi="Times New Roman" w:hint="eastAsia"/>
          <w:sz w:val="24"/>
        </w:rPr>
        <w:t>各类基金份额的</w:t>
      </w:r>
      <w:r>
        <w:rPr>
          <w:rFonts w:ascii="宋体" w:hAnsi="宋体"/>
          <w:sz w:val="24"/>
        </w:rPr>
        <w:t>基金资产净值，基金托管人复核、审查基金管理人计算的基金资产净值。因此，本基金的会计责任方是</w:t>
      </w:r>
      <w:r>
        <w:rPr>
          <w:rFonts w:ascii="宋体" w:hAnsi="宋体"/>
          <w:sz w:val="24"/>
        </w:rPr>
        <w:lastRenderedPageBreak/>
        <w:t>基金管理人，就与本基金有关的会计问题，如经相关各方在平等基础上充分讨论后，仍无法达成一致的意见，按照基金管理人对基金净值信息的计算结果对外予以公布。</w:t>
      </w:r>
    </w:p>
    <w:p w14:paraId="55DB39C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2、基金资产估值方法</w:t>
      </w:r>
    </w:p>
    <w:p w14:paraId="5643852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（1）估值对象</w:t>
      </w:r>
    </w:p>
    <w:p w14:paraId="7757A2B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基金所拥有的股票、债券、衍生工具和其他投资等持续以公允价值计量的金融资产及负债。</w:t>
      </w:r>
    </w:p>
    <w:p w14:paraId="780A7B9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（2）估值原则</w:t>
      </w:r>
    </w:p>
    <w:p w14:paraId="4533DE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基金管理人在确定相关金融资产和金融负债的公允价值时，应符合《企业会计准则》、监管部门有关规定。</w:t>
      </w:r>
    </w:p>
    <w:p w14:paraId="71D926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94CDE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1AD192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8AB948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3）如经济环境发生重大变化或证券发行人发生影响证券价格的重大事件，使潜在估值调整对前一估值日的基金资产净值的影响在0.25%以上的，应对估值进行调整并确定公允价值。</w:t>
      </w:r>
    </w:p>
    <w:p w14:paraId="296E26A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（3）估值方法</w:t>
      </w:r>
    </w:p>
    <w:p w14:paraId="01CDE1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1）证券交易所上市的有价证券的估值</w:t>
      </w:r>
    </w:p>
    <w:p w14:paraId="52520A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①交易所上市的有价证券，以其估值日在证券交易所挂牌的市价（收盘价）估</w:t>
      </w:r>
      <w:r>
        <w:rPr>
          <w:rFonts w:ascii="宋体" w:hAnsi="宋体"/>
          <w:sz w:val="24"/>
        </w:rPr>
        <w:lastRenderedPageBreak/>
        <w:t>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0763A7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②交易所上市交易或挂牌转让的固定收益品种（另有规定的除外），选取估值日第三方估值机构提供的相应品种当日的估值净价进行估值；</w:t>
      </w:r>
    </w:p>
    <w:p w14:paraId="42AEA53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交易所上市交易的可转换债券，按估值日收盘价减去可转换债券收盘价中所含债券（税后）应收利息后得到的净价进行估值；估值日没有交易的，且最近交易日后经济环境未发生重大变化，按最近交易日债券收盘价减去可转换债券收盘价中所含债券（税后）应收利息后得到的净价进行估值。如最近交易日后经济环境发生了重大变化的，可参考类似投资品种现行市价及重大变化因素，调整最近交易市价，确定公允价格；</w:t>
      </w:r>
    </w:p>
    <w:p w14:paraId="4105776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④交易所上市实行全价交易的债券（可转债除外），选取第三方估值机构提供的估值全价减去估值全价中所含的债券（税后）应收利息得到的净价进行估值；</w:t>
      </w:r>
    </w:p>
    <w:p w14:paraId="09C2F31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⑤交易所上市不存在活跃市场的有价证券，采用估值技术确定公允价值。交易所市场挂牌转让的资产支持证券，采用估值技术确定公允价值；</w:t>
      </w:r>
    </w:p>
    <w:p w14:paraId="16F40A6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⑥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B3EE2F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2）处于未上市期间的有价证券应区分如下情况处理：</w:t>
      </w:r>
    </w:p>
    <w:p w14:paraId="2696BCC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①送股、转增股、配股和公开增发的新股，按估值日在证券交易所挂牌的同一股票的估值方法估值；该日无交易的，以最近一日的市价（收盘价）估值；</w:t>
      </w:r>
    </w:p>
    <w:p w14:paraId="7FD5195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②首次公开发行未上市的股票和债券，采用估值技术确定公允价值，在估值技术难以可靠计量公允价值的情况下，按成本估值；</w:t>
      </w:r>
    </w:p>
    <w:p w14:paraId="2D3968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w:t>
      </w:r>
      <w:r>
        <w:rPr>
          <w:rFonts w:ascii="宋体" w:hAnsi="宋体"/>
          <w:sz w:val="24"/>
        </w:rPr>
        <w:lastRenderedPageBreak/>
        <w:t>行业协会有关规定确定公允价值。</w:t>
      </w:r>
    </w:p>
    <w:p w14:paraId="0E73B73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8484DF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4）本基金投资股指期货合约，一般以估值当日结算价进行估值，估值当日无结算价的，且最近交易日后经济环境未发生重大变化的，采用最近交易日结算价估值。</w:t>
      </w:r>
    </w:p>
    <w:p w14:paraId="58E3AA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5）同一股票同时在两个或两个以上市场交易的，按股票所处的市场分别估值。</w:t>
      </w:r>
    </w:p>
    <w:p w14:paraId="311CBC3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估值计算中涉及港币对人民币汇率的，将依据下列信息提供机构所提供的汇率为基准：当日中国人民银行或其授权机构公布的人民币汇率中间价。</w:t>
      </w:r>
    </w:p>
    <w:p w14:paraId="366E3F5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E81860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6）如有确凿证据表明按上述方法进行估值不能客观反映其公允价值的，基金管理人可根据具体情况与基金托管人商定后，按最能反映公允价值的价格估值。</w:t>
      </w:r>
    </w:p>
    <w:p w14:paraId="09FFEA6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7）当发生大额申购或赎回情形时，基金管理人可以采用摆动定价机制，以确保基金估值的公平性。</w:t>
      </w:r>
    </w:p>
    <w:p w14:paraId="39D030C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8）本基金投资存托凭证的估值核算依照境内上市交易的股票执行。</w:t>
      </w:r>
    </w:p>
    <w:p w14:paraId="02ED424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9）相关法律法规以及监管部门有强制规定的，从其规定。如有新增事项，按国家最新规定估值。</w:t>
      </w:r>
    </w:p>
    <w:p w14:paraId="63155A4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535AC5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根据有关法律法规，基金资产净值计算和基金会计核算的义务由基金管理人承</w:t>
      </w:r>
      <w:r>
        <w:rPr>
          <w:rFonts w:ascii="宋体" w:hAnsi="宋体"/>
          <w:sz w:val="24"/>
        </w:rPr>
        <w:lastRenderedPageBreak/>
        <w:t>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7206B5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3、估值错误处理</w:t>
      </w:r>
    </w:p>
    <w:p w14:paraId="71C24F6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基金份额净值已由基金托管人复核确认后公告的，由此造成的投资人或基金的损失，应根据法律法规的规定对投资人或基金支付赔偿金，就实际向投资人或基金支付的赔偿金额，基金管理人与基金托管人按照过错程度各自承担相应的责任。</w:t>
      </w:r>
    </w:p>
    <w:p w14:paraId="466E079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一方当事人提供的信息错误，另一方当事人在采取了必要合理的措施后仍不能发现该错误，进而导致基金资产净值、基金份额净值计算错误造成投资人或基金的损失，以及由此造成以后交易日基金资产净值、基金份额净值计算顺延错误而引起的投资人或基金的损失，由提供错误信息的当事人一方负责赔偿。</w:t>
      </w:r>
    </w:p>
    <w:p w14:paraId="0626744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14:paraId="0C48107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当基金管理人计算的基金资产净值与基金托管人的计算结果不一致时，相关各方应本着勤勉尽责的态度重新计算核对，如果最后仍无法达成一致，应以基金管理人的计算结果为准对外公布，由此造成的损失由基金管理人承担赔偿责任，基金托管人不负赔偿责任。</w:t>
      </w:r>
    </w:p>
    <w:p w14:paraId="43ABF6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基金管理人或基金托管人按估值方法的第（6）项进行估值的，所造成的误差不作为基金资产估值错误处理。</w:t>
      </w:r>
    </w:p>
    <w:p w14:paraId="3712D35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估值错误责任方拒绝进行赔偿时，如果因基金管理人过错造成基金资产损失时，基金托管人应为基金的利益向基金管理人追偿，如果因基金托管人过错造成基金资产损失时，基金管理人应为基金的利益向基金托管人追偿。除基金管理人和基金托管人之外的第三方造成基金资产的损失，并拒绝进行赔偿时，由基金管理人负责向估值错误责任方追偿。</w:t>
      </w:r>
    </w:p>
    <w:p w14:paraId="68434FA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4、基金账册的建立</w:t>
      </w:r>
    </w:p>
    <w:p w14:paraId="7953B4B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基金管理人和基金托管人在基金合同生效后，应按照相关各方约定的同一记账</w:t>
      </w:r>
      <w:r>
        <w:rPr>
          <w:rFonts w:ascii="宋体" w:hAnsi="宋体"/>
          <w:sz w:val="24"/>
        </w:rPr>
        <w:lastRenderedPageBreak/>
        <w:t>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1B481A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3831959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5、基金定期报告的编制和复核</w:t>
      </w:r>
    </w:p>
    <w:p w14:paraId="614456D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基金财务报表由基金管理人和基金托管人每月分别独立编制。月度报表的编制，应于每月终了后5个工作日内完成。</w:t>
      </w:r>
    </w:p>
    <w:p w14:paraId="15C4243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基金管理人在季度结束之日起15个工作日内完成季度报告编制并公告；在上半年结束之日起两个月内完成中期报告编制并公告；在每年结束之日起三个月内完成年度报告编制并公告。</w:t>
      </w:r>
    </w:p>
    <w:p w14:paraId="20AD141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复核。基金托管人在复核过程中，发现双方的报表存在不符时，基金管理人和基金托管人应共同查明原因，进行调整，调整以国家有关规定为准。</w:t>
      </w:r>
    </w:p>
    <w:p w14:paraId="2AE96BB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核对无误后，基金托管人在基金管理人提供的报告上加盖业务印鉴或者出具加盖托管业务部门公章的复核意见书，相关各方各自留存一份。</w:t>
      </w:r>
    </w:p>
    <w:p w14:paraId="57D6E4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基金托管人在对月度报表、季度、中期报告或年度报告复核完毕后，需盖章确认或出具相应的复核确认书，以备有权机构对相关文件审核时提示。</w:t>
      </w:r>
    </w:p>
    <w:p w14:paraId="6A18A1C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6、暂停估值的情形</w:t>
      </w:r>
    </w:p>
    <w:p w14:paraId="4E030EA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（1）基金投资所涉及的证券、期货交易市场遇法定节假日或因其他原因暂停营业时；</w:t>
      </w:r>
    </w:p>
    <w:p w14:paraId="66571CA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（2）因不可抗力致使基金管理人、基金托管人无法准确评估基金资产价值</w:t>
      </w:r>
      <w:r>
        <w:rPr>
          <w:rFonts w:ascii="宋体" w:hAnsi="宋体"/>
          <w:sz w:val="24"/>
        </w:rPr>
        <w:lastRenderedPageBreak/>
        <w:t>时；</w:t>
      </w:r>
    </w:p>
    <w:p w14:paraId="36F3EF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（3）当特定资产占前一估值日基金资产净值50%以上的，经与基金托管人协商确认后，基金管理人应当暂停估值；</w:t>
      </w:r>
    </w:p>
    <w:p w14:paraId="472B01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（4）法律法规、中国证监会和基金合同认定的其它情形。</w:t>
      </w:r>
    </w:p>
    <w:p w14:paraId="57EC9833"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（六）基金份额持有人名册的保管</w:t>
      </w:r>
    </w:p>
    <w:p w14:paraId="2A97BF8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基金管理人和基金托管人须分别妥善保管的基金份额持有人名册，基金份额持有人名册的内容必须包括基金份额持有人的名称和持有的基金份额。</w:t>
      </w:r>
    </w:p>
    <w:p w14:paraId="1A9AB60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份额持有人名册由基金的登记机构根据基金管理人的指令编制和保管，基金管理人和基金托管人应按照目前相关规则分别保管基金份额持有人名册。保管方式可以采用电子或文档的形式。保管期限不低于法律法规规定的最低期限。</w:t>
      </w:r>
    </w:p>
    <w:p w14:paraId="3C46995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应当及时向基金托管人定期或不定期提交下列日期的基金份额持有人名册。基金份额持有人名册的内容必须包括基金份额持有人的名称和持有的基金份额。基金托管人可以采用电子或文档的形式妥善保管基金份额持有人名册，保存期限不低于法律法规规定的最低期限。基金托管人不得将所保管的基金份额持有人名册用于基金托管业务以外的其他用途，并应遵守保密义务。</w:t>
      </w:r>
    </w:p>
    <w:p w14:paraId="7B75742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若基金管理人或基金托管人由于自身原因无法妥善保管基金份额持有人名册，应按有关法规规定各自承担相应的责任。</w:t>
      </w:r>
    </w:p>
    <w:p w14:paraId="63F6A67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（七）争议解决方式</w:t>
      </w:r>
    </w:p>
    <w:p w14:paraId="085CB4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双方当事人同意，因本协议而产生的或与本协议有关的一切争议，如经友好协商未能解决的，任何一方均有权将争议提交中国国际经济贸易仲裁委员会，按照中国国际经济贸易仲裁委员会届时有效的仲裁规则进行仲裁。仲裁地点为北京市。仲裁裁决是终局的，对双方当事人均有约束力，除非仲裁裁决另有规定，仲裁费由败诉方承担。</w:t>
      </w:r>
    </w:p>
    <w:p w14:paraId="678CAA2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争议处理期间，双方当事人应恪守基金管理人和基金托管人职责，继续忠实、勤勉、尽责地履行基金合同和托管协议规定的义务，维护基金份额持有人的合法权益。</w:t>
      </w:r>
    </w:p>
    <w:p w14:paraId="1A67F7A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本协议受中国法律（不含港澳台地区法律）管辖。</w:t>
      </w:r>
    </w:p>
    <w:p w14:paraId="21939915"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（八）基金托管协议的变更、终止与基金财产的清算</w:t>
      </w:r>
    </w:p>
    <w:p w14:paraId="366479F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1、托管协议的变更与终止</w:t>
      </w:r>
    </w:p>
    <w:p w14:paraId="47A6FF0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（1）托管协议的变更程序</w:t>
      </w:r>
    </w:p>
    <w:p w14:paraId="6C9349C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lastRenderedPageBreak/>
        <w:t>本协议双方当事人经协商一致，可以对协议的内容进行变更。变更后的托管协议，其内容不得与基金合同的规定有任何冲突。本托管协议的变更报中国证监会备案。</w:t>
      </w:r>
    </w:p>
    <w:p w14:paraId="6982FA2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（2）基金托管协议终止的情形</w:t>
      </w:r>
    </w:p>
    <w:p w14:paraId="60C3FC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发生以下情况，本托管协议终止：</w:t>
      </w:r>
    </w:p>
    <w:p w14:paraId="59AEC2F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1）基金合同终止；</w:t>
      </w:r>
    </w:p>
    <w:p w14:paraId="207A251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2）基金托管人解散、依法被撤销、破产或由其他基金托管人接管基金资产；</w:t>
      </w:r>
    </w:p>
    <w:p w14:paraId="08ECE4E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3）基金管理人解散、依法被撤销、破产或由其他基金管理人接管基金管理权；</w:t>
      </w:r>
    </w:p>
    <w:p w14:paraId="03154E3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4）发生法律法规或基金合同规定的终止事项。</w:t>
      </w:r>
    </w:p>
    <w:p w14:paraId="6365D8C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2、基金财产的清算</w:t>
      </w:r>
    </w:p>
    <w:p w14:paraId="553A843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（1）基金财产的清算</w:t>
      </w:r>
    </w:p>
    <w:p w14:paraId="40EE2F3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1）基金财产清算小组：自出现《基金合同》终止事由之日起30个工作日内成立清算小组，基金管理人组织基金财产清算小组并在中国证监会的监督下进行基金清算。</w:t>
      </w:r>
    </w:p>
    <w:p w14:paraId="0C96C5B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F2B20A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3）基金财产清算小组职责：基金财产清算小组负责基金财产的保管、清理、估价、变现和分配。基金财产清算小组可以依法进行必要的民事活动。</w:t>
      </w:r>
    </w:p>
    <w:p w14:paraId="049031C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4）基金财产清算程序：</w:t>
      </w:r>
    </w:p>
    <w:p w14:paraId="2AD1B4D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①《基金合同》终止情形出现时，由基金财产清算小组统一接管基金；</w:t>
      </w:r>
    </w:p>
    <w:p w14:paraId="4A12B1D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②对基金财产和债权债务进行清理和确认；</w:t>
      </w:r>
    </w:p>
    <w:p w14:paraId="4A3E0908"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③对基金财产进行估值和变现；</w:t>
      </w:r>
    </w:p>
    <w:p w14:paraId="48ED560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④制作清算报告；</w:t>
      </w:r>
    </w:p>
    <w:p w14:paraId="5409B6B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⑤聘请会计师事务所对清算报告进行外部审计，聘请律师事务所对清算报告出具法律意见书；</w:t>
      </w:r>
    </w:p>
    <w:p w14:paraId="13B2529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⑥将清算报告报中国证监会备案并公告；</w:t>
      </w:r>
    </w:p>
    <w:p w14:paraId="3B17E7E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⑦对基金剩余财产进行分配。</w:t>
      </w:r>
    </w:p>
    <w:p w14:paraId="1F27D8A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5）基金财产清算的期限为6个月，但因本基金所持证券的流动性受到限制而不</w:t>
      </w:r>
      <w:r>
        <w:rPr>
          <w:rFonts w:ascii="宋体" w:hAnsi="宋体"/>
          <w:sz w:val="24"/>
        </w:rPr>
        <w:lastRenderedPageBreak/>
        <w:t>能及时变现的，清算期限相应顺延。</w:t>
      </w:r>
    </w:p>
    <w:p w14:paraId="56AFCC7F"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（3）清算费用</w:t>
      </w:r>
    </w:p>
    <w:p w14:paraId="3144FCB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清算费用是指基金财产清算小组在进行基金清算过程中发生的所有合理费用，清算费用由基金财产清算小组优先从基金财产中支付。</w:t>
      </w:r>
    </w:p>
    <w:p w14:paraId="3E9F53B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（4）基金财产清算剩余资产的分配</w:t>
      </w:r>
    </w:p>
    <w:p w14:paraId="015A800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依据基金财产清算的分配方案，将基金财产清算后的全部剩余资产扣除基金财产清算费用、交纳所欠税款并清偿基金债务后，按基金份额持有人持有的基金份额比例进行分配。</w:t>
      </w:r>
    </w:p>
    <w:p w14:paraId="07EE2E0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（5）基金财产清算的公告</w:t>
      </w:r>
    </w:p>
    <w:p w14:paraId="5768F08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FE0478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（6）基金财产清算账册及文件的保存</w:t>
      </w:r>
    </w:p>
    <w:p w14:paraId="0A256F3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基金财产清算账册及有关文件由基金托管人保存不低于法律法规规定的最低期限。</w:t>
      </w:r>
    </w:p>
    <w:p w14:paraId="59289B5F"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05DD7829" w14:textId="77777777" w:rsidR="00B164D3" w:rsidRDefault="000605B5">
      <w:pPr>
        <w:pStyle w:val="1"/>
        <w:snapToGrid w:val="0"/>
        <w:spacing w:beforeLines="0" w:before="240" w:after="240"/>
        <w:rPr>
          <w:rFonts w:ascii="宋体" w:hAnsi="宋体"/>
          <w:szCs w:val="30"/>
        </w:rPr>
      </w:pPr>
      <w:bookmarkStart w:id="25" w:name="_Toc85115637"/>
      <w:r>
        <w:rPr>
          <w:rFonts w:ascii="Times New Roman" w:hAnsi="Times New Roman"/>
          <w:sz w:val="30"/>
        </w:rPr>
        <w:lastRenderedPageBreak/>
        <w:t>二十二、对基金份额持有人的服务</w:t>
      </w:r>
      <w:bookmarkEnd w:id="25"/>
    </w:p>
    <w:p w14:paraId="1C577EE9"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基金管理人承诺为基金份额持有人提供一系列的服务。基金管理人根据基金份额持有人的需要和市场的变化，有权增加或变更服务项目。主要服务内容如下：</w:t>
      </w:r>
    </w:p>
    <w:p w14:paraId="63AC651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（一）持有人交易资料的寄送服务</w:t>
      </w:r>
    </w:p>
    <w:p w14:paraId="67AF294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1、每次交易结束后，投资人可在T+2个工作日后通过销售机构的网点查询和打印确认单。</w:t>
      </w:r>
    </w:p>
    <w:p w14:paraId="45CE6C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2、本基金管理人将向持有人提供电子或纸质对账单，需要订阅或取消的客户可与本基金管理人客户服务中心（400-700-5000，021-61055000）联系。</w:t>
      </w:r>
    </w:p>
    <w:p w14:paraId="1B307AD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（二）网上直销服务</w:t>
      </w:r>
    </w:p>
    <w:p w14:paraId="2DE574CE" w14:textId="0B5976AB"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本基金管理人已开通基金网上直销业务，个人投资者可以直接通过本基金管理人网站的网上直销交易平台办理开户和本基金</w:t>
      </w:r>
      <w:r w:rsidR="007F0BC7" w:rsidRPr="007F0BC7">
        <w:rPr>
          <w:rFonts w:ascii="宋体" w:hAnsi="宋体" w:hint="eastAsia"/>
          <w:sz w:val="24"/>
        </w:rPr>
        <w:t>A类基金份额和C类基金份额</w:t>
      </w:r>
      <w:r>
        <w:rPr>
          <w:rFonts w:ascii="宋体" w:hAnsi="宋体"/>
          <w:sz w:val="24"/>
        </w:rPr>
        <w:t>的申购、赎回、定期定额投资等业务。通过网上直销交易平台办理本基金</w:t>
      </w:r>
      <w:r w:rsidR="007F0BC7" w:rsidRPr="007F0BC7">
        <w:rPr>
          <w:rFonts w:ascii="宋体" w:hAnsi="宋体" w:hint="eastAsia"/>
          <w:sz w:val="24"/>
        </w:rPr>
        <w:t>A类基金份额</w:t>
      </w:r>
      <w:r>
        <w:rPr>
          <w:rFonts w:ascii="宋体" w:hAnsi="宋体"/>
          <w:sz w:val="24"/>
        </w:rPr>
        <w:t>的申购和定期定额投资业务的个人投资者将享受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56BECF7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本公司基金网上直销业务已开通的银行卡及各银行卡交易金额限额请参阅本公司网站。</w:t>
      </w:r>
    </w:p>
    <w:p w14:paraId="712AC147"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在条件成熟的时候，本基金管理人将根据基金网上直销业务的发展状况，适时调整可用于基金网上直销交易平台的银行卡种类，敬请投资人留意相关公告。</w:t>
      </w:r>
    </w:p>
    <w:p w14:paraId="1045BCF4"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（三）信息咨询、查询服务</w:t>
      </w:r>
    </w:p>
    <w:p w14:paraId="5E6E8F5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投资人如果想查询基金账户余额、基金产品与服务等信息，请拨打本基金管理人客户服务电话（400-700-5000，021-61055000）或登录本基金管理人网站（www.fund001.com）进行咨询、查询。</w:t>
      </w:r>
    </w:p>
    <w:p w14:paraId="527EE1DD"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w:t>
      </w:r>
    </w:p>
    <w:p w14:paraId="68ABB78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投资人可以拨打本基金管理人客户服务电话投诉直销机构的人员和服务。</w:t>
      </w:r>
    </w:p>
    <w:p w14:paraId="1EAC5A29"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lastRenderedPageBreak/>
        <w:t>（四）基金红利再投资</w:t>
      </w:r>
    </w:p>
    <w:p w14:paraId="550B9F8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收益分配时，基金份额持有人持有的基金份额可选择现金红利或选择红利再投将现金红利自动转为基金份额进行再投资，若投资人不选择，本基金默认的收益分配方式是现金分红。再投资红利按红利再投日（即除息日）除息后的基金份额净值自动转为基金份额，并免收申购费用。</w:t>
      </w:r>
    </w:p>
    <w:p w14:paraId="39F2CBB7"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（五）定期定额投资计划</w:t>
      </w:r>
    </w:p>
    <w:p w14:paraId="327DF9A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本基金已开通定期定额投资计划，具体实施方法请参见相关公告。</w:t>
      </w:r>
    </w:p>
    <w:p w14:paraId="25DE80A3"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服务联系方式：</w:t>
      </w:r>
    </w:p>
    <w:p w14:paraId="63F9BD50"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本基金管理人的互联网地址及电子信箱</w:t>
      </w:r>
    </w:p>
    <w:p w14:paraId="7EE0869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网址：www.fund001.com</w:t>
      </w:r>
    </w:p>
    <w:p w14:paraId="06976715"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电子信箱：services@jysld.com</w:t>
      </w:r>
    </w:p>
    <w:p w14:paraId="795A549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投资者也可登录本基金管理人网站，直接提出有关本基金的问题和建议。</w:t>
      </w:r>
    </w:p>
    <w:p w14:paraId="196BF508" w14:textId="77777777" w:rsidR="00B164D3" w:rsidRDefault="000605B5">
      <w:pPr>
        <w:autoSpaceDE w:val="0"/>
        <w:autoSpaceDN w:val="0"/>
        <w:adjustRightInd w:val="0"/>
        <w:snapToGrid w:val="0"/>
        <w:spacing w:line="360" w:lineRule="auto"/>
        <w:ind w:firstLineChars="200" w:firstLine="422"/>
        <w:jc w:val="left"/>
        <w:rPr>
          <w:rFonts w:ascii="宋体" w:hAnsi="宋体"/>
          <w:szCs w:val="24"/>
        </w:rPr>
      </w:pPr>
      <w:r w:rsidRPr="00BB248E">
        <w:rPr>
          <w:rFonts w:ascii="宋体" w:hAnsi="宋体" w:hint="eastAsia"/>
          <w:b/>
          <w:szCs w:val="24"/>
        </w:rPr>
        <w:t>（六）如本招募说明书存在任何您/贵机构无法理解的内容，请通过上述方式联系基金管理人。请确保投资前，您/贵机构已经全面理解了本招募说明书。</w:t>
      </w:r>
    </w:p>
    <w:p w14:paraId="5DA3F52B"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76015479" w14:textId="77777777" w:rsidR="00B164D3" w:rsidRDefault="000605B5">
      <w:pPr>
        <w:pStyle w:val="1"/>
        <w:snapToGrid w:val="0"/>
        <w:spacing w:beforeLines="0" w:before="240" w:after="240"/>
        <w:rPr>
          <w:rFonts w:ascii="宋体" w:hAnsi="宋体"/>
          <w:szCs w:val="30"/>
        </w:rPr>
      </w:pPr>
      <w:bookmarkStart w:id="26" w:name="_Toc85115638"/>
      <w:r>
        <w:rPr>
          <w:rFonts w:ascii="Times New Roman" w:hAnsi="Times New Roman"/>
          <w:sz w:val="30"/>
        </w:rPr>
        <w:lastRenderedPageBreak/>
        <w:t>二十三、其他应披露事项</w:t>
      </w:r>
      <w:bookmarkEnd w:id="26"/>
    </w:p>
    <w:p w14:paraId="2C12AEB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基金合同如有未尽事宜，由基金合同当事人各方按有关法律法规协商解决。</w:t>
      </w:r>
    </w:p>
    <w:tbl>
      <w:tblPr>
        <w:tblW w:w="5000" w:type="pct"/>
        <w:tblCellMar>
          <w:left w:w="0" w:type="dxa"/>
          <w:right w:w="0" w:type="dxa"/>
        </w:tblCellMar>
        <w:tblLook w:val="0000" w:firstRow="0" w:lastRow="0" w:firstColumn="0" w:lastColumn="0" w:noHBand="0" w:noVBand="0"/>
      </w:tblPr>
      <w:tblGrid>
        <w:gridCol w:w="1006"/>
        <w:gridCol w:w="3018"/>
        <w:gridCol w:w="3017"/>
        <w:gridCol w:w="1609"/>
      </w:tblGrid>
      <w:tr w:rsidR="00B164D3" w14:paraId="79AE87A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3C4F5E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序号</w:t>
            </w:r>
          </w:p>
        </w:tc>
        <w:tc>
          <w:tcPr>
            <w:tcW w:w="750" w:type="pct"/>
            <w:tcBorders>
              <w:top w:val="single" w:sz="4" w:space="0" w:color="auto"/>
              <w:left w:val="single" w:sz="4" w:space="0" w:color="auto"/>
              <w:bottom w:val="single" w:sz="4" w:space="0" w:color="auto"/>
              <w:right w:val="single" w:sz="4" w:space="0" w:color="auto"/>
            </w:tcBorders>
            <w:vAlign w:val="center"/>
          </w:tcPr>
          <w:p w14:paraId="161A4F7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公告事项</w:t>
            </w:r>
          </w:p>
        </w:tc>
        <w:tc>
          <w:tcPr>
            <w:tcW w:w="750" w:type="pct"/>
            <w:tcBorders>
              <w:top w:val="single" w:sz="4" w:space="0" w:color="auto"/>
              <w:left w:val="single" w:sz="4" w:space="0" w:color="auto"/>
              <w:bottom w:val="single" w:sz="4" w:space="0" w:color="auto"/>
              <w:right w:val="single" w:sz="4" w:space="0" w:color="auto"/>
            </w:tcBorders>
            <w:vAlign w:val="center"/>
          </w:tcPr>
          <w:p w14:paraId="0A67A36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法定披露方式</w:t>
            </w:r>
          </w:p>
        </w:tc>
        <w:tc>
          <w:tcPr>
            <w:tcW w:w="400" w:type="pct"/>
            <w:tcBorders>
              <w:top w:val="single" w:sz="4" w:space="0" w:color="auto"/>
              <w:left w:val="single" w:sz="4" w:space="0" w:color="auto"/>
              <w:bottom w:val="single" w:sz="4" w:space="0" w:color="auto"/>
              <w:right w:val="single" w:sz="4" w:space="0" w:color="auto"/>
            </w:tcBorders>
            <w:vAlign w:val="center"/>
          </w:tcPr>
          <w:p w14:paraId="44F4AD7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法定披露日期</w:t>
            </w:r>
          </w:p>
        </w:tc>
      </w:tr>
      <w:tr w:rsidR="00B164D3" w14:paraId="3413CBD4"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79766C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w:t>
            </w:r>
          </w:p>
        </w:tc>
        <w:tc>
          <w:tcPr>
            <w:tcW w:w="750" w:type="pct"/>
            <w:tcBorders>
              <w:top w:val="single" w:sz="4" w:space="0" w:color="auto"/>
              <w:left w:val="single" w:sz="4" w:space="0" w:color="auto"/>
              <w:bottom w:val="single" w:sz="4" w:space="0" w:color="auto"/>
              <w:right w:val="single" w:sz="4" w:space="0" w:color="auto"/>
            </w:tcBorders>
            <w:vAlign w:val="center"/>
          </w:tcPr>
          <w:p w14:paraId="464E372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交银施罗德臻选回报混合型证券投资基金基金产品资料概要</w:t>
            </w:r>
          </w:p>
        </w:tc>
        <w:tc>
          <w:tcPr>
            <w:tcW w:w="750" w:type="pct"/>
            <w:tcBorders>
              <w:top w:val="single" w:sz="4" w:space="0" w:color="auto"/>
              <w:left w:val="single" w:sz="4" w:space="0" w:color="auto"/>
              <w:bottom w:val="single" w:sz="4" w:space="0" w:color="auto"/>
              <w:right w:val="single" w:sz="4" w:space="0" w:color="auto"/>
            </w:tcBorders>
            <w:vAlign w:val="center"/>
          </w:tcPr>
          <w:p w14:paraId="41A6DE1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9A2C2B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68A840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7F617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w:t>
            </w:r>
          </w:p>
        </w:tc>
        <w:tc>
          <w:tcPr>
            <w:tcW w:w="750" w:type="pct"/>
            <w:tcBorders>
              <w:top w:val="single" w:sz="4" w:space="0" w:color="auto"/>
              <w:left w:val="single" w:sz="4" w:space="0" w:color="auto"/>
              <w:bottom w:val="single" w:sz="4" w:space="0" w:color="auto"/>
              <w:right w:val="single" w:sz="4" w:space="0" w:color="auto"/>
            </w:tcBorders>
            <w:vAlign w:val="center"/>
          </w:tcPr>
          <w:p w14:paraId="0FCA660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交银施罗德臻选回报混合型证券投资基金基金份额发售公告</w:t>
            </w:r>
          </w:p>
        </w:tc>
        <w:tc>
          <w:tcPr>
            <w:tcW w:w="750" w:type="pct"/>
            <w:tcBorders>
              <w:top w:val="single" w:sz="4" w:space="0" w:color="auto"/>
              <w:left w:val="single" w:sz="4" w:space="0" w:color="auto"/>
              <w:bottom w:val="single" w:sz="4" w:space="0" w:color="auto"/>
              <w:right w:val="single" w:sz="4" w:space="0" w:color="auto"/>
            </w:tcBorders>
            <w:vAlign w:val="center"/>
          </w:tcPr>
          <w:p w14:paraId="62B8C7B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5D2F25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2907E1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D1D8A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w:t>
            </w:r>
          </w:p>
        </w:tc>
        <w:tc>
          <w:tcPr>
            <w:tcW w:w="750" w:type="pct"/>
            <w:tcBorders>
              <w:top w:val="single" w:sz="4" w:space="0" w:color="auto"/>
              <w:left w:val="single" w:sz="4" w:space="0" w:color="auto"/>
              <w:bottom w:val="single" w:sz="4" w:space="0" w:color="auto"/>
              <w:right w:val="single" w:sz="4" w:space="0" w:color="auto"/>
            </w:tcBorders>
            <w:vAlign w:val="center"/>
          </w:tcPr>
          <w:p w14:paraId="2271D8C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交银施罗德臻选回报混合型证券投资基金基金合同</w:t>
            </w:r>
          </w:p>
        </w:tc>
        <w:tc>
          <w:tcPr>
            <w:tcW w:w="750" w:type="pct"/>
            <w:tcBorders>
              <w:top w:val="single" w:sz="4" w:space="0" w:color="auto"/>
              <w:left w:val="single" w:sz="4" w:space="0" w:color="auto"/>
              <w:bottom w:val="single" w:sz="4" w:space="0" w:color="auto"/>
              <w:right w:val="single" w:sz="4" w:space="0" w:color="auto"/>
            </w:tcBorders>
            <w:vAlign w:val="center"/>
          </w:tcPr>
          <w:p w14:paraId="0496677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90D29C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2A73E411"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E5A268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4</w:t>
            </w:r>
          </w:p>
        </w:tc>
        <w:tc>
          <w:tcPr>
            <w:tcW w:w="750" w:type="pct"/>
            <w:tcBorders>
              <w:top w:val="single" w:sz="4" w:space="0" w:color="auto"/>
              <w:left w:val="single" w:sz="4" w:space="0" w:color="auto"/>
              <w:bottom w:val="single" w:sz="4" w:space="0" w:color="auto"/>
              <w:right w:val="single" w:sz="4" w:space="0" w:color="auto"/>
            </w:tcBorders>
            <w:vAlign w:val="center"/>
          </w:tcPr>
          <w:p w14:paraId="5385CD2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交银施罗德臻选回报混合型证券投资基金基金合同及招募说明书提示性公告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4F1D555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360FA6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6959165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3B012A0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5</w:t>
            </w:r>
          </w:p>
        </w:tc>
        <w:tc>
          <w:tcPr>
            <w:tcW w:w="750" w:type="pct"/>
            <w:tcBorders>
              <w:top w:val="single" w:sz="4" w:space="0" w:color="auto"/>
              <w:left w:val="single" w:sz="4" w:space="0" w:color="auto"/>
              <w:bottom w:val="single" w:sz="4" w:space="0" w:color="auto"/>
              <w:right w:val="single" w:sz="4" w:space="0" w:color="auto"/>
            </w:tcBorders>
            <w:vAlign w:val="center"/>
          </w:tcPr>
          <w:p w14:paraId="36B738A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交银施罗德臻选回报混合型证券投资基金基金合同摘要</w:t>
            </w:r>
          </w:p>
        </w:tc>
        <w:tc>
          <w:tcPr>
            <w:tcW w:w="750" w:type="pct"/>
            <w:tcBorders>
              <w:top w:val="single" w:sz="4" w:space="0" w:color="auto"/>
              <w:left w:val="single" w:sz="4" w:space="0" w:color="auto"/>
              <w:bottom w:val="single" w:sz="4" w:space="0" w:color="auto"/>
              <w:right w:val="single" w:sz="4" w:space="0" w:color="auto"/>
            </w:tcBorders>
            <w:vAlign w:val="center"/>
          </w:tcPr>
          <w:p w14:paraId="2E05F34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553C27D"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4774E75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9BBEFA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6</w:t>
            </w:r>
          </w:p>
        </w:tc>
        <w:tc>
          <w:tcPr>
            <w:tcW w:w="750" w:type="pct"/>
            <w:tcBorders>
              <w:top w:val="single" w:sz="4" w:space="0" w:color="auto"/>
              <w:left w:val="single" w:sz="4" w:space="0" w:color="auto"/>
              <w:bottom w:val="single" w:sz="4" w:space="0" w:color="auto"/>
              <w:right w:val="single" w:sz="4" w:space="0" w:color="auto"/>
            </w:tcBorders>
            <w:vAlign w:val="center"/>
          </w:tcPr>
          <w:p w14:paraId="59E511B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交银施罗德臻选回报混合型证券投资基金托管协议</w:t>
            </w:r>
          </w:p>
        </w:tc>
        <w:tc>
          <w:tcPr>
            <w:tcW w:w="750" w:type="pct"/>
            <w:tcBorders>
              <w:top w:val="single" w:sz="4" w:space="0" w:color="auto"/>
              <w:left w:val="single" w:sz="4" w:space="0" w:color="auto"/>
              <w:bottom w:val="single" w:sz="4" w:space="0" w:color="auto"/>
              <w:right w:val="single" w:sz="4" w:space="0" w:color="auto"/>
            </w:tcBorders>
            <w:vAlign w:val="center"/>
          </w:tcPr>
          <w:p w14:paraId="43E64B1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4DC6E0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7C532B0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ADCD43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7</w:t>
            </w:r>
          </w:p>
        </w:tc>
        <w:tc>
          <w:tcPr>
            <w:tcW w:w="750" w:type="pct"/>
            <w:tcBorders>
              <w:top w:val="single" w:sz="4" w:space="0" w:color="auto"/>
              <w:left w:val="single" w:sz="4" w:space="0" w:color="auto"/>
              <w:bottom w:val="single" w:sz="4" w:space="0" w:color="auto"/>
              <w:right w:val="single" w:sz="4" w:space="0" w:color="auto"/>
            </w:tcBorders>
            <w:vAlign w:val="center"/>
          </w:tcPr>
          <w:p w14:paraId="34C7393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交银施罗德臻选回报混合型证券投资基金招募说明书</w:t>
            </w:r>
          </w:p>
        </w:tc>
        <w:tc>
          <w:tcPr>
            <w:tcW w:w="750" w:type="pct"/>
            <w:tcBorders>
              <w:top w:val="single" w:sz="4" w:space="0" w:color="auto"/>
              <w:left w:val="single" w:sz="4" w:space="0" w:color="auto"/>
              <w:bottom w:val="single" w:sz="4" w:space="0" w:color="auto"/>
              <w:right w:val="single" w:sz="4" w:space="0" w:color="auto"/>
            </w:tcBorders>
            <w:vAlign w:val="center"/>
          </w:tcPr>
          <w:p w14:paraId="59EB0C5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945F84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2020-12-04</w:t>
            </w:r>
          </w:p>
        </w:tc>
      </w:tr>
      <w:tr w:rsidR="00B164D3" w14:paraId="5E54976C"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DA6F7A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8</w:t>
            </w:r>
          </w:p>
        </w:tc>
        <w:tc>
          <w:tcPr>
            <w:tcW w:w="750" w:type="pct"/>
            <w:tcBorders>
              <w:top w:val="single" w:sz="4" w:space="0" w:color="auto"/>
              <w:left w:val="single" w:sz="4" w:space="0" w:color="auto"/>
              <w:bottom w:val="single" w:sz="4" w:space="0" w:color="auto"/>
              <w:right w:val="single" w:sz="4" w:space="0" w:color="auto"/>
            </w:tcBorders>
            <w:vAlign w:val="center"/>
          </w:tcPr>
          <w:p w14:paraId="29776D0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交银施罗德基金管理有限公司关于增加交银施罗德臻选回报混合型证券投资基金销售机构的公告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59F6C1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0022BB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2020-12-15</w:t>
            </w:r>
          </w:p>
        </w:tc>
      </w:tr>
      <w:tr w:rsidR="00B164D3" w14:paraId="173E6A2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E41F90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9</w:t>
            </w:r>
          </w:p>
        </w:tc>
        <w:tc>
          <w:tcPr>
            <w:tcW w:w="750" w:type="pct"/>
            <w:tcBorders>
              <w:top w:val="single" w:sz="4" w:space="0" w:color="auto"/>
              <w:left w:val="single" w:sz="4" w:space="0" w:color="auto"/>
              <w:bottom w:val="single" w:sz="4" w:space="0" w:color="auto"/>
              <w:right w:val="single" w:sz="4" w:space="0" w:color="auto"/>
            </w:tcBorders>
            <w:vAlign w:val="center"/>
          </w:tcPr>
          <w:p w14:paraId="73FC5A5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交银施罗德基金管理有限公司关于增加交银施罗德臻选回报混合型证券投资基金销售机构的公告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323785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2CC008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2020-12-17</w:t>
            </w:r>
          </w:p>
        </w:tc>
      </w:tr>
      <w:tr w:rsidR="00B164D3" w14:paraId="10A467C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07C46D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10</w:t>
            </w:r>
          </w:p>
        </w:tc>
        <w:tc>
          <w:tcPr>
            <w:tcW w:w="750" w:type="pct"/>
            <w:tcBorders>
              <w:top w:val="single" w:sz="4" w:space="0" w:color="auto"/>
              <w:left w:val="single" w:sz="4" w:space="0" w:color="auto"/>
              <w:bottom w:val="single" w:sz="4" w:space="0" w:color="auto"/>
              <w:right w:val="single" w:sz="4" w:space="0" w:color="auto"/>
            </w:tcBorders>
            <w:vAlign w:val="center"/>
          </w:tcPr>
          <w:p w14:paraId="4AB6A80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交银施罗德基金管理有限公司关于交银施罗德臻选回报混合型证券投资基金可投资科创板股票的公告</w:t>
            </w:r>
          </w:p>
        </w:tc>
        <w:tc>
          <w:tcPr>
            <w:tcW w:w="750" w:type="pct"/>
            <w:tcBorders>
              <w:top w:val="single" w:sz="4" w:space="0" w:color="auto"/>
              <w:left w:val="single" w:sz="4" w:space="0" w:color="auto"/>
              <w:bottom w:val="single" w:sz="4" w:space="0" w:color="auto"/>
              <w:right w:val="single" w:sz="4" w:space="0" w:color="auto"/>
            </w:tcBorders>
            <w:vAlign w:val="center"/>
          </w:tcPr>
          <w:p w14:paraId="5C591365"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049F76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2020-12-24</w:t>
            </w:r>
          </w:p>
        </w:tc>
      </w:tr>
      <w:tr w:rsidR="00B164D3" w14:paraId="1A0BA976"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E2F37A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11</w:t>
            </w:r>
          </w:p>
        </w:tc>
        <w:tc>
          <w:tcPr>
            <w:tcW w:w="750" w:type="pct"/>
            <w:tcBorders>
              <w:top w:val="single" w:sz="4" w:space="0" w:color="auto"/>
              <w:left w:val="single" w:sz="4" w:space="0" w:color="auto"/>
              <w:bottom w:val="single" w:sz="4" w:space="0" w:color="auto"/>
              <w:right w:val="single" w:sz="4" w:space="0" w:color="auto"/>
            </w:tcBorders>
            <w:vAlign w:val="center"/>
          </w:tcPr>
          <w:p w14:paraId="4477F2F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交银施罗德基金管理有限公司关于交银施罗德臻选回报混合型证券投资基金基金合同生效公告</w:t>
            </w:r>
          </w:p>
        </w:tc>
        <w:tc>
          <w:tcPr>
            <w:tcW w:w="750" w:type="pct"/>
            <w:tcBorders>
              <w:top w:val="single" w:sz="4" w:space="0" w:color="auto"/>
              <w:left w:val="single" w:sz="4" w:space="0" w:color="auto"/>
              <w:bottom w:val="single" w:sz="4" w:space="0" w:color="auto"/>
              <w:right w:val="single" w:sz="4" w:space="0" w:color="auto"/>
            </w:tcBorders>
            <w:vAlign w:val="center"/>
          </w:tcPr>
          <w:p w14:paraId="48B1B98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526BC1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2020-12-24</w:t>
            </w:r>
          </w:p>
        </w:tc>
      </w:tr>
      <w:tr w:rsidR="00B164D3" w14:paraId="4DBEBB15"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C70D02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12</w:t>
            </w:r>
          </w:p>
        </w:tc>
        <w:tc>
          <w:tcPr>
            <w:tcW w:w="750" w:type="pct"/>
            <w:tcBorders>
              <w:top w:val="single" w:sz="4" w:space="0" w:color="auto"/>
              <w:left w:val="single" w:sz="4" w:space="0" w:color="auto"/>
              <w:bottom w:val="single" w:sz="4" w:space="0" w:color="auto"/>
              <w:right w:val="single" w:sz="4" w:space="0" w:color="auto"/>
            </w:tcBorders>
            <w:vAlign w:val="center"/>
          </w:tcPr>
          <w:p w14:paraId="1EEF7D6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交银施罗德基金管理有限公司关于旗下部分基金参加交通银行股份有限公司手机银行基金前端申购（含定期定额投资）费率优惠活动的公告</w:t>
            </w:r>
          </w:p>
        </w:tc>
        <w:tc>
          <w:tcPr>
            <w:tcW w:w="750" w:type="pct"/>
            <w:tcBorders>
              <w:top w:val="single" w:sz="4" w:space="0" w:color="auto"/>
              <w:left w:val="single" w:sz="4" w:space="0" w:color="auto"/>
              <w:bottom w:val="single" w:sz="4" w:space="0" w:color="auto"/>
              <w:right w:val="single" w:sz="4" w:space="0" w:color="auto"/>
            </w:tcBorders>
            <w:vAlign w:val="center"/>
          </w:tcPr>
          <w:p w14:paraId="64A9D81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2D2D83E"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2020-12-31</w:t>
            </w:r>
          </w:p>
        </w:tc>
      </w:tr>
      <w:tr w:rsidR="00B164D3" w14:paraId="29A42AB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291BF86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13</w:t>
            </w:r>
          </w:p>
        </w:tc>
        <w:tc>
          <w:tcPr>
            <w:tcW w:w="750" w:type="pct"/>
            <w:tcBorders>
              <w:top w:val="single" w:sz="4" w:space="0" w:color="auto"/>
              <w:left w:val="single" w:sz="4" w:space="0" w:color="auto"/>
              <w:bottom w:val="single" w:sz="4" w:space="0" w:color="auto"/>
              <w:right w:val="single" w:sz="4" w:space="0" w:color="auto"/>
            </w:tcBorders>
            <w:vAlign w:val="center"/>
          </w:tcPr>
          <w:p w14:paraId="31169211"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交银施罗德基金管理有限公司关于调整旗下部分基金投资范围并相应修改法律文件的公告</w:t>
            </w:r>
          </w:p>
        </w:tc>
        <w:tc>
          <w:tcPr>
            <w:tcW w:w="750" w:type="pct"/>
            <w:tcBorders>
              <w:top w:val="single" w:sz="4" w:space="0" w:color="auto"/>
              <w:left w:val="single" w:sz="4" w:space="0" w:color="auto"/>
              <w:bottom w:val="single" w:sz="4" w:space="0" w:color="auto"/>
              <w:right w:val="single" w:sz="4" w:space="0" w:color="auto"/>
            </w:tcBorders>
            <w:vAlign w:val="center"/>
          </w:tcPr>
          <w:p w14:paraId="49EE648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9944EE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2021-01-18</w:t>
            </w:r>
          </w:p>
        </w:tc>
      </w:tr>
      <w:tr w:rsidR="00B164D3" w14:paraId="48B2408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A089CA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14</w:t>
            </w:r>
          </w:p>
        </w:tc>
        <w:tc>
          <w:tcPr>
            <w:tcW w:w="750" w:type="pct"/>
            <w:tcBorders>
              <w:top w:val="single" w:sz="4" w:space="0" w:color="auto"/>
              <w:left w:val="single" w:sz="4" w:space="0" w:color="auto"/>
              <w:bottom w:val="single" w:sz="4" w:space="0" w:color="auto"/>
              <w:right w:val="single" w:sz="4" w:space="0" w:color="auto"/>
            </w:tcBorders>
            <w:vAlign w:val="center"/>
          </w:tcPr>
          <w:p w14:paraId="576EA68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交银施罗德臻选回报混合型证券投资基金基金产品资料概要更新</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r>
              <w:rPr>
                <w:rFonts w:ascii="Times New Roman" w:hAnsi="Times New Roman"/>
                <w:color w:val="000000"/>
                <w:kern w:val="0"/>
                <w:sz w:val="25"/>
                <w:szCs w:val="24"/>
              </w:rPr>
              <w:t>)</w:t>
            </w:r>
          </w:p>
        </w:tc>
        <w:tc>
          <w:tcPr>
            <w:tcW w:w="750" w:type="pct"/>
            <w:tcBorders>
              <w:top w:val="single" w:sz="4" w:space="0" w:color="auto"/>
              <w:left w:val="single" w:sz="4" w:space="0" w:color="auto"/>
              <w:bottom w:val="single" w:sz="4" w:space="0" w:color="auto"/>
              <w:right w:val="single" w:sz="4" w:space="0" w:color="auto"/>
            </w:tcBorders>
            <w:vAlign w:val="center"/>
          </w:tcPr>
          <w:p w14:paraId="4AF69C0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1CC610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2021-01-18</w:t>
            </w:r>
          </w:p>
        </w:tc>
      </w:tr>
      <w:tr w:rsidR="00B164D3" w14:paraId="3169F92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9613FF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15</w:t>
            </w:r>
          </w:p>
        </w:tc>
        <w:tc>
          <w:tcPr>
            <w:tcW w:w="750" w:type="pct"/>
            <w:tcBorders>
              <w:top w:val="single" w:sz="4" w:space="0" w:color="auto"/>
              <w:left w:val="single" w:sz="4" w:space="0" w:color="auto"/>
              <w:bottom w:val="single" w:sz="4" w:space="0" w:color="auto"/>
              <w:right w:val="single" w:sz="4" w:space="0" w:color="auto"/>
            </w:tcBorders>
            <w:vAlign w:val="center"/>
          </w:tcPr>
          <w:p w14:paraId="22DF11C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交银施罗德臻选回报混合型证券投资基金基金合同</w:t>
            </w:r>
          </w:p>
        </w:tc>
        <w:tc>
          <w:tcPr>
            <w:tcW w:w="750" w:type="pct"/>
            <w:tcBorders>
              <w:top w:val="single" w:sz="4" w:space="0" w:color="auto"/>
              <w:left w:val="single" w:sz="4" w:space="0" w:color="auto"/>
              <w:bottom w:val="single" w:sz="4" w:space="0" w:color="auto"/>
              <w:right w:val="single" w:sz="4" w:space="0" w:color="auto"/>
            </w:tcBorders>
            <w:vAlign w:val="center"/>
          </w:tcPr>
          <w:p w14:paraId="62B9409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7EF465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2021-01-18</w:t>
            </w:r>
          </w:p>
        </w:tc>
      </w:tr>
      <w:tr w:rsidR="00B164D3" w14:paraId="5E260B20"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892C8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16</w:t>
            </w:r>
          </w:p>
        </w:tc>
        <w:tc>
          <w:tcPr>
            <w:tcW w:w="750" w:type="pct"/>
            <w:tcBorders>
              <w:top w:val="single" w:sz="4" w:space="0" w:color="auto"/>
              <w:left w:val="single" w:sz="4" w:space="0" w:color="auto"/>
              <w:bottom w:val="single" w:sz="4" w:space="0" w:color="auto"/>
              <w:right w:val="single" w:sz="4" w:space="0" w:color="auto"/>
            </w:tcBorders>
            <w:vAlign w:val="center"/>
          </w:tcPr>
          <w:p w14:paraId="2E7D460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交银施罗德臻选回报混合型证券投资基金托管协议</w:t>
            </w:r>
          </w:p>
        </w:tc>
        <w:tc>
          <w:tcPr>
            <w:tcW w:w="750" w:type="pct"/>
            <w:tcBorders>
              <w:top w:val="single" w:sz="4" w:space="0" w:color="auto"/>
              <w:left w:val="single" w:sz="4" w:space="0" w:color="auto"/>
              <w:bottom w:val="single" w:sz="4" w:space="0" w:color="auto"/>
              <w:right w:val="single" w:sz="4" w:space="0" w:color="auto"/>
            </w:tcBorders>
            <w:vAlign w:val="center"/>
          </w:tcPr>
          <w:p w14:paraId="16F53DD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952F24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2021-01-18</w:t>
            </w:r>
          </w:p>
        </w:tc>
      </w:tr>
      <w:tr w:rsidR="00B164D3" w14:paraId="16188DB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485A955"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17</w:t>
            </w:r>
          </w:p>
        </w:tc>
        <w:tc>
          <w:tcPr>
            <w:tcW w:w="750" w:type="pct"/>
            <w:tcBorders>
              <w:top w:val="single" w:sz="4" w:space="0" w:color="auto"/>
              <w:left w:val="single" w:sz="4" w:space="0" w:color="auto"/>
              <w:bottom w:val="single" w:sz="4" w:space="0" w:color="auto"/>
              <w:right w:val="single" w:sz="4" w:space="0" w:color="auto"/>
            </w:tcBorders>
            <w:vAlign w:val="center"/>
          </w:tcPr>
          <w:p w14:paraId="46BE127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交银施罗德臻选回报混合型证券投资基金（更新）招募说明书（</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号）</w:t>
            </w:r>
          </w:p>
        </w:tc>
        <w:tc>
          <w:tcPr>
            <w:tcW w:w="750" w:type="pct"/>
            <w:tcBorders>
              <w:top w:val="single" w:sz="4" w:space="0" w:color="auto"/>
              <w:left w:val="single" w:sz="4" w:space="0" w:color="auto"/>
              <w:bottom w:val="single" w:sz="4" w:space="0" w:color="auto"/>
              <w:right w:val="single" w:sz="4" w:space="0" w:color="auto"/>
            </w:tcBorders>
            <w:vAlign w:val="center"/>
          </w:tcPr>
          <w:p w14:paraId="04D86C4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DBEA6F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2021-01-18</w:t>
            </w:r>
          </w:p>
        </w:tc>
      </w:tr>
      <w:tr w:rsidR="00B164D3" w14:paraId="42E2B9F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01E85E"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18</w:t>
            </w:r>
          </w:p>
        </w:tc>
        <w:tc>
          <w:tcPr>
            <w:tcW w:w="750" w:type="pct"/>
            <w:tcBorders>
              <w:top w:val="single" w:sz="4" w:space="0" w:color="auto"/>
              <w:left w:val="single" w:sz="4" w:space="0" w:color="auto"/>
              <w:bottom w:val="single" w:sz="4" w:space="0" w:color="auto"/>
              <w:right w:val="single" w:sz="4" w:space="0" w:color="auto"/>
            </w:tcBorders>
            <w:vAlign w:val="center"/>
          </w:tcPr>
          <w:p w14:paraId="2F3C492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交银施罗德基金管理有限公司关于高级管理人员变更的公告</w:t>
            </w:r>
          </w:p>
        </w:tc>
        <w:tc>
          <w:tcPr>
            <w:tcW w:w="750" w:type="pct"/>
            <w:tcBorders>
              <w:top w:val="single" w:sz="4" w:space="0" w:color="auto"/>
              <w:left w:val="single" w:sz="4" w:space="0" w:color="auto"/>
              <w:bottom w:val="single" w:sz="4" w:space="0" w:color="auto"/>
              <w:right w:val="single" w:sz="4" w:space="0" w:color="auto"/>
            </w:tcBorders>
            <w:vAlign w:val="center"/>
          </w:tcPr>
          <w:p w14:paraId="36CEF8F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D32047B"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2021-01-23</w:t>
            </w:r>
          </w:p>
        </w:tc>
      </w:tr>
      <w:tr w:rsidR="00B164D3" w14:paraId="5736023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0F0576C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19</w:t>
            </w:r>
          </w:p>
        </w:tc>
        <w:tc>
          <w:tcPr>
            <w:tcW w:w="750" w:type="pct"/>
            <w:tcBorders>
              <w:top w:val="single" w:sz="4" w:space="0" w:color="auto"/>
              <w:left w:val="single" w:sz="4" w:space="0" w:color="auto"/>
              <w:bottom w:val="single" w:sz="4" w:space="0" w:color="auto"/>
              <w:right w:val="single" w:sz="4" w:space="0" w:color="auto"/>
            </w:tcBorders>
            <w:vAlign w:val="center"/>
          </w:tcPr>
          <w:p w14:paraId="5FA96FC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交银施罗德基金管理有限公司关于交银施罗德臻选回报混合型证券投资基金开放日常申购、赎回业务的公告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0232F35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7AD878C"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2021-01-30</w:t>
            </w:r>
          </w:p>
        </w:tc>
      </w:tr>
      <w:tr w:rsidR="00B164D3" w14:paraId="02D71B3F"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E00E32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20</w:t>
            </w:r>
          </w:p>
        </w:tc>
        <w:tc>
          <w:tcPr>
            <w:tcW w:w="750" w:type="pct"/>
            <w:tcBorders>
              <w:top w:val="single" w:sz="4" w:space="0" w:color="auto"/>
              <w:left w:val="single" w:sz="4" w:space="0" w:color="auto"/>
              <w:bottom w:val="single" w:sz="4" w:space="0" w:color="auto"/>
              <w:right w:val="single" w:sz="4" w:space="0" w:color="auto"/>
            </w:tcBorders>
            <w:vAlign w:val="center"/>
          </w:tcPr>
          <w:p w14:paraId="13175F2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交银施罗德基金管理有限公司关于增加中国国际金融股份有限公司为旗下基金销售机构的公告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02AB45E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7FA54864"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2021-02-08</w:t>
            </w:r>
          </w:p>
        </w:tc>
      </w:tr>
      <w:tr w:rsidR="00B164D3" w14:paraId="79978139"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13CEE1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21</w:t>
            </w:r>
          </w:p>
        </w:tc>
        <w:tc>
          <w:tcPr>
            <w:tcW w:w="750" w:type="pct"/>
            <w:tcBorders>
              <w:top w:val="single" w:sz="4" w:space="0" w:color="auto"/>
              <w:left w:val="single" w:sz="4" w:space="0" w:color="auto"/>
              <w:bottom w:val="single" w:sz="4" w:space="0" w:color="auto"/>
              <w:right w:val="single" w:sz="4" w:space="0" w:color="auto"/>
            </w:tcBorders>
            <w:vAlign w:val="center"/>
          </w:tcPr>
          <w:p w14:paraId="6987D18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交银施罗德基金管理有限公司关于交银施罗德臻选回报混合型证券投资基金暂停大额申购业务的公告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1A7D6C8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8BA2E85"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2021-02-27</w:t>
            </w:r>
          </w:p>
        </w:tc>
      </w:tr>
      <w:tr w:rsidR="00B164D3" w14:paraId="321E277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44570E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22</w:t>
            </w:r>
          </w:p>
        </w:tc>
        <w:tc>
          <w:tcPr>
            <w:tcW w:w="750" w:type="pct"/>
            <w:tcBorders>
              <w:top w:val="single" w:sz="4" w:space="0" w:color="auto"/>
              <w:left w:val="single" w:sz="4" w:space="0" w:color="auto"/>
              <w:bottom w:val="single" w:sz="4" w:space="0" w:color="auto"/>
              <w:right w:val="single" w:sz="4" w:space="0" w:color="auto"/>
            </w:tcBorders>
            <w:vAlign w:val="center"/>
          </w:tcPr>
          <w:p w14:paraId="370917E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交银施罗德基金管理有限公司关于增加中国国际金融股份有限公司为旗下基金销售机构的公告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72E5AA9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FCD4D5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2021-03-18</w:t>
            </w:r>
          </w:p>
        </w:tc>
      </w:tr>
      <w:tr w:rsidR="00B164D3" w14:paraId="36E34292"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9DD57C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23</w:t>
            </w:r>
          </w:p>
        </w:tc>
        <w:tc>
          <w:tcPr>
            <w:tcW w:w="750" w:type="pct"/>
            <w:tcBorders>
              <w:top w:val="single" w:sz="4" w:space="0" w:color="auto"/>
              <w:left w:val="single" w:sz="4" w:space="0" w:color="auto"/>
              <w:bottom w:val="single" w:sz="4" w:space="0" w:color="auto"/>
              <w:right w:val="single" w:sz="4" w:space="0" w:color="auto"/>
            </w:tcBorders>
            <w:vAlign w:val="center"/>
          </w:tcPr>
          <w:p w14:paraId="4B7E1D34"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2020</w:t>
            </w:r>
            <w:r>
              <w:rPr>
                <w:rFonts w:ascii="Times New Roman" w:hAnsi="Times New Roman"/>
                <w:color w:val="000000"/>
                <w:kern w:val="0"/>
                <w:sz w:val="25"/>
                <w:szCs w:val="24"/>
              </w:rPr>
              <w:t>年年度报告</w:t>
            </w:r>
          </w:p>
        </w:tc>
        <w:tc>
          <w:tcPr>
            <w:tcW w:w="750" w:type="pct"/>
            <w:tcBorders>
              <w:top w:val="single" w:sz="4" w:space="0" w:color="auto"/>
              <w:left w:val="single" w:sz="4" w:space="0" w:color="auto"/>
              <w:bottom w:val="single" w:sz="4" w:space="0" w:color="auto"/>
              <w:right w:val="single" w:sz="4" w:space="0" w:color="auto"/>
            </w:tcBorders>
            <w:vAlign w:val="center"/>
          </w:tcPr>
          <w:p w14:paraId="4033238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04E74233"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2021-03-30</w:t>
            </w:r>
          </w:p>
        </w:tc>
      </w:tr>
      <w:tr w:rsidR="00B164D3" w14:paraId="596BC547"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77D9CA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lastRenderedPageBreak/>
              <w:t>24</w:t>
            </w:r>
          </w:p>
        </w:tc>
        <w:tc>
          <w:tcPr>
            <w:tcW w:w="750" w:type="pct"/>
            <w:tcBorders>
              <w:top w:val="single" w:sz="4" w:space="0" w:color="auto"/>
              <w:left w:val="single" w:sz="4" w:space="0" w:color="auto"/>
              <w:bottom w:val="single" w:sz="4" w:space="0" w:color="auto"/>
              <w:right w:val="single" w:sz="4" w:space="0" w:color="auto"/>
            </w:tcBorders>
            <w:vAlign w:val="center"/>
          </w:tcPr>
          <w:p w14:paraId="38F0772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交银施罗德基金管理有限公司关于交银施罗德臻选回报混合型证券投资基金开放定期定额投资业务的公告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7C1913D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91B5A8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2021-04-20</w:t>
            </w:r>
          </w:p>
        </w:tc>
      </w:tr>
      <w:tr w:rsidR="00B164D3" w14:paraId="4B6383E3"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167C1A6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25</w:t>
            </w:r>
          </w:p>
        </w:tc>
        <w:tc>
          <w:tcPr>
            <w:tcW w:w="750" w:type="pct"/>
            <w:tcBorders>
              <w:top w:val="single" w:sz="4" w:space="0" w:color="auto"/>
              <w:left w:val="single" w:sz="4" w:space="0" w:color="auto"/>
              <w:bottom w:val="single" w:sz="4" w:space="0" w:color="auto"/>
              <w:right w:val="single" w:sz="4" w:space="0" w:color="auto"/>
            </w:tcBorders>
            <w:vAlign w:val="center"/>
          </w:tcPr>
          <w:p w14:paraId="320D7A38"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1</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4A1694E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5F5B4499"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2021-04-21</w:t>
            </w:r>
          </w:p>
        </w:tc>
      </w:tr>
      <w:tr w:rsidR="00B164D3" w14:paraId="7BA4106A"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3C7814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26</w:t>
            </w:r>
          </w:p>
        </w:tc>
        <w:tc>
          <w:tcPr>
            <w:tcW w:w="750" w:type="pct"/>
            <w:tcBorders>
              <w:top w:val="single" w:sz="4" w:space="0" w:color="auto"/>
              <w:left w:val="single" w:sz="4" w:space="0" w:color="auto"/>
              <w:bottom w:val="single" w:sz="4" w:space="0" w:color="auto"/>
              <w:right w:val="single" w:sz="4" w:space="0" w:color="auto"/>
            </w:tcBorders>
            <w:vAlign w:val="center"/>
          </w:tcPr>
          <w:p w14:paraId="57B7EE51"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交银施罗德基金管理有限公司关于副总经理任职的公告</w:t>
            </w:r>
          </w:p>
        </w:tc>
        <w:tc>
          <w:tcPr>
            <w:tcW w:w="750" w:type="pct"/>
            <w:tcBorders>
              <w:top w:val="single" w:sz="4" w:space="0" w:color="auto"/>
              <w:left w:val="single" w:sz="4" w:space="0" w:color="auto"/>
              <w:bottom w:val="single" w:sz="4" w:space="0" w:color="auto"/>
              <w:right w:val="single" w:sz="4" w:space="0" w:color="auto"/>
            </w:tcBorders>
            <w:vAlign w:val="center"/>
          </w:tcPr>
          <w:p w14:paraId="463E6B9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3B39690"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2021-04-24</w:t>
            </w:r>
          </w:p>
        </w:tc>
      </w:tr>
      <w:tr w:rsidR="00B164D3" w14:paraId="06FB583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016A73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27</w:t>
            </w:r>
          </w:p>
        </w:tc>
        <w:tc>
          <w:tcPr>
            <w:tcW w:w="750" w:type="pct"/>
            <w:tcBorders>
              <w:top w:val="single" w:sz="4" w:space="0" w:color="auto"/>
              <w:left w:val="single" w:sz="4" w:space="0" w:color="auto"/>
              <w:bottom w:val="single" w:sz="4" w:space="0" w:color="auto"/>
              <w:right w:val="single" w:sz="4" w:space="0" w:color="auto"/>
            </w:tcBorders>
            <w:vAlign w:val="center"/>
          </w:tcPr>
          <w:p w14:paraId="601AF5B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交银施罗德基金管理有限公司关于交银施罗德臻选回报混合型证券投资基金恢复大额申购、定期定额投资业务的公告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0551B23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2A2FCDEA"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2021-06-02</w:t>
            </w:r>
          </w:p>
        </w:tc>
      </w:tr>
      <w:tr w:rsidR="00B164D3" w14:paraId="6E8B122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374C18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28</w:t>
            </w:r>
          </w:p>
        </w:tc>
        <w:tc>
          <w:tcPr>
            <w:tcW w:w="750" w:type="pct"/>
            <w:tcBorders>
              <w:top w:val="single" w:sz="4" w:space="0" w:color="auto"/>
              <w:left w:val="single" w:sz="4" w:space="0" w:color="auto"/>
              <w:bottom w:val="single" w:sz="4" w:space="0" w:color="auto"/>
              <w:right w:val="single" w:sz="4" w:space="0" w:color="auto"/>
            </w:tcBorders>
            <w:vAlign w:val="center"/>
          </w:tcPr>
          <w:p w14:paraId="61320A33"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交银施罗德基金管理有限公司关于交银施罗德臻选回报混合型证券投资基金暂停大额申购、定期定额投资业务的公告</w:t>
            </w:r>
          </w:p>
        </w:tc>
        <w:tc>
          <w:tcPr>
            <w:tcW w:w="750" w:type="pct"/>
            <w:tcBorders>
              <w:top w:val="single" w:sz="4" w:space="0" w:color="auto"/>
              <w:left w:val="single" w:sz="4" w:space="0" w:color="auto"/>
              <w:bottom w:val="single" w:sz="4" w:space="0" w:color="auto"/>
              <w:right w:val="single" w:sz="4" w:space="0" w:color="auto"/>
            </w:tcBorders>
            <w:vAlign w:val="center"/>
          </w:tcPr>
          <w:p w14:paraId="57BE278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5007B6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2021-07-13</w:t>
            </w:r>
          </w:p>
        </w:tc>
      </w:tr>
      <w:tr w:rsidR="00B164D3" w14:paraId="1B66AFBD"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684560E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29</w:t>
            </w:r>
          </w:p>
        </w:tc>
        <w:tc>
          <w:tcPr>
            <w:tcW w:w="750" w:type="pct"/>
            <w:tcBorders>
              <w:top w:val="single" w:sz="4" w:space="0" w:color="auto"/>
              <w:left w:val="single" w:sz="4" w:space="0" w:color="auto"/>
              <w:bottom w:val="single" w:sz="4" w:space="0" w:color="auto"/>
              <w:right w:val="single" w:sz="4" w:space="0" w:color="auto"/>
            </w:tcBorders>
            <w:vAlign w:val="center"/>
          </w:tcPr>
          <w:p w14:paraId="48A350DD"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年第</w:t>
            </w:r>
            <w:r>
              <w:rPr>
                <w:rFonts w:ascii="Times New Roman" w:hAnsi="Times New Roman"/>
                <w:color w:val="000000"/>
                <w:kern w:val="0"/>
                <w:sz w:val="25"/>
                <w:szCs w:val="24"/>
              </w:rPr>
              <w:t>2</w:t>
            </w:r>
            <w:r>
              <w:rPr>
                <w:rFonts w:ascii="Times New Roman" w:hAnsi="Times New Roman"/>
                <w:color w:val="000000"/>
                <w:kern w:val="0"/>
                <w:sz w:val="25"/>
                <w:szCs w:val="24"/>
              </w:rPr>
              <w:t>季度报告</w:t>
            </w:r>
          </w:p>
        </w:tc>
        <w:tc>
          <w:tcPr>
            <w:tcW w:w="750" w:type="pct"/>
            <w:tcBorders>
              <w:top w:val="single" w:sz="4" w:space="0" w:color="auto"/>
              <w:left w:val="single" w:sz="4" w:space="0" w:color="auto"/>
              <w:bottom w:val="single" w:sz="4" w:space="0" w:color="auto"/>
              <w:right w:val="single" w:sz="4" w:space="0" w:color="auto"/>
            </w:tcBorders>
            <w:vAlign w:val="center"/>
          </w:tcPr>
          <w:p w14:paraId="3C620B0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184EA042"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2021-07-20</w:t>
            </w:r>
          </w:p>
        </w:tc>
      </w:tr>
      <w:tr w:rsidR="00B164D3" w14:paraId="2DE2EFF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4D709C22"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30</w:t>
            </w:r>
          </w:p>
        </w:tc>
        <w:tc>
          <w:tcPr>
            <w:tcW w:w="750" w:type="pct"/>
            <w:tcBorders>
              <w:top w:val="single" w:sz="4" w:space="0" w:color="auto"/>
              <w:left w:val="single" w:sz="4" w:space="0" w:color="auto"/>
              <w:bottom w:val="single" w:sz="4" w:space="0" w:color="auto"/>
              <w:right w:val="single" w:sz="4" w:space="0" w:color="auto"/>
            </w:tcBorders>
            <w:vAlign w:val="center"/>
          </w:tcPr>
          <w:p w14:paraId="7422A036"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交银施罗德基金管理有限公司关于警惕冒用公司名义进行诈骗活动的提示性公告</w:t>
            </w:r>
          </w:p>
        </w:tc>
        <w:tc>
          <w:tcPr>
            <w:tcW w:w="750" w:type="pct"/>
            <w:tcBorders>
              <w:top w:val="single" w:sz="4" w:space="0" w:color="auto"/>
              <w:left w:val="single" w:sz="4" w:space="0" w:color="auto"/>
              <w:bottom w:val="single" w:sz="4" w:space="0" w:color="auto"/>
              <w:right w:val="single" w:sz="4" w:space="0" w:color="auto"/>
            </w:tcBorders>
            <w:vAlign w:val="center"/>
          </w:tcPr>
          <w:p w14:paraId="6F692BF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0C91978"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2021-07-27</w:t>
            </w:r>
          </w:p>
        </w:tc>
      </w:tr>
      <w:tr w:rsidR="00B164D3" w14:paraId="5EE042B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61D2C6C"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31</w:t>
            </w:r>
          </w:p>
        </w:tc>
        <w:tc>
          <w:tcPr>
            <w:tcW w:w="750" w:type="pct"/>
            <w:tcBorders>
              <w:top w:val="single" w:sz="4" w:space="0" w:color="auto"/>
              <w:left w:val="single" w:sz="4" w:space="0" w:color="auto"/>
              <w:bottom w:val="single" w:sz="4" w:space="0" w:color="auto"/>
              <w:right w:val="single" w:sz="4" w:space="0" w:color="auto"/>
            </w:tcBorders>
            <w:vAlign w:val="center"/>
          </w:tcPr>
          <w:p w14:paraId="583E2CE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交银施罗德基金管理有限公司关于增加招商银行股份有限公司为旗下基金销售机构的公告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644EB6D9"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3AC97D7F"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2021-08-10</w:t>
            </w:r>
          </w:p>
        </w:tc>
      </w:tr>
      <w:tr w:rsidR="00B164D3" w14:paraId="3E0C36BE"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5C6CF8B7"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32</w:t>
            </w:r>
          </w:p>
        </w:tc>
        <w:tc>
          <w:tcPr>
            <w:tcW w:w="750" w:type="pct"/>
            <w:tcBorders>
              <w:top w:val="single" w:sz="4" w:space="0" w:color="auto"/>
              <w:left w:val="single" w:sz="4" w:space="0" w:color="auto"/>
              <w:bottom w:val="single" w:sz="4" w:space="0" w:color="auto"/>
              <w:right w:val="single" w:sz="4" w:space="0" w:color="auto"/>
            </w:tcBorders>
            <w:vAlign w:val="center"/>
          </w:tcPr>
          <w:p w14:paraId="5B8E7D3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交银施罗德臻选回报混合型证券投资基金</w:t>
            </w:r>
            <w:r>
              <w:rPr>
                <w:rFonts w:ascii="Times New Roman" w:hAnsi="Times New Roman"/>
                <w:color w:val="000000"/>
                <w:kern w:val="0"/>
                <w:sz w:val="25"/>
                <w:szCs w:val="24"/>
              </w:rPr>
              <w:t>2021</w:t>
            </w:r>
            <w:r>
              <w:rPr>
                <w:rFonts w:ascii="Times New Roman" w:hAnsi="Times New Roman"/>
                <w:color w:val="000000"/>
                <w:kern w:val="0"/>
                <w:sz w:val="25"/>
                <w:szCs w:val="24"/>
              </w:rPr>
              <w:t>年中期报告</w:t>
            </w:r>
          </w:p>
        </w:tc>
        <w:tc>
          <w:tcPr>
            <w:tcW w:w="750" w:type="pct"/>
            <w:tcBorders>
              <w:top w:val="single" w:sz="4" w:space="0" w:color="auto"/>
              <w:left w:val="single" w:sz="4" w:space="0" w:color="auto"/>
              <w:bottom w:val="single" w:sz="4" w:space="0" w:color="auto"/>
              <w:right w:val="single" w:sz="4" w:space="0" w:color="auto"/>
            </w:tcBorders>
            <w:vAlign w:val="center"/>
          </w:tcPr>
          <w:p w14:paraId="04658C2F"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46BF9036"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2021-08-30</w:t>
            </w:r>
          </w:p>
        </w:tc>
      </w:tr>
      <w:tr w:rsidR="00B164D3" w14:paraId="6CB9EE7B" w14:textId="77777777">
        <w:trPr>
          <w:cantSplit/>
          <w:trHeight w:val="375"/>
        </w:trPr>
        <w:tc>
          <w:tcPr>
            <w:tcW w:w="250" w:type="pct"/>
            <w:tcBorders>
              <w:top w:val="single" w:sz="4" w:space="0" w:color="auto"/>
              <w:left w:val="single" w:sz="4" w:space="0" w:color="auto"/>
              <w:bottom w:val="single" w:sz="4" w:space="0" w:color="auto"/>
              <w:right w:val="single" w:sz="4" w:space="0" w:color="auto"/>
            </w:tcBorders>
            <w:vAlign w:val="center"/>
          </w:tcPr>
          <w:p w14:paraId="759CE9AB"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33</w:t>
            </w:r>
          </w:p>
        </w:tc>
        <w:tc>
          <w:tcPr>
            <w:tcW w:w="750" w:type="pct"/>
            <w:tcBorders>
              <w:top w:val="single" w:sz="4" w:space="0" w:color="auto"/>
              <w:left w:val="single" w:sz="4" w:space="0" w:color="auto"/>
              <w:bottom w:val="single" w:sz="4" w:space="0" w:color="auto"/>
              <w:right w:val="single" w:sz="4" w:space="0" w:color="auto"/>
            </w:tcBorders>
            <w:vAlign w:val="center"/>
          </w:tcPr>
          <w:p w14:paraId="1FBD2C60"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交银施罗德基金管理有限公司关于增加上海天天基金销售有限公司为旗下基金销售机构的公告</w:t>
            </w:r>
          </w:p>
        </w:tc>
        <w:tc>
          <w:tcPr>
            <w:tcW w:w="750" w:type="pct"/>
            <w:tcBorders>
              <w:top w:val="single" w:sz="4" w:space="0" w:color="auto"/>
              <w:left w:val="single" w:sz="4" w:space="0" w:color="auto"/>
              <w:bottom w:val="single" w:sz="4" w:space="0" w:color="auto"/>
              <w:right w:val="single" w:sz="4" w:space="0" w:color="auto"/>
            </w:tcBorders>
            <w:vAlign w:val="center"/>
          </w:tcPr>
          <w:p w14:paraId="375C1E0A" w14:textId="77777777" w:rsidR="00B164D3" w:rsidRDefault="000605B5">
            <w:pPr>
              <w:widowControl/>
              <w:snapToGrid w:val="0"/>
              <w:jc w:val="left"/>
              <w:rPr>
                <w:rFonts w:ascii="宋体" w:hAnsi="宋体"/>
                <w:color w:val="000000"/>
                <w:kern w:val="0"/>
                <w:sz w:val="25"/>
                <w:szCs w:val="24"/>
              </w:rPr>
            </w:pPr>
            <w:r>
              <w:rPr>
                <w:rFonts w:ascii="Times New Roman" w:hAnsi="Times New Roman"/>
                <w:color w:val="000000"/>
                <w:kern w:val="0"/>
                <w:sz w:val="25"/>
                <w:szCs w:val="24"/>
              </w:rPr>
              <w:t>中国证监会规定媒体及公司网站</w:t>
            </w:r>
          </w:p>
        </w:tc>
        <w:tc>
          <w:tcPr>
            <w:tcW w:w="400" w:type="pct"/>
            <w:tcBorders>
              <w:top w:val="single" w:sz="4" w:space="0" w:color="auto"/>
              <w:left w:val="single" w:sz="4" w:space="0" w:color="auto"/>
              <w:bottom w:val="single" w:sz="4" w:space="0" w:color="auto"/>
              <w:right w:val="single" w:sz="4" w:space="0" w:color="auto"/>
            </w:tcBorders>
            <w:vAlign w:val="center"/>
          </w:tcPr>
          <w:p w14:paraId="63F94431" w14:textId="77777777" w:rsidR="00B164D3" w:rsidRDefault="000605B5">
            <w:pPr>
              <w:widowControl/>
              <w:snapToGrid w:val="0"/>
              <w:jc w:val="center"/>
              <w:rPr>
                <w:rFonts w:ascii="宋体" w:hAnsi="宋体"/>
                <w:color w:val="000000"/>
                <w:kern w:val="0"/>
                <w:sz w:val="25"/>
                <w:szCs w:val="24"/>
              </w:rPr>
            </w:pPr>
            <w:r>
              <w:rPr>
                <w:rFonts w:ascii="Times New Roman" w:hAnsi="Times New Roman"/>
                <w:color w:val="000000"/>
                <w:kern w:val="0"/>
                <w:sz w:val="25"/>
                <w:szCs w:val="24"/>
              </w:rPr>
              <w:t>2021-08-31</w:t>
            </w:r>
          </w:p>
        </w:tc>
      </w:tr>
    </w:tbl>
    <w:p w14:paraId="33FEC6FE" w14:textId="77777777" w:rsidR="00B164D3" w:rsidRDefault="00B164D3">
      <w:pPr>
        <w:autoSpaceDE w:val="0"/>
        <w:autoSpaceDN w:val="0"/>
        <w:adjustRightInd w:val="0"/>
        <w:snapToGrid w:val="0"/>
        <w:spacing w:line="360" w:lineRule="auto"/>
        <w:ind w:firstLineChars="200" w:firstLine="420"/>
        <w:jc w:val="left"/>
        <w:rPr>
          <w:rFonts w:ascii="宋体" w:hAnsi="宋体"/>
          <w:szCs w:val="24"/>
        </w:rPr>
      </w:pPr>
    </w:p>
    <w:p w14:paraId="5024BDBD"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2C8FCFBB" w14:textId="77777777" w:rsidR="00B164D3" w:rsidRDefault="000605B5">
      <w:pPr>
        <w:pStyle w:val="1"/>
        <w:snapToGrid w:val="0"/>
        <w:spacing w:beforeLines="0" w:before="240" w:after="240"/>
        <w:rPr>
          <w:rFonts w:ascii="宋体" w:hAnsi="宋体"/>
          <w:szCs w:val="30"/>
        </w:rPr>
      </w:pPr>
      <w:bookmarkStart w:id="27" w:name="_Toc85115639"/>
      <w:r>
        <w:rPr>
          <w:rFonts w:ascii="Times New Roman" w:hAnsi="Times New Roman"/>
          <w:sz w:val="30"/>
        </w:rPr>
        <w:lastRenderedPageBreak/>
        <w:t>二十四、招募说明书的存放及查阅方式</w:t>
      </w:r>
      <w:bookmarkEnd w:id="27"/>
    </w:p>
    <w:p w14:paraId="24210B22"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招募说明书存放在基金管理人、基金托管人和基金销售机构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p>
    <w:p w14:paraId="22B4D4CB"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投资人还可以直接登录基金管理人的网站（www.fund001.com）查阅和下载招募说明书。</w:t>
      </w:r>
    </w:p>
    <w:p w14:paraId="0E54477E" w14:textId="77777777" w:rsidR="00E349C5" w:rsidRDefault="000605B5" w:rsidP="00E349C5">
      <w:pPr>
        <w:autoSpaceDE w:val="0"/>
        <w:autoSpaceDN w:val="0"/>
        <w:adjustRightInd w:val="0"/>
        <w:spacing w:line="360" w:lineRule="auto"/>
        <w:ind w:firstLineChars="200" w:firstLine="480"/>
        <w:rPr>
          <w:rFonts w:ascii="宋体" w:hAnsi="宋体"/>
          <w:szCs w:val="24"/>
        </w:rPr>
      </w:pPr>
      <w:r>
        <w:rPr>
          <w:rFonts w:ascii="宋体" w:hAnsi="宋体"/>
          <w:sz w:val="24"/>
        </w:rPr>
        <w:br w:type="page"/>
      </w:r>
    </w:p>
    <w:p w14:paraId="524754C9" w14:textId="77777777" w:rsidR="00B164D3" w:rsidRDefault="000605B5">
      <w:pPr>
        <w:pStyle w:val="1"/>
        <w:snapToGrid w:val="0"/>
        <w:spacing w:beforeLines="0" w:before="240" w:after="240"/>
        <w:rPr>
          <w:rFonts w:ascii="宋体" w:hAnsi="宋体"/>
          <w:szCs w:val="30"/>
        </w:rPr>
      </w:pPr>
      <w:bookmarkStart w:id="28" w:name="_Toc85115640"/>
      <w:r>
        <w:rPr>
          <w:rFonts w:ascii="Times New Roman" w:hAnsi="Times New Roman"/>
          <w:sz w:val="30"/>
        </w:rPr>
        <w:lastRenderedPageBreak/>
        <w:t>二十五、备查文件</w:t>
      </w:r>
      <w:bookmarkEnd w:id="28"/>
    </w:p>
    <w:p w14:paraId="158C7CB6"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以下备查文件存放在基金管理人的办公场所，在办公时间可供免费查阅。</w:t>
      </w:r>
    </w:p>
    <w:p w14:paraId="499915DA"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（一）中国证监会准予交银施罗德臻选回报混合型证券投资基金募集注册的文件</w:t>
      </w:r>
    </w:p>
    <w:p w14:paraId="10E82DD4"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（二）《交银施罗德臻选回报混合型证券投资基金基金合同》</w:t>
      </w:r>
    </w:p>
    <w:p w14:paraId="3632EB7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（三）《交银施罗德臻选回报混合型证券投资基金托管协议》</w:t>
      </w:r>
    </w:p>
    <w:p w14:paraId="5A811391"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（四）基金管理人业务资格批件、营业执照</w:t>
      </w:r>
    </w:p>
    <w:p w14:paraId="24D896DE"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（五）基金托管人业务资格批件、营业执照</w:t>
      </w:r>
    </w:p>
    <w:p w14:paraId="2420796C" w14:textId="77777777" w:rsidR="00B164D3" w:rsidRDefault="000605B5">
      <w:pPr>
        <w:autoSpaceDE w:val="0"/>
        <w:autoSpaceDN w:val="0"/>
        <w:adjustRightInd w:val="0"/>
        <w:snapToGrid w:val="0"/>
        <w:spacing w:line="360" w:lineRule="auto"/>
        <w:ind w:firstLineChars="200" w:firstLine="480"/>
        <w:jc w:val="left"/>
        <w:rPr>
          <w:rFonts w:ascii="宋体" w:hAnsi="宋体"/>
          <w:szCs w:val="24"/>
        </w:rPr>
      </w:pPr>
      <w:r>
        <w:rPr>
          <w:rFonts w:ascii="宋体" w:hAnsi="宋体"/>
          <w:sz w:val="24"/>
        </w:rPr>
        <w:t>（六）关于申请募集注册交银施罗德臻选回报混合型证券投资基金的法律意见书</w:t>
      </w:r>
    </w:p>
    <w:sectPr w:rsidR="00B164D3">
      <w:footerReference w:type="default" r:id="rId14"/>
      <w:pgSz w:w="11920" w:h="16840"/>
      <w:pgMar w:top="1360" w:right="1580" w:bottom="280" w:left="1680" w:header="0" w:footer="1186"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79928" w16cid:durableId="25C24AAE"/>
  <w16cid:commentId w16cid:paraId="6FB1CA8B" w16cid:durableId="25C24AAF"/>
  <w16cid:commentId w16cid:paraId="1152159F" w16cid:durableId="25C24B9F"/>
  <w16cid:commentId w16cid:paraId="5E4B2C30" w16cid:durableId="25C24AB0"/>
  <w16cid:commentId w16cid:paraId="264BD390" w16cid:durableId="25C24AB1"/>
  <w16cid:commentId w16cid:paraId="4FA4AF02" w16cid:durableId="25C24A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7076B" w14:textId="77777777" w:rsidR="002217D8" w:rsidRDefault="002217D8">
      <w:r>
        <w:separator/>
      </w:r>
    </w:p>
  </w:endnote>
  <w:endnote w:type="continuationSeparator" w:id="0">
    <w:p w14:paraId="75194716" w14:textId="77777777" w:rsidR="002217D8" w:rsidRDefault="0022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6AD7" w14:textId="7D9AC4D4" w:rsidR="004464A1" w:rsidRDefault="004464A1">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8752" behindDoc="1" locked="0" layoutInCell="0" allowOverlap="1" wp14:anchorId="0812BF03" wp14:editId="5F41E27D">
              <wp:simplePos x="0" y="0"/>
              <wp:positionH relativeFrom="page">
                <wp:posOffset>3726180</wp:posOffset>
              </wp:positionH>
              <wp:positionV relativeFrom="page">
                <wp:posOffset>9939020</wp:posOffset>
              </wp:positionV>
              <wp:extent cx="27432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C74B3" w14:textId="60C96116" w:rsidR="004464A1" w:rsidRDefault="004464A1">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C20B39">
                            <w:rPr>
                              <w:rFonts w:ascii="Times New Roman" w:hAnsi="Times New Roman"/>
                              <w:noProof/>
                              <w:kern w:val="0"/>
                              <w:sz w:val="18"/>
                              <w:szCs w:val="18"/>
                            </w:rPr>
                            <w:t>4</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2BF03" id="_x0000_t202" coordsize="21600,21600" o:spt="202" path="m,l,21600r21600,l21600,xe">
              <v:stroke joinstyle="miter"/>
              <v:path gradientshapeok="t" o:connecttype="rect"/>
            </v:shapetype>
            <v:shape id="Text Box 1" o:spid="_x0000_s1026" type="#_x0000_t202" style="position:absolute;margin-left:293.4pt;margin-top:782.6pt;width:21.6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2FrAIAAKg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" o:allowincell="f" filled="f" stroked="f">
              <v:textbox inset="0,0,0,0">
                <w:txbxContent>
                  <w:p w14:paraId="312C74B3" w14:textId="60C96116" w:rsidR="004464A1" w:rsidRDefault="004464A1">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C20B39">
                      <w:rPr>
                        <w:rFonts w:ascii="Times New Roman" w:hAnsi="Times New Roman"/>
                        <w:noProof/>
                        <w:kern w:val="0"/>
                        <w:sz w:val="18"/>
                        <w:szCs w:val="18"/>
                      </w:rPr>
                      <w:t>4</w:t>
                    </w:r>
                    <w:r>
                      <w:rPr>
                        <w:rFonts w:ascii="Times New Roman" w:hAnsi="Times New Roman"/>
                        <w:kern w:val="0"/>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F15F9" w14:textId="44005BB6" w:rsidR="004464A1" w:rsidRDefault="004464A1">
    <w:pPr>
      <w:autoSpaceDE w:val="0"/>
      <w:autoSpaceDN w:val="0"/>
      <w:adjustRightInd w:val="0"/>
      <w:spacing w:line="200" w:lineRule="exact"/>
      <w:jc w:val="left"/>
      <w:rPr>
        <w:rFonts w:ascii="Times New Roman" w:hAnsi="Times New Roman"/>
        <w:kern w:val="0"/>
        <w:sz w:val="20"/>
        <w:szCs w:val="20"/>
      </w:rPr>
    </w:pPr>
    <w:r>
      <w:rPr>
        <w:noProof/>
      </w:rPr>
      <mc:AlternateContent>
        <mc:Choice Requires="wps">
          <w:drawing>
            <wp:anchor distT="0" distB="0" distL="114300" distR="114300" simplePos="0" relativeHeight="251659776" behindDoc="1" locked="0" layoutInCell="0" allowOverlap="1" wp14:anchorId="66E9C4B6" wp14:editId="6F2044E8">
              <wp:simplePos x="0" y="0"/>
              <wp:positionH relativeFrom="page">
                <wp:posOffset>3698875</wp:posOffset>
              </wp:positionH>
              <wp:positionV relativeFrom="page">
                <wp:posOffset>9827895</wp:posOffset>
              </wp:positionV>
              <wp:extent cx="425450" cy="1397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1B75" w14:textId="422E3D0C" w:rsidR="004464A1" w:rsidRDefault="004464A1">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C20B39">
                            <w:rPr>
                              <w:rFonts w:ascii="Times New Roman" w:hAnsi="Times New Roman"/>
                              <w:noProof/>
                              <w:kern w:val="0"/>
                              <w:sz w:val="18"/>
                              <w:szCs w:val="18"/>
                            </w:rPr>
                            <w:t>138</w:t>
                          </w:r>
                          <w:r>
                            <w:rPr>
                              <w:rFonts w:ascii="Times New Roman" w:hAnsi="Times New Roman"/>
                              <w:kern w:val="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9C4B6" id="_x0000_t202" coordsize="21600,21600" o:spt="202" path="m,l,21600r21600,l21600,xe">
              <v:stroke joinstyle="miter"/>
              <v:path gradientshapeok="t" o:connecttype="rect"/>
            </v:shapetype>
            <v:shape id="Text Box 20" o:spid="_x0000_s1027" type="#_x0000_t202" style="position:absolute;margin-left:291.25pt;margin-top:773.85pt;width:3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cqsQ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" o:allowincell="f" filled="f" stroked="f">
              <v:textbox inset="0,0,0,0">
                <w:txbxContent>
                  <w:p w14:paraId="569C1B75" w14:textId="422E3D0C" w:rsidR="004464A1" w:rsidRDefault="004464A1">
                    <w:pPr>
                      <w:autoSpaceDE w:val="0"/>
                      <w:autoSpaceDN w:val="0"/>
                      <w:adjustRightInd w:val="0"/>
                      <w:spacing w:line="204" w:lineRule="exact"/>
                      <w:ind w:left="40"/>
                      <w:jc w:val="left"/>
                      <w:rPr>
                        <w:rFonts w:ascii="Times New Roman" w:hAnsi="Times New Roman"/>
                        <w:kern w:val="0"/>
                        <w:sz w:val="18"/>
                        <w:szCs w:val="18"/>
                      </w:rPr>
                    </w:pPr>
                    <w:r>
                      <w:rPr>
                        <w:rFonts w:ascii="Times New Roman" w:hAnsi="Times New Roman"/>
                        <w:kern w:val="0"/>
                        <w:sz w:val="18"/>
                        <w:szCs w:val="18"/>
                      </w:rPr>
                      <w:fldChar w:fldCharType="begin"/>
                    </w:r>
                    <w:r>
                      <w:rPr>
                        <w:rFonts w:ascii="Times New Roman" w:hAnsi="Times New Roman"/>
                        <w:kern w:val="0"/>
                        <w:sz w:val="18"/>
                        <w:szCs w:val="18"/>
                      </w:rPr>
                      <w:instrText xml:space="preserve"> PAGE </w:instrText>
                    </w:r>
                    <w:r>
                      <w:rPr>
                        <w:rFonts w:ascii="Times New Roman" w:hAnsi="Times New Roman"/>
                        <w:kern w:val="0"/>
                        <w:sz w:val="18"/>
                        <w:szCs w:val="18"/>
                      </w:rPr>
                      <w:fldChar w:fldCharType="separate"/>
                    </w:r>
                    <w:r w:rsidR="00C20B39">
                      <w:rPr>
                        <w:rFonts w:ascii="Times New Roman" w:hAnsi="Times New Roman"/>
                        <w:noProof/>
                        <w:kern w:val="0"/>
                        <w:sz w:val="18"/>
                        <w:szCs w:val="18"/>
                      </w:rPr>
                      <w:t>138</w:t>
                    </w:r>
                    <w:r>
                      <w:rPr>
                        <w:rFonts w:ascii="Times New Roman" w:hAnsi="Times New Roman"/>
                        <w:kern w:val="0"/>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34272" w14:textId="77777777" w:rsidR="002217D8" w:rsidRDefault="002217D8">
      <w:r>
        <w:separator/>
      </w:r>
    </w:p>
  </w:footnote>
  <w:footnote w:type="continuationSeparator" w:id="0">
    <w:p w14:paraId="6CC327ED" w14:textId="77777777" w:rsidR="002217D8" w:rsidRDefault="00221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18A2" w14:textId="04FD0ECC" w:rsidR="004464A1" w:rsidRDefault="004464A1">
    <w:pPr>
      <w:pStyle w:val="a3"/>
      <w:jc w:val="right"/>
    </w:pPr>
    <w:r>
      <w:rPr>
        <w:noProof/>
      </w:rPr>
      <w:drawing>
        <wp:anchor distT="0" distB="0" distL="114300" distR="114300" simplePos="0" relativeHeight="251655680" behindDoc="0" locked="0" layoutInCell="1" allowOverlap="1" wp14:anchorId="4C7786F8" wp14:editId="47DD045C">
          <wp:simplePos x="0" y="0"/>
          <wp:positionH relativeFrom="column">
            <wp:posOffset>19050</wp:posOffset>
          </wp:positionH>
          <wp:positionV relativeFrom="paragraph">
            <wp:posOffset>-152400</wp:posOffset>
          </wp:positionV>
          <wp:extent cx="1714500" cy="238125"/>
          <wp:effectExtent l="0" t="0" r="0" b="0"/>
          <wp:wrapNone/>
          <wp:docPr id="23" name="图片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5A8ACF19" w14:textId="77777777" w:rsidR="004464A1" w:rsidRDefault="004464A1">
    <w:pPr>
      <w:pStyle w:val="a3"/>
      <w:jc w:val="right"/>
      <w:rPr>
        <w:rFonts w:ascii="宋体" w:hAnsi="宋体"/>
      </w:rPr>
    </w:pPr>
    <w:r>
      <w:rPr>
        <w:rFonts w:ascii="宋体" w:hAnsi="宋体" w:hint="eastAsia"/>
      </w:rPr>
      <w:t>交银施罗德臻选回报混合型证券投资基金(更新)招募说明书(2021年第2号)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BEF9" w14:textId="77777777" w:rsidR="004464A1" w:rsidRDefault="004464A1">
    <w:pPr>
      <w:pStyle w:val="11"/>
      <w:jc w:val="right"/>
    </w:pPr>
  </w:p>
  <w:p w14:paraId="2D3518D8" w14:textId="77777777" w:rsidR="004464A1" w:rsidRDefault="004464A1">
    <w:pPr>
      <w:pStyle w:val="11"/>
      <w:jc w:val="right"/>
    </w:pPr>
  </w:p>
  <w:p w14:paraId="6906EDC2" w14:textId="77777777" w:rsidR="004464A1" w:rsidRDefault="004464A1">
    <w:pPr>
      <w:pStyle w:val="a3"/>
      <w:jc w:val="right"/>
    </w:pPr>
  </w:p>
  <w:p w14:paraId="49DC1CC5" w14:textId="3609C42C" w:rsidR="004464A1" w:rsidRDefault="004464A1">
    <w:pPr>
      <w:pStyle w:val="a3"/>
      <w:jc w:val="right"/>
    </w:pPr>
    <w:r>
      <w:rPr>
        <w:noProof/>
      </w:rPr>
      <w:drawing>
        <wp:anchor distT="0" distB="0" distL="114300" distR="114300" simplePos="0" relativeHeight="251656704" behindDoc="0" locked="0" layoutInCell="1" allowOverlap="1" wp14:anchorId="2DFE96C0" wp14:editId="558DA542">
          <wp:simplePos x="0" y="0"/>
          <wp:positionH relativeFrom="column">
            <wp:posOffset>19050</wp:posOffset>
          </wp:positionH>
          <wp:positionV relativeFrom="paragraph">
            <wp:posOffset>-152400</wp:posOffset>
          </wp:positionV>
          <wp:extent cx="1714500" cy="238125"/>
          <wp:effectExtent l="0" t="0" r="0" b="0"/>
          <wp:wrapNone/>
          <wp:docPr id="2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1C487D9F" w14:textId="6225AE5A" w:rsidR="004464A1" w:rsidRDefault="004464A1">
    <w:pPr>
      <w:pStyle w:val="a3"/>
      <w:jc w:val="right"/>
      <w:rPr>
        <w:rFonts w:ascii="宋体" w:hAnsi="宋体"/>
      </w:rPr>
    </w:pPr>
    <w:r>
      <w:rPr>
        <w:rFonts w:ascii="宋体" w:hAnsi="宋体" w:hint="eastAsia"/>
      </w:rPr>
      <w:t>交银施罗德臻选回报混合型证券投资基金(更新)招募说明书(202</w:t>
    </w:r>
    <w:r>
      <w:rPr>
        <w:rFonts w:ascii="宋体" w:hAnsi="宋体"/>
      </w:rPr>
      <w:t>2</w:t>
    </w:r>
    <w:r>
      <w:rPr>
        <w:rFonts w:ascii="宋体" w:hAnsi="宋体" w:hint="eastAsia"/>
      </w:rPr>
      <w:t>年第</w:t>
    </w:r>
    <w:r>
      <w:rPr>
        <w:rFonts w:ascii="宋体" w:hAnsi="宋体"/>
      </w:rPr>
      <w:t>1</w:t>
    </w:r>
    <w:r>
      <w:rPr>
        <w:rFonts w:ascii="宋体" w:hAnsi="宋体" w:hint="eastAsia"/>
      </w:rPr>
      <w:t>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1ADA5" w14:textId="77777777" w:rsidR="004464A1" w:rsidRDefault="004464A1">
    <w:pPr>
      <w:pStyle w:val="a3"/>
      <w:jc w:val="right"/>
    </w:pPr>
  </w:p>
  <w:p w14:paraId="785F8F52" w14:textId="77777777" w:rsidR="004464A1" w:rsidRDefault="004464A1">
    <w:pPr>
      <w:pStyle w:val="a3"/>
      <w:jc w:val="right"/>
    </w:pPr>
  </w:p>
  <w:p w14:paraId="050A2AB6" w14:textId="77777777" w:rsidR="004464A1" w:rsidRDefault="004464A1">
    <w:pPr>
      <w:pStyle w:val="a3"/>
      <w:jc w:val="right"/>
    </w:pPr>
  </w:p>
  <w:p w14:paraId="72154D93" w14:textId="77CDEAF7" w:rsidR="004464A1" w:rsidRDefault="004464A1">
    <w:pPr>
      <w:pStyle w:val="a3"/>
      <w:jc w:val="right"/>
    </w:pPr>
    <w:r>
      <w:rPr>
        <w:noProof/>
      </w:rPr>
      <w:drawing>
        <wp:anchor distT="0" distB="0" distL="114300" distR="114300" simplePos="0" relativeHeight="251657728" behindDoc="0" locked="0" layoutInCell="1" allowOverlap="1" wp14:anchorId="25FB4F0E" wp14:editId="54B9D284">
          <wp:simplePos x="0" y="0"/>
          <wp:positionH relativeFrom="column">
            <wp:posOffset>19050</wp:posOffset>
          </wp:positionH>
          <wp:positionV relativeFrom="paragraph">
            <wp:posOffset>-152400</wp:posOffset>
          </wp:positionV>
          <wp:extent cx="1714500" cy="238125"/>
          <wp:effectExtent l="0" t="0" r="0" b="0"/>
          <wp:wrapNone/>
          <wp:docPr id="21"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14:sizeRelH relativeFrom="page">
            <wp14:pctWidth>0</wp14:pctWidth>
          </wp14:sizeRelH>
          <wp14:sizeRelV relativeFrom="page">
            <wp14:pctHeight>0</wp14:pctHeight>
          </wp14:sizeRelV>
        </wp:anchor>
      </w:drawing>
    </w:r>
  </w:p>
  <w:p w14:paraId="364DE8DA" w14:textId="124DF53E" w:rsidR="004464A1" w:rsidRDefault="004464A1">
    <w:pPr>
      <w:pStyle w:val="a3"/>
      <w:jc w:val="right"/>
      <w:rPr>
        <w:rFonts w:ascii="宋体" w:hAnsi="宋体"/>
      </w:rPr>
    </w:pPr>
    <w:r>
      <w:rPr>
        <w:rFonts w:ascii="宋体" w:hAnsi="宋体" w:hint="eastAsia"/>
      </w:rPr>
      <w:t>交银施罗德臻选回报混合型证券投资基金(更新)招募说明书(202</w:t>
    </w:r>
    <w:r>
      <w:rPr>
        <w:rFonts w:ascii="宋体" w:hAnsi="宋体"/>
      </w:rPr>
      <w:t>2</w:t>
    </w:r>
    <w:r>
      <w:rPr>
        <w:rFonts w:ascii="宋体" w:hAnsi="宋体" w:hint="eastAsia"/>
      </w:rPr>
      <w:t>年第</w:t>
    </w:r>
    <w:r>
      <w:rPr>
        <w:rFonts w:ascii="宋体" w:hAnsi="宋体"/>
      </w:rPr>
      <w:t>1</w:t>
    </w:r>
    <w:r>
      <w:rPr>
        <w:rFonts w:ascii="宋体" w:hAnsi="宋体"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3EE"/>
    <w:multiLevelType w:val="multilevel"/>
    <w:tmpl w:val="547D73EE"/>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738" w:hanging="454"/>
      </w:pPr>
      <w:rPr>
        <w:rFonts w:hint="eastAsia"/>
      </w:rPr>
    </w:lvl>
    <w:lvl w:ilvl="2">
      <w:start w:val="1"/>
      <w:numFmt w:val="decimal"/>
      <w:pStyle w:val="XBRLTitle3"/>
      <w:suff w:val="space"/>
      <w:lvlText w:val="%1.%2.%3"/>
      <w:lvlJc w:val="left"/>
      <w:pPr>
        <w:ind w:left="624" w:hanging="624"/>
      </w:p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trackRevisions/>
  <w:defaultTabStop w:val="720"/>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C9"/>
    <w:rsid w:val="000002A2"/>
    <w:rsid w:val="00001EEA"/>
    <w:rsid w:val="00003EC9"/>
    <w:rsid w:val="0000560A"/>
    <w:rsid w:val="0001266E"/>
    <w:rsid w:val="00021362"/>
    <w:rsid w:val="00026A29"/>
    <w:rsid w:val="00026D00"/>
    <w:rsid w:val="00027C73"/>
    <w:rsid w:val="00030964"/>
    <w:rsid w:val="00030F3E"/>
    <w:rsid w:val="000368A2"/>
    <w:rsid w:val="00044AFD"/>
    <w:rsid w:val="00044E2C"/>
    <w:rsid w:val="000457B7"/>
    <w:rsid w:val="0004614E"/>
    <w:rsid w:val="00046212"/>
    <w:rsid w:val="00047707"/>
    <w:rsid w:val="000500B8"/>
    <w:rsid w:val="000506ED"/>
    <w:rsid w:val="000543D5"/>
    <w:rsid w:val="00055792"/>
    <w:rsid w:val="00055F52"/>
    <w:rsid w:val="00056FB4"/>
    <w:rsid w:val="000605B5"/>
    <w:rsid w:val="00061C0D"/>
    <w:rsid w:val="0006212F"/>
    <w:rsid w:val="0006220F"/>
    <w:rsid w:val="000625E2"/>
    <w:rsid w:val="000647B8"/>
    <w:rsid w:val="0006506B"/>
    <w:rsid w:val="0006551A"/>
    <w:rsid w:val="00065E19"/>
    <w:rsid w:val="000700AC"/>
    <w:rsid w:val="000705A6"/>
    <w:rsid w:val="0007638A"/>
    <w:rsid w:val="00076B6E"/>
    <w:rsid w:val="000816EA"/>
    <w:rsid w:val="00081744"/>
    <w:rsid w:val="000828CE"/>
    <w:rsid w:val="000833CB"/>
    <w:rsid w:val="00083491"/>
    <w:rsid w:val="00084078"/>
    <w:rsid w:val="000843B3"/>
    <w:rsid w:val="000869C2"/>
    <w:rsid w:val="00086D1F"/>
    <w:rsid w:val="00087F4C"/>
    <w:rsid w:val="00090648"/>
    <w:rsid w:val="000916E2"/>
    <w:rsid w:val="000931CF"/>
    <w:rsid w:val="00094253"/>
    <w:rsid w:val="00095030"/>
    <w:rsid w:val="000A01A0"/>
    <w:rsid w:val="000A3372"/>
    <w:rsid w:val="000A352B"/>
    <w:rsid w:val="000B0F8B"/>
    <w:rsid w:val="000B359E"/>
    <w:rsid w:val="000B3894"/>
    <w:rsid w:val="000B4E04"/>
    <w:rsid w:val="000C1E1E"/>
    <w:rsid w:val="000C38F1"/>
    <w:rsid w:val="000C5E77"/>
    <w:rsid w:val="000C68E9"/>
    <w:rsid w:val="000D0ADE"/>
    <w:rsid w:val="000D179E"/>
    <w:rsid w:val="000D5BCE"/>
    <w:rsid w:val="000D66DC"/>
    <w:rsid w:val="000E1F3B"/>
    <w:rsid w:val="000E3AB4"/>
    <w:rsid w:val="000E7544"/>
    <w:rsid w:val="000F0C17"/>
    <w:rsid w:val="000F2904"/>
    <w:rsid w:val="000F34A1"/>
    <w:rsid w:val="000F5226"/>
    <w:rsid w:val="000F5583"/>
    <w:rsid w:val="000F6050"/>
    <w:rsid w:val="000F66FF"/>
    <w:rsid w:val="000F698D"/>
    <w:rsid w:val="000F6DB8"/>
    <w:rsid w:val="000F7D42"/>
    <w:rsid w:val="001008A5"/>
    <w:rsid w:val="00100C86"/>
    <w:rsid w:val="0011339C"/>
    <w:rsid w:val="001135B0"/>
    <w:rsid w:val="00113FAA"/>
    <w:rsid w:val="00115AE5"/>
    <w:rsid w:val="00116489"/>
    <w:rsid w:val="0011648B"/>
    <w:rsid w:val="001166C1"/>
    <w:rsid w:val="00116874"/>
    <w:rsid w:val="00116B28"/>
    <w:rsid w:val="001177A3"/>
    <w:rsid w:val="001240EB"/>
    <w:rsid w:val="0012443D"/>
    <w:rsid w:val="001248B6"/>
    <w:rsid w:val="00125312"/>
    <w:rsid w:val="00127053"/>
    <w:rsid w:val="0013182D"/>
    <w:rsid w:val="00131CEE"/>
    <w:rsid w:val="00132C04"/>
    <w:rsid w:val="0013315B"/>
    <w:rsid w:val="00134FCF"/>
    <w:rsid w:val="00135AD8"/>
    <w:rsid w:val="0013630D"/>
    <w:rsid w:val="001367F2"/>
    <w:rsid w:val="001412E8"/>
    <w:rsid w:val="001424C7"/>
    <w:rsid w:val="0014250F"/>
    <w:rsid w:val="00144B52"/>
    <w:rsid w:val="00145ACF"/>
    <w:rsid w:val="00153D66"/>
    <w:rsid w:val="0015725E"/>
    <w:rsid w:val="00162F69"/>
    <w:rsid w:val="00164946"/>
    <w:rsid w:val="00165756"/>
    <w:rsid w:val="0017362C"/>
    <w:rsid w:val="0017392F"/>
    <w:rsid w:val="0018184C"/>
    <w:rsid w:val="0018198F"/>
    <w:rsid w:val="00181C62"/>
    <w:rsid w:val="00183642"/>
    <w:rsid w:val="001860C4"/>
    <w:rsid w:val="00186FAE"/>
    <w:rsid w:val="001917D4"/>
    <w:rsid w:val="001917FC"/>
    <w:rsid w:val="00191D7F"/>
    <w:rsid w:val="001925A2"/>
    <w:rsid w:val="00192CC7"/>
    <w:rsid w:val="00195218"/>
    <w:rsid w:val="00197A55"/>
    <w:rsid w:val="00197F7E"/>
    <w:rsid w:val="001A1623"/>
    <w:rsid w:val="001A2263"/>
    <w:rsid w:val="001B11D9"/>
    <w:rsid w:val="001B4531"/>
    <w:rsid w:val="001B5BDB"/>
    <w:rsid w:val="001B75F9"/>
    <w:rsid w:val="001C2B9E"/>
    <w:rsid w:val="001C3126"/>
    <w:rsid w:val="001C38DA"/>
    <w:rsid w:val="001C7A48"/>
    <w:rsid w:val="001C7C12"/>
    <w:rsid w:val="001D2797"/>
    <w:rsid w:val="001D2B67"/>
    <w:rsid w:val="001D3730"/>
    <w:rsid w:val="001D4727"/>
    <w:rsid w:val="001D5665"/>
    <w:rsid w:val="001D61DC"/>
    <w:rsid w:val="001D6377"/>
    <w:rsid w:val="001D68A8"/>
    <w:rsid w:val="001D6B88"/>
    <w:rsid w:val="001D6C5F"/>
    <w:rsid w:val="001D7ECC"/>
    <w:rsid w:val="001E144C"/>
    <w:rsid w:val="001E25FD"/>
    <w:rsid w:val="001E2A4F"/>
    <w:rsid w:val="001E3F8F"/>
    <w:rsid w:val="001E5250"/>
    <w:rsid w:val="001F33EB"/>
    <w:rsid w:val="001F4DEA"/>
    <w:rsid w:val="001F4ECB"/>
    <w:rsid w:val="001F7353"/>
    <w:rsid w:val="00201F27"/>
    <w:rsid w:val="00201F9B"/>
    <w:rsid w:val="00202DB0"/>
    <w:rsid w:val="00203597"/>
    <w:rsid w:val="002076AC"/>
    <w:rsid w:val="00212B27"/>
    <w:rsid w:val="00212BBA"/>
    <w:rsid w:val="0021469C"/>
    <w:rsid w:val="00215523"/>
    <w:rsid w:val="00216962"/>
    <w:rsid w:val="00217CA4"/>
    <w:rsid w:val="00221112"/>
    <w:rsid w:val="00221558"/>
    <w:rsid w:val="002217D8"/>
    <w:rsid w:val="00221A1B"/>
    <w:rsid w:val="002220A4"/>
    <w:rsid w:val="00223C19"/>
    <w:rsid w:val="00224421"/>
    <w:rsid w:val="00226503"/>
    <w:rsid w:val="00226A60"/>
    <w:rsid w:val="0023578C"/>
    <w:rsid w:val="00235AC5"/>
    <w:rsid w:val="002377E0"/>
    <w:rsid w:val="00237BC6"/>
    <w:rsid w:val="00240BB6"/>
    <w:rsid w:val="002432CA"/>
    <w:rsid w:val="00243D40"/>
    <w:rsid w:val="00245250"/>
    <w:rsid w:val="002477CB"/>
    <w:rsid w:val="00247BF6"/>
    <w:rsid w:val="00250A33"/>
    <w:rsid w:val="00251126"/>
    <w:rsid w:val="002517B1"/>
    <w:rsid w:val="002524D2"/>
    <w:rsid w:val="00252802"/>
    <w:rsid w:val="0026072D"/>
    <w:rsid w:val="00261A50"/>
    <w:rsid w:val="002634C3"/>
    <w:rsid w:val="00265B3A"/>
    <w:rsid w:val="00267254"/>
    <w:rsid w:val="002700C4"/>
    <w:rsid w:val="0027052E"/>
    <w:rsid w:val="00271E9D"/>
    <w:rsid w:val="00271F7D"/>
    <w:rsid w:val="00274E85"/>
    <w:rsid w:val="002777F6"/>
    <w:rsid w:val="00277907"/>
    <w:rsid w:val="00280C42"/>
    <w:rsid w:val="00281B73"/>
    <w:rsid w:val="002833C9"/>
    <w:rsid w:val="00285E5C"/>
    <w:rsid w:val="00290B63"/>
    <w:rsid w:val="00290E73"/>
    <w:rsid w:val="00293415"/>
    <w:rsid w:val="00294689"/>
    <w:rsid w:val="0029539A"/>
    <w:rsid w:val="002A1A82"/>
    <w:rsid w:val="002A2FB0"/>
    <w:rsid w:val="002A3B40"/>
    <w:rsid w:val="002A4D32"/>
    <w:rsid w:val="002A5F87"/>
    <w:rsid w:val="002B017B"/>
    <w:rsid w:val="002B0DC0"/>
    <w:rsid w:val="002B2664"/>
    <w:rsid w:val="002B4E21"/>
    <w:rsid w:val="002B5000"/>
    <w:rsid w:val="002B5340"/>
    <w:rsid w:val="002B78AA"/>
    <w:rsid w:val="002C383C"/>
    <w:rsid w:val="002D15BB"/>
    <w:rsid w:val="002D1C13"/>
    <w:rsid w:val="002D3109"/>
    <w:rsid w:val="002D378C"/>
    <w:rsid w:val="002D6413"/>
    <w:rsid w:val="002D6F14"/>
    <w:rsid w:val="002D74D5"/>
    <w:rsid w:val="002E42A1"/>
    <w:rsid w:val="002E4922"/>
    <w:rsid w:val="002E4B2C"/>
    <w:rsid w:val="002E5261"/>
    <w:rsid w:val="002F00BB"/>
    <w:rsid w:val="002F1DE7"/>
    <w:rsid w:val="002F2627"/>
    <w:rsid w:val="002F2748"/>
    <w:rsid w:val="002F6445"/>
    <w:rsid w:val="002F6580"/>
    <w:rsid w:val="002F6DE8"/>
    <w:rsid w:val="002F74D8"/>
    <w:rsid w:val="002F7C72"/>
    <w:rsid w:val="002F7EDC"/>
    <w:rsid w:val="003003A8"/>
    <w:rsid w:val="0030091B"/>
    <w:rsid w:val="00301CB3"/>
    <w:rsid w:val="00301E62"/>
    <w:rsid w:val="0030246A"/>
    <w:rsid w:val="0030287E"/>
    <w:rsid w:val="00302D02"/>
    <w:rsid w:val="00304063"/>
    <w:rsid w:val="0030555F"/>
    <w:rsid w:val="003057AB"/>
    <w:rsid w:val="00305A3B"/>
    <w:rsid w:val="00305BB4"/>
    <w:rsid w:val="0030645F"/>
    <w:rsid w:val="003117B9"/>
    <w:rsid w:val="00311C71"/>
    <w:rsid w:val="00312BBE"/>
    <w:rsid w:val="00313073"/>
    <w:rsid w:val="0031336C"/>
    <w:rsid w:val="0031339F"/>
    <w:rsid w:val="00313C63"/>
    <w:rsid w:val="00313F3E"/>
    <w:rsid w:val="00323F65"/>
    <w:rsid w:val="00326147"/>
    <w:rsid w:val="0033051E"/>
    <w:rsid w:val="00331A42"/>
    <w:rsid w:val="0033401D"/>
    <w:rsid w:val="00334456"/>
    <w:rsid w:val="00336150"/>
    <w:rsid w:val="00336E99"/>
    <w:rsid w:val="00342417"/>
    <w:rsid w:val="0034536E"/>
    <w:rsid w:val="003454EC"/>
    <w:rsid w:val="00346537"/>
    <w:rsid w:val="00347B94"/>
    <w:rsid w:val="00350650"/>
    <w:rsid w:val="003527DD"/>
    <w:rsid w:val="00353B3A"/>
    <w:rsid w:val="003547A2"/>
    <w:rsid w:val="00355171"/>
    <w:rsid w:val="00362702"/>
    <w:rsid w:val="00362A37"/>
    <w:rsid w:val="00362CF0"/>
    <w:rsid w:val="00362D5D"/>
    <w:rsid w:val="00364AC5"/>
    <w:rsid w:val="00365D15"/>
    <w:rsid w:val="00365DDA"/>
    <w:rsid w:val="0036702F"/>
    <w:rsid w:val="00367F3A"/>
    <w:rsid w:val="00370BDF"/>
    <w:rsid w:val="00372FA2"/>
    <w:rsid w:val="003735E9"/>
    <w:rsid w:val="003739FE"/>
    <w:rsid w:val="003749D5"/>
    <w:rsid w:val="0038254F"/>
    <w:rsid w:val="003828EC"/>
    <w:rsid w:val="0038331F"/>
    <w:rsid w:val="00383488"/>
    <w:rsid w:val="003843BB"/>
    <w:rsid w:val="003859DA"/>
    <w:rsid w:val="00386153"/>
    <w:rsid w:val="00386BA7"/>
    <w:rsid w:val="00390B48"/>
    <w:rsid w:val="0039213A"/>
    <w:rsid w:val="00392421"/>
    <w:rsid w:val="00393BF6"/>
    <w:rsid w:val="00395D4D"/>
    <w:rsid w:val="00396D64"/>
    <w:rsid w:val="00397A06"/>
    <w:rsid w:val="003A0FAF"/>
    <w:rsid w:val="003A38BD"/>
    <w:rsid w:val="003A38C8"/>
    <w:rsid w:val="003A6045"/>
    <w:rsid w:val="003A72D0"/>
    <w:rsid w:val="003B22FD"/>
    <w:rsid w:val="003B3004"/>
    <w:rsid w:val="003B3A47"/>
    <w:rsid w:val="003B4168"/>
    <w:rsid w:val="003B42FF"/>
    <w:rsid w:val="003B62D2"/>
    <w:rsid w:val="003B66A3"/>
    <w:rsid w:val="003C11B3"/>
    <w:rsid w:val="003C177A"/>
    <w:rsid w:val="003C27F7"/>
    <w:rsid w:val="003C4ECD"/>
    <w:rsid w:val="003C62C1"/>
    <w:rsid w:val="003C6FA4"/>
    <w:rsid w:val="003D0B3E"/>
    <w:rsid w:val="003D2352"/>
    <w:rsid w:val="003D3863"/>
    <w:rsid w:val="003D3D0A"/>
    <w:rsid w:val="003D7263"/>
    <w:rsid w:val="003E0800"/>
    <w:rsid w:val="003E1584"/>
    <w:rsid w:val="003E33DE"/>
    <w:rsid w:val="003E3593"/>
    <w:rsid w:val="003E585F"/>
    <w:rsid w:val="003E6049"/>
    <w:rsid w:val="003E67F9"/>
    <w:rsid w:val="003F0D27"/>
    <w:rsid w:val="003F1C98"/>
    <w:rsid w:val="003F23B4"/>
    <w:rsid w:val="003F317C"/>
    <w:rsid w:val="003F4813"/>
    <w:rsid w:val="00406654"/>
    <w:rsid w:val="0041100B"/>
    <w:rsid w:val="004114F3"/>
    <w:rsid w:val="00412894"/>
    <w:rsid w:val="004130C3"/>
    <w:rsid w:val="00413E71"/>
    <w:rsid w:val="00421363"/>
    <w:rsid w:val="00421921"/>
    <w:rsid w:val="00422100"/>
    <w:rsid w:val="004254D3"/>
    <w:rsid w:val="0042746B"/>
    <w:rsid w:val="0043129F"/>
    <w:rsid w:val="00433B69"/>
    <w:rsid w:val="004369AD"/>
    <w:rsid w:val="00436DD6"/>
    <w:rsid w:val="00444FB7"/>
    <w:rsid w:val="004464A1"/>
    <w:rsid w:val="00450674"/>
    <w:rsid w:val="004533FE"/>
    <w:rsid w:val="00454715"/>
    <w:rsid w:val="00454D80"/>
    <w:rsid w:val="00456785"/>
    <w:rsid w:val="00462EB0"/>
    <w:rsid w:val="00463933"/>
    <w:rsid w:val="00464346"/>
    <w:rsid w:val="00470325"/>
    <w:rsid w:val="00470F42"/>
    <w:rsid w:val="00471605"/>
    <w:rsid w:val="0047297A"/>
    <w:rsid w:val="00474709"/>
    <w:rsid w:val="00480184"/>
    <w:rsid w:val="00480516"/>
    <w:rsid w:val="00480658"/>
    <w:rsid w:val="00480D3C"/>
    <w:rsid w:val="0048170B"/>
    <w:rsid w:val="00481BD4"/>
    <w:rsid w:val="00482AA2"/>
    <w:rsid w:val="0048579F"/>
    <w:rsid w:val="00487005"/>
    <w:rsid w:val="004901A7"/>
    <w:rsid w:val="004A084F"/>
    <w:rsid w:val="004A1FA1"/>
    <w:rsid w:val="004A3225"/>
    <w:rsid w:val="004A3F90"/>
    <w:rsid w:val="004A5F59"/>
    <w:rsid w:val="004A6544"/>
    <w:rsid w:val="004A6F1F"/>
    <w:rsid w:val="004B17D8"/>
    <w:rsid w:val="004B2323"/>
    <w:rsid w:val="004B62C3"/>
    <w:rsid w:val="004C0BC8"/>
    <w:rsid w:val="004C0E67"/>
    <w:rsid w:val="004C212E"/>
    <w:rsid w:val="004C461A"/>
    <w:rsid w:val="004C7D23"/>
    <w:rsid w:val="004D0783"/>
    <w:rsid w:val="004D11CB"/>
    <w:rsid w:val="004D49E3"/>
    <w:rsid w:val="004D7163"/>
    <w:rsid w:val="004D7C88"/>
    <w:rsid w:val="004E0366"/>
    <w:rsid w:val="004E07F7"/>
    <w:rsid w:val="004E1C30"/>
    <w:rsid w:val="004E3342"/>
    <w:rsid w:val="004E3C18"/>
    <w:rsid w:val="004E45AC"/>
    <w:rsid w:val="004E4672"/>
    <w:rsid w:val="004E5593"/>
    <w:rsid w:val="004E6879"/>
    <w:rsid w:val="004E7A1E"/>
    <w:rsid w:val="004E7F1A"/>
    <w:rsid w:val="004F0352"/>
    <w:rsid w:val="004F0740"/>
    <w:rsid w:val="004F415D"/>
    <w:rsid w:val="004F4980"/>
    <w:rsid w:val="004F66F4"/>
    <w:rsid w:val="004F7710"/>
    <w:rsid w:val="00502A45"/>
    <w:rsid w:val="0050542C"/>
    <w:rsid w:val="00512DC1"/>
    <w:rsid w:val="00514218"/>
    <w:rsid w:val="00514C6B"/>
    <w:rsid w:val="005161EC"/>
    <w:rsid w:val="0051709F"/>
    <w:rsid w:val="005175EB"/>
    <w:rsid w:val="00517754"/>
    <w:rsid w:val="00521A18"/>
    <w:rsid w:val="00522079"/>
    <w:rsid w:val="00522622"/>
    <w:rsid w:val="0052450E"/>
    <w:rsid w:val="00525410"/>
    <w:rsid w:val="00530703"/>
    <w:rsid w:val="00530763"/>
    <w:rsid w:val="00534EFD"/>
    <w:rsid w:val="005362F2"/>
    <w:rsid w:val="00543B42"/>
    <w:rsid w:val="0054651A"/>
    <w:rsid w:val="00546EA9"/>
    <w:rsid w:val="005474CD"/>
    <w:rsid w:val="005500CC"/>
    <w:rsid w:val="005501B7"/>
    <w:rsid w:val="005503C7"/>
    <w:rsid w:val="0055152E"/>
    <w:rsid w:val="00552094"/>
    <w:rsid w:val="00553D73"/>
    <w:rsid w:val="00554BAF"/>
    <w:rsid w:val="00555A15"/>
    <w:rsid w:val="00556291"/>
    <w:rsid w:val="005569E4"/>
    <w:rsid w:val="00560E11"/>
    <w:rsid w:val="00561147"/>
    <w:rsid w:val="00561463"/>
    <w:rsid w:val="00561F8F"/>
    <w:rsid w:val="00563A0E"/>
    <w:rsid w:val="00564659"/>
    <w:rsid w:val="005647D0"/>
    <w:rsid w:val="00565BD9"/>
    <w:rsid w:val="00574C59"/>
    <w:rsid w:val="00576CE2"/>
    <w:rsid w:val="005770AC"/>
    <w:rsid w:val="00577C1A"/>
    <w:rsid w:val="00577FAA"/>
    <w:rsid w:val="0058041D"/>
    <w:rsid w:val="005826AA"/>
    <w:rsid w:val="00583CE7"/>
    <w:rsid w:val="005856E9"/>
    <w:rsid w:val="005867BB"/>
    <w:rsid w:val="00587452"/>
    <w:rsid w:val="00591C2A"/>
    <w:rsid w:val="00592461"/>
    <w:rsid w:val="00592539"/>
    <w:rsid w:val="00593AD8"/>
    <w:rsid w:val="00595128"/>
    <w:rsid w:val="00596A05"/>
    <w:rsid w:val="00596D6D"/>
    <w:rsid w:val="00597284"/>
    <w:rsid w:val="00597F8F"/>
    <w:rsid w:val="005A1EA2"/>
    <w:rsid w:val="005A2467"/>
    <w:rsid w:val="005A5858"/>
    <w:rsid w:val="005A6E51"/>
    <w:rsid w:val="005A7C7F"/>
    <w:rsid w:val="005A7D88"/>
    <w:rsid w:val="005B130C"/>
    <w:rsid w:val="005B14FF"/>
    <w:rsid w:val="005B3B71"/>
    <w:rsid w:val="005B4B1B"/>
    <w:rsid w:val="005B4F0F"/>
    <w:rsid w:val="005B58F0"/>
    <w:rsid w:val="005C0E62"/>
    <w:rsid w:val="005C0F5B"/>
    <w:rsid w:val="005C2E15"/>
    <w:rsid w:val="005C403B"/>
    <w:rsid w:val="005C63B1"/>
    <w:rsid w:val="005C63CB"/>
    <w:rsid w:val="005C782B"/>
    <w:rsid w:val="005D0AA6"/>
    <w:rsid w:val="005D130F"/>
    <w:rsid w:val="005D165F"/>
    <w:rsid w:val="005D21F3"/>
    <w:rsid w:val="005D3CF8"/>
    <w:rsid w:val="005D5D89"/>
    <w:rsid w:val="005E0D2D"/>
    <w:rsid w:val="005E3FB6"/>
    <w:rsid w:val="005F4583"/>
    <w:rsid w:val="005F4ABB"/>
    <w:rsid w:val="005F6066"/>
    <w:rsid w:val="005F6562"/>
    <w:rsid w:val="005F6C6D"/>
    <w:rsid w:val="005F6F09"/>
    <w:rsid w:val="005F787A"/>
    <w:rsid w:val="006019C7"/>
    <w:rsid w:val="00601E7B"/>
    <w:rsid w:val="00601EBC"/>
    <w:rsid w:val="006021E3"/>
    <w:rsid w:val="00602D32"/>
    <w:rsid w:val="00603A84"/>
    <w:rsid w:val="006067DC"/>
    <w:rsid w:val="00610629"/>
    <w:rsid w:val="00611BCD"/>
    <w:rsid w:val="0061258D"/>
    <w:rsid w:val="006142EC"/>
    <w:rsid w:val="006155A5"/>
    <w:rsid w:val="00617824"/>
    <w:rsid w:val="00624214"/>
    <w:rsid w:val="00625419"/>
    <w:rsid w:val="00626B34"/>
    <w:rsid w:val="00626D1A"/>
    <w:rsid w:val="00627429"/>
    <w:rsid w:val="0063089C"/>
    <w:rsid w:val="00632A91"/>
    <w:rsid w:val="006345E8"/>
    <w:rsid w:val="0063765C"/>
    <w:rsid w:val="00640045"/>
    <w:rsid w:val="006403CB"/>
    <w:rsid w:val="006410B0"/>
    <w:rsid w:val="0064139F"/>
    <w:rsid w:val="00641404"/>
    <w:rsid w:val="00641EDA"/>
    <w:rsid w:val="00642B97"/>
    <w:rsid w:val="00643680"/>
    <w:rsid w:val="00644453"/>
    <w:rsid w:val="00644B32"/>
    <w:rsid w:val="0064639A"/>
    <w:rsid w:val="0064646F"/>
    <w:rsid w:val="00646523"/>
    <w:rsid w:val="00647BDD"/>
    <w:rsid w:val="00650C64"/>
    <w:rsid w:val="0065273C"/>
    <w:rsid w:val="00656A74"/>
    <w:rsid w:val="00657221"/>
    <w:rsid w:val="00661FC1"/>
    <w:rsid w:val="006625F4"/>
    <w:rsid w:val="00663FED"/>
    <w:rsid w:val="00664B64"/>
    <w:rsid w:val="006678E3"/>
    <w:rsid w:val="00667A9C"/>
    <w:rsid w:val="006712E8"/>
    <w:rsid w:val="00674AC2"/>
    <w:rsid w:val="00677DA7"/>
    <w:rsid w:val="00680212"/>
    <w:rsid w:val="00680C90"/>
    <w:rsid w:val="00681036"/>
    <w:rsid w:val="006823AD"/>
    <w:rsid w:val="00682C29"/>
    <w:rsid w:val="00685872"/>
    <w:rsid w:val="00685AD7"/>
    <w:rsid w:val="00687208"/>
    <w:rsid w:val="00687F71"/>
    <w:rsid w:val="00691963"/>
    <w:rsid w:val="00692124"/>
    <w:rsid w:val="00692D96"/>
    <w:rsid w:val="00693C96"/>
    <w:rsid w:val="00696339"/>
    <w:rsid w:val="00696982"/>
    <w:rsid w:val="006A1A3D"/>
    <w:rsid w:val="006A3F85"/>
    <w:rsid w:val="006A48FA"/>
    <w:rsid w:val="006A56F1"/>
    <w:rsid w:val="006A6E5C"/>
    <w:rsid w:val="006B0972"/>
    <w:rsid w:val="006B3153"/>
    <w:rsid w:val="006B5871"/>
    <w:rsid w:val="006B6BB1"/>
    <w:rsid w:val="006B6EB2"/>
    <w:rsid w:val="006B7212"/>
    <w:rsid w:val="006C14C3"/>
    <w:rsid w:val="006C4B6F"/>
    <w:rsid w:val="006C589D"/>
    <w:rsid w:val="006C769C"/>
    <w:rsid w:val="006C7A95"/>
    <w:rsid w:val="006D11E8"/>
    <w:rsid w:val="006D4B0E"/>
    <w:rsid w:val="006D555C"/>
    <w:rsid w:val="006D753C"/>
    <w:rsid w:val="006E0A00"/>
    <w:rsid w:val="006E306D"/>
    <w:rsid w:val="006E4BEC"/>
    <w:rsid w:val="006E6968"/>
    <w:rsid w:val="006E76C2"/>
    <w:rsid w:val="006F04C6"/>
    <w:rsid w:val="006F08A0"/>
    <w:rsid w:val="006F2A97"/>
    <w:rsid w:val="006F46E4"/>
    <w:rsid w:val="006F7AD7"/>
    <w:rsid w:val="00700E12"/>
    <w:rsid w:val="00702627"/>
    <w:rsid w:val="0070359F"/>
    <w:rsid w:val="0070464C"/>
    <w:rsid w:val="00705474"/>
    <w:rsid w:val="00705B46"/>
    <w:rsid w:val="007076B2"/>
    <w:rsid w:val="007106D6"/>
    <w:rsid w:val="00711BBB"/>
    <w:rsid w:val="0071340A"/>
    <w:rsid w:val="00713FC7"/>
    <w:rsid w:val="00716FD1"/>
    <w:rsid w:val="00720D0F"/>
    <w:rsid w:val="007218A9"/>
    <w:rsid w:val="0072241C"/>
    <w:rsid w:val="00722AC7"/>
    <w:rsid w:val="007234CA"/>
    <w:rsid w:val="007245A5"/>
    <w:rsid w:val="00730A43"/>
    <w:rsid w:val="00731628"/>
    <w:rsid w:val="00734108"/>
    <w:rsid w:val="007343AD"/>
    <w:rsid w:val="0073448D"/>
    <w:rsid w:val="00735087"/>
    <w:rsid w:val="00736FA0"/>
    <w:rsid w:val="0074053E"/>
    <w:rsid w:val="0075000E"/>
    <w:rsid w:val="00752156"/>
    <w:rsid w:val="00753A7A"/>
    <w:rsid w:val="00756E77"/>
    <w:rsid w:val="007577C2"/>
    <w:rsid w:val="0076038F"/>
    <w:rsid w:val="00760D77"/>
    <w:rsid w:val="007617E5"/>
    <w:rsid w:val="0077124E"/>
    <w:rsid w:val="00772FA7"/>
    <w:rsid w:val="007743A2"/>
    <w:rsid w:val="0077578C"/>
    <w:rsid w:val="00775E1E"/>
    <w:rsid w:val="0077774C"/>
    <w:rsid w:val="00781ACA"/>
    <w:rsid w:val="007823CF"/>
    <w:rsid w:val="00783E35"/>
    <w:rsid w:val="00784F67"/>
    <w:rsid w:val="00786754"/>
    <w:rsid w:val="00786D49"/>
    <w:rsid w:val="00787061"/>
    <w:rsid w:val="00790F0A"/>
    <w:rsid w:val="00790F5E"/>
    <w:rsid w:val="007927A6"/>
    <w:rsid w:val="00797F6E"/>
    <w:rsid w:val="007A1F4C"/>
    <w:rsid w:val="007A3EA8"/>
    <w:rsid w:val="007A4C2E"/>
    <w:rsid w:val="007A53F8"/>
    <w:rsid w:val="007B05BD"/>
    <w:rsid w:val="007B24DC"/>
    <w:rsid w:val="007B31A5"/>
    <w:rsid w:val="007B3327"/>
    <w:rsid w:val="007B3533"/>
    <w:rsid w:val="007B4996"/>
    <w:rsid w:val="007B6926"/>
    <w:rsid w:val="007B6FA3"/>
    <w:rsid w:val="007B705D"/>
    <w:rsid w:val="007C5764"/>
    <w:rsid w:val="007C61D0"/>
    <w:rsid w:val="007C6FAA"/>
    <w:rsid w:val="007C6FB7"/>
    <w:rsid w:val="007C768F"/>
    <w:rsid w:val="007D251F"/>
    <w:rsid w:val="007D4FA2"/>
    <w:rsid w:val="007E0874"/>
    <w:rsid w:val="007E0FAD"/>
    <w:rsid w:val="007E436D"/>
    <w:rsid w:val="007E60E9"/>
    <w:rsid w:val="007E63F3"/>
    <w:rsid w:val="007E6F5A"/>
    <w:rsid w:val="007F0916"/>
    <w:rsid w:val="007F0BC7"/>
    <w:rsid w:val="007F1E7D"/>
    <w:rsid w:val="007F2A79"/>
    <w:rsid w:val="007F3026"/>
    <w:rsid w:val="007F3F97"/>
    <w:rsid w:val="007F42DD"/>
    <w:rsid w:val="007F4E0F"/>
    <w:rsid w:val="007F77CA"/>
    <w:rsid w:val="008011ED"/>
    <w:rsid w:val="00801636"/>
    <w:rsid w:val="00803935"/>
    <w:rsid w:val="008045D0"/>
    <w:rsid w:val="008059B8"/>
    <w:rsid w:val="00810333"/>
    <w:rsid w:val="0081415C"/>
    <w:rsid w:val="0081590D"/>
    <w:rsid w:val="00815E57"/>
    <w:rsid w:val="008166F5"/>
    <w:rsid w:val="0081677E"/>
    <w:rsid w:val="00817467"/>
    <w:rsid w:val="0082043E"/>
    <w:rsid w:val="00822905"/>
    <w:rsid w:val="0082299E"/>
    <w:rsid w:val="00827CD1"/>
    <w:rsid w:val="00832164"/>
    <w:rsid w:val="008324CB"/>
    <w:rsid w:val="00832F53"/>
    <w:rsid w:val="008330BA"/>
    <w:rsid w:val="00834003"/>
    <w:rsid w:val="0083455F"/>
    <w:rsid w:val="00834EA0"/>
    <w:rsid w:val="00843042"/>
    <w:rsid w:val="00843C37"/>
    <w:rsid w:val="00844886"/>
    <w:rsid w:val="00844C2D"/>
    <w:rsid w:val="00846D68"/>
    <w:rsid w:val="008518E5"/>
    <w:rsid w:val="00852B15"/>
    <w:rsid w:val="00853B1F"/>
    <w:rsid w:val="00854543"/>
    <w:rsid w:val="00856135"/>
    <w:rsid w:val="00856282"/>
    <w:rsid w:val="00857A96"/>
    <w:rsid w:val="00861FE5"/>
    <w:rsid w:val="0086376D"/>
    <w:rsid w:val="008703C2"/>
    <w:rsid w:val="0087209F"/>
    <w:rsid w:val="008806CC"/>
    <w:rsid w:val="008849E6"/>
    <w:rsid w:val="0088513E"/>
    <w:rsid w:val="00886300"/>
    <w:rsid w:val="0089099F"/>
    <w:rsid w:val="00890AAF"/>
    <w:rsid w:val="00892F7A"/>
    <w:rsid w:val="00894CEB"/>
    <w:rsid w:val="00896A62"/>
    <w:rsid w:val="00897434"/>
    <w:rsid w:val="00897B88"/>
    <w:rsid w:val="008A113D"/>
    <w:rsid w:val="008A678B"/>
    <w:rsid w:val="008A70FA"/>
    <w:rsid w:val="008B0034"/>
    <w:rsid w:val="008B0702"/>
    <w:rsid w:val="008B2397"/>
    <w:rsid w:val="008B33B5"/>
    <w:rsid w:val="008B3CD6"/>
    <w:rsid w:val="008B6003"/>
    <w:rsid w:val="008B691D"/>
    <w:rsid w:val="008C2F9A"/>
    <w:rsid w:val="008C3A8D"/>
    <w:rsid w:val="008C4D11"/>
    <w:rsid w:val="008C56F9"/>
    <w:rsid w:val="008C6694"/>
    <w:rsid w:val="008D54FA"/>
    <w:rsid w:val="008D5C05"/>
    <w:rsid w:val="008D6490"/>
    <w:rsid w:val="008D6FFD"/>
    <w:rsid w:val="008E1191"/>
    <w:rsid w:val="008E17E1"/>
    <w:rsid w:val="008E342E"/>
    <w:rsid w:val="008E4D9C"/>
    <w:rsid w:val="008E566D"/>
    <w:rsid w:val="008E588C"/>
    <w:rsid w:val="008F52D9"/>
    <w:rsid w:val="008F6BC6"/>
    <w:rsid w:val="00902A41"/>
    <w:rsid w:val="00902B4C"/>
    <w:rsid w:val="00903FC5"/>
    <w:rsid w:val="0090403F"/>
    <w:rsid w:val="009071FF"/>
    <w:rsid w:val="009108DB"/>
    <w:rsid w:val="009112EB"/>
    <w:rsid w:val="00913191"/>
    <w:rsid w:val="009131F2"/>
    <w:rsid w:val="00916431"/>
    <w:rsid w:val="00917DBE"/>
    <w:rsid w:val="0092605A"/>
    <w:rsid w:val="0092689A"/>
    <w:rsid w:val="0093228E"/>
    <w:rsid w:val="009325E1"/>
    <w:rsid w:val="00933602"/>
    <w:rsid w:val="009338B2"/>
    <w:rsid w:val="009351EF"/>
    <w:rsid w:val="0093698F"/>
    <w:rsid w:val="00940914"/>
    <w:rsid w:val="009409E8"/>
    <w:rsid w:val="00942250"/>
    <w:rsid w:val="00942706"/>
    <w:rsid w:val="00942E51"/>
    <w:rsid w:val="00946A6A"/>
    <w:rsid w:val="00947EB7"/>
    <w:rsid w:val="0095056B"/>
    <w:rsid w:val="00951FC3"/>
    <w:rsid w:val="009520BD"/>
    <w:rsid w:val="00952B29"/>
    <w:rsid w:val="00953DBA"/>
    <w:rsid w:val="00954137"/>
    <w:rsid w:val="00955882"/>
    <w:rsid w:val="00955ABF"/>
    <w:rsid w:val="00956F74"/>
    <w:rsid w:val="00956F84"/>
    <w:rsid w:val="009575A0"/>
    <w:rsid w:val="00957C6C"/>
    <w:rsid w:val="00960AA2"/>
    <w:rsid w:val="009649DC"/>
    <w:rsid w:val="00966EB2"/>
    <w:rsid w:val="00970C67"/>
    <w:rsid w:val="00974456"/>
    <w:rsid w:val="00991483"/>
    <w:rsid w:val="0099296D"/>
    <w:rsid w:val="009935AA"/>
    <w:rsid w:val="00993A74"/>
    <w:rsid w:val="00993F94"/>
    <w:rsid w:val="009951B2"/>
    <w:rsid w:val="0099734A"/>
    <w:rsid w:val="009A039C"/>
    <w:rsid w:val="009A2859"/>
    <w:rsid w:val="009A2FA5"/>
    <w:rsid w:val="009A40AE"/>
    <w:rsid w:val="009A4E90"/>
    <w:rsid w:val="009A50B8"/>
    <w:rsid w:val="009A737B"/>
    <w:rsid w:val="009B1823"/>
    <w:rsid w:val="009B406F"/>
    <w:rsid w:val="009B443A"/>
    <w:rsid w:val="009B4D09"/>
    <w:rsid w:val="009B6DD1"/>
    <w:rsid w:val="009C1332"/>
    <w:rsid w:val="009C4A4F"/>
    <w:rsid w:val="009C6D34"/>
    <w:rsid w:val="009D2E97"/>
    <w:rsid w:val="009D328E"/>
    <w:rsid w:val="009D3438"/>
    <w:rsid w:val="009D3B88"/>
    <w:rsid w:val="009D40B6"/>
    <w:rsid w:val="009D4D3A"/>
    <w:rsid w:val="009D7AD4"/>
    <w:rsid w:val="009E1231"/>
    <w:rsid w:val="009E1A57"/>
    <w:rsid w:val="009E36CA"/>
    <w:rsid w:val="009E422B"/>
    <w:rsid w:val="009E4B6B"/>
    <w:rsid w:val="009E6470"/>
    <w:rsid w:val="009E7175"/>
    <w:rsid w:val="009F08CB"/>
    <w:rsid w:val="009F1E5E"/>
    <w:rsid w:val="009F4215"/>
    <w:rsid w:val="009F497B"/>
    <w:rsid w:val="009F5331"/>
    <w:rsid w:val="009F6453"/>
    <w:rsid w:val="009F6AD6"/>
    <w:rsid w:val="009F6F30"/>
    <w:rsid w:val="009F7BFB"/>
    <w:rsid w:val="00A0081F"/>
    <w:rsid w:val="00A01B61"/>
    <w:rsid w:val="00A03BCB"/>
    <w:rsid w:val="00A048F3"/>
    <w:rsid w:val="00A04CA6"/>
    <w:rsid w:val="00A052DD"/>
    <w:rsid w:val="00A06E6F"/>
    <w:rsid w:val="00A12151"/>
    <w:rsid w:val="00A12A49"/>
    <w:rsid w:val="00A135C4"/>
    <w:rsid w:val="00A13CB5"/>
    <w:rsid w:val="00A13FEC"/>
    <w:rsid w:val="00A16E86"/>
    <w:rsid w:val="00A200C3"/>
    <w:rsid w:val="00A21103"/>
    <w:rsid w:val="00A21E3C"/>
    <w:rsid w:val="00A23419"/>
    <w:rsid w:val="00A24BBD"/>
    <w:rsid w:val="00A26D62"/>
    <w:rsid w:val="00A26DF1"/>
    <w:rsid w:val="00A2701A"/>
    <w:rsid w:val="00A27D2E"/>
    <w:rsid w:val="00A30D78"/>
    <w:rsid w:val="00A31032"/>
    <w:rsid w:val="00A31CCF"/>
    <w:rsid w:val="00A32598"/>
    <w:rsid w:val="00A33EF8"/>
    <w:rsid w:val="00A3432E"/>
    <w:rsid w:val="00A40DFB"/>
    <w:rsid w:val="00A435BF"/>
    <w:rsid w:val="00A448B0"/>
    <w:rsid w:val="00A46981"/>
    <w:rsid w:val="00A50AD0"/>
    <w:rsid w:val="00A5210B"/>
    <w:rsid w:val="00A524EC"/>
    <w:rsid w:val="00A52F4A"/>
    <w:rsid w:val="00A531D6"/>
    <w:rsid w:val="00A54346"/>
    <w:rsid w:val="00A55211"/>
    <w:rsid w:val="00A569C9"/>
    <w:rsid w:val="00A57E0C"/>
    <w:rsid w:val="00A6039D"/>
    <w:rsid w:val="00A631B5"/>
    <w:rsid w:val="00A63351"/>
    <w:rsid w:val="00A6487D"/>
    <w:rsid w:val="00A65DF5"/>
    <w:rsid w:val="00A66D3E"/>
    <w:rsid w:val="00A676CE"/>
    <w:rsid w:val="00A7001C"/>
    <w:rsid w:val="00A70A43"/>
    <w:rsid w:val="00A75807"/>
    <w:rsid w:val="00A77913"/>
    <w:rsid w:val="00A81024"/>
    <w:rsid w:val="00A8209D"/>
    <w:rsid w:val="00A82740"/>
    <w:rsid w:val="00A860C9"/>
    <w:rsid w:val="00A9137F"/>
    <w:rsid w:val="00A9483B"/>
    <w:rsid w:val="00A94C8D"/>
    <w:rsid w:val="00A94F2C"/>
    <w:rsid w:val="00A95689"/>
    <w:rsid w:val="00A95779"/>
    <w:rsid w:val="00A972E1"/>
    <w:rsid w:val="00AA3F8C"/>
    <w:rsid w:val="00AA6E6B"/>
    <w:rsid w:val="00AB3052"/>
    <w:rsid w:val="00AB4248"/>
    <w:rsid w:val="00AB4520"/>
    <w:rsid w:val="00AB572D"/>
    <w:rsid w:val="00AB5A86"/>
    <w:rsid w:val="00AB6170"/>
    <w:rsid w:val="00AB6599"/>
    <w:rsid w:val="00AB707C"/>
    <w:rsid w:val="00AC0B37"/>
    <w:rsid w:val="00AC2185"/>
    <w:rsid w:val="00AC3068"/>
    <w:rsid w:val="00AC3C48"/>
    <w:rsid w:val="00AC4067"/>
    <w:rsid w:val="00AC41BE"/>
    <w:rsid w:val="00AC53DF"/>
    <w:rsid w:val="00AC54F8"/>
    <w:rsid w:val="00AC692A"/>
    <w:rsid w:val="00AD0F08"/>
    <w:rsid w:val="00AD1585"/>
    <w:rsid w:val="00AD1747"/>
    <w:rsid w:val="00AD235B"/>
    <w:rsid w:val="00AD560B"/>
    <w:rsid w:val="00AD5BBB"/>
    <w:rsid w:val="00AE02B5"/>
    <w:rsid w:val="00AE0494"/>
    <w:rsid w:val="00AE0B28"/>
    <w:rsid w:val="00AE0C8D"/>
    <w:rsid w:val="00AE0D50"/>
    <w:rsid w:val="00AE1947"/>
    <w:rsid w:val="00AE242E"/>
    <w:rsid w:val="00AE2D8E"/>
    <w:rsid w:val="00AE4C9F"/>
    <w:rsid w:val="00AE7A40"/>
    <w:rsid w:val="00AE7EF9"/>
    <w:rsid w:val="00AF4A88"/>
    <w:rsid w:val="00AF60FC"/>
    <w:rsid w:val="00AF619D"/>
    <w:rsid w:val="00B01A75"/>
    <w:rsid w:val="00B01A81"/>
    <w:rsid w:val="00B02D39"/>
    <w:rsid w:val="00B03711"/>
    <w:rsid w:val="00B03B6B"/>
    <w:rsid w:val="00B04CC3"/>
    <w:rsid w:val="00B164D3"/>
    <w:rsid w:val="00B17DE2"/>
    <w:rsid w:val="00B2096A"/>
    <w:rsid w:val="00B20E8D"/>
    <w:rsid w:val="00B32541"/>
    <w:rsid w:val="00B3267F"/>
    <w:rsid w:val="00B35F87"/>
    <w:rsid w:val="00B379DA"/>
    <w:rsid w:val="00B37A67"/>
    <w:rsid w:val="00B41203"/>
    <w:rsid w:val="00B41500"/>
    <w:rsid w:val="00B46231"/>
    <w:rsid w:val="00B5297F"/>
    <w:rsid w:val="00B52E16"/>
    <w:rsid w:val="00B53812"/>
    <w:rsid w:val="00B53C36"/>
    <w:rsid w:val="00B560BA"/>
    <w:rsid w:val="00B623DA"/>
    <w:rsid w:val="00B62736"/>
    <w:rsid w:val="00B62A71"/>
    <w:rsid w:val="00B62EF9"/>
    <w:rsid w:val="00B630C6"/>
    <w:rsid w:val="00B65DC0"/>
    <w:rsid w:val="00B676C2"/>
    <w:rsid w:val="00B67C2D"/>
    <w:rsid w:val="00B70D91"/>
    <w:rsid w:val="00B72D45"/>
    <w:rsid w:val="00B72FA0"/>
    <w:rsid w:val="00B73209"/>
    <w:rsid w:val="00B7708B"/>
    <w:rsid w:val="00B7721B"/>
    <w:rsid w:val="00B80E25"/>
    <w:rsid w:val="00B8347E"/>
    <w:rsid w:val="00B84B4A"/>
    <w:rsid w:val="00B8589C"/>
    <w:rsid w:val="00B86BAC"/>
    <w:rsid w:val="00B97B35"/>
    <w:rsid w:val="00BA123B"/>
    <w:rsid w:val="00BA1AC6"/>
    <w:rsid w:val="00BA3196"/>
    <w:rsid w:val="00BA3509"/>
    <w:rsid w:val="00BA5877"/>
    <w:rsid w:val="00BA5882"/>
    <w:rsid w:val="00BB124C"/>
    <w:rsid w:val="00BB17E3"/>
    <w:rsid w:val="00BB1CDB"/>
    <w:rsid w:val="00BB2110"/>
    <w:rsid w:val="00BB3645"/>
    <w:rsid w:val="00BB547E"/>
    <w:rsid w:val="00BB5D9A"/>
    <w:rsid w:val="00BB69B7"/>
    <w:rsid w:val="00BB70F3"/>
    <w:rsid w:val="00BC2581"/>
    <w:rsid w:val="00BC3F55"/>
    <w:rsid w:val="00BC481A"/>
    <w:rsid w:val="00BC4D26"/>
    <w:rsid w:val="00BC555D"/>
    <w:rsid w:val="00BC658E"/>
    <w:rsid w:val="00BD0218"/>
    <w:rsid w:val="00BD1869"/>
    <w:rsid w:val="00BD200B"/>
    <w:rsid w:val="00BD63DF"/>
    <w:rsid w:val="00BD64D4"/>
    <w:rsid w:val="00BD7C4B"/>
    <w:rsid w:val="00BE33E8"/>
    <w:rsid w:val="00BF2BEB"/>
    <w:rsid w:val="00BF3197"/>
    <w:rsid w:val="00BF5E23"/>
    <w:rsid w:val="00BF6AD1"/>
    <w:rsid w:val="00C01DB8"/>
    <w:rsid w:val="00C0300F"/>
    <w:rsid w:val="00C04C13"/>
    <w:rsid w:val="00C0523E"/>
    <w:rsid w:val="00C06C3C"/>
    <w:rsid w:val="00C0751C"/>
    <w:rsid w:val="00C07D81"/>
    <w:rsid w:val="00C07F14"/>
    <w:rsid w:val="00C105ED"/>
    <w:rsid w:val="00C11B64"/>
    <w:rsid w:val="00C1218B"/>
    <w:rsid w:val="00C12B6B"/>
    <w:rsid w:val="00C135F1"/>
    <w:rsid w:val="00C140D0"/>
    <w:rsid w:val="00C14775"/>
    <w:rsid w:val="00C150A5"/>
    <w:rsid w:val="00C20B39"/>
    <w:rsid w:val="00C22B21"/>
    <w:rsid w:val="00C23593"/>
    <w:rsid w:val="00C23845"/>
    <w:rsid w:val="00C31846"/>
    <w:rsid w:val="00C328C6"/>
    <w:rsid w:val="00C32A33"/>
    <w:rsid w:val="00C367FB"/>
    <w:rsid w:val="00C41389"/>
    <w:rsid w:val="00C41BB7"/>
    <w:rsid w:val="00C42379"/>
    <w:rsid w:val="00C44004"/>
    <w:rsid w:val="00C445F4"/>
    <w:rsid w:val="00C54D17"/>
    <w:rsid w:val="00C54DF3"/>
    <w:rsid w:val="00C610B6"/>
    <w:rsid w:val="00C6257F"/>
    <w:rsid w:val="00C63117"/>
    <w:rsid w:val="00C640C7"/>
    <w:rsid w:val="00C65784"/>
    <w:rsid w:val="00C67BDD"/>
    <w:rsid w:val="00C70F24"/>
    <w:rsid w:val="00C717F6"/>
    <w:rsid w:val="00C7288B"/>
    <w:rsid w:val="00C72FD7"/>
    <w:rsid w:val="00C75845"/>
    <w:rsid w:val="00C8155C"/>
    <w:rsid w:val="00C8284B"/>
    <w:rsid w:val="00C90301"/>
    <w:rsid w:val="00C907F0"/>
    <w:rsid w:val="00C93A91"/>
    <w:rsid w:val="00C95601"/>
    <w:rsid w:val="00CA1947"/>
    <w:rsid w:val="00CA1C91"/>
    <w:rsid w:val="00CA323D"/>
    <w:rsid w:val="00CA54A0"/>
    <w:rsid w:val="00CB5515"/>
    <w:rsid w:val="00CB6C65"/>
    <w:rsid w:val="00CB76EF"/>
    <w:rsid w:val="00CB7840"/>
    <w:rsid w:val="00CC0E24"/>
    <w:rsid w:val="00CC2390"/>
    <w:rsid w:val="00CC34E2"/>
    <w:rsid w:val="00CC4A5C"/>
    <w:rsid w:val="00CC4BD6"/>
    <w:rsid w:val="00CC5BB7"/>
    <w:rsid w:val="00CC5F62"/>
    <w:rsid w:val="00CC69B4"/>
    <w:rsid w:val="00CC6D17"/>
    <w:rsid w:val="00CC7102"/>
    <w:rsid w:val="00CC7CF3"/>
    <w:rsid w:val="00CD1E85"/>
    <w:rsid w:val="00CD3AEA"/>
    <w:rsid w:val="00CD3C32"/>
    <w:rsid w:val="00CD4235"/>
    <w:rsid w:val="00CD56D7"/>
    <w:rsid w:val="00CD57FC"/>
    <w:rsid w:val="00CD632A"/>
    <w:rsid w:val="00CE0B6D"/>
    <w:rsid w:val="00CE127E"/>
    <w:rsid w:val="00CE1C10"/>
    <w:rsid w:val="00CE217C"/>
    <w:rsid w:val="00CE4AE9"/>
    <w:rsid w:val="00CF225C"/>
    <w:rsid w:val="00CF41D0"/>
    <w:rsid w:val="00CF560E"/>
    <w:rsid w:val="00CF755E"/>
    <w:rsid w:val="00D00CF9"/>
    <w:rsid w:val="00D012FF"/>
    <w:rsid w:val="00D04CD8"/>
    <w:rsid w:val="00D04DEC"/>
    <w:rsid w:val="00D114ED"/>
    <w:rsid w:val="00D1261E"/>
    <w:rsid w:val="00D13F32"/>
    <w:rsid w:val="00D14B5E"/>
    <w:rsid w:val="00D1685E"/>
    <w:rsid w:val="00D171BA"/>
    <w:rsid w:val="00D20EEF"/>
    <w:rsid w:val="00D25B74"/>
    <w:rsid w:val="00D25CA1"/>
    <w:rsid w:val="00D31474"/>
    <w:rsid w:val="00D32933"/>
    <w:rsid w:val="00D337E6"/>
    <w:rsid w:val="00D3579F"/>
    <w:rsid w:val="00D36B62"/>
    <w:rsid w:val="00D37BF5"/>
    <w:rsid w:val="00D421A7"/>
    <w:rsid w:val="00D42987"/>
    <w:rsid w:val="00D42C18"/>
    <w:rsid w:val="00D43F5E"/>
    <w:rsid w:val="00D44623"/>
    <w:rsid w:val="00D47CF6"/>
    <w:rsid w:val="00D50820"/>
    <w:rsid w:val="00D511C3"/>
    <w:rsid w:val="00D5481D"/>
    <w:rsid w:val="00D55B2D"/>
    <w:rsid w:val="00D60045"/>
    <w:rsid w:val="00D628AE"/>
    <w:rsid w:val="00D647C9"/>
    <w:rsid w:val="00D6632B"/>
    <w:rsid w:val="00D67743"/>
    <w:rsid w:val="00D67995"/>
    <w:rsid w:val="00D703F8"/>
    <w:rsid w:val="00D7163F"/>
    <w:rsid w:val="00D7298C"/>
    <w:rsid w:val="00D73998"/>
    <w:rsid w:val="00D75694"/>
    <w:rsid w:val="00D76FD9"/>
    <w:rsid w:val="00D800BD"/>
    <w:rsid w:val="00D816C8"/>
    <w:rsid w:val="00D81BC5"/>
    <w:rsid w:val="00D827CE"/>
    <w:rsid w:val="00D84DEB"/>
    <w:rsid w:val="00D877A6"/>
    <w:rsid w:val="00D904D9"/>
    <w:rsid w:val="00D92ACF"/>
    <w:rsid w:val="00D92E5B"/>
    <w:rsid w:val="00D946F0"/>
    <w:rsid w:val="00D95156"/>
    <w:rsid w:val="00D95BD9"/>
    <w:rsid w:val="00D95DC3"/>
    <w:rsid w:val="00D96A46"/>
    <w:rsid w:val="00D96A67"/>
    <w:rsid w:val="00DA12D5"/>
    <w:rsid w:val="00DA2217"/>
    <w:rsid w:val="00DA3326"/>
    <w:rsid w:val="00DA3644"/>
    <w:rsid w:val="00DA3FCB"/>
    <w:rsid w:val="00DA630F"/>
    <w:rsid w:val="00DA6A38"/>
    <w:rsid w:val="00DA6B30"/>
    <w:rsid w:val="00DA7040"/>
    <w:rsid w:val="00DB07B5"/>
    <w:rsid w:val="00DB07F9"/>
    <w:rsid w:val="00DB3B56"/>
    <w:rsid w:val="00DB3CAF"/>
    <w:rsid w:val="00DB4966"/>
    <w:rsid w:val="00DC1386"/>
    <w:rsid w:val="00DC7A46"/>
    <w:rsid w:val="00DD0F54"/>
    <w:rsid w:val="00DD3B64"/>
    <w:rsid w:val="00DD4F7A"/>
    <w:rsid w:val="00DD5050"/>
    <w:rsid w:val="00DD5306"/>
    <w:rsid w:val="00DD5903"/>
    <w:rsid w:val="00DD5E1E"/>
    <w:rsid w:val="00DE229B"/>
    <w:rsid w:val="00DE3337"/>
    <w:rsid w:val="00DE3A2B"/>
    <w:rsid w:val="00DE4A81"/>
    <w:rsid w:val="00DE741F"/>
    <w:rsid w:val="00DE7AB8"/>
    <w:rsid w:val="00DF15AB"/>
    <w:rsid w:val="00DF3188"/>
    <w:rsid w:val="00DF5529"/>
    <w:rsid w:val="00DF6DE8"/>
    <w:rsid w:val="00DF6FB0"/>
    <w:rsid w:val="00DF76B3"/>
    <w:rsid w:val="00DF76F2"/>
    <w:rsid w:val="00E00083"/>
    <w:rsid w:val="00E009E2"/>
    <w:rsid w:val="00E01DE7"/>
    <w:rsid w:val="00E0411F"/>
    <w:rsid w:val="00E0572E"/>
    <w:rsid w:val="00E10005"/>
    <w:rsid w:val="00E1238E"/>
    <w:rsid w:val="00E124B9"/>
    <w:rsid w:val="00E13F21"/>
    <w:rsid w:val="00E1612B"/>
    <w:rsid w:val="00E17515"/>
    <w:rsid w:val="00E20591"/>
    <w:rsid w:val="00E22766"/>
    <w:rsid w:val="00E2572E"/>
    <w:rsid w:val="00E2609B"/>
    <w:rsid w:val="00E2692D"/>
    <w:rsid w:val="00E271C2"/>
    <w:rsid w:val="00E27AC2"/>
    <w:rsid w:val="00E30031"/>
    <w:rsid w:val="00E329A6"/>
    <w:rsid w:val="00E349C5"/>
    <w:rsid w:val="00E34CB5"/>
    <w:rsid w:val="00E36419"/>
    <w:rsid w:val="00E37789"/>
    <w:rsid w:val="00E42265"/>
    <w:rsid w:val="00E45DAA"/>
    <w:rsid w:val="00E46560"/>
    <w:rsid w:val="00E47307"/>
    <w:rsid w:val="00E47601"/>
    <w:rsid w:val="00E50303"/>
    <w:rsid w:val="00E50DAE"/>
    <w:rsid w:val="00E50DB1"/>
    <w:rsid w:val="00E51053"/>
    <w:rsid w:val="00E51A6B"/>
    <w:rsid w:val="00E51A9F"/>
    <w:rsid w:val="00E52C23"/>
    <w:rsid w:val="00E52CA8"/>
    <w:rsid w:val="00E550CE"/>
    <w:rsid w:val="00E60B86"/>
    <w:rsid w:val="00E6208E"/>
    <w:rsid w:val="00E62E45"/>
    <w:rsid w:val="00E62F7D"/>
    <w:rsid w:val="00E63867"/>
    <w:rsid w:val="00E676A9"/>
    <w:rsid w:val="00E67D76"/>
    <w:rsid w:val="00E700B8"/>
    <w:rsid w:val="00E702B9"/>
    <w:rsid w:val="00E70588"/>
    <w:rsid w:val="00E7110E"/>
    <w:rsid w:val="00E75FA1"/>
    <w:rsid w:val="00E76419"/>
    <w:rsid w:val="00E77787"/>
    <w:rsid w:val="00E77CD7"/>
    <w:rsid w:val="00E82017"/>
    <w:rsid w:val="00E82792"/>
    <w:rsid w:val="00E844D7"/>
    <w:rsid w:val="00E86942"/>
    <w:rsid w:val="00E921DA"/>
    <w:rsid w:val="00E92E9D"/>
    <w:rsid w:val="00E93B3C"/>
    <w:rsid w:val="00E96A7F"/>
    <w:rsid w:val="00EA031A"/>
    <w:rsid w:val="00EA0CE9"/>
    <w:rsid w:val="00EA1A40"/>
    <w:rsid w:val="00EA330D"/>
    <w:rsid w:val="00EA5190"/>
    <w:rsid w:val="00EA5F4C"/>
    <w:rsid w:val="00EA6109"/>
    <w:rsid w:val="00EB2688"/>
    <w:rsid w:val="00EB6181"/>
    <w:rsid w:val="00EB664F"/>
    <w:rsid w:val="00EB7E37"/>
    <w:rsid w:val="00EC12E8"/>
    <w:rsid w:val="00EC1357"/>
    <w:rsid w:val="00EC1923"/>
    <w:rsid w:val="00EC5ACF"/>
    <w:rsid w:val="00ED22A8"/>
    <w:rsid w:val="00ED2479"/>
    <w:rsid w:val="00ED4EB4"/>
    <w:rsid w:val="00ED4F3F"/>
    <w:rsid w:val="00ED5176"/>
    <w:rsid w:val="00ED5D09"/>
    <w:rsid w:val="00ED7107"/>
    <w:rsid w:val="00EE1A36"/>
    <w:rsid w:val="00EE2221"/>
    <w:rsid w:val="00EE276F"/>
    <w:rsid w:val="00EE2982"/>
    <w:rsid w:val="00EE634F"/>
    <w:rsid w:val="00EE7BC3"/>
    <w:rsid w:val="00EF369D"/>
    <w:rsid w:val="00EF38A7"/>
    <w:rsid w:val="00EF6A39"/>
    <w:rsid w:val="00F00B38"/>
    <w:rsid w:val="00F00CFA"/>
    <w:rsid w:val="00F0376E"/>
    <w:rsid w:val="00F044B3"/>
    <w:rsid w:val="00F05E83"/>
    <w:rsid w:val="00F07DC4"/>
    <w:rsid w:val="00F07E05"/>
    <w:rsid w:val="00F10842"/>
    <w:rsid w:val="00F13C42"/>
    <w:rsid w:val="00F161F7"/>
    <w:rsid w:val="00F206E8"/>
    <w:rsid w:val="00F2081F"/>
    <w:rsid w:val="00F21755"/>
    <w:rsid w:val="00F21F2E"/>
    <w:rsid w:val="00F23947"/>
    <w:rsid w:val="00F23B61"/>
    <w:rsid w:val="00F276F1"/>
    <w:rsid w:val="00F31B44"/>
    <w:rsid w:val="00F32680"/>
    <w:rsid w:val="00F33A66"/>
    <w:rsid w:val="00F34368"/>
    <w:rsid w:val="00F34E5A"/>
    <w:rsid w:val="00F35452"/>
    <w:rsid w:val="00F434D5"/>
    <w:rsid w:val="00F45532"/>
    <w:rsid w:val="00F45ED2"/>
    <w:rsid w:val="00F53C4F"/>
    <w:rsid w:val="00F56A51"/>
    <w:rsid w:val="00F608D2"/>
    <w:rsid w:val="00F61899"/>
    <w:rsid w:val="00F66CD4"/>
    <w:rsid w:val="00F66E01"/>
    <w:rsid w:val="00F7129A"/>
    <w:rsid w:val="00F7180D"/>
    <w:rsid w:val="00F727A7"/>
    <w:rsid w:val="00F729D7"/>
    <w:rsid w:val="00F774CD"/>
    <w:rsid w:val="00F80F59"/>
    <w:rsid w:val="00F82E69"/>
    <w:rsid w:val="00F8414D"/>
    <w:rsid w:val="00F84181"/>
    <w:rsid w:val="00F84C5D"/>
    <w:rsid w:val="00F86271"/>
    <w:rsid w:val="00F87176"/>
    <w:rsid w:val="00F87303"/>
    <w:rsid w:val="00F91287"/>
    <w:rsid w:val="00F917FA"/>
    <w:rsid w:val="00F91B28"/>
    <w:rsid w:val="00F91B38"/>
    <w:rsid w:val="00F91DA0"/>
    <w:rsid w:val="00F9306F"/>
    <w:rsid w:val="00F94B4E"/>
    <w:rsid w:val="00F978B7"/>
    <w:rsid w:val="00F97A35"/>
    <w:rsid w:val="00FA1719"/>
    <w:rsid w:val="00FA2FCD"/>
    <w:rsid w:val="00FA3FA8"/>
    <w:rsid w:val="00FA4718"/>
    <w:rsid w:val="00FA6E64"/>
    <w:rsid w:val="00FB1DCD"/>
    <w:rsid w:val="00FB2F0E"/>
    <w:rsid w:val="00FB31CC"/>
    <w:rsid w:val="00FC05EE"/>
    <w:rsid w:val="00FC2514"/>
    <w:rsid w:val="00FC2EC6"/>
    <w:rsid w:val="00FC339A"/>
    <w:rsid w:val="00FC342D"/>
    <w:rsid w:val="00FC36E0"/>
    <w:rsid w:val="00FC546F"/>
    <w:rsid w:val="00FC6F5E"/>
    <w:rsid w:val="00FC711A"/>
    <w:rsid w:val="00FC7D31"/>
    <w:rsid w:val="00FD13AC"/>
    <w:rsid w:val="00FD2D28"/>
    <w:rsid w:val="00FD6BFE"/>
    <w:rsid w:val="00FE3FF3"/>
    <w:rsid w:val="00FE6D8B"/>
    <w:rsid w:val="00FF459F"/>
    <w:rsid w:val="00FF4D4F"/>
    <w:rsid w:val="1A113708"/>
    <w:rsid w:val="4D821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BDDAE6"/>
  <w15:docId w15:val="{46286E63-C1F0-44AE-8DE2-D334140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100" w:before="100" w:afterLines="100" w:after="100" w:line="360" w:lineRule="auto"/>
      <w:jc w:val="center"/>
      <w:outlineLvl w:val="0"/>
    </w:pPr>
    <w:rPr>
      <w:b/>
      <w:bCs/>
      <w:kern w:val="44"/>
      <w:sz w:val="28"/>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annotation subject"/>
    <w:basedOn w:val="a6"/>
    <w:next w:val="a6"/>
    <w:link w:val="a7"/>
    <w:uiPriority w:val="99"/>
    <w:unhideWhenUsed/>
    <w:rPr>
      <w:b/>
      <w:bCs/>
    </w:rPr>
  </w:style>
  <w:style w:type="paragraph" w:styleId="a6">
    <w:name w:val="annotation text"/>
    <w:basedOn w:val="a"/>
    <w:link w:val="a8"/>
    <w:unhideWhenUsed/>
    <w:qFormat/>
    <w:pPr>
      <w:jc w:val="left"/>
    </w:pPr>
  </w:style>
  <w:style w:type="paragraph" w:styleId="a9">
    <w:name w:val="Document Map"/>
    <w:basedOn w:val="a"/>
    <w:link w:val="aa"/>
    <w:uiPriority w:val="99"/>
    <w:unhideWhenUsed/>
    <w:rPr>
      <w:rFonts w:ascii="宋体"/>
      <w:sz w:val="18"/>
      <w:szCs w:val="18"/>
    </w:rPr>
  </w:style>
  <w:style w:type="paragraph" w:styleId="ab">
    <w:name w:val="Balloon Text"/>
    <w:basedOn w:val="a"/>
    <w:semiHidden/>
    <w:rPr>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paragraph" w:styleId="11">
    <w:name w:val="toc 1"/>
    <w:basedOn w:val="a"/>
    <w:next w:val="a"/>
    <w:uiPriority w:val="39"/>
    <w:unhideWhenUsed/>
  </w:style>
  <w:style w:type="paragraph" w:styleId="ae">
    <w:name w:val="Subtitle"/>
    <w:basedOn w:val="a"/>
    <w:next w:val="a"/>
    <w:link w:val="af"/>
    <w:qFormat/>
    <w:pPr>
      <w:spacing w:before="240" w:after="60" w:line="312" w:lineRule="auto"/>
      <w:jc w:val="center"/>
      <w:outlineLvl w:val="1"/>
    </w:pPr>
    <w:rPr>
      <w:rFonts w:ascii="Cambria" w:hAnsi="Cambria"/>
      <w:b/>
      <w:bCs/>
      <w:kern w:val="28"/>
      <w:sz w:val="32"/>
      <w:szCs w:val="32"/>
    </w:rPr>
  </w:style>
  <w:style w:type="paragraph" w:styleId="21">
    <w:name w:val="toc 2"/>
    <w:basedOn w:val="a"/>
    <w:next w:val="a"/>
    <w:uiPriority w:val="39"/>
    <w:unhideWhenUsed/>
    <w:pPr>
      <w:ind w:leftChars="200" w:left="480"/>
    </w:pPr>
  </w:style>
  <w:style w:type="character" w:styleId="af0">
    <w:name w:val="Hyperlink"/>
    <w:uiPriority w:val="99"/>
    <w:unhideWhenUsed/>
    <w:rPr>
      <w:color w:val="0000FF"/>
      <w:u w:val="single"/>
    </w:rPr>
  </w:style>
  <w:style w:type="character" w:styleId="af1">
    <w:name w:val="annotation reference"/>
    <w:unhideWhenUsed/>
    <w:qFormat/>
    <w:rPr>
      <w:sz w:val="21"/>
      <w:szCs w:val="21"/>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Shading Accent 5"/>
    <w:basedOn w:val="a1"/>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paragraph" w:customStyle="1" w:styleId="af3">
    <w:basedOn w:val="1"/>
    <w:next w:val="a"/>
    <w:uiPriority w:val="39"/>
    <w:qFormat/>
    <w:pPr>
      <w:widowControl/>
      <w:spacing w:beforeLines="0" w:before="480" w:line="276" w:lineRule="auto"/>
      <w:jc w:val="left"/>
      <w:outlineLvl w:val="9"/>
    </w:pPr>
    <w:rPr>
      <w:rFonts w:ascii="Cambria" w:hAnsi="Cambria"/>
      <w:color w:val="365F91"/>
      <w:kern w:val="0"/>
      <w:szCs w:val="28"/>
    </w:rPr>
  </w:style>
  <w:style w:type="paragraph" w:customStyle="1" w:styleId="XBRLTitle6">
    <w:name w:val="XBRLTitle6"/>
    <w:basedOn w:val="ae"/>
    <w:next w:val="4"/>
    <w:qFormat/>
    <w:pPr>
      <w:keepNext/>
      <w:keepLines/>
      <w:numPr>
        <w:ilvl w:val="5"/>
        <w:numId w:val="1"/>
      </w:numPr>
      <w:ind w:left="0" w:firstLine="0"/>
      <w:jc w:val="left"/>
    </w:pPr>
    <w:rPr>
      <w:bCs w:val="0"/>
      <w:sz w:val="24"/>
    </w:rPr>
  </w:style>
  <w:style w:type="paragraph" w:customStyle="1" w:styleId="af4">
    <w:uiPriority w:val="99"/>
    <w:semiHidden/>
    <w:rPr>
      <w:kern w:val="2"/>
      <w:sz w:val="21"/>
      <w:szCs w:val="22"/>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XBRLTitle1">
    <w:name w:val="XBRLTitle1"/>
    <w:basedOn w:val="1"/>
    <w:next w:val="2"/>
    <w:qFormat/>
    <w:pPr>
      <w:numPr>
        <w:numId w:val="1"/>
      </w:numPr>
      <w:spacing w:beforeLines="50" w:before="340" w:afterLines="50" w:after="330" w:line="240" w:lineRule="auto"/>
    </w:pPr>
    <w:rPr>
      <w:rFonts w:ascii="Cambria" w:hAnsi="Cambria"/>
    </w:rPr>
  </w:style>
  <w:style w:type="paragraph" w:customStyle="1" w:styleId="XBRLTitle2">
    <w:name w:val="XBRLTitle2"/>
    <w:basedOn w:val="ae"/>
    <w:next w:val="4"/>
    <w:qFormat/>
    <w:pPr>
      <w:keepNext/>
      <w:keepLines/>
      <w:numPr>
        <w:ilvl w:val="1"/>
        <w:numId w:val="1"/>
      </w:numPr>
      <w:jc w:val="left"/>
    </w:pPr>
    <w:rPr>
      <w:bCs w:val="0"/>
      <w:sz w:val="24"/>
    </w:rPr>
  </w:style>
  <w:style w:type="paragraph" w:customStyle="1" w:styleId="XBRLTitle3">
    <w:name w:val="XBRLTitle3"/>
    <w:basedOn w:val="ae"/>
    <w:next w:val="4"/>
    <w:qFormat/>
    <w:pPr>
      <w:keepNext/>
      <w:keepLines/>
      <w:numPr>
        <w:ilvl w:val="2"/>
        <w:numId w:val="1"/>
      </w:numPr>
      <w:ind w:left="0" w:firstLine="0"/>
      <w:jc w:val="left"/>
    </w:pPr>
    <w:rPr>
      <w:bCs w:val="0"/>
      <w:sz w:val="24"/>
    </w:rPr>
  </w:style>
  <w:style w:type="paragraph" w:customStyle="1" w:styleId="XBRLTitle5">
    <w:name w:val="XBRLTitle5"/>
    <w:basedOn w:val="ae"/>
    <w:next w:val="4"/>
    <w:qFormat/>
    <w:pPr>
      <w:keepNext/>
      <w:keepLines/>
      <w:numPr>
        <w:ilvl w:val="4"/>
        <w:numId w:val="1"/>
      </w:numPr>
      <w:ind w:left="0" w:firstLine="0"/>
      <w:jc w:val="left"/>
    </w:pPr>
    <w:rPr>
      <w:bCs w:val="0"/>
      <w:sz w:val="24"/>
    </w:rPr>
  </w:style>
  <w:style w:type="paragraph" w:customStyle="1" w:styleId="XBRLTitle4">
    <w:name w:val="XBRLTitle4"/>
    <w:basedOn w:val="ae"/>
    <w:next w:val="4"/>
    <w:qFormat/>
    <w:pPr>
      <w:keepNext/>
      <w:keepLines/>
      <w:numPr>
        <w:ilvl w:val="3"/>
        <w:numId w:val="1"/>
      </w:numPr>
      <w:ind w:left="0" w:firstLine="0"/>
      <w:jc w:val="left"/>
    </w:pPr>
    <w:rPr>
      <w:bCs w:val="0"/>
      <w:sz w:val="24"/>
    </w:rPr>
  </w:style>
  <w:style w:type="character" w:customStyle="1" w:styleId="Char1">
    <w:name w:val="副标题 Char1"/>
    <w:rPr>
      <w:rFonts w:ascii="Cambria" w:hAnsi="Cambria"/>
      <w:b/>
      <w:kern w:val="28"/>
      <w:sz w:val="24"/>
      <w:szCs w:val="32"/>
    </w:rPr>
  </w:style>
  <w:style w:type="character" w:customStyle="1" w:styleId="txtcontent11">
    <w:name w:val="txtcontent11"/>
    <w:rPr>
      <w:rFonts w:ascii="ˎ̥" w:hAnsi="ˎ̥" w:hint="default"/>
      <w:color w:val="000000"/>
      <w:sz w:val="21"/>
      <w:szCs w:val="21"/>
    </w:rPr>
  </w:style>
  <w:style w:type="character" w:customStyle="1" w:styleId="a8">
    <w:name w:val="批注文字 字符"/>
    <w:link w:val="a6"/>
    <w:rPr>
      <w:kern w:val="2"/>
      <w:sz w:val="21"/>
      <w:szCs w:val="22"/>
    </w:rPr>
  </w:style>
  <w:style w:type="character" w:customStyle="1" w:styleId="a7">
    <w:name w:val="批注主题 字符"/>
    <w:link w:val="a5"/>
    <w:uiPriority w:val="99"/>
    <w:semiHidden/>
    <w:rPr>
      <w:b/>
      <w:bCs/>
      <w:kern w:val="2"/>
      <w:sz w:val="21"/>
      <w:szCs w:val="22"/>
    </w:rPr>
  </w:style>
  <w:style w:type="character" w:customStyle="1" w:styleId="a4">
    <w:name w:val="页眉 字符"/>
    <w:link w:val="a3"/>
    <w:uiPriority w:val="99"/>
    <w:rPr>
      <w:sz w:val="18"/>
      <w:szCs w:val="18"/>
    </w:rPr>
  </w:style>
  <w:style w:type="character" w:customStyle="1" w:styleId="af">
    <w:name w:val="副标题 字符"/>
    <w:link w:val="ae"/>
    <w:rPr>
      <w:rFonts w:ascii="Cambria" w:hAnsi="Cambria" w:cs="Times New Roman"/>
      <w:b/>
      <w:bCs/>
      <w:kern w:val="28"/>
      <w:sz w:val="32"/>
      <w:szCs w:val="32"/>
    </w:rPr>
  </w:style>
  <w:style w:type="character" w:customStyle="1" w:styleId="aa">
    <w:name w:val="文档结构图 字符"/>
    <w:link w:val="a9"/>
    <w:uiPriority w:val="99"/>
    <w:semiHidden/>
    <w:rPr>
      <w:rFonts w:ascii="宋体"/>
      <w:kern w:val="2"/>
      <w:sz w:val="18"/>
      <w:szCs w:val="18"/>
    </w:rPr>
  </w:style>
  <w:style w:type="character" w:customStyle="1" w:styleId="ad">
    <w:name w:val="页脚 字符"/>
    <w:link w:val="ac"/>
    <w:uiPriority w:val="99"/>
    <w:rPr>
      <w:sz w:val="18"/>
      <w:szCs w:val="18"/>
    </w:rPr>
  </w:style>
  <w:style w:type="character" w:customStyle="1" w:styleId="20">
    <w:name w:val="标题 2 字符"/>
    <w:link w:val="2"/>
    <w:uiPriority w:val="9"/>
    <w:semiHidden/>
    <w:rPr>
      <w:rFonts w:ascii="Cambria" w:eastAsia="宋体" w:hAnsi="Cambria" w:cs="Times New Roman"/>
      <w:b/>
      <w:bCs/>
      <w:kern w:val="2"/>
      <w:sz w:val="32"/>
      <w:szCs w:val="32"/>
    </w:rPr>
  </w:style>
  <w:style w:type="character" w:customStyle="1" w:styleId="40">
    <w:name w:val="标题 4 字符"/>
    <w:link w:val="4"/>
    <w:uiPriority w:val="9"/>
    <w:semiHidden/>
    <w:rPr>
      <w:rFonts w:ascii="Cambria" w:eastAsia="宋体" w:hAnsi="Cambria" w:cs="Times New Roman"/>
      <w:b/>
      <w:bCs/>
      <w:kern w:val="2"/>
      <w:sz w:val="28"/>
      <w:szCs w:val="28"/>
    </w:rPr>
  </w:style>
  <w:style w:type="character" w:customStyle="1" w:styleId="10">
    <w:name w:val="标题 1 字符"/>
    <w:link w:val="1"/>
    <w:uiPriority w:val="9"/>
    <w:rPr>
      <w:b/>
      <w:bCs/>
      <w:kern w:val="44"/>
      <w:sz w:val="28"/>
      <w:szCs w:val="44"/>
    </w:rPr>
  </w:style>
  <w:style w:type="character" w:customStyle="1" w:styleId="Char">
    <w:name w:val="批注文字 Char"/>
    <w:qFormat/>
    <w:rsid w:val="00A95689"/>
    <w:rPr>
      <w:kern w:val="2"/>
      <w:sz w:val="21"/>
    </w:rPr>
  </w:style>
  <w:style w:type="paragraph" w:styleId="af5">
    <w:name w:val="Revision"/>
    <w:hidden/>
    <w:uiPriority w:val="99"/>
    <w:semiHidden/>
    <w:rsid w:val="00C105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6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Pages>
  <Words>15327</Words>
  <Characters>87366</Characters>
  <Application>Microsoft Office Word</Application>
  <DocSecurity>0</DocSecurity>
  <Lines>728</Lines>
  <Paragraphs>204</Paragraphs>
  <ScaleCrop>false</ScaleCrop>
  <Company>Microsoft</Company>
  <LinksUpToDate>false</LinksUpToDate>
  <CharactersWithSpaces>102489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系统用户</dc:creator>
  <cp:lastModifiedBy>张婕茹</cp:lastModifiedBy>
  <cp:revision>53</cp:revision>
  <cp:lastPrinted>2013-02-18T03:10:00Z</cp:lastPrinted>
  <dcterms:created xsi:type="dcterms:W3CDTF">2022-02-24T10:56:00Z</dcterms:created>
  <dcterms:modified xsi:type="dcterms:W3CDTF">2022-07-06T01:26:00Z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