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1FA2" w14:textId="1E6BE024" w:rsidR="00FC2918" w:rsidRPr="00335FE8" w:rsidRDefault="00880454" w:rsidP="006A53E7">
      <w:pPr>
        <w:jc w:val="center"/>
        <w:rPr>
          <w:rFonts w:ascii="黑体" w:eastAsia="黑体" w:hAnsi="黑体"/>
          <w:b/>
          <w:sz w:val="36"/>
        </w:rPr>
      </w:pPr>
      <w:r w:rsidRPr="00335FE8">
        <w:rPr>
          <w:rFonts w:ascii="黑体" w:eastAsia="黑体" w:hAnsi="黑体" w:hint="eastAsia"/>
          <w:b/>
          <w:sz w:val="36"/>
        </w:rPr>
        <w:t>交银施罗德臻选回报混合型证券投资基金</w:t>
      </w:r>
      <w:r w:rsidR="00D27663" w:rsidRPr="003334F5">
        <w:rPr>
          <w:rFonts w:ascii="黑体" w:eastAsia="黑体" w:hAnsi="黑体" w:hint="eastAsia"/>
          <w:b/>
          <w:sz w:val="36"/>
        </w:rPr>
        <w:t>（A类份额）</w:t>
      </w:r>
    </w:p>
    <w:p w14:paraId="3CE8C9BC" w14:textId="48540679"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基金产品资料概要更新(202</w:t>
      </w:r>
      <w:r w:rsidR="00D27663">
        <w:rPr>
          <w:rFonts w:ascii="黑体" w:eastAsia="黑体" w:hAnsi="黑体"/>
          <w:b/>
          <w:sz w:val="36"/>
        </w:rPr>
        <w:t>2</w:t>
      </w:r>
      <w:r w:rsidRPr="00335FE8">
        <w:rPr>
          <w:rFonts w:ascii="黑体" w:eastAsia="黑体" w:hAnsi="黑体" w:hint="eastAsia"/>
          <w:b/>
          <w:sz w:val="36"/>
        </w:rPr>
        <w:t>年第</w:t>
      </w:r>
      <w:r w:rsidR="00D27663">
        <w:rPr>
          <w:rFonts w:ascii="黑体" w:eastAsia="黑体" w:hAnsi="黑体"/>
          <w:b/>
          <w:sz w:val="36"/>
        </w:rPr>
        <w:t>1</w:t>
      </w:r>
      <w:r w:rsidRPr="00335FE8">
        <w:rPr>
          <w:rFonts w:ascii="黑体" w:eastAsia="黑体" w:hAnsi="黑体" w:hint="eastAsia"/>
          <w:b/>
          <w:sz w:val="36"/>
        </w:rPr>
        <w:t>号)</w:t>
      </w:r>
    </w:p>
    <w:p w14:paraId="417166FD" w14:textId="4346D4DA"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w:t>
      </w:r>
      <w:r w:rsidR="00D27663">
        <w:rPr>
          <w:rFonts w:ascii="仿宋_GB2312" w:eastAsia="仿宋_GB2312" w:hAnsi="宋体" w:cs="宋体"/>
          <w:kern w:val="0"/>
          <w:szCs w:val="21"/>
        </w:rPr>
        <w:t>2</w:t>
      </w:r>
      <w:r w:rsidR="006A53E7" w:rsidRPr="00335FE8">
        <w:rPr>
          <w:rFonts w:ascii="仿宋_GB2312" w:eastAsia="仿宋_GB2312" w:hAnsi="宋体" w:cs="宋体" w:hint="eastAsia"/>
          <w:kern w:val="0"/>
          <w:szCs w:val="21"/>
        </w:rPr>
        <w:t>-0</w:t>
      </w:r>
      <w:r w:rsidR="00D13043">
        <w:rPr>
          <w:rFonts w:ascii="仿宋_GB2312" w:eastAsia="仿宋_GB2312" w:hAnsi="宋体" w:cs="宋体"/>
          <w:kern w:val="0"/>
          <w:szCs w:val="21"/>
        </w:rPr>
        <w:t>7</w:t>
      </w:r>
      <w:r w:rsidR="006A53E7" w:rsidRPr="00335FE8">
        <w:rPr>
          <w:rFonts w:ascii="仿宋_GB2312" w:eastAsia="仿宋_GB2312" w:hAnsi="宋体" w:cs="宋体" w:hint="eastAsia"/>
          <w:kern w:val="0"/>
          <w:szCs w:val="21"/>
        </w:rPr>
        <w:t>-</w:t>
      </w:r>
      <w:r w:rsidR="00D13043">
        <w:rPr>
          <w:rFonts w:ascii="仿宋_GB2312" w:eastAsia="仿宋_GB2312" w:hAnsi="宋体" w:cs="宋体"/>
          <w:kern w:val="0"/>
          <w:szCs w:val="21"/>
        </w:rPr>
        <w:t>06</w:t>
      </w:r>
    </w:p>
    <w:p w14:paraId="7D15B036" w14:textId="78FC82F4" w:rsidR="00264C81" w:rsidRDefault="00533D06"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w:t>
      </w:r>
      <w:r w:rsidR="00D27663">
        <w:rPr>
          <w:rFonts w:ascii="Times New Roman" w:hAnsi="Times New Roman" w:cs="Times New Roman"/>
        </w:rPr>
        <w:t>2</w:t>
      </w:r>
      <w:r w:rsidRPr="00DA7C34">
        <w:rPr>
          <w:rFonts w:ascii="Times New Roman" w:hAnsi="Times New Roman" w:cs="Times New Roman"/>
        </w:rPr>
        <w:t>-</w:t>
      </w:r>
      <w:r w:rsidR="00D13043">
        <w:rPr>
          <w:rFonts w:ascii="Times New Roman" w:hAnsi="Times New Roman" w:cs="Times New Roman"/>
        </w:rPr>
        <w:t>07</w:t>
      </w:r>
      <w:r w:rsidRPr="00DA7C34">
        <w:rPr>
          <w:rFonts w:ascii="Times New Roman" w:hAnsi="Times New Roman" w:cs="Times New Roman"/>
        </w:rPr>
        <w:t>-</w:t>
      </w:r>
      <w:r w:rsidR="00D13043">
        <w:rPr>
          <w:rFonts w:ascii="Times New Roman" w:hAnsi="Times New Roman" w:cs="Times New Roman"/>
        </w:rPr>
        <w:t>07</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3BA0B4F0" w:rsidR="00AF7A1E" w:rsidRPr="00335FE8" w:rsidRDefault="00AF7A1E" w:rsidP="00AF7A1E">
            <w:pPr>
              <w:rPr>
                <w:rFonts w:ascii="仿宋_GB2312" w:eastAsia="仿宋_GB2312"/>
                <w:szCs w:val="21"/>
              </w:rPr>
            </w:pPr>
            <w:r w:rsidRPr="00335FE8">
              <w:rPr>
                <w:rFonts w:ascii="仿宋_GB2312" w:eastAsia="仿宋_GB2312" w:hint="eastAsia"/>
                <w:szCs w:val="21"/>
              </w:rPr>
              <w:t>交银臻选回报混合</w:t>
            </w:r>
            <w:r w:rsidR="00D27663">
              <w:rPr>
                <w:rFonts w:ascii="仿宋_GB2312" w:eastAsia="仿宋_GB2312" w:hint="eastAsia"/>
                <w:szCs w:val="21"/>
              </w:rPr>
              <w:t>A</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010916</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中信银行股份有限公司</w:t>
            </w:r>
          </w:p>
        </w:tc>
      </w:tr>
      <w:tr w:rsidR="00AF7A1E" w:rsidRPr="00335FE8" w14:paraId="3ABF0FC0" w14:textId="77777777" w:rsidTr="00902522">
        <w:trPr>
          <w:gridAfter w:val="2"/>
          <w:wAfter w:w="4924" w:type="dxa"/>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2020-12-23</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混合型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王艺伟</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2020-12-23</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2012-07-01</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533D06" w:rsidP="006A53E7">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本基金在严格控制风险的前提下，充分发挥专业研究与管理能力，追求超越业绩比较基准的投资收益，力争为投资者提供长期稳健的投资回报。</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49900D8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36640B4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如法律法规或监管机构以后允许基金投资其他品种，基金管理人在履行适当程序后，可以将其纳入投资范围。</w:t>
            </w:r>
          </w:p>
          <w:p w14:paraId="37105ED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的投资组合比例为：股票投资（含存托凭证）占基金资产的比例为0%-45%（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14:paraId="0A13D1C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如果法律法规或中国证监会变更投资品种的投资比例限制，基金管理人在履行适当程序后，可以调整上述投资品种的投资比例。</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主要投资策略</w:t>
            </w:r>
          </w:p>
        </w:tc>
        <w:tc>
          <w:tcPr>
            <w:tcW w:w="6525" w:type="dxa"/>
            <w:vAlign w:val="center"/>
          </w:tcPr>
          <w:p w14:paraId="3563671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14:paraId="4176556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1、大类资产配置；2、股票投资策略；3、债券投资策略；4、资产支持证券投资策略；5、股指期货投资策略。</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业绩比较基准</w:t>
            </w:r>
          </w:p>
        </w:tc>
        <w:tc>
          <w:tcPr>
            <w:tcW w:w="6525" w:type="dxa"/>
            <w:vAlign w:val="center"/>
          </w:tcPr>
          <w:p w14:paraId="73B7939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沪深300指数收益率×20%+恒生指数收益率×5%+中证综合债券指数收益率×75%</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64A681D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本基金是一只混合型基金，其预期风险和预期收益高于债券型基金和货币市场基金，低于股票型基金。</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详见《交银施罗德臻选回报混合型证券投资基金招募说明书》第九部分“基金的投资”。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745204" w:rsidP="00D373CC">
      <w:pPr>
        <w:jc w:val="center"/>
        <w:rPr>
          <w:rFonts w:ascii="仿宋_GB2312" w:eastAsia="仿宋_GB2312"/>
          <w:b/>
          <w:szCs w:val="21"/>
        </w:rPr>
      </w:pPr>
      <w:r>
        <w:rPr>
          <w:rFonts w:ascii="宋体" w:hAnsi="宋体"/>
          <w:kern w:val="0"/>
        </w:rPr>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6pt;height:250.2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534D21DB" w14:textId="77777777" w:rsidR="00D373CC" w:rsidRPr="00335FE8" w:rsidRDefault="00745204" w:rsidP="00D373CC">
      <w:pPr>
        <w:jc w:val="center"/>
        <w:rPr>
          <w:rFonts w:ascii="仿宋_GB2312" w:eastAsia="仿宋_GB2312"/>
          <w:b/>
          <w:szCs w:val="21"/>
        </w:rPr>
      </w:pPr>
      <w:r>
        <w:rPr>
          <w:rFonts w:ascii="宋体" w:hAnsi="宋体"/>
          <w:kern w:val="0"/>
        </w:rPr>
        <w:pict w14:anchorId="54FA80B1">
          <v:shape id="_x0000_i1026" type="#_x0000_t75" style="width:500.4pt;height:160.2pt">
            <v:imagedata r:id="rId8" o:title="1521256610242020828"/>
          </v:shape>
        </w:pict>
      </w:r>
    </w:p>
    <w:p w14:paraId="41131C8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注：1、净值表现数据的截止日为2020年12月31日。</w:t>
      </w:r>
    </w:p>
    <w:p w14:paraId="153AD0F9"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2、本基金合同于2020年12月23日生效，合同生效当年净值收益率按实际存续期计算。</w:t>
      </w:r>
    </w:p>
    <w:p w14:paraId="0C6F9715"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3、基金的过往业绩不代表未来表现。</w:t>
      </w: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lastRenderedPageBreak/>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以下费用在认购/申购/赎回基金过程中收取：</w:t>
      </w:r>
    </w:p>
    <w:tbl>
      <w:tblPr>
        <w:tblStyle w:val="a8"/>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D373CC" w:rsidRPr="00335FE8" w14:paraId="2A054CB7" w14:textId="77777777" w:rsidTr="008643F0">
        <w:trPr>
          <w:jc w:val="center"/>
        </w:trPr>
        <w:tc>
          <w:tcPr>
            <w:tcW w:w="2747" w:type="dxa"/>
            <w:vAlign w:val="center"/>
          </w:tcPr>
          <w:p w14:paraId="38E729C1"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费用类型</w:t>
            </w:r>
          </w:p>
        </w:tc>
        <w:tc>
          <w:tcPr>
            <w:tcW w:w="2818" w:type="dxa"/>
            <w:vAlign w:val="center"/>
          </w:tcPr>
          <w:p w14:paraId="1739A70F"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份额（S）或金额（M）/持有期限（N）</w:t>
            </w:r>
          </w:p>
        </w:tc>
        <w:tc>
          <w:tcPr>
            <w:tcW w:w="1754" w:type="dxa"/>
            <w:vAlign w:val="center"/>
          </w:tcPr>
          <w:p w14:paraId="0F106824" w14:textId="3CDCA397" w:rsidR="00D373CC" w:rsidRPr="009F4EAE" w:rsidRDefault="00D373CC" w:rsidP="00D373CC">
            <w:pPr>
              <w:rPr>
                <w:rFonts w:ascii="仿宋_GB2312" w:eastAsia="仿宋_GB2312"/>
                <w:szCs w:val="21"/>
              </w:rPr>
            </w:pPr>
            <w:r w:rsidRPr="00335FE8">
              <w:rPr>
                <w:rFonts w:ascii="仿宋_GB2312" w:eastAsia="仿宋_GB2312" w:hint="eastAsia"/>
                <w:szCs w:val="21"/>
              </w:rPr>
              <w:t>收费方式/费率</w:t>
            </w:r>
          </w:p>
        </w:tc>
        <w:tc>
          <w:tcPr>
            <w:tcW w:w="1989" w:type="dxa"/>
            <w:vAlign w:val="center"/>
          </w:tcPr>
          <w:p w14:paraId="0377E7D3"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备注</w:t>
            </w:r>
          </w:p>
        </w:tc>
      </w:tr>
      <w:tr w:rsidR="009C0C41" w:rsidRPr="00335FE8" w14:paraId="1ACA4778" w14:textId="77777777" w:rsidTr="008643F0">
        <w:trPr>
          <w:jc w:val="center"/>
        </w:trPr>
        <w:tc>
          <w:tcPr>
            <w:tcW w:w="2747" w:type="dxa"/>
            <w:vMerge w:val="restart"/>
            <w:vAlign w:val="center"/>
          </w:tcPr>
          <w:p w14:paraId="6C6BF480"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申购费（前收费）</w:t>
            </w:r>
          </w:p>
        </w:tc>
        <w:tc>
          <w:tcPr>
            <w:tcW w:w="2818" w:type="dxa"/>
          </w:tcPr>
          <w:p w14:paraId="048FD45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M＜50万元</w:t>
            </w:r>
          </w:p>
        </w:tc>
        <w:tc>
          <w:tcPr>
            <w:tcW w:w="1754" w:type="dxa"/>
            <w:vAlign w:val="center"/>
          </w:tcPr>
          <w:p w14:paraId="1CD2524B"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0.8%</w:t>
            </w:r>
          </w:p>
        </w:tc>
        <w:tc>
          <w:tcPr>
            <w:tcW w:w="1989" w:type="dxa"/>
            <w:vAlign w:val="center"/>
          </w:tcPr>
          <w:p w14:paraId="4BABD9AB"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15E5941B" w14:textId="77777777" w:rsidTr="008643F0">
        <w:trPr>
          <w:jc w:val="center"/>
        </w:trPr>
        <w:tc>
          <w:tcPr>
            <w:tcW w:w="2747" w:type="dxa"/>
            <w:vMerge/>
            <w:vAlign w:val="center"/>
          </w:tcPr>
          <w:p w14:paraId="5D2491F8"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5F00CCF4"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50万元≤M＜100万元</w:t>
            </w:r>
          </w:p>
        </w:tc>
        <w:tc>
          <w:tcPr>
            <w:tcW w:w="1754" w:type="dxa"/>
            <w:vAlign w:val="center"/>
          </w:tcPr>
          <w:p w14:paraId="3CC3A221"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0.6%</w:t>
            </w:r>
          </w:p>
        </w:tc>
        <w:tc>
          <w:tcPr>
            <w:tcW w:w="1989" w:type="dxa"/>
            <w:vAlign w:val="center"/>
          </w:tcPr>
          <w:p w14:paraId="382F9EA3"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4E926B1F" w14:textId="77777777" w:rsidTr="008643F0">
        <w:trPr>
          <w:jc w:val="center"/>
        </w:trPr>
        <w:tc>
          <w:tcPr>
            <w:tcW w:w="2747" w:type="dxa"/>
            <w:vMerge/>
            <w:vAlign w:val="center"/>
          </w:tcPr>
          <w:p w14:paraId="236F8ED3"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09C7054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100万元≤M＜200万元</w:t>
            </w:r>
          </w:p>
        </w:tc>
        <w:tc>
          <w:tcPr>
            <w:tcW w:w="1754" w:type="dxa"/>
            <w:vAlign w:val="center"/>
          </w:tcPr>
          <w:p w14:paraId="3322395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1989" w:type="dxa"/>
            <w:vAlign w:val="center"/>
          </w:tcPr>
          <w:p w14:paraId="42FF1341"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1FA0C889" w14:textId="77777777" w:rsidTr="008643F0">
        <w:trPr>
          <w:jc w:val="center"/>
        </w:trPr>
        <w:tc>
          <w:tcPr>
            <w:tcW w:w="2747" w:type="dxa"/>
            <w:vMerge/>
            <w:vAlign w:val="center"/>
          </w:tcPr>
          <w:p w14:paraId="62245B2D"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27CAC22A"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200万元≤M＜500万元</w:t>
            </w:r>
          </w:p>
        </w:tc>
        <w:tc>
          <w:tcPr>
            <w:tcW w:w="1754" w:type="dxa"/>
            <w:vAlign w:val="center"/>
          </w:tcPr>
          <w:p w14:paraId="28877F8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0.3%</w:t>
            </w:r>
          </w:p>
        </w:tc>
        <w:tc>
          <w:tcPr>
            <w:tcW w:w="1989" w:type="dxa"/>
            <w:vAlign w:val="center"/>
          </w:tcPr>
          <w:p w14:paraId="71352A33"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006E649E" w14:textId="77777777" w:rsidTr="008643F0">
        <w:trPr>
          <w:jc w:val="center"/>
        </w:trPr>
        <w:tc>
          <w:tcPr>
            <w:tcW w:w="2747" w:type="dxa"/>
            <w:vMerge/>
            <w:vAlign w:val="center"/>
          </w:tcPr>
          <w:p w14:paraId="7639F9B9"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292E12C3"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500万元≤M</w:t>
            </w:r>
          </w:p>
        </w:tc>
        <w:tc>
          <w:tcPr>
            <w:tcW w:w="1754" w:type="dxa"/>
            <w:vAlign w:val="center"/>
          </w:tcPr>
          <w:p w14:paraId="679293AF"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1,000元每笔</w:t>
            </w:r>
          </w:p>
        </w:tc>
        <w:tc>
          <w:tcPr>
            <w:tcW w:w="1989" w:type="dxa"/>
            <w:vAlign w:val="center"/>
          </w:tcPr>
          <w:p w14:paraId="7D38A066" w14:textId="77777777" w:rsidR="009C0C41" w:rsidRPr="00335FE8" w:rsidRDefault="009C0C41" w:rsidP="00D373CC">
            <w:pPr>
              <w:widowControl/>
              <w:jc w:val="left"/>
              <w:rPr>
                <w:rFonts w:ascii="仿宋_GB2312" w:eastAsia="仿宋_GB2312" w:hAnsi="宋体" w:cs="宋体"/>
                <w:kern w:val="0"/>
                <w:szCs w:val="21"/>
              </w:rPr>
            </w:pPr>
          </w:p>
        </w:tc>
      </w:tr>
      <w:tr w:rsidR="009C0C41" w:rsidRPr="00335FE8" w14:paraId="42D2706E" w14:textId="77777777" w:rsidTr="008643F0">
        <w:trPr>
          <w:jc w:val="center"/>
        </w:trPr>
        <w:tc>
          <w:tcPr>
            <w:tcW w:w="2747" w:type="dxa"/>
            <w:vMerge w:val="restart"/>
            <w:vAlign w:val="center"/>
          </w:tcPr>
          <w:p w14:paraId="2616A2BE"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赎回费</w:t>
            </w:r>
          </w:p>
        </w:tc>
        <w:tc>
          <w:tcPr>
            <w:tcW w:w="2818" w:type="dxa"/>
          </w:tcPr>
          <w:p w14:paraId="4D6E2658"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754" w:type="dxa"/>
            <w:vAlign w:val="center"/>
          </w:tcPr>
          <w:p w14:paraId="15C1E2B6"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989" w:type="dxa"/>
            <w:vAlign w:val="center"/>
          </w:tcPr>
          <w:p w14:paraId="4A232F17" w14:textId="77777777" w:rsidR="009C0C41" w:rsidRPr="00335FE8" w:rsidRDefault="009C0C41" w:rsidP="00D373CC">
            <w:pPr>
              <w:rPr>
                <w:rFonts w:ascii="仿宋_GB2312" w:eastAsia="仿宋_GB2312"/>
                <w:szCs w:val="21"/>
              </w:rPr>
            </w:pPr>
          </w:p>
        </w:tc>
      </w:tr>
      <w:tr w:rsidR="009C0C41" w:rsidRPr="00335FE8" w14:paraId="29E2EAC7" w14:textId="77777777" w:rsidTr="008643F0">
        <w:trPr>
          <w:jc w:val="center"/>
        </w:trPr>
        <w:tc>
          <w:tcPr>
            <w:tcW w:w="2747" w:type="dxa"/>
            <w:vMerge/>
            <w:vAlign w:val="center"/>
          </w:tcPr>
          <w:p w14:paraId="1E2FF518"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30DA57F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7天≤N＜30天</w:t>
            </w:r>
          </w:p>
        </w:tc>
        <w:tc>
          <w:tcPr>
            <w:tcW w:w="1754" w:type="dxa"/>
            <w:vAlign w:val="center"/>
          </w:tcPr>
          <w:p w14:paraId="436E3637"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0.75%</w:t>
            </w:r>
          </w:p>
        </w:tc>
        <w:tc>
          <w:tcPr>
            <w:tcW w:w="1989" w:type="dxa"/>
            <w:vAlign w:val="center"/>
          </w:tcPr>
          <w:p w14:paraId="7622A362" w14:textId="77777777" w:rsidR="009C0C41" w:rsidRPr="00335FE8" w:rsidRDefault="009C0C41" w:rsidP="00D373CC">
            <w:pPr>
              <w:rPr>
                <w:rFonts w:ascii="仿宋_GB2312" w:eastAsia="仿宋_GB2312"/>
                <w:szCs w:val="21"/>
              </w:rPr>
            </w:pPr>
          </w:p>
        </w:tc>
      </w:tr>
      <w:tr w:rsidR="009C0C41" w:rsidRPr="00335FE8" w14:paraId="72D2900B" w14:textId="77777777" w:rsidTr="008643F0">
        <w:trPr>
          <w:jc w:val="center"/>
        </w:trPr>
        <w:tc>
          <w:tcPr>
            <w:tcW w:w="2747" w:type="dxa"/>
            <w:vMerge/>
            <w:vAlign w:val="center"/>
          </w:tcPr>
          <w:p w14:paraId="015597A8"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4BA7C6D2"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30天≤N＜180天</w:t>
            </w:r>
          </w:p>
        </w:tc>
        <w:tc>
          <w:tcPr>
            <w:tcW w:w="1754" w:type="dxa"/>
            <w:vAlign w:val="center"/>
          </w:tcPr>
          <w:p w14:paraId="7E83485E"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0.5%</w:t>
            </w:r>
          </w:p>
        </w:tc>
        <w:tc>
          <w:tcPr>
            <w:tcW w:w="1989" w:type="dxa"/>
            <w:vAlign w:val="center"/>
          </w:tcPr>
          <w:p w14:paraId="0D7C40E7" w14:textId="77777777" w:rsidR="009C0C41" w:rsidRPr="00335FE8" w:rsidRDefault="009C0C41" w:rsidP="00D373CC">
            <w:pPr>
              <w:rPr>
                <w:rFonts w:ascii="仿宋_GB2312" w:eastAsia="仿宋_GB2312"/>
                <w:szCs w:val="21"/>
              </w:rPr>
            </w:pPr>
          </w:p>
        </w:tc>
      </w:tr>
      <w:tr w:rsidR="009C0C41" w:rsidRPr="00335FE8" w14:paraId="2D880745" w14:textId="77777777" w:rsidTr="008643F0">
        <w:trPr>
          <w:jc w:val="center"/>
        </w:trPr>
        <w:tc>
          <w:tcPr>
            <w:tcW w:w="2747" w:type="dxa"/>
            <w:vMerge/>
            <w:vAlign w:val="center"/>
          </w:tcPr>
          <w:p w14:paraId="12ECE3B2"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24E7D425"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180天≤N</w:t>
            </w:r>
          </w:p>
        </w:tc>
        <w:tc>
          <w:tcPr>
            <w:tcW w:w="1754" w:type="dxa"/>
            <w:vAlign w:val="center"/>
          </w:tcPr>
          <w:p w14:paraId="6CC256E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989" w:type="dxa"/>
            <w:vAlign w:val="center"/>
          </w:tcPr>
          <w:p w14:paraId="768D8083" w14:textId="77777777" w:rsidR="009C0C41" w:rsidRPr="00335FE8" w:rsidRDefault="009C0C41" w:rsidP="00D373CC">
            <w:pPr>
              <w:rPr>
                <w:rFonts w:ascii="仿宋_GB2312" w:eastAsia="仿宋_GB2312"/>
                <w:szCs w:val="21"/>
              </w:rPr>
            </w:pPr>
          </w:p>
        </w:tc>
      </w:tr>
    </w:tbl>
    <w:p w14:paraId="568BA846" w14:textId="3E8E6071" w:rsidR="00D373CC" w:rsidRPr="00335FE8" w:rsidRDefault="00D373CC" w:rsidP="00D373CC">
      <w:pPr>
        <w:jc w:val="left"/>
        <w:rPr>
          <w:rFonts w:ascii="仿宋_GB2312" w:eastAsia="仿宋_GB2312"/>
          <w:szCs w:val="21"/>
        </w:rPr>
      </w:pPr>
      <w:r w:rsidRPr="00335FE8">
        <w:rPr>
          <w:rFonts w:ascii="仿宋_GB2312" w:eastAsia="仿宋_GB2312" w:hint="eastAsia"/>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5958"/>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0.60%</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0.15%</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5958" w:type="dxa"/>
            <w:vAlign w:val="center"/>
          </w:tcPr>
          <w:p w14:paraId="2E8C970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w:t>
            </w:r>
          </w:p>
        </w:tc>
      </w:tr>
      <w:tr w:rsidR="00D373CC" w:rsidRPr="00335FE8" w14:paraId="11D31202" w14:textId="77777777" w:rsidTr="009F4EAE">
        <w:trPr>
          <w:jc w:val="center"/>
        </w:trPr>
        <w:tc>
          <w:tcPr>
            <w:tcW w:w="2547" w:type="dxa"/>
          </w:tcPr>
          <w:p w14:paraId="46C366D6"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5958" w:type="dxa"/>
            <w:vAlign w:val="center"/>
          </w:tcPr>
          <w:p w14:paraId="514CFEAD"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szCs w:val="21"/>
        </w:rPr>
        <w:t>注：本基金交易证券、基金等产生的费用和税负，按实际发生额从基金资产扣除。</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bookmarkStart w:id="0" w:name="_GoBack"/>
      <w:bookmarkEnd w:id="0"/>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6966A46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投资有风险，投资者购买基金时应认真阅读本基金的《招募说明书》等销售文件。基金份额持有人须了解并承受以下风险：</w:t>
      </w:r>
    </w:p>
    <w:p w14:paraId="21BED14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3070396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（1）政策风险、（2）经济周期风险、（3）利率风险、（4）上市公司经营风险、（5）购买力风险</w:t>
      </w:r>
    </w:p>
    <w:p w14:paraId="5C58359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2、管理风险</w:t>
      </w:r>
    </w:p>
    <w:p w14:paraId="3F0C824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5DEF906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4、信用风险</w:t>
      </w:r>
    </w:p>
    <w:p w14:paraId="4A837D6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5、本基金的特有风险</w:t>
      </w:r>
    </w:p>
    <w:p w14:paraId="316DFAC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14:paraId="6339BC5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14:paraId="38FC3E7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14:paraId="3FF5065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（4）基金合同提前终止风险。连续50个工作日出现基金份额持有人数量不满200人或者基金资产净值低于5000万元情形的，基金管理人提前终止基金合同，不需召开基金份额持有人大会。</w:t>
      </w:r>
    </w:p>
    <w:p w14:paraId="360015E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（5）本基金可投资创业板股票，创业板个股上市后的前五个交易日不设价格涨跌幅限制，第六个交易日开始涨跌幅限制比例为20%。</w:t>
      </w:r>
    </w:p>
    <w:p w14:paraId="3C55663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6、投资股指期货的特定风险</w:t>
      </w:r>
    </w:p>
    <w:p w14:paraId="333FD66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3311EA2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此外，由于衍生品通常具有杠杆效应，价格波动比标的工具更为剧烈，并且其定价相当复杂，不适当的估值也有可能使基金资产面临损失风险。</w:t>
      </w:r>
    </w:p>
    <w:p w14:paraId="5150390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7、投资资产支持证券的特定风险</w:t>
      </w:r>
    </w:p>
    <w:p w14:paraId="0DA976A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393895D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8、投资流通受限证券的特定风险</w:t>
      </w:r>
    </w:p>
    <w:p w14:paraId="4ADA32E6" w14:textId="5183966C" w:rsidR="00F811C4" w:rsidRDefault="00F811C4" w:rsidP="00F811C4">
      <w:pPr>
        <w:ind w:firstLine="420"/>
        <w:jc w:val="left"/>
        <w:rPr>
          <w:rFonts w:ascii="仿宋_GB2312" w:eastAsia="仿宋_GB2312"/>
          <w:szCs w:val="21"/>
        </w:rPr>
      </w:pPr>
      <w:r w:rsidRPr="00335FE8">
        <w:rPr>
          <w:rFonts w:ascii="仿宋_GB2312" w:eastAsia="仿宋_GB2312" w:hint="eastAsia"/>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458DC814" w14:textId="6CC717EB" w:rsidR="00601E6D" w:rsidRPr="00601E6D" w:rsidRDefault="00601E6D" w:rsidP="00601E6D">
      <w:pPr>
        <w:ind w:firstLine="420"/>
        <w:jc w:val="left"/>
        <w:rPr>
          <w:rFonts w:ascii="仿宋_GB2312" w:eastAsia="仿宋_GB2312"/>
          <w:szCs w:val="21"/>
        </w:rPr>
      </w:pPr>
      <w:r w:rsidRPr="00335FE8">
        <w:rPr>
          <w:rFonts w:ascii="仿宋_GB2312" w:eastAsia="仿宋_GB2312" w:hint="eastAsia"/>
          <w:szCs w:val="21"/>
        </w:rPr>
        <w:t>9、</w:t>
      </w:r>
      <w:r w:rsidRPr="00601E6D">
        <w:rPr>
          <w:rFonts w:ascii="仿宋_GB2312" w:eastAsia="仿宋_GB2312" w:hint="eastAsia"/>
          <w:szCs w:val="21"/>
        </w:rPr>
        <w:t>投资科创板股票的特定风险</w:t>
      </w:r>
    </w:p>
    <w:p w14:paraId="402E98C2" w14:textId="6B4188F8" w:rsidR="00601E6D" w:rsidRPr="00335FE8" w:rsidRDefault="00601E6D" w:rsidP="00601E6D">
      <w:pPr>
        <w:ind w:firstLine="420"/>
        <w:jc w:val="left"/>
        <w:rPr>
          <w:rFonts w:ascii="仿宋_GB2312" w:eastAsia="仿宋_GB2312"/>
          <w:szCs w:val="21"/>
        </w:rPr>
      </w:pPr>
      <w:r w:rsidRPr="00601E6D">
        <w:rPr>
          <w:rFonts w:ascii="仿宋_GB2312" w:eastAsia="仿宋_GB2312" w:hint="eastAsia"/>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14:paraId="2FDF85CF" w14:textId="3B45E568" w:rsidR="00F811C4" w:rsidRPr="00335FE8" w:rsidRDefault="00601E6D" w:rsidP="00F811C4">
      <w:pPr>
        <w:ind w:firstLine="420"/>
        <w:jc w:val="left"/>
        <w:rPr>
          <w:rFonts w:ascii="仿宋_GB2312" w:eastAsia="仿宋_GB2312"/>
          <w:szCs w:val="21"/>
        </w:rPr>
      </w:pPr>
      <w:r>
        <w:rPr>
          <w:rFonts w:ascii="仿宋_GB2312" w:eastAsia="仿宋_GB2312"/>
          <w:szCs w:val="21"/>
        </w:rPr>
        <w:t>10</w:t>
      </w:r>
      <w:r w:rsidR="00F811C4" w:rsidRPr="00335FE8">
        <w:rPr>
          <w:rFonts w:ascii="仿宋_GB2312" w:eastAsia="仿宋_GB2312" w:hint="eastAsia"/>
          <w:szCs w:val="21"/>
        </w:rPr>
        <w:t>、投资存托凭证的特定风险</w:t>
      </w:r>
    </w:p>
    <w:p w14:paraId="2D1D316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53FC7EF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8A018C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50E29F72" w14:textId="037E96BC"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w:t>
      </w:r>
      <w:r w:rsidR="00601E6D">
        <w:rPr>
          <w:rFonts w:ascii="仿宋_GB2312" w:eastAsia="仿宋_GB2312"/>
          <w:szCs w:val="21"/>
        </w:rPr>
        <w:t>1</w:t>
      </w:r>
      <w:r w:rsidRPr="00335FE8">
        <w:rPr>
          <w:rFonts w:ascii="仿宋_GB2312" w:eastAsia="仿宋_GB2312" w:hint="eastAsia"/>
          <w:szCs w:val="21"/>
        </w:rPr>
        <w:t>、其他风险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210BB18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58A57A9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5F5C5C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75425CD7" w14:textId="77777777" w:rsidR="00F811C4" w:rsidRPr="00D55D2E" w:rsidRDefault="00F811C4" w:rsidP="00F811C4">
      <w:pPr>
        <w:ind w:firstLine="420"/>
        <w:jc w:val="left"/>
        <w:rPr>
          <w:rFonts w:ascii="仿宋_GB2312" w:eastAsia="仿宋_GB2312"/>
          <w:b/>
          <w:szCs w:val="21"/>
        </w:rPr>
      </w:pPr>
      <w:r w:rsidRPr="00D55D2E">
        <w:rPr>
          <w:rFonts w:ascii="仿宋_GB2312" w:eastAsia="仿宋_GB2312" w:hint="eastAsia"/>
          <w:b/>
          <w:szCs w:val="21"/>
        </w:rPr>
        <w:t>因基金合同而产生的或与基金合同有关的一切争议，如经友好协商未能解决的，任何一方均有权将争议提交</w:t>
      </w:r>
      <w:r w:rsidRPr="00D55D2E">
        <w:rPr>
          <w:rFonts w:ascii="仿宋_GB2312" w:eastAsia="仿宋_GB2312" w:hint="eastAsia"/>
          <w:b/>
          <w:szCs w:val="21"/>
        </w:rPr>
        <w:lastRenderedPageBreak/>
        <w:t>中国国际经济贸易仲裁委员会，按其届时有效的仲裁规则进行仲裁。仲裁地点为北京市。</w:t>
      </w:r>
    </w:p>
    <w:p w14:paraId="0DF0931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61471A3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7FC49EE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●《交银施罗德臻选回报混合型证券投资基金基金合同》、</w:t>
      </w:r>
    </w:p>
    <w:p w14:paraId="3511846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《交银施罗德臻选回报混合型证券投资基金托管协议》、</w:t>
      </w:r>
    </w:p>
    <w:p w14:paraId="7C110D9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《交银施罗德臻选回报混合型证券投资基金招募说明书》</w:t>
      </w:r>
    </w:p>
    <w:p w14:paraId="3543B0E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00E64D6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1E337CA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3842A4A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6FB49684"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7DFF2C4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C56B0" w14:textId="77777777" w:rsidR="008C2462" w:rsidRDefault="008C2462" w:rsidP="00880454">
      <w:r>
        <w:separator/>
      </w:r>
    </w:p>
  </w:endnote>
  <w:endnote w:type="continuationSeparator" w:id="0">
    <w:p w14:paraId="46838E27" w14:textId="77777777" w:rsidR="008C2462" w:rsidRDefault="008C2462"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微软雅黑"/>
    <w:charset w:val="86"/>
    <w:family w:val="auto"/>
    <w:pitch w:val="default"/>
    <w:sig w:usb0="00000001" w:usb1="080E0000" w:usb2="00000010" w:usb3="00000000" w:csb0="00040000" w:csb1="00000000"/>
  </w:font>
  <w:font w:name="FZHTJW--GB1-0">
    <w:panose1 w:val="00000000000000000000"/>
    <w:charset w:val="00"/>
    <w:family w:val="roman"/>
    <w:notTrueType/>
    <w:pitch w:val="default"/>
  </w:font>
  <w:font w:name="FZFSJW--GB1-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CAC48" w14:textId="77777777" w:rsidR="008C2462" w:rsidRDefault="008C2462" w:rsidP="00880454">
      <w:r>
        <w:separator/>
      </w:r>
    </w:p>
  </w:footnote>
  <w:footnote w:type="continuationSeparator" w:id="0">
    <w:p w14:paraId="5AFB127B" w14:textId="77777777" w:rsidR="008C2462" w:rsidRDefault="008C2462" w:rsidP="00880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714AB"/>
    <w:rsid w:val="0019752C"/>
    <w:rsid w:val="001E402A"/>
    <w:rsid w:val="00287210"/>
    <w:rsid w:val="002F5DBC"/>
    <w:rsid w:val="00335FE8"/>
    <w:rsid w:val="003E751E"/>
    <w:rsid w:val="00401C56"/>
    <w:rsid w:val="00447692"/>
    <w:rsid w:val="004A275D"/>
    <w:rsid w:val="00533D06"/>
    <w:rsid w:val="00581EBC"/>
    <w:rsid w:val="00601E6D"/>
    <w:rsid w:val="006240B9"/>
    <w:rsid w:val="006A53E7"/>
    <w:rsid w:val="00745204"/>
    <w:rsid w:val="007A64C5"/>
    <w:rsid w:val="00831B61"/>
    <w:rsid w:val="00846EFA"/>
    <w:rsid w:val="008643F0"/>
    <w:rsid w:val="00880454"/>
    <w:rsid w:val="008A6FA6"/>
    <w:rsid w:val="008C2462"/>
    <w:rsid w:val="00902522"/>
    <w:rsid w:val="0090269C"/>
    <w:rsid w:val="009728DC"/>
    <w:rsid w:val="009C0C41"/>
    <w:rsid w:val="009F4EAE"/>
    <w:rsid w:val="00A2542F"/>
    <w:rsid w:val="00AB59CB"/>
    <w:rsid w:val="00AF7A1E"/>
    <w:rsid w:val="00C0525C"/>
    <w:rsid w:val="00CD7637"/>
    <w:rsid w:val="00D04A15"/>
    <w:rsid w:val="00D13043"/>
    <w:rsid w:val="00D27663"/>
    <w:rsid w:val="00D373CC"/>
    <w:rsid w:val="00D55D2E"/>
    <w:rsid w:val="00DB319C"/>
    <w:rsid w:val="00DF3AD9"/>
    <w:rsid w:val="00E51B6D"/>
    <w:rsid w:val="00E85743"/>
    <w:rsid w:val="00EF3D90"/>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0454"/>
    <w:rPr>
      <w:sz w:val="18"/>
      <w:szCs w:val="18"/>
    </w:rPr>
  </w:style>
  <w:style w:type="paragraph" w:styleId="a5">
    <w:name w:val="footer"/>
    <w:basedOn w:val="a"/>
    <w:link w:val="a6"/>
    <w:uiPriority w:val="99"/>
    <w:unhideWhenUsed/>
    <w:rsid w:val="00880454"/>
    <w:pPr>
      <w:tabs>
        <w:tab w:val="center" w:pos="4153"/>
        <w:tab w:val="right" w:pos="8306"/>
      </w:tabs>
      <w:snapToGrid w:val="0"/>
      <w:jc w:val="left"/>
    </w:pPr>
    <w:rPr>
      <w:sz w:val="18"/>
      <w:szCs w:val="18"/>
    </w:rPr>
  </w:style>
  <w:style w:type="character" w:customStyle="1" w:styleId="a6">
    <w:name w:val="页脚 字符"/>
    <w:basedOn w:val="a0"/>
    <w:link w:val="a5"/>
    <w:uiPriority w:val="99"/>
    <w:rsid w:val="00880454"/>
    <w:rPr>
      <w:sz w:val="18"/>
      <w:szCs w:val="18"/>
    </w:rPr>
  </w:style>
  <w:style w:type="paragraph" w:styleId="a7">
    <w:name w:val="List Paragraph"/>
    <w:basedOn w:val="a"/>
    <w:uiPriority w:val="34"/>
    <w:qFormat/>
    <w:rsid w:val="006A53E7"/>
    <w:pPr>
      <w:ind w:firstLineChars="200" w:firstLine="420"/>
    </w:pPr>
  </w:style>
  <w:style w:type="table" w:styleId="a8">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F7A1E"/>
    <w:rPr>
      <w:sz w:val="21"/>
      <w:szCs w:val="21"/>
    </w:rPr>
  </w:style>
  <w:style w:type="paragraph" w:styleId="aa">
    <w:name w:val="annotation text"/>
    <w:basedOn w:val="a"/>
    <w:link w:val="ab"/>
    <w:uiPriority w:val="99"/>
    <w:semiHidden/>
    <w:unhideWhenUsed/>
    <w:rsid w:val="00AF7A1E"/>
    <w:pPr>
      <w:jc w:val="left"/>
    </w:pPr>
  </w:style>
  <w:style w:type="character" w:customStyle="1" w:styleId="ab">
    <w:name w:val="批注文字 字符"/>
    <w:basedOn w:val="a0"/>
    <w:link w:val="aa"/>
    <w:uiPriority w:val="99"/>
    <w:semiHidden/>
    <w:rsid w:val="00AF7A1E"/>
  </w:style>
  <w:style w:type="paragraph" w:styleId="ac">
    <w:name w:val="annotation subject"/>
    <w:basedOn w:val="aa"/>
    <w:next w:val="aa"/>
    <w:link w:val="ad"/>
    <w:uiPriority w:val="99"/>
    <w:semiHidden/>
    <w:unhideWhenUsed/>
    <w:rsid w:val="00AF7A1E"/>
    <w:rPr>
      <w:b/>
      <w:bCs/>
    </w:rPr>
  </w:style>
  <w:style w:type="character" w:customStyle="1" w:styleId="ad">
    <w:name w:val="批注主题 字符"/>
    <w:basedOn w:val="ab"/>
    <w:link w:val="ac"/>
    <w:uiPriority w:val="99"/>
    <w:semiHidden/>
    <w:rsid w:val="00AF7A1E"/>
    <w:rPr>
      <w:b/>
      <w:bCs/>
    </w:rPr>
  </w:style>
  <w:style w:type="paragraph" w:styleId="ae">
    <w:name w:val="Balloon Text"/>
    <w:basedOn w:val="a"/>
    <w:link w:val="af"/>
    <w:uiPriority w:val="99"/>
    <w:semiHidden/>
    <w:unhideWhenUsed/>
    <w:rsid w:val="00AF7A1E"/>
    <w:rPr>
      <w:sz w:val="18"/>
      <w:szCs w:val="18"/>
    </w:rPr>
  </w:style>
  <w:style w:type="character" w:customStyle="1" w:styleId="af">
    <w:name w:val="批注框文本 字符"/>
    <w:basedOn w:val="a0"/>
    <w:link w:val="ae"/>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712</Words>
  <Characters>4060</Characters>
  <Application>Microsoft Office Word</Application>
  <DocSecurity>0</DocSecurity>
  <Lines>33</Lines>
  <Paragraphs>9</Paragraphs>
  <ScaleCrop>false</ScaleCrop>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张婕茹</cp:lastModifiedBy>
  <cp:revision>11</cp:revision>
  <dcterms:created xsi:type="dcterms:W3CDTF">2021-10-14T06:40:00Z</dcterms:created>
  <dcterms:modified xsi:type="dcterms:W3CDTF">2022-07-06T01:24:00Z</dcterms:modified>
</cp:coreProperties>
</file>