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7F9F4" w14:textId="28D2FE4E" w:rsidR="00AD16DC" w:rsidRPr="00AD16DC" w:rsidRDefault="00AD16DC" w:rsidP="00AD16DC">
      <w:pPr>
        <w:jc w:val="center"/>
        <w:rPr>
          <w:rFonts w:ascii="Times New Roman" w:eastAsia="宋体" w:hAnsi="Times New Roman" w:cs="Times New Roman"/>
          <w:b/>
          <w:sz w:val="30"/>
          <w:szCs w:val="30"/>
        </w:rPr>
      </w:pPr>
      <w:bookmarkStart w:id="0" w:name="_GoBack"/>
      <w:bookmarkEnd w:id="0"/>
      <w:r w:rsidRPr="00AD16DC">
        <w:rPr>
          <w:rFonts w:ascii="Times New Roman" w:eastAsia="宋体" w:hAnsi="Times New Roman" w:cs="Times New Roman" w:hint="eastAsia"/>
          <w:b/>
          <w:sz w:val="30"/>
          <w:szCs w:val="30"/>
        </w:rPr>
        <w:t>交银施罗德基金管理有限公司关于交银施罗德稳健配置混合型证券投资基金撤销</w:t>
      </w:r>
      <w:r w:rsidRPr="00AD16DC">
        <w:rPr>
          <w:rFonts w:ascii="Times New Roman" w:eastAsia="宋体" w:hAnsi="Times New Roman" w:cs="Times New Roman" w:hint="eastAsia"/>
          <w:b/>
          <w:sz w:val="30"/>
          <w:szCs w:val="30"/>
        </w:rPr>
        <w:t>H</w:t>
      </w:r>
      <w:r w:rsidRPr="00AD16DC">
        <w:rPr>
          <w:rFonts w:ascii="Times New Roman" w:eastAsia="宋体" w:hAnsi="Times New Roman" w:cs="Times New Roman" w:hint="eastAsia"/>
          <w:b/>
          <w:sz w:val="30"/>
          <w:szCs w:val="30"/>
        </w:rPr>
        <w:t>类基金份额并修改基金合同和托管协议的公告</w:t>
      </w:r>
    </w:p>
    <w:p w14:paraId="196CF510" w14:textId="77777777" w:rsidR="00AD16DC" w:rsidRPr="00AD16DC" w:rsidRDefault="00AD16DC" w:rsidP="00AD16DC">
      <w:pPr>
        <w:rPr>
          <w:rFonts w:ascii="Times New Roman" w:eastAsia="宋体" w:hAnsi="Times New Roman" w:cs="Times New Roman"/>
          <w:b/>
          <w:sz w:val="30"/>
          <w:szCs w:val="30"/>
        </w:rPr>
      </w:pPr>
    </w:p>
    <w:p w14:paraId="04021E30" w14:textId="459F6331" w:rsidR="00AD16DC" w:rsidRPr="00AD16DC" w:rsidRDefault="00AD16DC" w:rsidP="00AD16DC">
      <w:pPr>
        <w:adjustRightInd w:val="0"/>
        <w:snapToGrid w:val="0"/>
        <w:spacing w:line="360" w:lineRule="auto"/>
        <w:ind w:firstLineChars="200" w:firstLine="480"/>
        <w:rPr>
          <w:rFonts w:ascii="Times New Roman" w:eastAsia="宋体" w:hAnsi="Times New Roman" w:cs="Times New Roman"/>
          <w:bCs/>
          <w:sz w:val="24"/>
          <w:szCs w:val="20"/>
        </w:rPr>
      </w:pPr>
      <w:r w:rsidRPr="00AD16DC">
        <w:rPr>
          <w:rFonts w:ascii="Times New Roman" w:eastAsia="宋体" w:hAnsi="Times New Roman" w:cs="Times New Roman" w:hint="eastAsia"/>
          <w:bCs/>
          <w:sz w:val="24"/>
          <w:szCs w:val="20"/>
        </w:rPr>
        <w:t>交银施罗德基金管理有限公司（以下简称</w:t>
      </w:r>
      <w:r w:rsidRPr="00AD16DC">
        <w:rPr>
          <w:rFonts w:ascii="宋体" w:eastAsia="宋体" w:hAnsi="宋体" w:cs="Times New Roman"/>
          <w:bCs/>
          <w:sz w:val="24"/>
          <w:szCs w:val="20"/>
        </w:rPr>
        <w:t>“</w:t>
      </w:r>
      <w:r w:rsidRPr="00AD16DC">
        <w:rPr>
          <w:rFonts w:ascii="宋体" w:eastAsia="宋体" w:hAnsi="宋体" w:cs="Times New Roman" w:hint="eastAsia"/>
          <w:bCs/>
          <w:sz w:val="24"/>
          <w:szCs w:val="20"/>
        </w:rPr>
        <w:t>本公司</w:t>
      </w:r>
      <w:r w:rsidRPr="00AD16DC">
        <w:rPr>
          <w:rFonts w:ascii="宋体" w:eastAsia="宋体" w:hAnsi="宋体" w:cs="Times New Roman"/>
          <w:bCs/>
          <w:sz w:val="24"/>
          <w:szCs w:val="20"/>
        </w:rPr>
        <w:t>”</w:t>
      </w:r>
      <w:r w:rsidRPr="00AD16DC">
        <w:rPr>
          <w:rFonts w:ascii="宋体" w:eastAsia="宋体" w:hAnsi="宋体" w:cs="Times New Roman" w:hint="eastAsia"/>
          <w:bCs/>
          <w:sz w:val="24"/>
          <w:szCs w:val="20"/>
        </w:rPr>
        <w:t>或“基金管理人”）根据《中华人民共和国证券投资基金法》、《公开募集</w:t>
      </w:r>
      <w:r w:rsidRPr="00AD16DC">
        <w:rPr>
          <w:rFonts w:ascii="Times New Roman" w:eastAsia="宋体" w:hAnsi="Times New Roman" w:cs="Times New Roman" w:hint="eastAsia"/>
          <w:bCs/>
          <w:sz w:val="24"/>
          <w:szCs w:val="20"/>
        </w:rPr>
        <w:t>证券投资基金运作管理办法》和《交银施罗德稳健配置混合型证券投资基金基金合同》（以下简称</w:t>
      </w:r>
      <w:r w:rsidRPr="00AD16DC">
        <w:rPr>
          <w:rFonts w:ascii="宋体" w:eastAsia="宋体" w:hAnsi="宋体" w:cs="Times New Roman"/>
          <w:bCs/>
          <w:sz w:val="24"/>
          <w:szCs w:val="20"/>
        </w:rPr>
        <w:t>“</w:t>
      </w:r>
      <w:r w:rsidRPr="00AD16DC">
        <w:rPr>
          <w:rFonts w:ascii="宋体" w:eastAsia="宋体" w:hAnsi="宋体" w:cs="Times New Roman" w:hint="eastAsia"/>
          <w:bCs/>
          <w:sz w:val="24"/>
          <w:szCs w:val="20"/>
        </w:rPr>
        <w:t>基金合同</w:t>
      </w:r>
      <w:r w:rsidRPr="00AD16DC">
        <w:rPr>
          <w:rFonts w:ascii="宋体" w:eastAsia="宋体" w:hAnsi="宋体" w:cs="Times New Roman"/>
          <w:bCs/>
          <w:sz w:val="24"/>
          <w:szCs w:val="20"/>
        </w:rPr>
        <w:t>”</w:t>
      </w:r>
      <w:r w:rsidRPr="00AD16DC">
        <w:rPr>
          <w:rFonts w:ascii="Times New Roman" w:eastAsia="宋体" w:hAnsi="Times New Roman" w:cs="Times New Roman" w:hint="eastAsia"/>
          <w:bCs/>
          <w:sz w:val="24"/>
          <w:szCs w:val="20"/>
        </w:rPr>
        <w:t>或“</w:t>
      </w:r>
      <w:r w:rsidRPr="00AD16DC">
        <w:rPr>
          <w:rFonts w:ascii="Times New Roman" w:eastAsia="宋体" w:hAnsi="Times New Roman" w:cs="Times New Roman"/>
          <w:bCs/>
          <w:sz w:val="24"/>
          <w:szCs w:val="20"/>
        </w:rPr>
        <w:t>《</w:t>
      </w:r>
      <w:r w:rsidRPr="00AD16DC">
        <w:rPr>
          <w:rFonts w:ascii="Times New Roman" w:eastAsia="宋体" w:hAnsi="Times New Roman" w:cs="Times New Roman" w:hint="eastAsia"/>
          <w:bCs/>
          <w:sz w:val="24"/>
          <w:szCs w:val="20"/>
        </w:rPr>
        <w:t>基金</w:t>
      </w:r>
      <w:r w:rsidRPr="00AD16DC">
        <w:rPr>
          <w:rFonts w:ascii="Times New Roman" w:eastAsia="宋体" w:hAnsi="Times New Roman" w:cs="Times New Roman"/>
          <w:bCs/>
          <w:sz w:val="24"/>
          <w:szCs w:val="20"/>
        </w:rPr>
        <w:t>合同》</w:t>
      </w:r>
      <w:r w:rsidRPr="00AD16DC">
        <w:rPr>
          <w:rFonts w:ascii="Times New Roman" w:eastAsia="宋体" w:hAnsi="Times New Roman" w:cs="Times New Roman" w:hint="eastAsia"/>
          <w:bCs/>
          <w:sz w:val="24"/>
          <w:szCs w:val="20"/>
        </w:rPr>
        <w:t>”）的有关规定，经与基金托管人中国建设银行股份有限公司（以下简称</w:t>
      </w:r>
      <w:r w:rsidRPr="00AD16DC">
        <w:rPr>
          <w:rFonts w:ascii="宋体" w:eastAsia="宋体" w:hAnsi="宋体" w:cs="Times New Roman"/>
          <w:bCs/>
          <w:sz w:val="24"/>
          <w:szCs w:val="20"/>
        </w:rPr>
        <w:t>“</w:t>
      </w:r>
      <w:r w:rsidRPr="00AD16DC">
        <w:rPr>
          <w:rFonts w:ascii="宋体" w:eastAsia="宋体" w:hAnsi="宋体" w:cs="Times New Roman" w:hint="eastAsia"/>
          <w:bCs/>
          <w:sz w:val="24"/>
          <w:szCs w:val="20"/>
        </w:rPr>
        <w:t>中国建设银行</w:t>
      </w:r>
      <w:r w:rsidRPr="00AD16DC">
        <w:rPr>
          <w:rFonts w:ascii="宋体" w:eastAsia="宋体" w:hAnsi="宋体" w:cs="Times New Roman"/>
          <w:bCs/>
          <w:sz w:val="24"/>
          <w:szCs w:val="20"/>
        </w:rPr>
        <w:t>”</w:t>
      </w:r>
      <w:r w:rsidRPr="00AD16DC">
        <w:rPr>
          <w:rFonts w:ascii="Times New Roman" w:eastAsia="宋体" w:hAnsi="Times New Roman" w:cs="Times New Roman" w:hint="eastAsia"/>
          <w:bCs/>
          <w:sz w:val="24"/>
          <w:szCs w:val="20"/>
        </w:rPr>
        <w:t>）协商一致</w:t>
      </w:r>
      <w:r w:rsidRPr="00AD16DC">
        <w:rPr>
          <w:rFonts w:ascii="Times New Roman" w:eastAsia="宋体" w:hAnsi="Times New Roman" w:cs="Times New Roman" w:hint="eastAsia"/>
          <w:color w:val="000000"/>
          <w:sz w:val="24"/>
          <w:szCs w:val="24"/>
        </w:rPr>
        <w:t>并报中国证券监督管理委员会备案</w:t>
      </w:r>
      <w:r w:rsidRPr="00AD16DC">
        <w:rPr>
          <w:rFonts w:ascii="Times New Roman" w:eastAsia="宋体" w:hAnsi="Times New Roman" w:cs="Times New Roman" w:hint="eastAsia"/>
          <w:bCs/>
          <w:sz w:val="24"/>
          <w:szCs w:val="20"/>
        </w:rPr>
        <w:t>，决定自</w:t>
      </w:r>
      <w:r w:rsidRPr="00AD16DC">
        <w:rPr>
          <w:rFonts w:ascii="Times New Roman" w:eastAsia="宋体" w:hAnsi="Times New Roman" w:cs="Times New Roman" w:hint="eastAsia"/>
          <w:bCs/>
          <w:sz w:val="24"/>
          <w:szCs w:val="20"/>
        </w:rPr>
        <w:t>202</w:t>
      </w:r>
      <w:r w:rsidR="007A1741">
        <w:rPr>
          <w:rFonts w:ascii="Times New Roman" w:eastAsia="宋体" w:hAnsi="Times New Roman" w:cs="Times New Roman"/>
          <w:bCs/>
          <w:sz w:val="24"/>
          <w:szCs w:val="20"/>
        </w:rPr>
        <w:t>2</w:t>
      </w:r>
      <w:r w:rsidRPr="00AD16DC">
        <w:rPr>
          <w:rFonts w:ascii="Times New Roman" w:eastAsia="宋体" w:hAnsi="Times New Roman" w:cs="Times New Roman" w:hint="eastAsia"/>
          <w:bCs/>
          <w:sz w:val="24"/>
          <w:szCs w:val="20"/>
        </w:rPr>
        <w:t>年</w:t>
      </w:r>
      <w:r w:rsidR="007A1741">
        <w:rPr>
          <w:rFonts w:ascii="Times New Roman" w:eastAsia="宋体" w:hAnsi="Times New Roman" w:cs="Times New Roman"/>
          <w:bCs/>
          <w:sz w:val="24"/>
          <w:szCs w:val="20"/>
        </w:rPr>
        <w:t>6</w:t>
      </w:r>
      <w:r w:rsidRPr="00AD16DC">
        <w:rPr>
          <w:rFonts w:ascii="Times New Roman" w:eastAsia="宋体" w:hAnsi="Times New Roman" w:cs="Times New Roman" w:hint="eastAsia"/>
          <w:bCs/>
          <w:sz w:val="24"/>
          <w:szCs w:val="20"/>
        </w:rPr>
        <w:t>月</w:t>
      </w:r>
      <w:r w:rsidR="007A1741">
        <w:rPr>
          <w:rFonts w:ascii="Times New Roman" w:eastAsia="宋体" w:hAnsi="Times New Roman" w:cs="Times New Roman"/>
          <w:bCs/>
          <w:sz w:val="24"/>
          <w:szCs w:val="20"/>
        </w:rPr>
        <w:t>24</w:t>
      </w:r>
      <w:r w:rsidRPr="00AD16DC">
        <w:rPr>
          <w:rFonts w:ascii="Times New Roman" w:eastAsia="宋体" w:hAnsi="Times New Roman" w:cs="Times New Roman" w:hint="eastAsia"/>
          <w:bCs/>
          <w:sz w:val="24"/>
          <w:szCs w:val="20"/>
        </w:rPr>
        <w:t>日起对本公司管理的交银施罗德稳健配置混合型证券投资基金（</w:t>
      </w:r>
      <w:r w:rsidRPr="00AD16DC">
        <w:rPr>
          <w:rFonts w:ascii="宋体" w:eastAsia="宋体" w:hAnsi="宋体" w:cs="Times New Roman" w:hint="eastAsia"/>
          <w:bCs/>
          <w:sz w:val="24"/>
          <w:szCs w:val="20"/>
        </w:rPr>
        <w:t>以下简称</w:t>
      </w:r>
      <w:r w:rsidRPr="00AD16DC">
        <w:rPr>
          <w:rFonts w:ascii="宋体" w:eastAsia="宋体" w:hAnsi="宋体" w:cs="Times New Roman"/>
          <w:bCs/>
          <w:sz w:val="24"/>
          <w:szCs w:val="20"/>
        </w:rPr>
        <w:t>“</w:t>
      </w:r>
      <w:r w:rsidRPr="00AD16DC">
        <w:rPr>
          <w:rFonts w:ascii="宋体" w:eastAsia="宋体" w:hAnsi="宋体" w:cs="Times New Roman" w:hint="eastAsia"/>
          <w:bCs/>
          <w:sz w:val="24"/>
          <w:szCs w:val="20"/>
        </w:rPr>
        <w:t>本基金</w:t>
      </w:r>
      <w:r w:rsidRPr="00AD16DC">
        <w:rPr>
          <w:rFonts w:ascii="宋体" w:eastAsia="宋体" w:hAnsi="宋体" w:cs="Times New Roman"/>
          <w:bCs/>
          <w:sz w:val="24"/>
          <w:szCs w:val="20"/>
        </w:rPr>
        <w:t>”</w:t>
      </w:r>
      <w:r w:rsidRPr="00AD16DC">
        <w:rPr>
          <w:rFonts w:ascii="宋体" w:eastAsia="宋体" w:hAnsi="宋体" w:cs="Times New Roman" w:hint="eastAsia"/>
          <w:bCs/>
          <w:sz w:val="24"/>
          <w:szCs w:val="20"/>
        </w:rPr>
        <w:t>）</w:t>
      </w:r>
      <w:r w:rsidRPr="00AD16DC">
        <w:rPr>
          <w:rFonts w:ascii="Times New Roman" w:eastAsia="宋体" w:hAnsi="Times New Roman" w:cs="Times New Roman" w:hint="eastAsia"/>
          <w:bCs/>
          <w:sz w:val="24"/>
          <w:szCs w:val="20"/>
        </w:rPr>
        <w:t>撤销</w:t>
      </w:r>
      <w:r w:rsidRPr="00AD16DC">
        <w:rPr>
          <w:rFonts w:ascii="Times New Roman" w:eastAsia="宋体" w:hAnsi="Times New Roman" w:cs="Times New Roman" w:hint="eastAsia"/>
          <w:bCs/>
          <w:sz w:val="24"/>
          <w:szCs w:val="20"/>
        </w:rPr>
        <w:t>H</w:t>
      </w:r>
      <w:r w:rsidRPr="00AD16DC">
        <w:rPr>
          <w:rFonts w:ascii="Times New Roman" w:eastAsia="宋体" w:hAnsi="Times New Roman" w:cs="Times New Roman" w:hint="eastAsia"/>
          <w:bCs/>
          <w:sz w:val="24"/>
          <w:szCs w:val="20"/>
        </w:rPr>
        <w:t>类基金份额，并对本基金的基金合同、托管协议作相应修改。</w:t>
      </w:r>
    </w:p>
    <w:p w14:paraId="604CD3D4" w14:textId="77777777" w:rsidR="00AD16DC" w:rsidRPr="00AD16DC" w:rsidRDefault="00AD16DC" w:rsidP="00AD16DC">
      <w:pPr>
        <w:adjustRightInd w:val="0"/>
        <w:snapToGrid w:val="0"/>
        <w:spacing w:line="360" w:lineRule="auto"/>
        <w:ind w:firstLineChars="200" w:firstLine="480"/>
        <w:rPr>
          <w:rFonts w:ascii="Times New Roman" w:eastAsia="宋体" w:hAnsi="Times New Roman" w:cs="Times New Roman"/>
          <w:bCs/>
          <w:sz w:val="24"/>
          <w:szCs w:val="20"/>
        </w:rPr>
      </w:pPr>
      <w:r w:rsidRPr="00AD16DC">
        <w:rPr>
          <w:rFonts w:ascii="Times New Roman" w:eastAsia="宋体" w:hAnsi="Times New Roman" w:cs="Times New Roman" w:hint="eastAsia"/>
          <w:bCs/>
          <w:sz w:val="24"/>
          <w:szCs w:val="20"/>
        </w:rPr>
        <w:t>现将具体事项公告如下：</w:t>
      </w:r>
    </w:p>
    <w:p w14:paraId="7E675549" w14:textId="77777777" w:rsidR="00AD16DC" w:rsidRPr="00AD16DC" w:rsidRDefault="00AD16DC" w:rsidP="00AD16DC">
      <w:pPr>
        <w:adjustRightInd w:val="0"/>
        <w:snapToGrid w:val="0"/>
        <w:spacing w:line="360" w:lineRule="auto"/>
        <w:ind w:firstLineChars="200" w:firstLine="482"/>
        <w:rPr>
          <w:rFonts w:ascii="Times New Roman" w:eastAsia="宋体" w:hAnsi="Times New Roman" w:cs="Times New Roman"/>
          <w:b/>
          <w:bCs/>
          <w:sz w:val="24"/>
          <w:szCs w:val="20"/>
        </w:rPr>
      </w:pPr>
      <w:r w:rsidRPr="00AD16DC">
        <w:rPr>
          <w:rFonts w:ascii="Times New Roman" w:eastAsia="宋体" w:hAnsi="Times New Roman" w:cs="Times New Roman" w:hint="eastAsia"/>
          <w:b/>
          <w:bCs/>
          <w:sz w:val="24"/>
          <w:szCs w:val="20"/>
        </w:rPr>
        <w:t>一、撤销</w:t>
      </w:r>
      <w:r w:rsidRPr="00AD16DC">
        <w:rPr>
          <w:rFonts w:ascii="Times New Roman" w:eastAsia="宋体" w:hAnsi="Times New Roman" w:cs="Times New Roman" w:hint="eastAsia"/>
          <w:b/>
          <w:bCs/>
          <w:sz w:val="24"/>
          <w:szCs w:val="20"/>
        </w:rPr>
        <w:t>H</w:t>
      </w:r>
      <w:r w:rsidRPr="00AD16DC">
        <w:rPr>
          <w:rFonts w:ascii="Times New Roman" w:eastAsia="宋体" w:hAnsi="Times New Roman" w:cs="Times New Roman" w:hint="eastAsia"/>
          <w:b/>
          <w:bCs/>
          <w:sz w:val="24"/>
          <w:szCs w:val="20"/>
        </w:rPr>
        <w:t>类基金份额的基本情况</w:t>
      </w:r>
    </w:p>
    <w:p w14:paraId="758B4A4C" w14:textId="4A8B7146" w:rsidR="00A54FE5" w:rsidRPr="00AD16DC" w:rsidRDefault="00AD16DC" w:rsidP="00320ADB">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AD16DC">
        <w:rPr>
          <w:rFonts w:ascii="Times New Roman" w:eastAsia="宋体" w:hAnsi="Times New Roman" w:cs="Times New Roman" w:hint="eastAsia"/>
          <w:color w:val="000000"/>
          <w:kern w:val="0"/>
          <w:sz w:val="24"/>
        </w:rPr>
        <w:t>自</w:t>
      </w:r>
      <w:r w:rsidRPr="00AD16DC">
        <w:rPr>
          <w:rFonts w:ascii="Times New Roman" w:eastAsia="宋体" w:hAnsi="Times New Roman" w:cs="Times New Roman" w:hint="eastAsia"/>
          <w:color w:val="000000"/>
          <w:kern w:val="0"/>
          <w:sz w:val="24"/>
        </w:rPr>
        <w:t>202</w:t>
      </w:r>
      <w:r w:rsidR="00F419AF">
        <w:rPr>
          <w:rFonts w:ascii="Times New Roman" w:eastAsia="宋体" w:hAnsi="Times New Roman" w:cs="Times New Roman"/>
          <w:color w:val="000000"/>
          <w:kern w:val="0"/>
          <w:sz w:val="24"/>
        </w:rPr>
        <w:t>2</w:t>
      </w:r>
      <w:r w:rsidRPr="00AD16DC">
        <w:rPr>
          <w:rFonts w:ascii="Times New Roman" w:eastAsia="宋体" w:hAnsi="Times New Roman" w:cs="Times New Roman" w:hint="eastAsia"/>
          <w:color w:val="000000"/>
          <w:kern w:val="0"/>
          <w:sz w:val="24"/>
        </w:rPr>
        <w:t>年</w:t>
      </w:r>
      <w:r w:rsidR="00F419AF">
        <w:rPr>
          <w:rFonts w:ascii="Times New Roman" w:eastAsia="宋体" w:hAnsi="Times New Roman" w:cs="Times New Roman"/>
          <w:color w:val="000000"/>
          <w:kern w:val="0"/>
          <w:sz w:val="24"/>
        </w:rPr>
        <w:t>6</w:t>
      </w:r>
      <w:r w:rsidRPr="00AD16DC">
        <w:rPr>
          <w:rFonts w:ascii="Times New Roman" w:eastAsia="宋体" w:hAnsi="Times New Roman" w:cs="Times New Roman" w:hint="eastAsia"/>
          <w:color w:val="000000"/>
          <w:kern w:val="0"/>
          <w:sz w:val="24"/>
        </w:rPr>
        <w:t>月</w:t>
      </w:r>
      <w:r w:rsidR="00F419AF">
        <w:rPr>
          <w:rFonts w:ascii="Times New Roman" w:eastAsia="宋体" w:hAnsi="Times New Roman" w:cs="Times New Roman"/>
          <w:color w:val="000000"/>
          <w:kern w:val="0"/>
          <w:sz w:val="24"/>
        </w:rPr>
        <w:t>24</w:t>
      </w:r>
      <w:r w:rsidRPr="00AD16DC">
        <w:rPr>
          <w:rFonts w:ascii="Times New Roman" w:eastAsia="宋体" w:hAnsi="Times New Roman" w:cs="Times New Roman" w:hint="eastAsia"/>
          <w:color w:val="000000"/>
          <w:kern w:val="0"/>
          <w:sz w:val="24"/>
        </w:rPr>
        <w:t>日起，本基金将撤销仅在中国香港地区销售的</w:t>
      </w:r>
      <w:r w:rsidRPr="00AD16DC">
        <w:rPr>
          <w:rFonts w:ascii="Times New Roman" w:eastAsia="宋体" w:hAnsi="Times New Roman" w:cs="Times New Roman"/>
          <w:color w:val="000000"/>
          <w:kern w:val="0"/>
          <w:sz w:val="24"/>
        </w:rPr>
        <w:t>H</w:t>
      </w:r>
      <w:r w:rsidRPr="00AD16DC">
        <w:rPr>
          <w:rFonts w:ascii="Times New Roman" w:eastAsia="宋体" w:hAnsi="Times New Roman" w:cs="Times New Roman" w:hint="eastAsia"/>
          <w:color w:val="000000"/>
          <w:kern w:val="0"/>
          <w:sz w:val="24"/>
        </w:rPr>
        <w:t>类基金份额。撤销</w:t>
      </w:r>
      <w:r w:rsidRPr="00AD16DC">
        <w:rPr>
          <w:rFonts w:ascii="Times New Roman" w:eastAsia="宋体" w:hAnsi="Times New Roman" w:cs="Times New Roman" w:hint="eastAsia"/>
          <w:color w:val="000000"/>
          <w:kern w:val="0"/>
          <w:sz w:val="24"/>
        </w:rPr>
        <w:t>H</w:t>
      </w:r>
      <w:r w:rsidRPr="00AD16DC">
        <w:rPr>
          <w:rFonts w:ascii="Times New Roman" w:eastAsia="宋体" w:hAnsi="Times New Roman" w:cs="Times New Roman" w:hint="eastAsia"/>
          <w:color w:val="000000"/>
          <w:kern w:val="0"/>
          <w:sz w:val="24"/>
        </w:rPr>
        <w:t>类基金份额后，本基金将不再区分不同的基金份额类别</w:t>
      </w:r>
      <w:r w:rsidR="00320ADB">
        <w:rPr>
          <w:rFonts w:ascii="Times New Roman" w:eastAsia="宋体" w:hAnsi="Times New Roman" w:cs="Times New Roman" w:hint="eastAsia"/>
          <w:color w:val="000000"/>
          <w:kern w:val="0"/>
          <w:sz w:val="24"/>
        </w:rPr>
        <w:t>，相应删除</w:t>
      </w:r>
      <w:r w:rsidR="00320ADB">
        <w:rPr>
          <w:rFonts w:ascii="Times New Roman" w:eastAsia="宋体" w:hAnsi="Times New Roman" w:cs="Times New Roman"/>
          <w:color w:val="000000"/>
          <w:kern w:val="0"/>
          <w:sz w:val="24"/>
        </w:rPr>
        <w:t>涉及</w:t>
      </w:r>
      <w:r w:rsidR="00320ADB">
        <w:rPr>
          <w:rFonts w:ascii="Times New Roman" w:eastAsia="宋体" w:hAnsi="Times New Roman" w:cs="Times New Roman" w:hint="eastAsia"/>
          <w:color w:val="000000"/>
          <w:kern w:val="0"/>
          <w:sz w:val="24"/>
        </w:rPr>
        <w:t>H</w:t>
      </w:r>
      <w:r w:rsidR="00320ADB">
        <w:rPr>
          <w:rFonts w:ascii="Times New Roman" w:eastAsia="宋体" w:hAnsi="Times New Roman" w:cs="Times New Roman" w:hint="eastAsia"/>
          <w:color w:val="000000"/>
          <w:kern w:val="0"/>
          <w:sz w:val="24"/>
        </w:rPr>
        <w:t>类</w:t>
      </w:r>
      <w:r w:rsidR="00320ADB">
        <w:rPr>
          <w:rFonts w:ascii="Times New Roman" w:eastAsia="宋体" w:hAnsi="Times New Roman" w:cs="Times New Roman"/>
          <w:color w:val="000000"/>
          <w:kern w:val="0"/>
          <w:sz w:val="24"/>
        </w:rPr>
        <w:t>基金份额的相关表述</w:t>
      </w:r>
      <w:r w:rsidRPr="00AD16DC">
        <w:rPr>
          <w:rFonts w:ascii="Times New Roman" w:eastAsia="宋体" w:hAnsi="Times New Roman" w:cs="Times New Roman" w:hint="eastAsia"/>
          <w:color w:val="000000"/>
          <w:kern w:val="0"/>
          <w:sz w:val="24"/>
        </w:rPr>
        <w:t>。</w:t>
      </w:r>
    </w:p>
    <w:p w14:paraId="7BAE3AA5" w14:textId="77777777" w:rsidR="00AD16DC" w:rsidRPr="00AD16DC" w:rsidRDefault="00AD16DC" w:rsidP="00AD16DC">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AD16DC">
        <w:rPr>
          <w:rFonts w:ascii="Times New Roman" w:eastAsia="宋体" w:hAnsi="Times New Roman" w:cs="Times New Roman" w:hint="eastAsia"/>
          <w:b/>
          <w:color w:val="000000"/>
          <w:kern w:val="0"/>
          <w:sz w:val="24"/>
        </w:rPr>
        <w:t>二、基金合同、托管协议的修订内容</w:t>
      </w:r>
    </w:p>
    <w:p w14:paraId="660CC1A7" w14:textId="77777777" w:rsidR="00AD16DC" w:rsidRPr="00AD16DC" w:rsidRDefault="00AD16DC" w:rsidP="00AD16DC">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AD16DC">
        <w:rPr>
          <w:rFonts w:ascii="Times New Roman" w:eastAsia="宋体" w:hAnsi="Times New Roman" w:cs="Times New Roman" w:hint="eastAsia"/>
          <w:color w:val="000000"/>
          <w:kern w:val="0"/>
          <w:sz w:val="24"/>
        </w:rPr>
        <w:t>为确保撤销</w:t>
      </w:r>
      <w:r w:rsidRPr="00AD16DC">
        <w:rPr>
          <w:rFonts w:ascii="Times New Roman" w:eastAsia="宋体" w:hAnsi="Times New Roman" w:cs="Times New Roman" w:hint="eastAsia"/>
          <w:color w:val="000000"/>
          <w:kern w:val="0"/>
          <w:sz w:val="24"/>
        </w:rPr>
        <w:t>H</w:t>
      </w:r>
      <w:r w:rsidRPr="00AD16DC">
        <w:rPr>
          <w:rFonts w:ascii="Times New Roman" w:eastAsia="宋体" w:hAnsi="Times New Roman" w:cs="Times New Roman" w:hint="eastAsia"/>
          <w:color w:val="000000"/>
          <w:kern w:val="0"/>
          <w:sz w:val="24"/>
        </w:rPr>
        <w:t>类基金份额符合法律、法规的规定，本公司对本基金《基金合同》、《托管协议》的相关内容进行了修订，《基金合同》、《托管协议》的具体修订内容见附件</w:t>
      </w:r>
      <w:r w:rsidRPr="00AD16DC">
        <w:rPr>
          <w:rFonts w:ascii="Times New Roman" w:eastAsia="宋体" w:hAnsi="Times New Roman" w:cs="Times New Roman" w:hint="eastAsia"/>
          <w:color w:val="000000"/>
          <w:kern w:val="0"/>
          <w:sz w:val="24"/>
        </w:rPr>
        <w:t>1</w:t>
      </w:r>
      <w:r w:rsidRPr="00AD16DC">
        <w:rPr>
          <w:rFonts w:ascii="Times New Roman" w:eastAsia="宋体" w:hAnsi="Times New Roman" w:cs="Times New Roman" w:hint="eastAsia"/>
          <w:color w:val="000000"/>
          <w:kern w:val="0"/>
          <w:sz w:val="24"/>
        </w:rPr>
        <w:t>、</w:t>
      </w:r>
      <w:r w:rsidRPr="00AD16DC">
        <w:rPr>
          <w:rFonts w:ascii="Times New Roman" w:eastAsia="宋体" w:hAnsi="Times New Roman" w:cs="Times New Roman"/>
          <w:color w:val="000000"/>
          <w:kern w:val="0"/>
          <w:sz w:val="24"/>
        </w:rPr>
        <w:t>附件</w:t>
      </w:r>
      <w:r w:rsidRPr="00AD16DC">
        <w:rPr>
          <w:rFonts w:ascii="Times New Roman" w:eastAsia="宋体" w:hAnsi="Times New Roman" w:cs="Times New Roman"/>
          <w:color w:val="000000"/>
          <w:kern w:val="0"/>
          <w:sz w:val="24"/>
        </w:rPr>
        <w:t>2</w:t>
      </w:r>
      <w:r w:rsidRPr="00AD16DC">
        <w:rPr>
          <w:rFonts w:ascii="Times New Roman" w:eastAsia="宋体" w:hAnsi="Times New Roman" w:cs="Times New Roman" w:hint="eastAsia"/>
          <w:color w:val="000000"/>
          <w:kern w:val="0"/>
          <w:sz w:val="24"/>
        </w:rPr>
        <w:t>。</w:t>
      </w:r>
    </w:p>
    <w:p w14:paraId="126E0B4C" w14:textId="77777777" w:rsidR="00AD16DC" w:rsidRPr="00AD16DC" w:rsidRDefault="00AD16DC" w:rsidP="00AD16DC">
      <w:pPr>
        <w:widowControl/>
        <w:spacing w:line="360" w:lineRule="auto"/>
        <w:ind w:firstLineChars="200" w:firstLine="482"/>
        <w:rPr>
          <w:rFonts w:ascii="Times New Roman" w:eastAsia="宋体" w:hAnsi="Times New Roman" w:cs="Times New Roman"/>
          <w:b/>
          <w:color w:val="000000"/>
          <w:kern w:val="0"/>
          <w:sz w:val="24"/>
          <w:szCs w:val="24"/>
        </w:rPr>
      </w:pPr>
    </w:p>
    <w:p w14:paraId="22B41E1B" w14:textId="77777777" w:rsidR="00AD16DC" w:rsidRPr="00AD16DC" w:rsidRDefault="00AD16DC" w:rsidP="00AD16DC">
      <w:pPr>
        <w:widowControl/>
        <w:spacing w:line="360" w:lineRule="auto"/>
        <w:ind w:firstLineChars="200" w:firstLine="482"/>
        <w:rPr>
          <w:rFonts w:ascii="Times New Roman" w:eastAsia="宋体" w:hAnsi="Times New Roman" w:cs="Times New Roman"/>
          <w:b/>
          <w:color w:val="000000"/>
          <w:kern w:val="0"/>
          <w:sz w:val="24"/>
          <w:szCs w:val="24"/>
        </w:rPr>
      </w:pPr>
      <w:r w:rsidRPr="00AD16DC">
        <w:rPr>
          <w:rFonts w:ascii="Times New Roman" w:eastAsia="宋体" w:hAnsi="Times New Roman" w:cs="Times New Roman" w:hint="eastAsia"/>
          <w:b/>
          <w:color w:val="000000"/>
          <w:kern w:val="0"/>
          <w:sz w:val="24"/>
          <w:szCs w:val="24"/>
        </w:rPr>
        <w:t>重要提示：</w:t>
      </w:r>
    </w:p>
    <w:p w14:paraId="72F3ADD3" w14:textId="77777777" w:rsidR="00AD16DC" w:rsidRPr="00AD16DC" w:rsidRDefault="00AD16DC" w:rsidP="00AD16DC">
      <w:pPr>
        <w:widowControl/>
        <w:spacing w:line="360" w:lineRule="auto"/>
        <w:ind w:firstLineChars="200" w:firstLine="480"/>
        <w:rPr>
          <w:rFonts w:ascii="Times New Roman" w:eastAsia="宋体" w:hAnsi="Times New Roman" w:cs="Times New Roman"/>
          <w:color w:val="000000"/>
          <w:kern w:val="0"/>
          <w:sz w:val="24"/>
          <w:szCs w:val="24"/>
        </w:rPr>
      </w:pPr>
      <w:r w:rsidRPr="00AD16DC">
        <w:rPr>
          <w:rFonts w:ascii="Times New Roman" w:eastAsia="宋体" w:hAnsi="Times New Roman" w:cs="Times New Roman"/>
          <w:color w:val="000000"/>
          <w:kern w:val="0"/>
          <w:sz w:val="24"/>
          <w:szCs w:val="24"/>
        </w:rPr>
        <w:t>1</w:t>
      </w:r>
      <w:r w:rsidRPr="00AD16DC">
        <w:rPr>
          <w:rFonts w:ascii="Times New Roman" w:eastAsia="宋体" w:hAnsi="Times New Roman" w:cs="Times New Roman" w:hint="eastAsia"/>
          <w:color w:val="000000"/>
          <w:kern w:val="0"/>
          <w:sz w:val="24"/>
          <w:szCs w:val="24"/>
        </w:rPr>
        <w:t>、上述修改为遵照法律法规、中国证监会的相关规定和基金合同的约定所作出的修改，对基金份额持有人利益无实质性不利影响，可不经基金份额持有人大会表决。</w:t>
      </w:r>
    </w:p>
    <w:p w14:paraId="09606474" w14:textId="75DCBA6A" w:rsidR="00AD16DC" w:rsidRPr="00AD16DC" w:rsidRDefault="00AD16DC" w:rsidP="00AD16DC">
      <w:pPr>
        <w:widowControl/>
        <w:spacing w:line="360" w:lineRule="auto"/>
        <w:ind w:firstLineChars="200" w:firstLine="480"/>
        <w:rPr>
          <w:rFonts w:ascii="Times New Roman" w:eastAsia="宋体" w:hAnsi="Times New Roman" w:cs="Times New Roman"/>
          <w:color w:val="000000"/>
          <w:kern w:val="0"/>
          <w:sz w:val="24"/>
          <w:szCs w:val="24"/>
        </w:rPr>
      </w:pPr>
      <w:r w:rsidRPr="00AD16DC">
        <w:rPr>
          <w:rFonts w:ascii="Times New Roman" w:eastAsia="宋体" w:hAnsi="Times New Roman" w:cs="Times New Roman"/>
          <w:bCs/>
          <w:kern w:val="0"/>
          <w:sz w:val="24"/>
          <w:szCs w:val="20"/>
        </w:rPr>
        <w:t>2</w:t>
      </w:r>
      <w:r w:rsidRPr="00AD16DC">
        <w:rPr>
          <w:rFonts w:ascii="Times New Roman" w:eastAsia="宋体" w:hAnsi="Times New Roman" w:cs="Times New Roman" w:hint="eastAsia"/>
          <w:bCs/>
          <w:kern w:val="0"/>
          <w:sz w:val="24"/>
          <w:szCs w:val="20"/>
        </w:rPr>
        <w:t>、修改后的基金合同、托管协议自</w:t>
      </w:r>
      <w:r w:rsidRPr="00AD16DC">
        <w:rPr>
          <w:rFonts w:ascii="Times New Roman" w:eastAsia="宋体" w:hAnsi="Times New Roman" w:cs="Times New Roman"/>
          <w:bCs/>
          <w:kern w:val="0"/>
          <w:sz w:val="24"/>
          <w:szCs w:val="20"/>
        </w:rPr>
        <w:t>202</w:t>
      </w:r>
      <w:r w:rsidR="00383B12">
        <w:rPr>
          <w:rFonts w:ascii="Times New Roman" w:eastAsia="宋体" w:hAnsi="Times New Roman" w:cs="Times New Roman"/>
          <w:bCs/>
          <w:kern w:val="0"/>
          <w:sz w:val="24"/>
          <w:szCs w:val="20"/>
        </w:rPr>
        <w:t>2</w:t>
      </w:r>
      <w:r w:rsidRPr="00AD16DC">
        <w:rPr>
          <w:rFonts w:ascii="Times New Roman" w:eastAsia="宋体" w:hAnsi="Times New Roman" w:cs="Times New Roman" w:hint="eastAsia"/>
          <w:bCs/>
          <w:kern w:val="0"/>
          <w:sz w:val="24"/>
          <w:szCs w:val="20"/>
        </w:rPr>
        <w:t>年</w:t>
      </w:r>
      <w:r w:rsidR="00383B12">
        <w:rPr>
          <w:rFonts w:ascii="Times New Roman" w:eastAsia="宋体" w:hAnsi="Times New Roman" w:cs="Times New Roman"/>
          <w:bCs/>
          <w:kern w:val="0"/>
          <w:sz w:val="24"/>
          <w:szCs w:val="20"/>
        </w:rPr>
        <w:t>6</w:t>
      </w:r>
      <w:r w:rsidRPr="00AD16DC">
        <w:rPr>
          <w:rFonts w:ascii="Times New Roman" w:eastAsia="宋体" w:hAnsi="Times New Roman" w:cs="Times New Roman" w:hint="eastAsia"/>
          <w:bCs/>
          <w:kern w:val="0"/>
          <w:sz w:val="24"/>
          <w:szCs w:val="20"/>
        </w:rPr>
        <w:t>月</w:t>
      </w:r>
      <w:r w:rsidR="00383B12">
        <w:rPr>
          <w:rFonts w:ascii="Times New Roman" w:eastAsia="宋体" w:hAnsi="Times New Roman" w:cs="Times New Roman"/>
          <w:bCs/>
          <w:kern w:val="0"/>
          <w:sz w:val="24"/>
          <w:szCs w:val="20"/>
        </w:rPr>
        <w:t>24</w:t>
      </w:r>
      <w:r w:rsidRPr="00AD16DC">
        <w:rPr>
          <w:rFonts w:ascii="Times New Roman" w:eastAsia="宋体" w:hAnsi="Times New Roman" w:cs="Times New Roman" w:hint="eastAsia"/>
          <w:bCs/>
          <w:kern w:val="0"/>
          <w:sz w:val="24"/>
          <w:szCs w:val="20"/>
        </w:rPr>
        <w:t>日起生效，基金管理人已履行了规定程序，符合相关法律法规的规定及本基金基金合同、托管协议的约</w:t>
      </w:r>
      <w:r w:rsidRPr="00AD16DC">
        <w:rPr>
          <w:rFonts w:ascii="Times New Roman" w:eastAsia="宋体" w:hAnsi="Times New Roman" w:cs="Times New Roman" w:hint="eastAsia"/>
          <w:bCs/>
          <w:kern w:val="0"/>
          <w:sz w:val="24"/>
          <w:szCs w:val="20"/>
        </w:rPr>
        <w:lastRenderedPageBreak/>
        <w:t>定。修改后的本基金基金合同、托管协议全文将与本公告同日登载于基金管理人网站（</w:t>
      </w:r>
      <w:r w:rsidRPr="00AD16DC">
        <w:rPr>
          <w:rFonts w:ascii="Times New Roman" w:eastAsia="宋体" w:hAnsi="Times New Roman" w:cs="Times New Roman"/>
          <w:bCs/>
          <w:kern w:val="0"/>
          <w:sz w:val="24"/>
          <w:szCs w:val="20"/>
        </w:rPr>
        <w:t>www.fund001.com</w:t>
      </w:r>
      <w:r w:rsidRPr="00AD16DC">
        <w:rPr>
          <w:rFonts w:ascii="Times New Roman" w:eastAsia="宋体" w:hAnsi="Times New Roman" w:cs="Times New Roman" w:hint="eastAsia"/>
          <w:bCs/>
          <w:kern w:val="0"/>
          <w:sz w:val="24"/>
          <w:szCs w:val="20"/>
        </w:rPr>
        <w:t>）及中国证监会基金电子披露网站（</w:t>
      </w:r>
      <w:r w:rsidRPr="00AD16DC">
        <w:rPr>
          <w:rFonts w:ascii="Times New Roman" w:eastAsia="宋体" w:hAnsi="Times New Roman" w:cs="Times New Roman"/>
          <w:bCs/>
          <w:kern w:val="0"/>
          <w:sz w:val="24"/>
          <w:szCs w:val="20"/>
        </w:rPr>
        <w:t>http://eid.csrc.gov.cn/fund</w:t>
      </w:r>
      <w:r w:rsidRPr="00AD16DC">
        <w:rPr>
          <w:rFonts w:ascii="Times New Roman" w:eastAsia="宋体" w:hAnsi="Times New Roman" w:cs="Times New Roman" w:hint="eastAsia"/>
          <w:bCs/>
          <w:kern w:val="0"/>
          <w:sz w:val="24"/>
          <w:szCs w:val="20"/>
        </w:rPr>
        <w:t>）。本次修订后的招募说明书（更新）和基金产品资料概要（更新）将在本公司网站发布，供投资者查阅。</w:t>
      </w:r>
    </w:p>
    <w:p w14:paraId="51FA5FBA" w14:textId="77777777" w:rsidR="00AD16DC" w:rsidRPr="00AD16DC" w:rsidRDefault="00AD16DC" w:rsidP="00AD16DC">
      <w:pPr>
        <w:widowControl/>
        <w:spacing w:line="360" w:lineRule="auto"/>
        <w:ind w:firstLineChars="200" w:firstLine="480"/>
        <w:jc w:val="left"/>
        <w:rPr>
          <w:rFonts w:ascii="Times New Roman" w:eastAsia="宋体" w:hAnsi="Times New Roman" w:cs="Times New Roman"/>
          <w:color w:val="000000"/>
          <w:kern w:val="0"/>
          <w:sz w:val="24"/>
          <w:szCs w:val="24"/>
        </w:rPr>
      </w:pPr>
      <w:r w:rsidRPr="00AD16DC">
        <w:rPr>
          <w:rFonts w:ascii="Times New Roman" w:eastAsia="宋体" w:hAnsi="Times New Roman" w:cs="Times New Roman"/>
          <w:color w:val="000000"/>
          <w:kern w:val="0"/>
          <w:sz w:val="24"/>
          <w:szCs w:val="24"/>
        </w:rPr>
        <w:t>3</w:t>
      </w:r>
      <w:r w:rsidRPr="00AD16DC">
        <w:rPr>
          <w:rFonts w:ascii="Times New Roman" w:eastAsia="宋体" w:hAnsi="Times New Roman" w:cs="Times New Roman" w:hint="eastAsia"/>
          <w:color w:val="000000"/>
          <w:kern w:val="0"/>
          <w:sz w:val="24"/>
          <w:szCs w:val="24"/>
        </w:rPr>
        <w:t>、投资者可登录本基金管理人网站（</w:t>
      </w:r>
      <w:r w:rsidRPr="00AD16DC">
        <w:rPr>
          <w:rFonts w:ascii="Times New Roman" w:eastAsia="宋体" w:hAnsi="Times New Roman" w:cs="Times New Roman"/>
          <w:color w:val="000000"/>
          <w:kern w:val="0"/>
          <w:sz w:val="24"/>
          <w:szCs w:val="24"/>
        </w:rPr>
        <w:t>www.fund001.com</w:t>
      </w:r>
      <w:r w:rsidRPr="00AD16DC">
        <w:rPr>
          <w:rFonts w:ascii="Times New Roman" w:eastAsia="宋体" w:hAnsi="Times New Roman" w:cs="Times New Roman" w:hint="eastAsia"/>
          <w:color w:val="000000"/>
          <w:kern w:val="0"/>
          <w:sz w:val="24"/>
          <w:szCs w:val="24"/>
        </w:rPr>
        <w:t>）或拨打本基金管理人的客户服务电话</w:t>
      </w:r>
      <w:r w:rsidRPr="00AD16DC">
        <w:rPr>
          <w:rFonts w:ascii="Times New Roman" w:eastAsia="宋体" w:hAnsi="Times New Roman" w:cs="Times New Roman"/>
          <w:color w:val="000000"/>
          <w:kern w:val="0"/>
          <w:sz w:val="24"/>
          <w:szCs w:val="24"/>
        </w:rPr>
        <w:t>400-700-5000</w:t>
      </w:r>
      <w:r w:rsidRPr="00AD16DC">
        <w:rPr>
          <w:rFonts w:ascii="Times New Roman" w:eastAsia="宋体" w:hAnsi="Times New Roman" w:cs="Times New Roman" w:hint="eastAsia"/>
          <w:color w:val="000000"/>
          <w:kern w:val="0"/>
          <w:sz w:val="24"/>
          <w:szCs w:val="24"/>
        </w:rPr>
        <w:t>（免长途话费），（</w:t>
      </w:r>
      <w:r w:rsidRPr="00AD16DC">
        <w:rPr>
          <w:rFonts w:ascii="Times New Roman" w:eastAsia="宋体" w:hAnsi="Times New Roman" w:cs="Times New Roman"/>
          <w:color w:val="000000"/>
          <w:kern w:val="0"/>
          <w:sz w:val="24"/>
          <w:szCs w:val="24"/>
        </w:rPr>
        <w:t>021</w:t>
      </w:r>
      <w:r w:rsidRPr="00AD16DC">
        <w:rPr>
          <w:rFonts w:ascii="Times New Roman" w:eastAsia="宋体" w:hAnsi="Times New Roman" w:cs="Times New Roman" w:hint="eastAsia"/>
          <w:color w:val="000000"/>
          <w:kern w:val="0"/>
          <w:sz w:val="24"/>
          <w:szCs w:val="24"/>
        </w:rPr>
        <w:t>）</w:t>
      </w:r>
      <w:r w:rsidRPr="00AD16DC">
        <w:rPr>
          <w:rFonts w:ascii="Times New Roman" w:eastAsia="宋体" w:hAnsi="Times New Roman" w:cs="Times New Roman"/>
          <w:color w:val="000000"/>
          <w:kern w:val="0"/>
          <w:sz w:val="24"/>
          <w:szCs w:val="24"/>
        </w:rPr>
        <w:t>61055000</w:t>
      </w:r>
      <w:r w:rsidRPr="00AD16DC">
        <w:rPr>
          <w:rFonts w:ascii="Times New Roman" w:eastAsia="宋体" w:hAnsi="Times New Roman" w:cs="Times New Roman" w:hint="eastAsia"/>
          <w:color w:val="000000"/>
          <w:kern w:val="0"/>
          <w:sz w:val="24"/>
          <w:szCs w:val="24"/>
        </w:rPr>
        <w:t>进行咨询、查询。</w:t>
      </w:r>
    </w:p>
    <w:p w14:paraId="0D373525" w14:textId="77777777" w:rsidR="00AD16DC" w:rsidRPr="00AD16DC" w:rsidRDefault="00AD16DC" w:rsidP="00AD16DC">
      <w:pPr>
        <w:widowControl/>
        <w:spacing w:before="100" w:beforeAutospacing="1" w:after="100" w:afterAutospacing="1" w:line="360" w:lineRule="auto"/>
        <w:ind w:firstLineChars="200" w:firstLine="480"/>
        <w:jc w:val="left"/>
        <w:rPr>
          <w:rFonts w:ascii="Times New Roman" w:eastAsia="宋体" w:hAnsi="Times New Roman" w:cs="Times New Roman"/>
          <w:color w:val="000000"/>
          <w:kern w:val="0"/>
          <w:sz w:val="24"/>
          <w:szCs w:val="24"/>
        </w:rPr>
      </w:pPr>
      <w:r w:rsidRPr="00AD16DC">
        <w:rPr>
          <w:rFonts w:ascii="Times New Roman" w:eastAsia="宋体" w:hAnsi="Times New Roman" w:cs="Times New Roman" w:hint="eastAsia"/>
          <w:color w:val="000000"/>
          <w:kern w:val="0"/>
          <w:sz w:val="24"/>
          <w:szCs w:val="24"/>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19FE865D" w14:textId="77777777" w:rsidR="00AD16DC" w:rsidRPr="00AD16DC" w:rsidRDefault="00AD16DC" w:rsidP="00AD16DC">
      <w:pPr>
        <w:widowControl/>
        <w:spacing w:line="360" w:lineRule="auto"/>
        <w:ind w:firstLineChars="200" w:firstLine="480"/>
        <w:jc w:val="left"/>
        <w:rPr>
          <w:rFonts w:ascii="Times New Roman" w:eastAsia="宋体" w:hAnsi="Times New Roman" w:cs="Times New Roman"/>
          <w:color w:val="000000"/>
          <w:kern w:val="0"/>
          <w:sz w:val="24"/>
          <w:szCs w:val="24"/>
        </w:rPr>
      </w:pPr>
      <w:r w:rsidRPr="00AD16DC">
        <w:rPr>
          <w:rFonts w:ascii="Times New Roman" w:eastAsia="宋体" w:hAnsi="Times New Roman" w:cs="Times New Roman" w:hint="eastAsia"/>
          <w:color w:val="000000"/>
          <w:kern w:val="0"/>
          <w:sz w:val="24"/>
          <w:szCs w:val="24"/>
        </w:rPr>
        <w:t>特此公告。</w:t>
      </w:r>
    </w:p>
    <w:p w14:paraId="547560EC" w14:textId="77777777" w:rsidR="00AD16DC" w:rsidRPr="00AD16DC" w:rsidRDefault="00AD16DC" w:rsidP="00AD16DC">
      <w:pPr>
        <w:widowControl/>
        <w:spacing w:before="100" w:beforeAutospacing="1" w:after="100" w:afterAutospacing="1" w:line="360" w:lineRule="auto"/>
        <w:jc w:val="right"/>
        <w:rPr>
          <w:rFonts w:ascii="Times New Roman" w:eastAsia="宋体" w:hAnsi="Times New Roman" w:cs="Times New Roman"/>
          <w:color w:val="000000"/>
          <w:kern w:val="0"/>
          <w:sz w:val="24"/>
          <w:szCs w:val="24"/>
        </w:rPr>
      </w:pPr>
      <w:r w:rsidRPr="00AD16DC">
        <w:rPr>
          <w:rFonts w:ascii="Times New Roman" w:eastAsia="宋体" w:hAnsi="Times New Roman" w:cs="Times New Roman"/>
          <w:color w:val="000000"/>
          <w:kern w:val="0"/>
          <w:sz w:val="24"/>
          <w:szCs w:val="24"/>
        </w:rPr>
        <w:t>  </w:t>
      </w:r>
      <w:r w:rsidRPr="00AD16DC">
        <w:rPr>
          <w:rFonts w:ascii="Times New Roman" w:eastAsia="宋体" w:hAnsi="Times New Roman" w:cs="Times New Roman" w:hint="eastAsia"/>
          <w:color w:val="000000"/>
          <w:kern w:val="0"/>
          <w:sz w:val="24"/>
          <w:szCs w:val="24"/>
        </w:rPr>
        <w:t>交银施罗德基金管理有限公司</w:t>
      </w:r>
    </w:p>
    <w:p w14:paraId="36140DFC" w14:textId="31468C9A" w:rsidR="00AD16DC" w:rsidRPr="00AD16DC" w:rsidRDefault="00AD16DC" w:rsidP="00AD16DC">
      <w:pPr>
        <w:widowControl/>
        <w:spacing w:before="100" w:beforeAutospacing="1" w:after="100" w:afterAutospacing="1" w:line="360" w:lineRule="auto"/>
        <w:jc w:val="right"/>
        <w:rPr>
          <w:rFonts w:ascii="Times New Roman" w:eastAsia="宋体" w:hAnsi="Times New Roman" w:cs="Times New Roman"/>
          <w:color w:val="000000"/>
          <w:kern w:val="0"/>
          <w:sz w:val="24"/>
          <w:szCs w:val="24"/>
        </w:rPr>
        <w:sectPr w:rsidR="00AD16DC" w:rsidRPr="00AD16DC" w:rsidSect="00592E50">
          <w:pgSz w:w="11906" w:h="16838"/>
          <w:pgMar w:top="1440" w:right="1800" w:bottom="1440" w:left="1800" w:header="851" w:footer="992" w:gutter="0"/>
          <w:cols w:space="425"/>
          <w:docGrid w:type="lines" w:linePitch="312"/>
        </w:sectPr>
      </w:pPr>
      <w:r w:rsidRPr="00AD16DC">
        <w:rPr>
          <w:rFonts w:ascii="Times New Roman" w:eastAsia="宋体" w:hAnsi="Times New Roman" w:cs="Times New Roman"/>
          <w:color w:val="000000"/>
          <w:kern w:val="0"/>
          <w:sz w:val="24"/>
          <w:szCs w:val="24"/>
        </w:rPr>
        <w:t>  </w:t>
      </w:r>
      <w:r w:rsidRPr="00AD16DC">
        <w:rPr>
          <w:rFonts w:ascii="Times New Roman" w:eastAsia="宋体" w:hAnsi="Times New Roman" w:cs="Times New Roman" w:hint="eastAsia"/>
          <w:color w:val="000000"/>
          <w:kern w:val="0"/>
          <w:sz w:val="24"/>
          <w:szCs w:val="24"/>
        </w:rPr>
        <w:t>二〇二</w:t>
      </w:r>
      <w:r w:rsidR="00381795">
        <w:rPr>
          <w:rFonts w:ascii="Times New Roman" w:eastAsia="宋体" w:hAnsi="Times New Roman" w:cs="Times New Roman" w:hint="eastAsia"/>
          <w:color w:val="000000"/>
          <w:kern w:val="0"/>
          <w:sz w:val="24"/>
          <w:szCs w:val="24"/>
        </w:rPr>
        <w:t>二</w:t>
      </w:r>
      <w:r w:rsidRPr="00AD16DC">
        <w:rPr>
          <w:rFonts w:ascii="Times New Roman" w:eastAsia="宋体" w:hAnsi="Times New Roman" w:cs="Times New Roman" w:hint="eastAsia"/>
          <w:color w:val="000000"/>
          <w:kern w:val="0"/>
          <w:sz w:val="24"/>
          <w:szCs w:val="24"/>
        </w:rPr>
        <w:t>年</w:t>
      </w:r>
      <w:r w:rsidR="00381795">
        <w:rPr>
          <w:rFonts w:ascii="Times New Roman" w:eastAsia="宋体" w:hAnsi="Times New Roman" w:cs="Times New Roman" w:hint="eastAsia"/>
          <w:color w:val="000000"/>
          <w:kern w:val="0"/>
          <w:sz w:val="24"/>
          <w:szCs w:val="24"/>
        </w:rPr>
        <w:t>六</w:t>
      </w:r>
      <w:r w:rsidRPr="00AD16DC">
        <w:rPr>
          <w:rFonts w:ascii="Times New Roman" w:eastAsia="宋体" w:hAnsi="Times New Roman" w:cs="Times New Roman" w:hint="eastAsia"/>
          <w:color w:val="000000"/>
          <w:kern w:val="0"/>
          <w:sz w:val="24"/>
          <w:szCs w:val="24"/>
        </w:rPr>
        <w:t>月</w:t>
      </w:r>
      <w:r w:rsidR="00381795">
        <w:rPr>
          <w:rFonts w:ascii="Times New Roman" w:eastAsia="宋体" w:hAnsi="Times New Roman" w:cs="Times New Roman" w:hint="eastAsia"/>
          <w:color w:val="000000"/>
          <w:kern w:val="0"/>
          <w:sz w:val="24"/>
          <w:szCs w:val="24"/>
        </w:rPr>
        <w:t>二十四</w:t>
      </w:r>
      <w:r w:rsidRPr="00AD16DC">
        <w:rPr>
          <w:rFonts w:ascii="Times New Roman" w:eastAsia="宋体" w:hAnsi="Times New Roman" w:cs="Times New Roman" w:hint="eastAsia"/>
          <w:color w:val="000000"/>
          <w:kern w:val="0"/>
          <w:sz w:val="24"/>
          <w:szCs w:val="24"/>
        </w:rPr>
        <w:t>日</w:t>
      </w:r>
    </w:p>
    <w:p w14:paraId="3A6944A1" w14:textId="77777777" w:rsidR="00AD16DC" w:rsidRDefault="00AD16DC" w:rsidP="00AD16DC">
      <w:pPr>
        <w:jc w:val="center"/>
        <w:rPr>
          <w:rFonts w:ascii="宋体" w:eastAsia="宋体" w:hAnsi="宋体"/>
          <w:b/>
        </w:rPr>
      </w:pPr>
      <w:r>
        <w:rPr>
          <w:rFonts w:ascii="宋体" w:eastAsia="宋体" w:hAnsi="宋体" w:hint="eastAsia"/>
          <w:b/>
        </w:rPr>
        <w:lastRenderedPageBreak/>
        <w:t>附件</w:t>
      </w:r>
      <w:r>
        <w:rPr>
          <w:rFonts w:ascii="宋体" w:eastAsia="宋体" w:hAnsi="宋体"/>
          <w:b/>
        </w:rPr>
        <w:t>1：</w:t>
      </w:r>
      <w:r w:rsidRPr="000E0968">
        <w:rPr>
          <w:rFonts w:ascii="宋体" w:eastAsia="宋体" w:hAnsi="宋体" w:hint="eastAsia"/>
          <w:b/>
        </w:rPr>
        <w:t>《</w:t>
      </w:r>
      <w:r w:rsidRPr="00732CC8">
        <w:rPr>
          <w:rFonts w:ascii="宋体" w:eastAsia="宋体" w:hAnsi="宋体" w:hint="eastAsia"/>
          <w:b/>
        </w:rPr>
        <w:t>交银施罗德稳健配置混合型证券投资基金</w:t>
      </w:r>
      <w:r w:rsidRPr="003409F8">
        <w:rPr>
          <w:rFonts w:ascii="宋体" w:eastAsia="宋体" w:hAnsi="宋体" w:hint="eastAsia"/>
          <w:b/>
        </w:rPr>
        <w:t>基金合同</w:t>
      </w:r>
      <w:r w:rsidRPr="000E0968">
        <w:rPr>
          <w:rFonts w:ascii="宋体" w:eastAsia="宋体" w:hAnsi="宋体" w:hint="eastAsia"/>
          <w:b/>
        </w:rPr>
        <w:t>》修订前后对照表</w:t>
      </w:r>
    </w:p>
    <w:p w14:paraId="737AA449" w14:textId="77777777" w:rsidR="00501642" w:rsidRDefault="00501642" w:rsidP="00AD16DC">
      <w:pPr>
        <w:jc w:val="center"/>
        <w:rPr>
          <w:rFonts w:ascii="宋体" w:eastAsia="宋体" w:hAnsi="宋体"/>
          <w: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2039"/>
        <w:gridCol w:w="3910"/>
        <w:gridCol w:w="3690"/>
      </w:tblGrid>
      <w:tr w:rsidR="00361B23" w:rsidRPr="00361B23" w14:paraId="1FEFB1D5" w14:textId="77777777" w:rsidTr="00CC1D7A">
        <w:trPr>
          <w:jc w:val="center"/>
        </w:trPr>
        <w:tc>
          <w:tcPr>
            <w:tcW w:w="2039" w:type="dxa"/>
            <w:tcBorders>
              <w:top w:val="single" w:sz="4" w:space="0" w:color="auto"/>
              <w:left w:val="single" w:sz="4" w:space="0" w:color="auto"/>
              <w:bottom w:val="single" w:sz="4" w:space="0" w:color="auto"/>
              <w:right w:val="single" w:sz="4" w:space="0" w:color="auto"/>
            </w:tcBorders>
            <w:hideMark/>
          </w:tcPr>
          <w:p w14:paraId="42FD6F84" w14:textId="77777777" w:rsidR="00361B23" w:rsidRPr="00361B23" w:rsidRDefault="00361B23" w:rsidP="00361B23">
            <w:pPr>
              <w:jc w:val="center"/>
              <w:rPr>
                <w:rFonts w:ascii="宋体" w:eastAsia="宋体" w:hAnsi="宋体" w:cs="Times New Roman"/>
                <w:b/>
                <w:szCs w:val="21"/>
              </w:rPr>
            </w:pPr>
            <w:r w:rsidRPr="00361B23">
              <w:rPr>
                <w:rFonts w:ascii="宋体" w:eastAsia="宋体" w:hAnsi="宋体" w:cs="Times New Roman" w:hint="eastAsia"/>
                <w:b/>
                <w:szCs w:val="21"/>
              </w:rPr>
              <w:t>章节</w:t>
            </w:r>
          </w:p>
        </w:tc>
        <w:tc>
          <w:tcPr>
            <w:tcW w:w="3910" w:type="dxa"/>
            <w:tcBorders>
              <w:top w:val="single" w:sz="4" w:space="0" w:color="auto"/>
              <w:left w:val="single" w:sz="4" w:space="0" w:color="auto"/>
              <w:bottom w:val="single" w:sz="4" w:space="0" w:color="auto"/>
              <w:right w:val="single" w:sz="4" w:space="0" w:color="auto"/>
            </w:tcBorders>
            <w:hideMark/>
          </w:tcPr>
          <w:p w14:paraId="0FAC037B" w14:textId="77777777" w:rsidR="00361B23" w:rsidRPr="00361B23" w:rsidRDefault="00361B23" w:rsidP="00361B23">
            <w:pPr>
              <w:jc w:val="center"/>
              <w:rPr>
                <w:rFonts w:ascii="宋体" w:eastAsia="宋体" w:hAnsi="宋体" w:cs="Times New Roman"/>
                <w:b/>
                <w:szCs w:val="21"/>
              </w:rPr>
            </w:pPr>
            <w:r w:rsidRPr="00361B23">
              <w:rPr>
                <w:rFonts w:ascii="宋体" w:eastAsia="宋体" w:hAnsi="宋体" w:cs="Times New Roman" w:hint="eastAsia"/>
                <w:b/>
                <w:szCs w:val="21"/>
              </w:rPr>
              <w:t>修订前</w:t>
            </w:r>
          </w:p>
        </w:tc>
        <w:tc>
          <w:tcPr>
            <w:tcW w:w="3690" w:type="dxa"/>
            <w:tcBorders>
              <w:top w:val="single" w:sz="4" w:space="0" w:color="auto"/>
              <w:left w:val="single" w:sz="4" w:space="0" w:color="auto"/>
              <w:bottom w:val="single" w:sz="4" w:space="0" w:color="auto"/>
              <w:right w:val="single" w:sz="4" w:space="0" w:color="auto"/>
            </w:tcBorders>
            <w:hideMark/>
          </w:tcPr>
          <w:p w14:paraId="550E4812" w14:textId="77777777" w:rsidR="00361B23" w:rsidRPr="00361B23" w:rsidRDefault="00361B23" w:rsidP="00361B23">
            <w:pPr>
              <w:jc w:val="center"/>
              <w:rPr>
                <w:rFonts w:ascii="宋体" w:eastAsia="宋体" w:hAnsi="宋体" w:cs="Times New Roman"/>
                <w:b/>
                <w:szCs w:val="21"/>
              </w:rPr>
            </w:pPr>
            <w:r w:rsidRPr="00361B23">
              <w:rPr>
                <w:rFonts w:ascii="宋体" w:eastAsia="宋体" w:hAnsi="宋体" w:cs="Times New Roman" w:hint="eastAsia"/>
                <w:b/>
                <w:szCs w:val="21"/>
              </w:rPr>
              <w:t>修订后</w:t>
            </w:r>
          </w:p>
        </w:tc>
      </w:tr>
      <w:tr w:rsidR="00361B23" w:rsidRPr="00361B23" w14:paraId="36216946" w14:textId="77777777" w:rsidTr="00CC1D7A">
        <w:trPr>
          <w:jc w:val="center"/>
        </w:trPr>
        <w:tc>
          <w:tcPr>
            <w:tcW w:w="2039" w:type="dxa"/>
            <w:tcBorders>
              <w:top w:val="single" w:sz="4" w:space="0" w:color="auto"/>
              <w:left w:val="single" w:sz="4" w:space="0" w:color="auto"/>
              <w:bottom w:val="single" w:sz="4" w:space="0" w:color="auto"/>
              <w:right w:val="single" w:sz="4" w:space="0" w:color="auto"/>
            </w:tcBorders>
            <w:hideMark/>
          </w:tcPr>
          <w:p w14:paraId="4986034F" w14:textId="77777777" w:rsidR="00361B23" w:rsidRPr="00361B23" w:rsidRDefault="00361B23" w:rsidP="00361B23">
            <w:pPr>
              <w:jc w:val="center"/>
              <w:rPr>
                <w:rFonts w:ascii="宋体" w:eastAsia="宋体" w:hAnsi="宋体" w:cs="Times New Roman"/>
                <w:b/>
                <w:szCs w:val="21"/>
              </w:rPr>
            </w:pPr>
            <w:r w:rsidRPr="00361B23">
              <w:rPr>
                <w:rFonts w:ascii="宋体" w:eastAsia="宋体" w:hAnsi="宋体" w:cs="Times New Roman" w:hint="eastAsia"/>
                <w:b/>
                <w:szCs w:val="21"/>
              </w:rPr>
              <w:t>一、前言</w:t>
            </w:r>
          </w:p>
        </w:tc>
        <w:tc>
          <w:tcPr>
            <w:tcW w:w="3910" w:type="dxa"/>
            <w:tcBorders>
              <w:top w:val="single" w:sz="4" w:space="0" w:color="auto"/>
              <w:left w:val="single" w:sz="4" w:space="0" w:color="auto"/>
              <w:bottom w:val="single" w:sz="4" w:space="0" w:color="auto"/>
              <w:right w:val="single" w:sz="4" w:space="0" w:color="auto"/>
            </w:tcBorders>
          </w:tcPr>
          <w:p w14:paraId="3539B9C1" w14:textId="77777777" w:rsidR="00361B23" w:rsidRPr="00361B23" w:rsidRDefault="00361B23" w:rsidP="00361B23">
            <w:pPr>
              <w:adjustRightInd w:val="0"/>
              <w:snapToGrid w:val="0"/>
              <w:rPr>
                <w:rFonts w:ascii="宋体" w:eastAsia="宋体" w:hAnsi="宋体" w:cs="Times New Roman"/>
                <w:bCs/>
                <w:kern w:val="0"/>
                <w:szCs w:val="21"/>
              </w:rPr>
            </w:pPr>
            <w:r w:rsidRPr="00361B23">
              <w:rPr>
                <w:rFonts w:ascii="宋体" w:eastAsia="宋体" w:hAnsi="宋体" w:cs="Times New Roman" w:hint="eastAsia"/>
                <w:bCs/>
                <w:kern w:val="0"/>
                <w:szCs w:val="21"/>
              </w:rPr>
              <w:t>(一)订立本基金合同的目的、依据和原则</w:t>
            </w:r>
          </w:p>
          <w:p w14:paraId="0297E29B" w14:textId="77777777" w:rsidR="00361B23" w:rsidRPr="00361B23" w:rsidRDefault="00361B23" w:rsidP="00361B23">
            <w:pPr>
              <w:adjustRightInd w:val="0"/>
              <w:snapToGrid w:val="0"/>
              <w:rPr>
                <w:rFonts w:ascii="宋体" w:eastAsia="宋体" w:hAnsi="宋体" w:cs="Times New Roman"/>
                <w:bCs/>
                <w:kern w:val="0"/>
                <w:szCs w:val="21"/>
              </w:rPr>
            </w:pPr>
          </w:p>
          <w:p w14:paraId="17DCFE59" w14:textId="77777777" w:rsidR="00361B23" w:rsidRPr="00361B23" w:rsidRDefault="00361B23" w:rsidP="00361B23">
            <w:pPr>
              <w:adjustRightInd w:val="0"/>
              <w:snapToGrid w:val="0"/>
              <w:rPr>
                <w:rFonts w:ascii="宋体" w:eastAsia="宋体" w:hAnsi="宋体" w:cs="Times New Roman"/>
                <w:kern w:val="0"/>
                <w:szCs w:val="21"/>
              </w:rPr>
            </w:pPr>
            <w:r w:rsidRPr="00361B23">
              <w:rPr>
                <w:rFonts w:ascii="宋体" w:eastAsia="宋体" w:hAnsi="宋体" w:cs="Times New Roman" w:hint="eastAsia"/>
                <w:bCs/>
                <w:kern w:val="0"/>
                <w:szCs w:val="21"/>
              </w:rPr>
              <w:t>2.订立本基金合同的依据是《中华人民共和国证券投资基金法》(以下简称“《基金法》”)、《中华人民共和国合同法》（以下简称“《合同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有关法律法规。</w:t>
            </w:r>
          </w:p>
        </w:tc>
        <w:tc>
          <w:tcPr>
            <w:tcW w:w="3690" w:type="dxa"/>
            <w:tcBorders>
              <w:top w:val="single" w:sz="4" w:space="0" w:color="auto"/>
              <w:left w:val="single" w:sz="4" w:space="0" w:color="auto"/>
              <w:bottom w:val="single" w:sz="4" w:space="0" w:color="auto"/>
              <w:right w:val="single" w:sz="4" w:space="0" w:color="auto"/>
            </w:tcBorders>
            <w:hideMark/>
          </w:tcPr>
          <w:p w14:paraId="14164BFE"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(一)订立本基金合同的目的、依据和原则</w:t>
            </w:r>
          </w:p>
          <w:p w14:paraId="366E0778"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2.订立本基金合同的依据是《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有关法律法规。</w:t>
            </w:r>
          </w:p>
        </w:tc>
      </w:tr>
      <w:tr w:rsidR="00361B23" w:rsidRPr="00361B23" w14:paraId="7AE3F802" w14:textId="77777777" w:rsidTr="00CC1D7A">
        <w:trPr>
          <w:jc w:val="center"/>
        </w:trPr>
        <w:tc>
          <w:tcPr>
            <w:tcW w:w="2039" w:type="dxa"/>
            <w:tcBorders>
              <w:top w:val="single" w:sz="4" w:space="0" w:color="auto"/>
              <w:left w:val="single" w:sz="4" w:space="0" w:color="auto"/>
              <w:bottom w:val="single" w:sz="4" w:space="0" w:color="auto"/>
              <w:right w:val="single" w:sz="4" w:space="0" w:color="auto"/>
            </w:tcBorders>
            <w:hideMark/>
          </w:tcPr>
          <w:p w14:paraId="3AD084BC" w14:textId="77777777" w:rsidR="00361B23" w:rsidRPr="00361B23" w:rsidRDefault="00361B23" w:rsidP="00361B23">
            <w:pPr>
              <w:jc w:val="center"/>
              <w:rPr>
                <w:rFonts w:ascii="宋体" w:eastAsia="宋体" w:hAnsi="宋体" w:cs="Times New Roman"/>
                <w:b/>
                <w:szCs w:val="21"/>
              </w:rPr>
            </w:pPr>
            <w:r w:rsidRPr="00361B23">
              <w:rPr>
                <w:rFonts w:ascii="宋体" w:eastAsia="宋体" w:hAnsi="宋体" w:cs="Times New Roman" w:hint="eastAsia"/>
                <w:b/>
                <w:szCs w:val="21"/>
              </w:rPr>
              <w:t>一、前言</w:t>
            </w:r>
          </w:p>
        </w:tc>
        <w:tc>
          <w:tcPr>
            <w:tcW w:w="3910" w:type="dxa"/>
            <w:tcBorders>
              <w:top w:val="single" w:sz="4" w:space="0" w:color="auto"/>
              <w:left w:val="single" w:sz="4" w:space="0" w:color="auto"/>
              <w:bottom w:val="single" w:sz="4" w:space="0" w:color="auto"/>
              <w:right w:val="single" w:sz="4" w:space="0" w:color="auto"/>
            </w:tcBorders>
            <w:hideMark/>
          </w:tcPr>
          <w:p w14:paraId="6C81061F" w14:textId="77777777" w:rsidR="00361B23" w:rsidRPr="00361B23" w:rsidRDefault="00361B23" w:rsidP="00361B23">
            <w:pPr>
              <w:adjustRightInd w:val="0"/>
              <w:snapToGrid w:val="0"/>
              <w:rPr>
                <w:rFonts w:ascii="宋体" w:eastAsia="宋体" w:hAnsi="宋体" w:cs="Times New Roman"/>
                <w:bCs/>
                <w:kern w:val="0"/>
                <w:szCs w:val="21"/>
              </w:rPr>
            </w:pPr>
            <w:r w:rsidRPr="00361B23">
              <w:rPr>
                <w:rFonts w:ascii="宋体" w:eastAsia="宋体" w:hAnsi="宋体" w:cs="Times New Roman" w:hint="eastAsia"/>
                <w:bCs/>
                <w:kern w:val="0"/>
                <w:szCs w:val="21"/>
              </w:rPr>
              <w:t>(六)本基金合同关于基金产品资料概要的编制、披露及更新等内容，将不晚于2020年9月1日起执行。</w:t>
            </w:r>
          </w:p>
        </w:tc>
        <w:tc>
          <w:tcPr>
            <w:tcW w:w="3690" w:type="dxa"/>
            <w:tcBorders>
              <w:top w:val="single" w:sz="4" w:space="0" w:color="auto"/>
              <w:left w:val="single" w:sz="4" w:space="0" w:color="auto"/>
              <w:bottom w:val="single" w:sz="4" w:space="0" w:color="auto"/>
              <w:right w:val="single" w:sz="4" w:space="0" w:color="auto"/>
            </w:tcBorders>
            <w:hideMark/>
          </w:tcPr>
          <w:p w14:paraId="2CD4CDB2" w14:textId="77777777" w:rsidR="00361B23" w:rsidRPr="00361B23" w:rsidRDefault="00361B23" w:rsidP="00361B23">
            <w:pPr>
              <w:adjustRightInd w:val="0"/>
              <w:snapToGrid w:val="0"/>
              <w:rPr>
                <w:rFonts w:ascii="宋体" w:eastAsia="宋体" w:hAnsi="宋体" w:cs="Times New Roman"/>
                <w:bCs/>
                <w:kern w:val="0"/>
                <w:szCs w:val="21"/>
              </w:rPr>
            </w:pPr>
          </w:p>
        </w:tc>
      </w:tr>
      <w:tr w:rsidR="00361B23" w:rsidRPr="00361B23" w14:paraId="0612B007" w14:textId="77777777" w:rsidTr="00CC1D7A">
        <w:trPr>
          <w:jc w:val="center"/>
        </w:trPr>
        <w:tc>
          <w:tcPr>
            <w:tcW w:w="2039" w:type="dxa"/>
            <w:tcBorders>
              <w:top w:val="single" w:sz="4" w:space="0" w:color="auto"/>
              <w:left w:val="single" w:sz="4" w:space="0" w:color="auto"/>
              <w:bottom w:val="single" w:sz="4" w:space="0" w:color="auto"/>
              <w:right w:val="single" w:sz="4" w:space="0" w:color="auto"/>
            </w:tcBorders>
            <w:hideMark/>
          </w:tcPr>
          <w:p w14:paraId="16AE5678" w14:textId="77777777" w:rsidR="00361B23" w:rsidRPr="00361B23" w:rsidRDefault="00361B23" w:rsidP="00361B23">
            <w:pPr>
              <w:jc w:val="center"/>
              <w:rPr>
                <w:rFonts w:ascii="宋体" w:eastAsia="宋体" w:hAnsi="宋体" w:cs="Times New Roman"/>
                <w:b/>
                <w:szCs w:val="21"/>
              </w:rPr>
            </w:pPr>
            <w:r w:rsidRPr="00361B23">
              <w:rPr>
                <w:rFonts w:ascii="宋体" w:eastAsia="宋体" w:hAnsi="宋体" w:cs="Times New Roman" w:hint="eastAsia"/>
                <w:b/>
                <w:szCs w:val="21"/>
              </w:rPr>
              <w:t>二、释义</w:t>
            </w:r>
          </w:p>
        </w:tc>
        <w:tc>
          <w:tcPr>
            <w:tcW w:w="3910" w:type="dxa"/>
            <w:tcBorders>
              <w:top w:val="single" w:sz="4" w:space="0" w:color="auto"/>
              <w:left w:val="single" w:sz="4" w:space="0" w:color="auto"/>
              <w:bottom w:val="single" w:sz="4" w:space="0" w:color="auto"/>
              <w:right w:val="single" w:sz="4" w:space="0" w:color="auto"/>
            </w:tcBorders>
          </w:tcPr>
          <w:p w14:paraId="3938093E" w14:textId="77777777" w:rsidR="00361B23" w:rsidRPr="00361B23" w:rsidRDefault="00361B23" w:rsidP="00361B23">
            <w:pPr>
              <w:adjustRightInd w:val="0"/>
              <w:snapToGrid w:val="0"/>
              <w:rPr>
                <w:rFonts w:ascii="宋体" w:eastAsia="宋体" w:hAnsi="宋体" w:cs="Times New Roman"/>
                <w:bCs/>
                <w:kern w:val="0"/>
                <w:szCs w:val="21"/>
              </w:rPr>
            </w:pPr>
            <w:r w:rsidRPr="00361B23">
              <w:rPr>
                <w:rFonts w:ascii="宋体" w:eastAsia="宋体" w:hAnsi="宋体" w:cs="Times New Roman" w:hint="eastAsia"/>
                <w:bCs/>
                <w:kern w:val="0"/>
                <w:szCs w:val="21"/>
              </w:rPr>
              <w:t>在本基金合同中，除非文意另有所指，下列词语或简称具有如下含义：</w:t>
            </w:r>
          </w:p>
          <w:p w14:paraId="35C76C96" w14:textId="77777777" w:rsidR="00361B23" w:rsidRPr="00361B23" w:rsidRDefault="00361B23" w:rsidP="00361B23">
            <w:pPr>
              <w:adjustRightInd w:val="0"/>
              <w:snapToGrid w:val="0"/>
              <w:rPr>
                <w:rFonts w:ascii="宋体" w:eastAsia="宋体" w:hAnsi="宋体" w:cs="Times New Roman"/>
                <w:bCs/>
                <w:kern w:val="0"/>
                <w:szCs w:val="21"/>
              </w:rPr>
            </w:pPr>
            <w:r w:rsidRPr="00361B23">
              <w:rPr>
                <w:rFonts w:ascii="宋体" w:eastAsia="宋体" w:hAnsi="宋体" w:cs="Times New Roman" w:hint="eastAsia"/>
                <w:bCs/>
                <w:kern w:val="0"/>
                <w:szCs w:val="21"/>
              </w:rPr>
              <w:t>4.香港代表：指按照《有关内地与香港基金互认的通函》等法律法规担任本基金在中国香港地区的代表，负责接收中国香港地区投资人的申购赎回申请、协调基金销售、向香港证监会进行报备和向H类基金份额投资人进行信息披露及沟通工作等依据香港法规应履行的职责</w:t>
            </w:r>
          </w:p>
          <w:p w14:paraId="3E9D80E5" w14:textId="77777777" w:rsidR="00361B23" w:rsidRPr="00361B23" w:rsidRDefault="00361B23" w:rsidP="00361B23">
            <w:pPr>
              <w:adjustRightInd w:val="0"/>
              <w:snapToGrid w:val="0"/>
              <w:rPr>
                <w:rFonts w:ascii="宋体" w:eastAsia="宋体" w:hAnsi="宋体" w:cs="Times New Roman"/>
                <w:bCs/>
                <w:kern w:val="0"/>
                <w:szCs w:val="21"/>
              </w:rPr>
            </w:pPr>
            <w:r w:rsidRPr="00361B23">
              <w:rPr>
                <w:rFonts w:ascii="宋体" w:eastAsia="宋体" w:hAnsi="宋体" w:cs="Times New Roman" w:hint="eastAsia"/>
                <w:bCs/>
                <w:kern w:val="0"/>
                <w:szCs w:val="21"/>
              </w:rPr>
              <w:t>9.基金产品资料概要：指《交银施罗德稳健配置混合型证券投资基金基金产品资料概要》及其更新（本基金合同关于基金产品资料概要的编制、披露及更新等内容，将不晚于2020年9月1日起执行）</w:t>
            </w:r>
          </w:p>
          <w:p w14:paraId="3B66B931" w14:textId="77777777" w:rsidR="00361B23" w:rsidRPr="00361B23" w:rsidRDefault="00361B23" w:rsidP="00361B23">
            <w:pPr>
              <w:adjustRightInd w:val="0"/>
              <w:snapToGrid w:val="0"/>
              <w:rPr>
                <w:rFonts w:ascii="宋体" w:eastAsia="宋体" w:hAnsi="宋体" w:cs="Times New Roman"/>
                <w:bCs/>
                <w:kern w:val="0"/>
                <w:szCs w:val="21"/>
              </w:rPr>
            </w:pPr>
            <w:r w:rsidRPr="00361B23">
              <w:rPr>
                <w:rFonts w:ascii="宋体" w:eastAsia="宋体" w:hAnsi="宋体" w:cs="Times New Roman" w:hint="eastAsia"/>
                <w:bCs/>
                <w:kern w:val="0"/>
                <w:szCs w:val="21"/>
              </w:rPr>
              <w:t>1</w:t>
            </w:r>
            <w:r w:rsidRPr="00361B23">
              <w:rPr>
                <w:rFonts w:ascii="宋体" w:eastAsia="宋体" w:hAnsi="宋体" w:cs="Times New Roman"/>
                <w:bCs/>
                <w:kern w:val="0"/>
                <w:szCs w:val="21"/>
              </w:rPr>
              <w:t>7.香港证监会</w:t>
            </w:r>
            <w:r w:rsidRPr="00361B23">
              <w:rPr>
                <w:rFonts w:ascii="宋体" w:eastAsia="宋体" w:hAnsi="宋体" w:cs="Times New Roman" w:hint="eastAsia"/>
                <w:bCs/>
                <w:kern w:val="0"/>
                <w:szCs w:val="21"/>
              </w:rPr>
              <w:t>：</w:t>
            </w:r>
            <w:r w:rsidRPr="00361B23">
              <w:rPr>
                <w:rFonts w:ascii="宋体" w:eastAsia="宋体" w:hAnsi="宋体" w:cs="Times New Roman"/>
                <w:bCs/>
                <w:kern w:val="0"/>
                <w:szCs w:val="21"/>
              </w:rPr>
              <w:t>指香港证券及期货事务监察委员会</w:t>
            </w:r>
          </w:p>
          <w:p w14:paraId="6EDB6B22" w14:textId="77777777" w:rsidR="00361B23" w:rsidRPr="00361B23" w:rsidRDefault="00361B23" w:rsidP="00361B23">
            <w:pPr>
              <w:adjustRightInd w:val="0"/>
              <w:snapToGrid w:val="0"/>
              <w:rPr>
                <w:rFonts w:ascii="宋体" w:eastAsia="宋体" w:hAnsi="宋体" w:cs="Times New Roman"/>
                <w:bCs/>
                <w:kern w:val="0"/>
                <w:szCs w:val="21"/>
              </w:rPr>
            </w:pPr>
            <w:r w:rsidRPr="00361B23">
              <w:rPr>
                <w:rFonts w:ascii="宋体" w:eastAsia="宋体" w:hAnsi="宋体" w:cs="Times New Roman" w:hint="eastAsia"/>
                <w:bCs/>
                <w:kern w:val="0"/>
                <w:szCs w:val="21"/>
              </w:rPr>
              <w:t>25.名义持有人:指依据香港市场的特点，香港代表及/或中国香港地区销售机构将代表H类基金份额投资人名义持有“内地互认基金”（H类基金份额），并出现在份额登记机构的基金份额持有人名册中</w:t>
            </w:r>
          </w:p>
          <w:p w14:paraId="72A9EB7D" w14:textId="77777777" w:rsidR="00361B23" w:rsidRPr="00361B23" w:rsidRDefault="00361B23" w:rsidP="00361B23">
            <w:pPr>
              <w:adjustRightInd w:val="0"/>
              <w:snapToGrid w:val="0"/>
              <w:rPr>
                <w:rFonts w:ascii="宋体" w:eastAsia="宋体" w:hAnsi="宋体" w:cs="Times New Roman"/>
                <w:bCs/>
                <w:kern w:val="0"/>
                <w:szCs w:val="21"/>
              </w:rPr>
            </w:pPr>
            <w:r w:rsidRPr="00361B23">
              <w:rPr>
                <w:rFonts w:ascii="宋体" w:eastAsia="宋体" w:hAnsi="宋体" w:cs="Times New Roman" w:hint="eastAsia"/>
                <w:bCs/>
                <w:kern w:val="0"/>
                <w:szCs w:val="21"/>
              </w:rPr>
              <w:t>27.中国大陆地区销售机构：指交银施罗德基金管理有限公司及符合《销售办法》和中国证监会规定的其他条件，取得基金销售业务资格并与基金管理人签订了基金销售服务协议，办理基金销售业务的机构，以及可通过上海证券交易所交易系统办理基金销售服务业务的会员单位</w:t>
            </w:r>
          </w:p>
          <w:p w14:paraId="7BBC093A" w14:textId="77777777" w:rsidR="00361B23" w:rsidRPr="00361B23" w:rsidRDefault="00361B23" w:rsidP="00361B23">
            <w:pPr>
              <w:adjustRightInd w:val="0"/>
              <w:snapToGrid w:val="0"/>
              <w:rPr>
                <w:rFonts w:ascii="宋体" w:eastAsia="宋体" w:hAnsi="宋体" w:cs="Times New Roman"/>
                <w:bCs/>
                <w:kern w:val="0"/>
                <w:szCs w:val="21"/>
              </w:rPr>
            </w:pPr>
            <w:r w:rsidRPr="00361B23">
              <w:rPr>
                <w:rFonts w:ascii="宋体" w:eastAsia="宋体" w:hAnsi="宋体" w:cs="Times New Roman" w:hint="eastAsia"/>
                <w:bCs/>
                <w:kern w:val="0"/>
                <w:szCs w:val="21"/>
              </w:rPr>
              <w:lastRenderedPageBreak/>
              <w:t>28.中国香港地区销售机构:指经香港证监会批准的，具备基金销售资格的，办理H类基金份额申购、赎回和其他基金业务的相关销售机构</w:t>
            </w:r>
          </w:p>
          <w:p w14:paraId="77BAE8C8" w14:textId="77777777" w:rsidR="00361B23" w:rsidRPr="00361B23" w:rsidRDefault="00361B23" w:rsidP="00361B23">
            <w:pPr>
              <w:adjustRightInd w:val="0"/>
              <w:snapToGrid w:val="0"/>
              <w:rPr>
                <w:rFonts w:ascii="宋体" w:eastAsia="宋体" w:hAnsi="宋体" w:cs="Times New Roman"/>
                <w:bCs/>
                <w:kern w:val="0"/>
                <w:szCs w:val="21"/>
              </w:rPr>
            </w:pPr>
            <w:r w:rsidRPr="00361B23">
              <w:rPr>
                <w:rFonts w:ascii="宋体" w:eastAsia="宋体" w:hAnsi="宋体" w:cs="Times New Roman" w:hint="eastAsia"/>
                <w:bCs/>
                <w:kern w:val="0"/>
                <w:szCs w:val="21"/>
              </w:rPr>
              <w:t>29.销售机构：指中国大陆地区销售机构和中国香港地区销售机构</w:t>
            </w:r>
          </w:p>
          <w:p w14:paraId="58814474" w14:textId="77777777" w:rsidR="00361B23" w:rsidRPr="00361B23" w:rsidRDefault="00361B23" w:rsidP="00361B23">
            <w:pPr>
              <w:adjustRightInd w:val="0"/>
              <w:snapToGrid w:val="0"/>
              <w:rPr>
                <w:rFonts w:ascii="宋体" w:eastAsia="宋体" w:hAnsi="宋体" w:cs="Times New Roman"/>
                <w:bCs/>
                <w:kern w:val="0"/>
                <w:szCs w:val="21"/>
              </w:rPr>
            </w:pPr>
          </w:p>
          <w:p w14:paraId="722C0375" w14:textId="77777777" w:rsidR="00361B23" w:rsidRPr="00361B23" w:rsidRDefault="00361B23" w:rsidP="00361B23">
            <w:pPr>
              <w:adjustRightInd w:val="0"/>
              <w:snapToGrid w:val="0"/>
              <w:rPr>
                <w:rFonts w:ascii="宋体" w:eastAsia="宋体" w:hAnsi="宋体" w:cs="Times New Roman"/>
                <w:bCs/>
                <w:kern w:val="0"/>
                <w:szCs w:val="21"/>
              </w:rPr>
            </w:pPr>
          </w:p>
          <w:p w14:paraId="1D8DA03C" w14:textId="77777777" w:rsidR="00361B23" w:rsidRPr="00361B23" w:rsidRDefault="00361B23" w:rsidP="00361B23">
            <w:pPr>
              <w:adjustRightInd w:val="0"/>
              <w:snapToGrid w:val="0"/>
              <w:rPr>
                <w:rFonts w:ascii="宋体" w:eastAsia="宋体" w:hAnsi="宋体" w:cs="Times New Roman"/>
                <w:bCs/>
                <w:kern w:val="0"/>
                <w:szCs w:val="21"/>
              </w:rPr>
            </w:pPr>
          </w:p>
          <w:p w14:paraId="5D48D3AB" w14:textId="77777777" w:rsidR="00361B23" w:rsidRPr="00361B23" w:rsidRDefault="00361B23" w:rsidP="00361B23">
            <w:pPr>
              <w:adjustRightInd w:val="0"/>
              <w:snapToGrid w:val="0"/>
              <w:rPr>
                <w:rFonts w:ascii="宋体" w:eastAsia="宋体" w:hAnsi="宋体" w:cs="Times New Roman"/>
                <w:bCs/>
                <w:kern w:val="0"/>
                <w:szCs w:val="21"/>
              </w:rPr>
            </w:pPr>
          </w:p>
          <w:p w14:paraId="4DED37F6" w14:textId="77777777" w:rsidR="00361B23" w:rsidRPr="00361B23" w:rsidRDefault="00361B23" w:rsidP="00361B23">
            <w:pPr>
              <w:adjustRightInd w:val="0"/>
              <w:snapToGrid w:val="0"/>
              <w:rPr>
                <w:rFonts w:ascii="宋体" w:eastAsia="宋体" w:hAnsi="宋体" w:cs="Times New Roman"/>
                <w:bCs/>
                <w:kern w:val="0"/>
                <w:szCs w:val="21"/>
              </w:rPr>
            </w:pPr>
          </w:p>
          <w:p w14:paraId="2088C757" w14:textId="77777777" w:rsidR="00361B23" w:rsidRPr="00361B23" w:rsidRDefault="00361B23" w:rsidP="00361B23">
            <w:pPr>
              <w:adjustRightInd w:val="0"/>
              <w:snapToGrid w:val="0"/>
              <w:rPr>
                <w:rFonts w:ascii="宋体" w:eastAsia="宋体" w:hAnsi="宋体" w:cs="Times New Roman"/>
                <w:bCs/>
                <w:kern w:val="0"/>
                <w:szCs w:val="21"/>
              </w:rPr>
            </w:pPr>
            <w:r w:rsidRPr="00361B23">
              <w:rPr>
                <w:rFonts w:ascii="宋体" w:eastAsia="宋体" w:hAnsi="宋体" w:cs="Times New Roman" w:hint="eastAsia"/>
                <w:bCs/>
                <w:kern w:val="0"/>
                <w:szCs w:val="21"/>
              </w:rPr>
              <w:t>33.基金份额分类：本基金根据基金销售地及申购赎回费率的不同，将基金份额分为不同的类别。两类基金份额分设不同的基金代码，并分别公布基金份额净值</w:t>
            </w:r>
          </w:p>
          <w:p w14:paraId="3A540875" w14:textId="77777777" w:rsidR="00361B23" w:rsidRPr="00361B23" w:rsidRDefault="00361B23" w:rsidP="00361B23">
            <w:pPr>
              <w:adjustRightInd w:val="0"/>
              <w:snapToGrid w:val="0"/>
              <w:rPr>
                <w:rFonts w:ascii="宋体" w:eastAsia="宋体" w:hAnsi="宋体" w:cs="Times New Roman"/>
                <w:bCs/>
                <w:kern w:val="0"/>
                <w:szCs w:val="21"/>
              </w:rPr>
            </w:pPr>
            <w:r w:rsidRPr="00361B23">
              <w:rPr>
                <w:rFonts w:ascii="宋体" w:eastAsia="宋体" w:hAnsi="宋体" w:cs="Times New Roman" w:hint="eastAsia"/>
                <w:bCs/>
                <w:kern w:val="0"/>
                <w:szCs w:val="21"/>
              </w:rPr>
              <w:t>34.A类基金份额：仅在中国大陆地区销售，并收取申购和赎回费用的基金份额</w:t>
            </w:r>
          </w:p>
          <w:p w14:paraId="44D53EA7" w14:textId="77777777" w:rsidR="00361B23" w:rsidRPr="00361B23" w:rsidRDefault="00361B23" w:rsidP="00361B23">
            <w:pPr>
              <w:adjustRightInd w:val="0"/>
              <w:snapToGrid w:val="0"/>
              <w:rPr>
                <w:rFonts w:ascii="宋体" w:eastAsia="宋体" w:hAnsi="宋体" w:cs="Times New Roman"/>
                <w:bCs/>
                <w:kern w:val="0"/>
                <w:szCs w:val="21"/>
              </w:rPr>
            </w:pPr>
            <w:r w:rsidRPr="00361B23">
              <w:rPr>
                <w:rFonts w:ascii="宋体" w:eastAsia="宋体" w:hAnsi="宋体" w:cs="Times New Roman" w:hint="eastAsia"/>
                <w:bCs/>
                <w:kern w:val="0"/>
                <w:szCs w:val="21"/>
              </w:rPr>
              <w:t>35.H类基金份额：仅在中国香港地区销售，并收取申购和赎回费用的基金份额</w:t>
            </w:r>
          </w:p>
          <w:p w14:paraId="43D177D1" w14:textId="77777777" w:rsidR="00361B23" w:rsidRPr="00361B23" w:rsidRDefault="00361B23" w:rsidP="00361B23">
            <w:pPr>
              <w:adjustRightInd w:val="0"/>
              <w:snapToGrid w:val="0"/>
              <w:rPr>
                <w:rFonts w:ascii="宋体" w:eastAsia="宋体" w:hAnsi="宋体" w:cs="Times New Roman"/>
                <w:bCs/>
                <w:kern w:val="0"/>
                <w:szCs w:val="21"/>
              </w:rPr>
            </w:pPr>
            <w:r w:rsidRPr="00361B23">
              <w:rPr>
                <w:rFonts w:ascii="宋体" w:eastAsia="宋体" w:hAnsi="宋体" w:cs="Times New Roman" w:hint="eastAsia"/>
                <w:bCs/>
                <w:kern w:val="0"/>
                <w:szCs w:val="21"/>
              </w:rPr>
              <w:t>47.开放日：指销售机构办理基金份额申购、赎回或其他业务的日期，本基金不同类别基金份额的开放日日期可能有所不同</w:t>
            </w:r>
          </w:p>
          <w:p w14:paraId="55EE5D06" w14:textId="77777777" w:rsidR="00361B23" w:rsidRPr="00361B23" w:rsidRDefault="00361B23" w:rsidP="00361B23">
            <w:pPr>
              <w:adjustRightInd w:val="0"/>
              <w:snapToGrid w:val="0"/>
              <w:rPr>
                <w:rFonts w:ascii="宋体" w:eastAsia="宋体" w:hAnsi="宋体" w:cs="Times New Roman"/>
                <w:bCs/>
                <w:kern w:val="0"/>
                <w:szCs w:val="21"/>
              </w:rPr>
            </w:pPr>
            <w:r w:rsidRPr="00361B23">
              <w:rPr>
                <w:rFonts w:ascii="宋体" w:eastAsia="宋体" w:hAnsi="宋体" w:cs="Times New Roman" w:hint="eastAsia"/>
                <w:bCs/>
                <w:kern w:val="0"/>
                <w:szCs w:val="21"/>
              </w:rPr>
              <w:t>53.场外或柜台：指不通过上海证券交易所的交易系统办理基金份额认购、申购和赎回等业务的中国大陆地区销售机构和场所</w:t>
            </w:r>
          </w:p>
          <w:p w14:paraId="34738FB0" w14:textId="77777777" w:rsidR="00361B23" w:rsidRPr="00361B23" w:rsidRDefault="00361B23" w:rsidP="00361B23">
            <w:pPr>
              <w:adjustRightInd w:val="0"/>
              <w:snapToGrid w:val="0"/>
              <w:rPr>
                <w:rFonts w:ascii="宋体" w:eastAsia="宋体" w:hAnsi="宋体" w:cs="Times New Roman"/>
                <w:bCs/>
                <w:kern w:val="0"/>
                <w:szCs w:val="21"/>
              </w:rPr>
            </w:pPr>
            <w:r w:rsidRPr="00361B23">
              <w:rPr>
                <w:rFonts w:ascii="宋体" w:eastAsia="宋体" w:hAnsi="宋体" w:cs="Times New Roman" w:hint="eastAsia"/>
                <w:bCs/>
                <w:kern w:val="0"/>
                <w:szCs w:val="21"/>
              </w:rPr>
              <w:t>54.场内或交易所：指通过上海证券交易所的交易系统办理基金份额认购、申购和赎回等业务的中国大陆地区销售机构和场所</w:t>
            </w:r>
          </w:p>
        </w:tc>
        <w:tc>
          <w:tcPr>
            <w:tcW w:w="3690" w:type="dxa"/>
            <w:tcBorders>
              <w:top w:val="single" w:sz="4" w:space="0" w:color="auto"/>
              <w:left w:val="single" w:sz="4" w:space="0" w:color="auto"/>
              <w:bottom w:val="single" w:sz="4" w:space="0" w:color="auto"/>
              <w:right w:val="single" w:sz="4" w:space="0" w:color="auto"/>
            </w:tcBorders>
          </w:tcPr>
          <w:p w14:paraId="505C2AFA" w14:textId="77777777" w:rsidR="00361B23" w:rsidRPr="00361B23" w:rsidRDefault="00361B23" w:rsidP="00361B23">
            <w:pPr>
              <w:adjustRightInd w:val="0"/>
              <w:snapToGrid w:val="0"/>
              <w:rPr>
                <w:rFonts w:ascii="宋体" w:eastAsia="宋体" w:hAnsi="宋体" w:cs="Times New Roman"/>
                <w:bCs/>
                <w:kern w:val="0"/>
                <w:szCs w:val="21"/>
              </w:rPr>
            </w:pPr>
            <w:r w:rsidRPr="00361B23">
              <w:rPr>
                <w:rFonts w:ascii="宋体" w:eastAsia="宋体" w:hAnsi="宋体" w:cs="Times New Roman" w:hint="eastAsia"/>
                <w:bCs/>
                <w:kern w:val="0"/>
                <w:szCs w:val="21"/>
              </w:rPr>
              <w:lastRenderedPageBreak/>
              <w:t>在本基金合同中，除非文意另有所指，下列词语或简称具有如下含义：</w:t>
            </w:r>
          </w:p>
          <w:p w14:paraId="7AE9A311" w14:textId="77777777" w:rsidR="00361B23" w:rsidRPr="00361B23" w:rsidRDefault="00361B23" w:rsidP="00361B23">
            <w:pPr>
              <w:adjustRightInd w:val="0"/>
              <w:snapToGrid w:val="0"/>
              <w:rPr>
                <w:rFonts w:ascii="宋体" w:eastAsia="宋体" w:hAnsi="宋体" w:cs="Times New Roman"/>
                <w:bCs/>
                <w:kern w:val="0"/>
                <w:szCs w:val="21"/>
              </w:rPr>
            </w:pPr>
          </w:p>
          <w:p w14:paraId="7021B2BE" w14:textId="77777777" w:rsidR="00361B23" w:rsidRPr="00361B23" w:rsidRDefault="00361B23" w:rsidP="00361B23">
            <w:pPr>
              <w:adjustRightInd w:val="0"/>
              <w:snapToGrid w:val="0"/>
              <w:rPr>
                <w:rFonts w:ascii="宋体" w:eastAsia="宋体" w:hAnsi="宋体" w:cs="Times New Roman"/>
                <w:bCs/>
                <w:kern w:val="0"/>
                <w:szCs w:val="21"/>
              </w:rPr>
            </w:pPr>
          </w:p>
          <w:p w14:paraId="57D30EB2" w14:textId="77777777" w:rsidR="00361B23" w:rsidRPr="00361B23" w:rsidRDefault="00361B23" w:rsidP="00361B23">
            <w:pPr>
              <w:adjustRightInd w:val="0"/>
              <w:snapToGrid w:val="0"/>
              <w:rPr>
                <w:rFonts w:ascii="宋体" w:eastAsia="宋体" w:hAnsi="宋体" w:cs="Times New Roman"/>
                <w:bCs/>
                <w:kern w:val="0"/>
                <w:szCs w:val="21"/>
              </w:rPr>
            </w:pPr>
          </w:p>
          <w:p w14:paraId="56E79D40" w14:textId="77777777" w:rsidR="00361B23" w:rsidRPr="00361B23" w:rsidRDefault="00361B23" w:rsidP="00361B23">
            <w:pPr>
              <w:adjustRightInd w:val="0"/>
              <w:snapToGrid w:val="0"/>
              <w:rPr>
                <w:rFonts w:ascii="宋体" w:eastAsia="宋体" w:hAnsi="宋体" w:cs="Times New Roman"/>
                <w:bCs/>
                <w:kern w:val="0"/>
                <w:szCs w:val="21"/>
              </w:rPr>
            </w:pPr>
          </w:p>
          <w:p w14:paraId="0E88913F" w14:textId="77777777" w:rsidR="00361B23" w:rsidRPr="00361B23" w:rsidRDefault="00361B23" w:rsidP="00361B23">
            <w:pPr>
              <w:adjustRightInd w:val="0"/>
              <w:snapToGrid w:val="0"/>
              <w:rPr>
                <w:rFonts w:ascii="宋体" w:eastAsia="宋体" w:hAnsi="宋体" w:cs="Times New Roman"/>
                <w:bCs/>
                <w:kern w:val="0"/>
                <w:szCs w:val="21"/>
              </w:rPr>
            </w:pPr>
          </w:p>
          <w:p w14:paraId="2838CE11" w14:textId="77777777" w:rsidR="00361B23" w:rsidRPr="00361B23" w:rsidRDefault="00361B23" w:rsidP="00361B23">
            <w:pPr>
              <w:adjustRightInd w:val="0"/>
              <w:snapToGrid w:val="0"/>
              <w:rPr>
                <w:rFonts w:ascii="宋体" w:eastAsia="宋体" w:hAnsi="宋体" w:cs="Times New Roman"/>
                <w:bCs/>
                <w:kern w:val="0"/>
                <w:szCs w:val="21"/>
              </w:rPr>
            </w:pPr>
          </w:p>
          <w:p w14:paraId="26463426" w14:textId="77777777" w:rsidR="00361B23" w:rsidRPr="00361B23" w:rsidRDefault="00361B23" w:rsidP="00361B23">
            <w:pPr>
              <w:adjustRightInd w:val="0"/>
              <w:snapToGrid w:val="0"/>
              <w:rPr>
                <w:rFonts w:ascii="宋体" w:eastAsia="宋体" w:hAnsi="宋体" w:cs="Times New Roman"/>
                <w:bCs/>
                <w:kern w:val="0"/>
                <w:szCs w:val="21"/>
              </w:rPr>
            </w:pPr>
          </w:p>
          <w:p w14:paraId="6E4B64B4" w14:textId="77777777" w:rsidR="00361B23" w:rsidRPr="00361B23" w:rsidRDefault="00361B23" w:rsidP="00361B23">
            <w:pPr>
              <w:adjustRightInd w:val="0"/>
              <w:snapToGrid w:val="0"/>
              <w:rPr>
                <w:rFonts w:ascii="宋体" w:eastAsia="宋体" w:hAnsi="宋体" w:cs="Times New Roman"/>
                <w:bCs/>
                <w:kern w:val="0"/>
                <w:szCs w:val="21"/>
              </w:rPr>
            </w:pPr>
            <w:r w:rsidRPr="00361B23">
              <w:rPr>
                <w:rFonts w:ascii="宋体" w:eastAsia="宋体" w:hAnsi="宋体" w:cs="Times New Roman" w:hint="eastAsia"/>
                <w:bCs/>
                <w:kern w:val="0"/>
                <w:szCs w:val="21"/>
              </w:rPr>
              <w:t>8.基金产品资料概要：指《交银施罗德稳健配置混合型证券投资基金基金产品资料概要》及其更新</w:t>
            </w:r>
          </w:p>
          <w:p w14:paraId="5D63317E" w14:textId="77777777" w:rsidR="00361B23" w:rsidRPr="00361B23" w:rsidRDefault="00361B23" w:rsidP="00361B23">
            <w:pPr>
              <w:adjustRightInd w:val="0"/>
              <w:snapToGrid w:val="0"/>
              <w:rPr>
                <w:rFonts w:ascii="宋体" w:eastAsia="宋体" w:hAnsi="宋体" w:cs="Times New Roman"/>
                <w:bCs/>
                <w:kern w:val="0"/>
                <w:szCs w:val="21"/>
              </w:rPr>
            </w:pPr>
          </w:p>
          <w:p w14:paraId="416EA263" w14:textId="77777777" w:rsidR="00361B23" w:rsidRPr="00361B23" w:rsidRDefault="00361B23" w:rsidP="00361B23">
            <w:pPr>
              <w:adjustRightInd w:val="0"/>
              <w:snapToGrid w:val="0"/>
              <w:rPr>
                <w:rFonts w:ascii="宋体" w:eastAsia="宋体" w:hAnsi="宋体" w:cs="Times New Roman"/>
                <w:bCs/>
                <w:kern w:val="0"/>
                <w:szCs w:val="21"/>
              </w:rPr>
            </w:pPr>
          </w:p>
          <w:p w14:paraId="4C589438" w14:textId="77777777" w:rsidR="00361B23" w:rsidRPr="00361B23" w:rsidRDefault="00361B23" w:rsidP="00361B23">
            <w:pPr>
              <w:adjustRightInd w:val="0"/>
              <w:snapToGrid w:val="0"/>
              <w:rPr>
                <w:rFonts w:ascii="宋体" w:eastAsia="宋体" w:hAnsi="宋体" w:cs="Times New Roman"/>
                <w:bCs/>
                <w:kern w:val="0"/>
                <w:szCs w:val="21"/>
              </w:rPr>
            </w:pPr>
          </w:p>
          <w:p w14:paraId="7D3B0387" w14:textId="77777777" w:rsidR="00361B23" w:rsidRPr="00361B23" w:rsidRDefault="00361B23" w:rsidP="00361B23">
            <w:pPr>
              <w:adjustRightInd w:val="0"/>
              <w:snapToGrid w:val="0"/>
              <w:rPr>
                <w:rFonts w:ascii="宋体" w:eastAsia="宋体" w:hAnsi="宋体" w:cs="Times New Roman"/>
                <w:bCs/>
                <w:kern w:val="0"/>
                <w:szCs w:val="21"/>
              </w:rPr>
            </w:pPr>
          </w:p>
          <w:p w14:paraId="5C03546B" w14:textId="77777777" w:rsidR="00361B23" w:rsidRPr="00361B23" w:rsidRDefault="00361B23" w:rsidP="00361B23">
            <w:pPr>
              <w:adjustRightInd w:val="0"/>
              <w:snapToGrid w:val="0"/>
              <w:rPr>
                <w:rFonts w:ascii="宋体" w:eastAsia="宋体" w:hAnsi="宋体" w:cs="Times New Roman"/>
                <w:bCs/>
                <w:kern w:val="0"/>
                <w:szCs w:val="21"/>
              </w:rPr>
            </w:pPr>
          </w:p>
          <w:p w14:paraId="06CA68D0" w14:textId="77777777" w:rsidR="00361B23" w:rsidRPr="00361B23" w:rsidRDefault="00361B23" w:rsidP="00361B23">
            <w:pPr>
              <w:adjustRightInd w:val="0"/>
              <w:snapToGrid w:val="0"/>
              <w:rPr>
                <w:rFonts w:ascii="宋体" w:eastAsia="宋体" w:hAnsi="宋体" w:cs="Times New Roman"/>
                <w:bCs/>
                <w:kern w:val="0"/>
                <w:szCs w:val="21"/>
              </w:rPr>
            </w:pPr>
          </w:p>
          <w:p w14:paraId="1E23A22C" w14:textId="77777777" w:rsidR="00361B23" w:rsidRPr="00361B23" w:rsidRDefault="00361B23" w:rsidP="00361B23">
            <w:pPr>
              <w:adjustRightInd w:val="0"/>
              <w:snapToGrid w:val="0"/>
              <w:rPr>
                <w:rFonts w:ascii="宋体" w:eastAsia="宋体" w:hAnsi="宋体" w:cs="Times New Roman"/>
                <w:bCs/>
                <w:kern w:val="0"/>
                <w:szCs w:val="21"/>
              </w:rPr>
            </w:pPr>
          </w:p>
          <w:p w14:paraId="581124B6" w14:textId="77777777" w:rsidR="00361B23" w:rsidRPr="00361B23" w:rsidRDefault="00361B23" w:rsidP="00361B23">
            <w:pPr>
              <w:adjustRightInd w:val="0"/>
              <w:snapToGrid w:val="0"/>
              <w:rPr>
                <w:rFonts w:ascii="宋体" w:eastAsia="宋体" w:hAnsi="宋体" w:cs="Times New Roman"/>
                <w:bCs/>
                <w:kern w:val="0"/>
                <w:szCs w:val="21"/>
              </w:rPr>
            </w:pPr>
          </w:p>
          <w:p w14:paraId="24BA32D6" w14:textId="77777777" w:rsidR="00361B23" w:rsidRPr="00361B23" w:rsidRDefault="00361B23" w:rsidP="00361B23">
            <w:pPr>
              <w:adjustRightInd w:val="0"/>
              <w:snapToGrid w:val="0"/>
              <w:rPr>
                <w:rFonts w:ascii="宋体" w:eastAsia="宋体" w:hAnsi="宋体" w:cs="Times New Roman"/>
                <w:bCs/>
                <w:kern w:val="0"/>
                <w:szCs w:val="21"/>
              </w:rPr>
            </w:pPr>
          </w:p>
          <w:p w14:paraId="163CF19E" w14:textId="77777777" w:rsidR="00361B23" w:rsidRPr="00361B23" w:rsidRDefault="00361B23" w:rsidP="00361B23">
            <w:pPr>
              <w:adjustRightInd w:val="0"/>
              <w:snapToGrid w:val="0"/>
              <w:rPr>
                <w:rFonts w:ascii="宋体" w:eastAsia="宋体" w:hAnsi="宋体" w:cs="Times New Roman"/>
                <w:bCs/>
                <w:kern w:val="0"/>
                <w:szCs w:val="21"/>
              </w:rPr>
            </w:pPr>
          </w:p>
          <w:p w14:paraId="3B0E04E1" w14:textId="77777777" w:rsidR="00361B23" w:rsidRPr="00361B23" w:rsidRDefault="00361B23" w:rsidP="00361B23">
            <w:pPr>
              <w:adjustRightInd w:val="0"/>
              <w:snapToGrid w:val="0"/>
              <w:rPr>
                <w:rFonts w:ascii="宋体" w:eastAsia="宋体" w:hAnsi="宋体" w:cs="Times New Roman"/>
                <w:bCs/>
                <w:kern w:val="0"/>
                <w:szCs w:val="21"/>
              </w:rPr>
            </w:pPr>
          </w:p>
          <w:p w14:paraId="23DDF459" w14:textId="77777777" w:rsidR="00361B23" w:rsidRPr="00361B23" w:rsidRDefault="00361B23" w:rsidP="00361B23">
            <w:pPr>
              <w:adjustRightInd w:val="0"/>
              <w:snapToGrid w:val="0"/>
              <w:rPr>
                <w:rFonts w:ascii="宋体" w:eastAsia="宋体" w:hAnsi="宋体" w:cs="Times New Roman"/>
                <w:bCs/>
                <w:kern w:val="0"/>
                <w:szCs w:val="21"/>
              </w:rPr>
            </w:pPr>
          </w:p>
          <w:p w14:paraId="14F3AE2F" w14:textId="77777777" w:rsidR="00361B23" w:rsidRPr="00361B23" w:rsidRDefault="00361B23" w:rsidP="00361B23">
            <w:pPr>
              <w:adjustRightInd w:val="0"/>
              <w:snapToGrid w:val="0"/>
              <w:rPr>
                <w:rFonts w:ascii="宋体" w:eastAsia="宋体" w:hAnsi="宋体" w:cs="Times New Roman"/>
                <w:bCs/>
                <w:kern w:val="0"/>
                <w:szCs w:val="21"/>
              </w:rPr>
            </w:pPr>
          </w:p>
          <w:p w14:paraId="636E0F39" w14:textId="77777777" w:rsidR="00361B23" w:rsidRPr="00361B23" w:rsidRDefault="00361B23" w:rsidP="00361B23">
            <w:pPr>
              <w:adjustRightInd w:val="0"/>
              <w:snapToGrid w:val="0"/>
              <w:rPr>
                <w:rFonts w:ascii="宋体" w:eastAsia="宋体" w:hAnsi="宋体" w:cs="Times New Roman"/>
                <w:bCs/>
                <w:kern w:val="0"/>
                <w:szCs w:val="21"/>
              </w:rPr>
            </w:pPr>
          </w:p>
          <w:p w14:paraId="104AE8DC" w14:textId="77777777" w:rsidR="00361B23" w:rsidRPr="00361B23" w:rsidRDefault="00361B23" w:rsidP="00361B23">
            <w:pPr>
              <w:adjustRightInd w:val="0"/>
              <w:snapToGrid w:val="0"/>
              <w:rPr>
                <w:rFonts w:ascii="宋体" w:eastAsia="宋体" w:hAnsi="宋体" w:cs="Times New Roman"/>
                <w:bCs/>
                <w:kern w:val="0"/>
                <w:szCs w:val="21"/>
              </w:rPr>
            </w:pPr>
          </w:p>
          <w:p w14:paraId="24D3E9A9" w14:textId="77777777" w:rsidR="00361B23" w:rsidRPr="00361B23" w:rsidRDefault="00361B23" w:rsidP="00361B23">
            <w:pPr>
              <w:adjustRightInd w:val="0"/>
              <w:snapToGrid w:val="0"/>
              <w:rPr>
                <w:rFonts w:ascii="宋体" w:eastAsia="宋体" w:hAnsi="宋体" w:cs="Times New Roman"/>
                <w:bCs/>
                <w:kern w:val="0"/>
                <w:szCs w:val="21"/>
              </w:rPr>
            </w:pPr>
          </w:p>
          <w:p w14:paraId="70B7B289" w14:textId="77777777" w:rsidR="00361B23" w:rsidRPr="00361B23" w:rsidRDefault="00361B23" w:rsidP="00361B23">
            <w:pPr>
              <w:adjustRightInd w:val="0"/>
              <w:snapToGrid w:val="0"/>
              <w:rPr>
                <w:rFonts w:ascii="宋体" w:eastAsia="宋体" w:hAnsi="宋体" w:cs="Times New Roman"/>
                <w:bCs/>
                <w:kern w:val="0"/>
                <w:szCs w:val="21"/>
              </w:rPr>
            </w:pPr>
          </w:p>
          <w:p w14:paraId="5249302C" w14:textId="77777777" w:rsidR="00361B23" w:rsidRPr="00361B23" w:rsidRDefault="00361B23" w:rsidP="00361B23">
            <w:pPr>
              <w:adjustRightInd w:val="0"/>
              <w:snapToGrid w:val="0"/>
              <w:rPr>
                <w:rFonts w:ascii="宋体" w:eastAsia="宋体" w:hAnsi="宋体" w:cs="Times New Roman"/>
                <w:bCs/>
                <w:kern w:val="0"/>
                <w:szCs w:val="21"/>
              </w:rPr>
            </w:pPr>
          </w:p>
          <w:p w14:paraId="5CC9F24E" w14:textId="77777777" w:rsidR="00361B23" w:rsidRPr="00361B23" w:rsidRDefault="00361B23" w:rsidP="00361B23">
            <w:pPr>
              <w:adjustRightInd w:val="0"/>
              <w:snapToGrid w:val="0"/>
              <w:rPr>
                <w:rFonts w:ascii="宋体" w:eastAsia="宋体" w:hAnsi="宋体" w:cs="Times New Roman"/>
                <w:bCs/>
                <w:kern w:val="0"/>
                <w:szCs w:val="21"/>
              </w:rPr>
            </w:pPr>
          </w:p>
          <w:p w14:paraId="4A6190DF" w14:textId="77777777" w:rsidR="00361B23" w:rsidRPr="00361B23" w:rsidRDefault="00361B23" w:rsidP="00361B23">
            <w:pPr>
              <w:adjustRightInd w:val="0"/>
              <w:snapToGrid w:val="0"/>
              <w:rPr>
                <w:rFonts w:ascii="宋体" w:eastAsia="宋体" w:hAnsi="宋体" w:cs="Times New Roman"/>
                <w:bCs/>
                <w:kern w:val="0"/>
                <w:szCs w:val="21"/>
              </w:rPr>
            </w:pPr>
          </w:p>
          <w:p w14:paraId="1BFFA27D" w14:textId="77777777" w:rsidR="00361B23" w:rsidRPr="00361B23" w:rsidRDefault="00361B23" w:rsidP="00361B23">
            <w:pPr>
              <w:adjustRightInd w:val="0"/>
              <w:snapToGrid w:val="0"/>
              <w:rPr>
                <w:rFonts w:ascii="宋体" w:eastAsia="宋体" w:hAnsi="宋体" w:cs="Times New Roman"/>
                <w:bCs/>
                <w:kern w:val="0"/>
                <w:szCs w:val="21"/>
              </w:rPr>
            </w:pPr>
            <w:r w:rsidRPr="00361B23">
              <w:rPr>
                <w:rFonts w:ascii="宋体" w:eastAsia="宋体" w:hAnsi="宋体" w:cs="Times New Roman" w:hint="eastAsia"/>
                <w:bCs/>
                <w:kern w:val="0"/>
                <w:szCs w:val="21"/>
              </w:rPr>
              <w:t>24.销售机构：指交银施罗德基金管理有限公司以及符合《销售办法》和中国证监会规定的其他条件，取得基金销售业务资格并与基金管理人签订了基金销售服务协议，办理基金销售业务的机构，以及可通过上海证券交易所交易系统办理基金销售服务业务的会员单位</w:t>
            </w:r>
          </w:p>
          <w:p w14:paraId="39096955" w14:textId="77777777" w:rsidR="00361B23" w:rsidRPr="00361B23" w:rsidRDefault="00361B23" w:rsidP="00361B23">
            <w:pPr>
              <w:adjustRightInd w:val="0"/>
              <w:snapToGrid w:val="0"/>
              <w:rPr>
                <w:rFonts w:ascii="宋体" w:eastAsia="宋体" w:hAnsi="宋体" w:cs="Times New Roman"/>
                <w:bCs/>
                <w:kern w:val="0"/>
                <w:szCs w:val="21"/>
              </w:rPr>
            </w:pPr>
          </w:p>
          <w:p w14:paraId="391AA624" w14:textId="77777777" w:rsidR="00361B23" w:rsidRPr="00361B23" w:rsidRDefault="00361B23" w:rsidP="00361B23">
            <w:pPr>
              <w:adjustRightInd w:val="0"/>
              <w:snapToGrid w:val="0"/>
              <w:rPr>
                <w:rFonts w:ascii="宋体" w:eastAsia="宋体" w:hAnsi="宋体" w:cs="Times New Roman"/>
                <w:bCs/>
                <w:kern w:val="0"/>
                <w:szCs w:val="21"/>
              </w:rPr>
            </w:pPr>
          </w:p>
          <w:p w14:paraId="4E6478C3" w14:textId="77777777" w:rsidR="00361B23" w:rsidRPr="00361B23" w:rsidRDefault="00361B23" w:rsidP="00361B23">
            <w:pPr>
              <w:adjustRightInd w:val="0"/>
              <w:snapToGrid w:val="0"/>
              <w:rPr>
                <w:rFonts w:ascii="宋体" w:eastAsia="宋体" w:hAnsi="宋体" w:cs="Times New Roman"/>
                <w:bCs/>
                <w:kern w:val="0"/>
                <w:szCs w:val="21"/>
              </w:rPr>
            </w:pPr>
          </w:p>
          <w:p w14:paraId="7F79A7D4" w14:textId="77777777" w:rsidR="00361B23" w:rsidRPr="00361B23" w:rsidRDefault="00361B23" w:rsidP="00361B23">
            <w:pPr>
              <w:adjustRightInd w:val="0"/>
              <w:snapToGrid w:val="0"/>
              <w:rPr>
                <w:rFonts w:ascii="宋体" w:eastAsia="宋体" w:hAnsi="宋体" w:cs="Times New Roman"/>
                <w:bCs/>
                <w:kern w:val="0"/>
                <w:szCs w:val="21"/>
              </w:rPr>
            </w:pPr>
          </w:p>
          <w:p w14:paraId="79286BCB" w14:textId="77777777" w:rsidR="00361B23" w:rsidRPr="00361B23" w:rsidRDefault="00361B23" w:rsidP="00361B23">
            <w:pPr>
              <w:adjustRightInd w:val="0"/>
              <w:snapToGrid w:val="0"/>
              <w:rPr>
                <w:rFonts w:ascii="宋体" w:eastAsia="宋体" w:hAnsi="宋体" w:cs="Times New Roman"/>
                <w:bCs/>
                <w:kern w:val="0"/>
                <w:szCs w:val="21"/>
              </w:rPr>
            </w:pPr>
          </w:p>
          <w:p w14:paraId="1EBC4DA6" w14:textId="77777777" w:rsidR="00361B23" w:rsidRPr="00361B23" w:rsidRDefault="00361B23" w:rsidP="00361B23">
            <w:pPr>
              <w:adjustRightInd w:val="0"/>
              <w:snapToGrid w:val="0"/>
              <w:rPr>
                <w:rFonts w:ascii="宋体" w:eastAsia="宋体" w:hAnsi="宋体" w:cs="Times New Roman"/>
                <w:bCs/>
                <w:kern w:val="0"/>
                <w:szCs w:val="21"/>
              </w:rPr>
            </w:pPr>
          </w:p>
          <w:p w14:paraId="38FB995E" w14:textId="77777777" w:rsidR="00361B23" w:rsidRPr="00361B23" w:rsidRDefault="00361B23" w:rsidP="00361B23">
            <w:pPr>
              <w:adjustRightInd w:val="0"/>
              <w:snapToGrid w:val="0"/>
              <w:rPr>
                <w:rFonts w:ascii="宋体" w:eastAsia="宋体" w:hAnsi="宋体" w:cs="Times New Roman"/>
                <w:bCs/>
                <w:kern w:val="0"/>
                <w:szCs w:val="21"/>
              </w:rPr>
            </w:pPr>
          </w:p>
          <w:p w14:paraId="2737909A" w14:textId="77777777" w:rsidR="00361B23" w:rsidRPr="00361B23" w:rsidRDefault="00361B23" w:rsidP="00361B23">
            <w:pPr>
              <w:adjustRightInd w:val="0"/>
              <w:snapToGrid w:val="0"/>
              <w:rPr>
                <w:rFonts w:ascii="宋体" w:eastAsia="宋体" w:hAnsi="宋体" w:cs="Times New Roman"/>
                <w:bCs/>
                <w:kern w:val="0"/>
                <w:szCs w:val="21"/>
              </w:rPr>
            </w:pPr>
          </w:p>
          <w:p w14:paraId="19B33B8A" w14:textId="77777777" w:rsidR="00361B23" w:rsidRPr="00361B23" w:rsidRDefault="00361B23" w:rsidP="00361B23">
            <w:pPr>
              <w:adjustRightInd w:val="0"/>
              <w:snapToGrid w:val="0"/>
              <w:rPr>
                <w:rFonts w:ascii="宋体" w:eastAsia="宋体" w:hAnsi="宋体" w:cs="Times New Roman"/>
                <w:bCs/>
                <w:kern w:val="0"/>
                <w:szCs w:val="21"/>
              </w:rPr>
            </w:pPr>
            <w:r w:rsidRPr="00361B23">
              <w:rPr>
                <w:rFonts w:ascii="宋体" w:eastAsia="宋体" w:hAnsi="宋体" w:cs="Times New Roman" w:hint="eastAsia"/>
                <w:bCs/>
                <w:kern w:val="0"/>
                <w:szCs w:val="21"/>
              </w:rPr>
              <w:t>39.开放日：指销售机构办理基金份额申购、赎回或其他业务的日期</w:t>
            </w:r>
          </w:p>
          <w:p w14:paraId="0BFFDD93" w14:textId="77777777" w:rsidR="00361B23" w:rsidRPr="00361B23" w:rsidRDefault="00361B23" w:rsidP="00361B23">
            <w:pPr>
              <w:adjustRightInd w:val="0"/>
              <w:snapToGrid w:val="0"/>
              <w:rPr>
                <w:rFonts w:ascii="宋体" w:eastAsia="宋体" w:hAnsi="宋体" w:cs="Times New Roman"/>
                <w:bCs/>
                <w:kern w:val="0"/>
                <w:szCs w:val="21"/>
              </w:rPr>
            </w:pPr>
          </w:p>
          <w:p w14:paraId="71E40BF8" w14:textId="77777777" w:rsidR="00361B23" w:rsidRPr="00361B23" w:rsidRDefault="00361B23" w:rsidP="00361B23">
            <w:pPr>
              <w:adjustRightInd w:val="0"/>
              <w:snapToGrid w:val="0"/>
              <w:rPr>
                <w:rFonts w:ascii="宋体" w:eastAsia="宋体" w:hAnsi="宋体" w:cs="Times New Roman"/>
                <w:bCs/>
                <w:kern w:val="0"/>
                <w:szCs w:val="21"/>
              </w:rPr>
            </w:pPr>
          </w:p>
          <w:p w14:paraId="54AC1271" w14:textId="77777777" w:rsidR="00361B23" w:rsidRPr="00361B23" w:rsidRDefault="00361B23" w:rsidP="00361B23">
            <w:pPr>
              <w:adjustRightInd w:val="0"/>
              <w:snapToGrid w:val="0"/>
              <w:rPr>
                <w:rFonts w:ascii="宋体" w:eastAsia="宋体" w:hAnsi="宋体" w:cs="Times New Roman"/>
                <w:bCs/>
                <w:kern w:val="0"/>
                <w:szCs w:val="21"/>
              </w:rPr>
            </w:pPr>
            <w:r w:rsidRPr="00361B23">
              <w:rPr>
                <w:rFonts w:ascii="宋体" w:eastAsia="宋体" w:hAnsi="宋体" w:cs="Times New Roman" w:hint="eastAsia"/>
                <w:bCs/>
                <w:kern w:val="0"/>
                <w:szCs w:val="21"/>
              </w:rPr>
              <w:t>45.场外或柜台：指不通过上海证券交易所的交易系统办理基金份额认购、申购和赎回等业务的销售机构和场所</w:t>
            </w:r>
          </w:p>
          <w:p w14:paraId="684C61E0" w14:textId="77777777" w:rsidR="00361B23" w:rsidRPr="00361B23" w:rsidRDefault="00361B23" w:rsidP="00361B23">
            <w:pPr>
              <w:adjustRightInd w:val="0"/>
              <w:snapToGrid w:val="0"/>
              <w:rPr>
                <w:rFonts w:ascii="宋体" w:eastAsia="宋体" w:hAnsi="宋体" w:cs="Times New Roman"/>
                <w:bCs/>
                <w:kern w:val="0"/>
                <w:szCs w:val="21"/>
              </w:rPr>
            </w:pPr>
          </w:p>
          <w:p w14:paraId="5553ACA2" w14:textId="77777777" w:rsidR="00361B23" w:rsidRPr="00361B23" w:rsidRDefault="00361B23" w:rsidP="00361B23">
            <w:pPr>
              <w:adjustRightInd w:val="0"/>
              <w:snapToGrid w:val="0"/>
              <w:rPr>
                <w:rFonts w:ascii="宋体" w:eastAsia="宋体" w:hAnsi="宋体" w:cs="Times New Roman"/>
                <w:kern w:val="0"/>
                <w:szCs w:val="21"/>
              </w:rPr>
            </w:pPr>
            <w:r w:rsidRPr="00361B23">
              <w:rPr>
                <w:rFonts w:ascii="宋体" w:eastAsia="宋体" w:hAnsi="宋体" w:cs="Times New Roman" w:hint="eastAsia"/>
                <w:bCs/>
                <w:kern w:val="0"/>
                <w:szCs w:val="21"/>
              </w:rPr>
              <w:t>46.场内或交易所：指通过上海证券交易所的交易系统办理基金份额认购、申购和赎回等业务的销售机构和场所</w:t>
            </w:r>
          </w:p>
        </w:tc>
      </w:tr>
      <w:tr w:rsidR="00361B23" w:rsidRPr="00361B23" w14:paraId="61D2CD61" w14:textId="77777777" w:rsidTr="00CC1D7A">
        <w:trPr>
          <w:jc w:val="center"/>
        </w:trPr>
        <w:tc>
          <w:tcPr>
            <w:tcW w:w="2039" w:type="dxa"/>
            <w:tcBorders>
              <w:top w:val="single" w:sz="4" w:space="0" w:color="auto"/>
              <w:left w:val="single" w:sz="4" w:space="0" w:color="auto"/>
              <w:bottom w:val="single" w:sz="4" w:space="0" w:color="auto"/>
              <w:right w:val="single" w:sz="4" w:space="0" w:color="auto"/>
            </w:tcBorders>
          </w:tcPr>
          <w:p w14:paraId="15F7A29C" w14:textId="77777777" w:rsidR="00361B23" w:rsidRPr="00361B23" w:rsidRDefault="00361B23" w:rsidP="00361B23">
            <w:pPr>
              <w:jc w:val="center"/>
              <w:rPr>
                <w:rFonts w:ascii="宋体" w:eastAsia="宋体" w:hAnsi="宋体" w:cs="Times New Roman"/>
                <w:b/>
                <w:szCs w:val="21"/>
              </w:rPr>
            </w:pPr>
            <w:r w:rsidRPr="00361B23">
              <w:rPr>
                <w:rFonts w:ascii="宋体" w:eastAsia="宋体" w:hAnsi="宋体" w:cs="Times New Roman" w:hint="eastAsia"/>
                <w:b/>
                <w:szCs w:val="21"/>
              </w:rPr>
              <w:lastRenderedPageBreak/>
              <w:t>三、基金的基本情况</w:t>
            </w:r>
          </w:p>
        </w:tc>
        <w:tc>
          <w:tcPr>
            <w:tcW w:w="3910" w:type="dxa"/>
            <w:tcBorders>
              <w:top w:val="single" w:sz="4" w:space="0" w:color="auto"/>
              <w:left w:val="single" w:sz="4" w:space="0" w:color="auto"/>
              <w:bottom w:val="single" w:sz="4" w:space="0" w:color="auto"/>
              <w:right w:val="single" w:sz="4" w:space="0" w:color="auto"/>
            </w:tcBorders>
          </w:tcPr>
          <w:p w14:paraId="5825F8A3"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（七）基金类别设置</w:t>
            </w:r>
          </w:p>
          <w:p w14:paraId="43C0675F"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本基金的基金份额根据基金销售地及申购赎回费率的不同分为A类基金份额、H类基金份额，各类基金份额单独设置基金代码。基金管理人分别公布A类基金份额和H类基金份额的净值。除非基金管理人在未来条件成熟后另行公告开通相关业务，本基金不同基金份额类别之间不得互相转换。</w:t>
            </w:r>
          </w:p>
          <w:p w14:paraId="474A7F67"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在不违反法律法规、基金合同的约定以及对基金份额持有人利益无实质性不利影响的情况下，根据基金实际运作情况，在履行适当程序后，基金管理人可停止某类基金份额类别的申购、或者增加新的基金份额类别等，调整实施前基金管理人需与基金托管人协商一致并及时公告并报中国证监会备案，而无需召开基金份额持有人大会。</w:t>
            </w:r>
          </w:p>
        </w:tc>
        <w:tc>
          <w:tcPr>
            <w:tcW w:w="3690" w:type="dxa"/>
            <w:tcBorders>
              <w:top w:val="single" w:sz="4" w:space="0" w:color="auto"/>
              <w:left w:val="single" w:sz="4" w:space="0" w:color="auto"/>
              <w:bottom w:val="single" w:sz="4" w:space="0" w:color="auto"/>
              <w:right w:val="single" w:sz="4" w:space="0" w:color="auto"/>
            </w:tcBorders>
          </w:tcPr>
          <w:p w14:paraId="10066EBC" w14:textId="77777777" w:rsidR="00361B23" w:rsidRPr="00361B23" w:rsidRDefault="00361B23" w:rsidP="00361B23">
            <w:pPr>
              <w:adjustRightInd w:val="0"/>
              <w:snapToGrid w:val="0"/>
              <w:rPr>
                <w:rFonts w:ascii="宋体" w:eastAsia="宋体" w:hAnsi="宋体" w:cs="Times New Roman"/>
                <w:szCs w:val="21"/>
              </w:rPr>
            </w:pPr>
          </w:p>
        </w:tc>
      </w:tr>
      <w:tr w:rsidR="00361B23" w:rsidRPr="00361B23" w14:paraId="16DC25E4" w14:textId="77777777" w:rsidTr="00CC1D7A">
        <w:trPr>
          <w:jc w:val="center"/>
        </w:trPr>
        <w:tc>
          <w:tcPr>
            <w:tcW w:w="2039" w:type="dxa"/>
            <w:tcBorders>
              <w:top w:val="single" w:sz="4" w:space="0" w:color="auto"/>
              <w:left w:val="single" w:sz="4" w:space="0" w:color="auto"/>
              <w:bottom w:val="single" w:sz="4" w:space="0" w:color="auto"/>
              <w:right w:val="single" w:sz="4" w:space="0" w:color="auto"/>
            </w:tcBorders>
          </w:tcPr>
          <w:p w14:paraId="6F1DED15" w14:textId="77777777" w:rsidR="00361B23" w:rsidRPr="00361B23" w:rsidRDefault="00361B23" w:rsidP="00361B23">
            <w:pPr>
              <w:jc w:val="center"/>
              <w:rPr>
                <w:rFonts w:ascii="宋体" w:eastAsia="宋体" w:hAnsi="宋体" w:cs="Times New Roman"/>
                <w:b/>
                <w:szCs w:val="21"/>
              </w:rPr>
            </w:pPr>
            <w:r w:rsidRPr="00361B23">
              <w:rPr>
                <w:rFonts w:ascii="宋体" w:eastAsia="宋体" w:hAnsi="宋体" w:cs="Times New Roman" w:hint="eastAsia"/>
                <w:b/>
                <w:szCs w:val="21"/>
              </w:rPr>
              <w:lastRenderedPageBreak/>
              <w:t>四、基金份额的发售</w:t>
            </w:r>
          </w:p>
        </w:tc>
        <w:tc>
          <w:tcPr>
            <w:tcW w:w="3910" w:type="dxa"/>
            <w:tcBorders>
              <w:top w:val="single" w:sz="4" w:space="0" w:color="auto"/>
              <w:left w:val="single" w:sz="4" w:space="0" w:color="auto"/>
              <w:bottom w:val="single" w:sz="4" w:space="0" w:color="auto"/>
              <w:right w:val="single" w:sz="4" w:space="0" w:color="auto"/>
            </w:tcBorders>
          </w:tcPr>
          <w:p w14:paraId="6A1D3F94"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（四）本章节不适用于H类基金份额。</w:t>
            </w:r>
          </w:p>
        </w:tc>
        <w:tc>
          <w:tcPr>
            <w:tcW w:w="3690" w:type="dxa"/>
            <w:tcBorders>
              <w:top w:val="single" w:sz="4" w:space="0" w:color="auto"/>
              <w:left w:val="single" w:sz="4" w:space="0" w:color="auto"/>
              <w:bottom w:val="single" w:sz="4" w:space="0" w:color="auto"/>
              <w:right w:val="single" w:sz="4" w:space="0" w:color="auto"/>
            </w:tcBorders>
          </w:tcPr>
          <w:p w14:paraId="7F1D01D4" w14:textId="77777777" w:rsidR="00361B23" w:rsidRPr="00361B23" w:rsidRDefault="00361B23" w:rsidP="00361B23">
            <w:pPr>
              <w:adjustRightInd w:val="0"/>
              <w:snapToGrid w:val="0"/>
              <w:rPr>
                <w:rFonts w:ascii="宋体" w:eastAsia="宋体" w:hAnsi="宋体" w:cs="Times New Roman"/>
                <w:szCs w:val="21"/>
              </w:rPr>
            </w:pPr>
          </w:p>
        </w:tc>
      </w:tr>
      <w:tr w:rsidR="00361B23" w:rsidRPr="00361B23" w14:paraId="4399FF7F" w14:textId="77777777" w:rsidTr="00CC1D7A">
        <w:trPr>
          <w:jc w:val="center"/>
        </w:trPr>
        <w:tc>
          <w:tcPr>
            <w:tcW w:w="2039" w:type="dxa"/>
            <w:tcBorders>
              <w:top w:val="single" w:sz="4" w:space="0" w:color="auto"/>
              <w:left w:val="single" w:sz="4" w:space="0" w:color="auto"/>
              <w:bottom w:val="single" w:sz="4" w:space="0" w:color="auto"/>
              <w:right w:val="single" w:sz="4" w:space="0" w:color="auto"/>
            </w:tcBorders>
          </w:tcPr>
          <w:p w14:paraId="16A669AE" w14:textId="77777777" w:rsidR="00361B23" w:rsidRPr="00361B23" w:rsidRDefault="00361B23" w:rsidP="00361B23">
            <w:pPr>
              <w:jc w:val="center"/>
              <w:rPr>
                <w:rFonts w:ascii="宋体" w:eastAsia="宋体" w:hAnsi="宋体" w:cs="Times New Roman"/>
                <w:b/>
                <w:szCs w:val="21"/>
              </w:rPr>
            </w:pPr>
            <w:r w:rsidRPr="00361B23">
              <w:rPr>
                <w:rFonts w:ascii="宋体" w:eastAsia="宋体" w:hAnsi="宋体" w:cs="Times New Roman" w:hint="eastAsia"/>
                <w:b/>
                <w:szCs w:val="21"/>
              </w:rPr>
              <w:t>六、基金份额的申购与赎回</w:t>
            </w:r>
          </w:p>
        </w:tc>
        <w:tc>
          <w:tcPr>
            <w:tcW w:w="3910" w:type="dxa"/>
            <w:tcBorders>
              <w:top w:val="single" w:sz="4" w:space="0" w:color="auto"/>
              <w:left w:val="single" w:sz="4" w:space="0" w:color="auto"/>
              <w:bottom w:val="single" w:sz="4" w:space="0" w:color="auto"/>
              <w:right w:val="single" w:sz="4" w:space="0" w:color="auto"/>
            </w:tcBorders>
            <w:hideMark/>
          </w:tcPr>
          <w:p w14:paraId="0931077D" w14:textId="77777777" w:rsidR="00361B23" w:rsidRPr="00361B23" w:rsidRDefault="00361B23" w:rsidP="00361B23">
            <w:pPr>
              <w:adjustRightInd w:val="0"/>
              <w:snapToGrid w:val="0"/>
              <w:rPr>
                <w:rFonts w:ascii="宋体" w:eastAsia="宋体" w:hAnsi="宋体" w:cs="Times New Roman"/>
                <w:szCs w:val="21"/>
              </w:rPr>
            </w:pPr>
            <w:r w:rsidRPr="00361B23">
              <w:rPr>
                <w:rFonts w:ascii="宋体" w:eastAsia="宋体" w:hAnsi="宋体" w:cs="Times New Roman" w:hint="eastAsia"/>
                <w:bCs/>
                <w:szCs w:val="21"/>
              </w:rPr>
              <w:t>除本基金的有关公告（例如本基金为在中国香港地区销售编制的招募说明书补充文件）另有专门规定外，本基金H类基金份额在中国香港地区的申购、赎回等销售业务，应当根据本基金的招募说明书办理。</w:t>
            </w:r>
          </w:p>
        </w:tc>
        <w:tc>
          <w:tcPr>
            <w:tcW w:w="3690" w:type="dxa"/>
            <w:tcBorders>
              <w:top w:val="single" w:sz="4" w:space="0" w:color="auto"/>
              <w:left w:val="single" w:sz="4" w:space="0" w:color="auto"/>
              <w:bottom w:val="single" w:sz="4" w:space="0" w:color="auto"/>
              <w:right w:val="single" w:sz="4" w:space="0" w:color="auto"/>
            </w:tcBorders>
          </w:tcPr>
          <w:p w14:paraId="38F900A1" w14:textId="77777777" w:rsidR="00361B23" w:rsidRPr="00361B23" w:rsidRDefault="00361B23" w:rsidP="00361B23">
            <w:pPr>
              <w:adjustRightInd w:val="0"/>
              <w:snapToGrid w:val="0"/>
              <w:rPr>
                <w:rFonts w:ascii="宋体" w:eastAsia="宋体" w:hAnsi="宋体" w:cs="Times New Roman"/>
                <w:szCs w:val="21"/>
              </w:rPr>
            </w:pPr>
          </w:p>
        </w:tc>
      </w:tr>
      <w:tr w:rsidR="00361B23" w:rsidRPr="00361B23" w14:paraId="2156034E" w14:textId="77777777" w:rsidTr="00CC1D7A">
        <w:trPr>
          <w:jc w:val="center"/>
        </w:trPr>
        <w:tc>
          <w:tcPr>
            <w:tcW w:w="2039" w:type="dxa"/>
            <w:tcBorders>
              <w:top w:val="single" w:sz="4" w:space="0" w:color="auto"/>
              <w:left w:val="single" w:sz="4" w:space="0" w:color="auto"/>
              <w:bottom w:val="single" w:sz="4" w:space="0" w:color="auto"/>
              <w:right w:val="single" w:sz="4" w:space="0" w:color="auto"/>
            </w:tcBorders>
            <w:hideMark/>
          </w:tcPr>
          <w:p w14:paraId="05EB9145" w14:textId="77777777" w:rsidR="00361B23" w:rsidRPr="00361B23" w:rsidRDefault="00361B23" w:rsidP="00361B23">
            <w:pPr>
              <w:jc w:val="center"/>
              <w:rPr>
                <w:rFonts w:ascii="宋体" w:eastAsia="宋体" w:hAnsi="宋体" w:cs="Times New Roman"/>
                <w:b/>
                <w:szCs w:val="21"/>
              </w:rPr>
            </w:pPr>
            <w:r w:rsidRPr="00361B23">
              <w:rPr>
                <w:rFonts w:ascii="宋体" w:eastAsia="宋体" w:hAnsi="宋体" w:cs="Times New Roman" w:hint="eastAsia"/>
                <w:b/>
                <w:szCs w:val="21"/>
              </w:rPr>
              <w:t>六、基金份额的申购与赎回</w:t>
            </w:r>
          </w:p>
        </w:tc>
        <w:tc>
          <w:tcPr>
            <w:tcW w:w="3910" w:type="dxa"/>
            <w:tcBorders>
              <w:top w:val="single" w:sz="4" w:space="0" w:color="auto"/>
              <w:left w:val="single" w:sz="4" w:space="0" w:color="auto"/>
              <w:bottom w:val="single" w:sz="4" w:space="0" w:color="auto"/>
              <w:right w:val="single" w:sz="4" w:space="0" w:color="auto"/>
            </w:tcBorders>
          </w:tcPr>
          <w:p w14:paraId="3930A749"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(一)申购和赎回场所</w:t>
            </w:r>
          </w:p>
          <w:p w14:paraId="1A8E5D3C"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A类基金份额投资人可通过中国大陆地区销售机构进行申购或赎回：</w:t>
            </w:r>
          </w:p>
          <w:p w14:paraId="629B85BC"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H类基金份额投资人可通过中国香港地区销售机构进行申购或赎回。</w:t>
            </w:r>
          </w:p>
        </w:tc>
        <w:tc>
          <w:tcPr>
            <w:tcW w:w="3690" w:type="dxa"/>
            <w:tcBorders>
              <w:top w:val="single" w:sz="4" w:space="0" w:color="auto"/>
              <w:left w:val="single" w:sz="4" w:space="0" w:color="auto"/>
              <w:bottom w:val="single" w:sz="4" w:space="0" w:color="auto"/>
              <w:right w:val="single" w:sz="4" w:space="0" w:color="auto"/>
            </w:tcBorders>
          </w:tcPr>
          <w:p w14:paraId="03666D52"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(一)申购和赎回场所</w:t>
            </w:r>
          </w:p>
          <w:p w14:paraId="0B7C851C" w14:textId="77777777" w:rsidR="00361B23" w:rsidRPr="00361B23" w:rsidRDefault="00361B23" w:rsidP="00361B23">
            <w:pPr>
              <w:adjustRightInd w:val="0"/>
              <w:snapToGrid w:val="0"/>
              <w:rPr>
                <w:rFonts w:ascii="宋体" w:eastAsia="宋体" w:hAnsi="宋体" w:cs="Times New Roman"/>
                <w:bCs/>
                <w:szCs w:val="21"/>
              </w:rPr>
            </w:pPr>
          </w:p>
          <w:p w14:paraId="430B3DFE" w14:textId="77777777" w:rsidR="00361B23" w:rsidRPr="00361B23" w:rsidRDefault="00361B23" w:rsidP="00361B23">
            <w:pPr>
              <w:adjustRightInd w:val="0"/>
              <w:snapToGrid w:val="0"/>
              <w:rPr>
                <w:rFonts w:ascii="宋体" w:eastAsia="宋体" w:hAnsi="宋体" w:cs="Times New Roman"/>
                <w:szCs w:val="21"/>
              </w:rPr>
            </w:pPr>
          </w:p>
        </w:tc>
      </w:tr>
      <w:tr w:rsidR="00361B23" w:rsidRPr="00361B23" w14:paraId="4659F4A3" w14:textId="77777777" w:rsidTr="00CC1D7A">
        <w:trPr>
          <w:jc w:val="center"/>
        </w:trPr>
        <w:tc>
          <w:tcPr>
            <w:tcW w:w="2039" w:type="dxa"/>
            <w:tcBorders>
              <w:top w:val="single" w:sz="4" w:space="0" w:color="auto"/>
              <w:left w:val="single" w:sz="4" w:space="0" w:color="auto"/>
              <w:bottom w:val="single" w:sz="4" w:space="0" w:color="auto"/>
              <w:right w:val="single" w:sz="4" w:space="0" w:color="auto"/>
            </w:tcBorders>
          </w:tcPr>
          <w:p w14:paraId="7BC98C7E" w14:textId="77777777" w:rsidR="00361B23" w:rsidRPr="00361B23" w:rsidRDefault="00361B23" w:rsidP="00361B23">
            <w:pPr>
              <w:jc w:val="center"/>
              <w:rPr>
                <w:rFonts w:ascii="宋体" w:eastAsia="宋体" w:hAnsi="宋体" w:cs="Times New Roman"/>
                <w:b/>
                <w:szCs w:val="21"/>
              </w:rPr>
            </w:pPr>
            <w:r w:rsidRPr="00361B23">
              <w:rPr>
                <w:rFonts w:ascii="宋体" w:eastAsia="宋体" w:hAnsi="宋体" w:cs="Times New Roman" w:hint="eastAsia"/>
                <w:b/>
                <w:szCs w:val="21"/>
              </w:rPr>
              <w:t>六、基金份额的申购与赎回</w:t>
            </w:r>
          </w:p>
        </w:tc>
        <w:tc>
          <w:tcPr>
            <w:tcW w:w="3910" w:type="dxa"/>
            <w:tcBorders>
              <w:top w:val="single" w:sz="4" w:space="0" w:color="auto"/>
              <w:left w:val="single" w:sz="4" w:space="0" w:color="auto"/>
              <w:bottom w:val="single" w:sz="4" w:space="0" w:color="auto"/>
              <w:right w:val="single" w:sz="4" w:space="0" w:color="auto"/>
            </w:tcBorders>
            <w:hideMark/>
          </w:tcPr>
          <w:p w14:paraId="7E1FB0B6"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(二)申购和赎回的开放日及时间</w:t>
            </w:r>
          </w:p>
          <w:p w14:paraId="20CB2889"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1.开放日及开放时间</w:t>
            </w:r>
          </w:p>
          <w:p w14:paraId="2CDED155"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A类基金份额申购和赎回的开放日为上海证券交易所、深圳证券交易所的正常交易日（基金管理人根据法律法规或本基金合同的规定公告暂停申购、赎回时除外）。</w:t>
            </w:r>
          </w:p>
          <w:p w14:paraId="7B11813E"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H类基金份额申购和赎回的开放日为上海证券交易所、深圳证券交易所的正常交易日及香港商业银行开放营业日的共同日期（基金管理人根据法律法规或本基金合同的规定公告暂停申购、赎回时除外）。“香港商业银行开放营业日”的定义详见招募说明书补充文件。</w:t>
            </w:r>
          </w:p>
          <w:p w14:paraId="69981FC8" w14:textId="77777777" w:rsidR="00361B23" w:rsidRPr="00361B23" w:rsidRDefault="00361B23" w:rsidP="00361B23">
            <w:pPr>
              <w:adjustRightInd w:val="0"/>
              <w:snapToGrid w:val="0"/>
              <w:rPr>
                <w:rFonts w:ascii="宋体" w:eastAsia="宋体" w:hAnsi="宋体" w:cs="Times New Roman"/>
                <w:szCs w:val="21"/>
              </w:rPr>
            </w:pPr>
            <w:r w:rsidRPr="00361B23">
              <w:rPr>
                <w:rFonts w:ascii="宋体" w:eastAsia="宋体" w:hAnsi="宋体" w:cs="Times New Roman" w:hint="eastAsia"/>
                <w:bCs/>
                <w:szCs w:val="21"/>
              </w:rPr>
              <w:t>开放日的具体业务办理时间在招募说明书或其补充文件  或其他相关公告中载明。</w:t>
            </w:r>
          </w:p>
        </w:tc>
        <w:tc>
          <w:tcPr>
            <w:tcW w:w="3690" w:type="dxa"/>
            <w:tcBorders>
              <w:top w:val="single" w:sz="4" w:space="0" w:color="auto"/>
              <w:left w:val="single" w:sz="4" w:space="0" w:color="auto"/>
              <w:bottom w:val="single" w:sz="4" w:space="0" w:color="auto"/>
              <w:right w:val="single" w:sz="4" w:space="0" w:color="auto"/>
            </w:tcBorders>
          </w:tcPr>
          <w:p w14:paraId="0C082A07"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(二)申购和赎回的开放日及时间</w:t>
            </w:r>
          </w:p>
          <w:p w14:paraId="30411760"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1.开放日及开放时间</w:t>
            </w:r>
          </w:p>
          <w:p w14:paraId="4C2A86A1"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申购和赎回的开放日为上海证券交易所、深圳证券交易所的正常交易日（基金管理人根据法律法规或本基金合同的规定公告暂停申购、赎回时除外）。</w:t>
            </w:r>
          </w:p>
          <w:p w14:paraId="167BB6A4" w14:textId="77777777" w:rsidR="00361B23" w:rsidRPr="00361B23" w:rsidRDefault="00361B23" w:rsidP="00361B23">
            <w:pPr>
              <w:adjustRightInd w:val="0"/>
              <w:snapToGrid w:val="0"/>
              <w:rPr>
                <w:rFonts w:ascii="宋体" w:eastAsia="宋体" w:hAnsi="宋体" w:cs="Times New Roman"/>
                <w:bCs/>
                <w:szCs w:val="21"/>
              </w:rPr>
            </w:pPr>
          </w:p>
          <w:p w14:paraId="231A777D" w14:textId="77777777" w:rsidR="00361B23" w:rsidRPr="00361B23" w:rsidRDefault="00361B23" w:rsidP="00361B23">
            <w:pPr>
              <w:adjustRightInd w:val="0"/>
              <w:snapToGrid w:val="0"/>
              <w:rPr>
                <w:rFonts w:ascii="宋体" w:eastAsia="宋体" w:hAnsi="宋体" w:cs="Times New Roman"/>
                <w:bCs/>
                <w:szCs w:val="21"/>
              </w:rPr>
            </w:pPr>
          </w:p>
          <w:p w14:paraId="4966BBF2" w14:textId="77777777" w:rsidR="00361B23" w:rsidRPr="00361B23" w:rsidRDefault="00361B23" w:rsidP="00361B23">
            <w:pPr>
              <w:adjustRightInd w:val="0"/>
              <w:snapToGrid w:val="0"/>
              <w:rPr>
                <w:rFonts w:ascii="宋体" w:eastAsia="宋体" w:hAnsi="宋体" w:cs="Times New Roman"/>
                <w:bCs/>
                <w:szCs w:val="21"/>
              </w:rPr>
            </w:pPr>
          </w:p>
          <w:p w14:paraId="0544FBF9" w14:textId="77777777" w:rsidR="00361B23" w:rsidRPr="00361B23" w:rsidRDefault="00361B23" w:rsidP="00361B23">
            <w:pPr>
              <w:adjustRightInd w:val="0"/>
              <w:snapToGrid w:val="0"/>
              <w:rPr>
                <w:rFonts w:ascii="宋体" w:eastAsia="宋体" w:hAnsi="宋体" w:cs="Times New Roman"/>
                <w:bCs/>
                <w:szCs w:val="21"/>
              </w:rPr>
            </w:pPr>
          </w:p>
          <w:p w14:paraId="428336C1" w14:textId="77777777" w:rsidR="00361B23" w:rsidRPr="00361B23" w:rsidRDefault="00361B23" w:rsidP="00361B23">
            <w:pPr>
              <w:adjustRightInd w:val="0"/>
              <w:snapToGrid w:val="0"/>
              <w:rPr>
                <w:rFonts w:ascii="宋体" w:eastAsia="宋体" w:hAnsi="宋体" w:cs="Times New Roman"/>
                <w:bCs/>
                <w:szCs w:val="21"/>
              </w:rPr>
            </w:pPr>
          </w:p>
          <w:p w14:paraId="3ED865E7" w14:textId="77777777" w:rsidR="00361B23" w:rsidRPr="00361B23" w:rsidRDefault="00361B23" w:rsidP="00361B23">
            <w:pPr>
              <w:adjustRightInd w:val="0"/>
              <w:snapToGrid w:val="0"/>
              <w:rPr>
                <w:rFonts w:ascii="宋体" w:eastAsia="宋体" w:hAnsi="宋体" w:cs="Times New Roman"/>
                <w:bCs/>
                <w:szCs w:val="21"/>
              </w:rPr>
            </w:pPr>
          </w:p>
          <w:p w14:paraId="0ECA15F4" w14:textId="77777777" w:rsidR="00361B23" w:rsidRPr="00361B23" w:rsidRDefault="00361B23" w:rsidP="00361B23">
            <w:pPr>
              <w:adjustRightInd w:val="0"/>
              <w:snapToGrid w:val="0"/>
              <w:rPr>
                <w:rFonts w:ascii="宋体" w:eastAsia="宋体" w:hAnsi="宋体" w:cs="Times New Roman"/>
                <w:bCs/>
                <w:szCs w:val="21"/>
              </w:rPr>
            </w:pPr>
          </w:p>
          <w:p w14:paraId="79B8EC9B" w14:textId="77777777" w:rsidR="00361B23" w:rsidRPr="00361B23" w:rsidRDefault="00361B23" w:rsidP="00361B23">
            <w:pPr>
              <w:adjustRightInd w:val="0"/>
              <w:snapToGrid w:val="0"/>
              <w:rPr>
                <w:rFonts w:ascii="宋体" w:eastAsia="宋体" w:hAnsi="宋体" w:cs="Arial"/>
                <w:bCs/>
                <w:szCs w:val="21"/>
              </w:rPr>
            </w:pPr>
            <w:r w:rsidRPr="00361B23">
              <w:rPr>
                <w:rFonts w:ascii="宋体" w:eastAsia="宋体" w:hAnsi="宋体" w:cs="Times New Roman" w:hint="eastAsia"/>
                <w:bCs/>
                <w:szCs w:val="21"/>
              </w:rPr>
              <w:t>开放日的具体业务办理时间在招募说明书或其他相关公告中载明。</w:t>
            </w:r>
          </w:p>
        </w:tc>
      </w:tr>
      <w:tr w:rsidR="00361B23" w:rsidRPr="00361B23" w14:paraId="487BA79A" w14:textId="77777777" w:rsidTr="00CC1D7A">
        <w:trPr>
          <w:jc w:val="center"/>
        </w:trPr>
        <w:tc>
          <w:tcPr>
            <w:tcW w:w="2039" w:type="dxa"/>
            <w:tcBorders>
              <w:top w:val="single" w:sz="4" w:space="0" w:color="auto"/>
              <w:left w:val="single" w:sz="4" w:space="0" w:color="auto"/>
              <w:bottom w:val="single" w:sz="4" w:space="0" w:color="auto"/>
              <w:right w:val="single" w:sz="4" w:space="0" w:color="auto"/>
            </w:tcBorders>
          </w:tcPr>
          <w:p w14:paraId="040AF4A6" w14:textId="77777777" w:rsidR="00361B23" w:rsidRPr="00361B23" w:rsidRDefault="00361B23" w:rsidP="00361B23">
            <w:pPr>
              <w:jc w:val="center"/>
              <w:rPr>
                <w:rFonts w:ascii="宋体" w:eastAsia="宋体" w:hAnsi="宋体" w:cs="Times New Roman"/>
                <w:b/>
                <w:szCs w:val="21"/>
              </w:rPr>
            </w:pPr>
            <w:r w:rsidRPr="00361B23">
              <w:rPr>
                <w:rFonts w:ascii="宋体" w:eastAsia="宋体" w:hAnsi="宋体" w:cs="Times New Roman" w:hint="eastAsia"/>
                <w:b/>
                <w:szCs w:val="21"/>
              </w:rPr>
              <w:t>六、基金份额的申购与赎回</w:t>
            </w:r>
          </w:p>
        </w:tc>
        <w:tc>
          <w:tcPr>
            <w:tcW w:w="3910" w:type="dxa"/>
            <w:tcBorders>
              <w:top w:val="single" w:sz="4" w:space="0" w:color="auto"/>
              <w:left w:val="single" w:sz="4" w:space="0" w:color="auto"/>
              <w:bottom w:val="single" w:sz="4" w:space="0" w:color="auto"/>
              <w:right w:val="single" w:sz="4" w:space="0" w:color="auto"/>
            </w:tcBorders>
          </w:tcPr>
          <w:p w14:paraId="33583935"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(三)申购与赎回的原则</w:t>
            </w:r>
          </w:p>
          <w:p w14:paraId="5A9762DF"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1、“未知价”原则，即申购、赎回价格以T日收市后计算的各类基金份额的基金份额净值为基准进行计算；</w:t>
            </w:r>
          </w:p>
          <w:p w14:paraId="7CB8DCD3" w14:textId="77777777" w:rsidR="00361B23" w:rsidRPr="00361B23" w:rsidRDefault="00361B23" w:rsidP="00361B23">
            <w:pPr>
              <w:adjustRightInd w:val="0"/>
              <w:snapToGrid w:val="0"/>
              <w:rPr>
                <w:rFonts w:ascii="宋体" w:eastAsia="宋体" w:hAnsi="宋体" w:cs="Times New Roman"/>
                <w:szCs w:val="21"/>
              </w:rPr>
            </w:pPr>
            <w:r w:rsidRPr="00361B23">
              <w:rPr>
                <w:rFonts w:ascii="宋体" w:eastAsia="宋体" w:hAnsi="宋体" w:cs="Times New Roman" w:hint="eastAsia"/>
                <w:bCs/>
                <w:szCs w:val="21"/>
              </w:rPr>
              <w:t>3.A类基金份额赎回遵循“先进先出”原则，即按照投资人申（认）购的先后次序进行顺序赎回；</w:t>
            </w:r>
          </w:p>
        </w:tc>
        <w:tc>
          <w:tcPr>
            <w:tcW w:w="3690" w:type="dxa"/>
            <w:tcBorders>
              <w:top w:val="single" w:sz="4" w:space="0" w:color="auto"/>
              <w:left w:val="single" w:sz="4" w:space="0" w:color="auto"/>
              <w:bottom w:val="single" w:sz="4" w:space="0" w:color="auto"/>
              <w:right w:val="single" w:sz="4" w:space="0" w:color="auto"/>
            </w:tcBorders>
            <w:hideMark/>
          </w:tcPr>
          <w:p w14:paraId="5AFC865C"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(三)申购与赎回的原则</w:t>
            </w:r>
          </w:p>
          <w:p w14:paraId="24BB4D11"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1、“未知价”原则，即申购、赎回价格以T日收市后计算的基金份额净值为基准进行计算；</w:t>
            </w:r>
          </w:p>
          <w:p w14:paraId="40885041" w14:textId="77777777" w:rsidR="00361B23" w:rsidRPr="00361B23" w:rsidRDefault="00361B23" w:rsidP="00361B23">
            <w:pPr>
              <w:adjustRightInd w:val="0"/>
              <w:snapToGrid w:val="0"/>
              <w:rPr>
                <w:rFonts w:ascii="宋体" w:eastAsia="宋体" w:hAnsi="宋体" w:cs="Times New Roman"/>
                <w:szCs w:val="21"/>
              </w:rPr>
            </w:pPr>
            <w:r w:rsidRPr="00361B23">
              <w:rPr>
                <w:rFonts w:ascii="宋体" w:eastAsia="宋体" w:hAnsi="宋体" w:cs="Times New Roman" w:hint="eastAsia"/>
                <w:bCs/>
                <w:szCs w:val="21"/>
              </w:rPr>
              <w:t>3.赎回遵循“先进先出”原则，即按照投资人申（认）购的先后次序进行顺序赎回；</w:t>
            </w:r>
          </w:p>
        </w:tc>
      </w:tr>
      <w:tr w:rsidR="00361B23" w:rsidRPr="00361B23" w14:paraId="4D26BFF9" w14:textId="77777777" w:rsidTr="00CC1D7A">
        <w:trPr>
          <w:jc w:val="center"/>
        </w:trPr>
        <w:tc>
          <w:tcPr>
            <w:tcW w:w="2039" w:type="dxa"/>
            <w:tcBorders>
              <w:top w:val="single" w:sz="4" w:space="0" w:color="auto"/>
              <w:left w:val="single" w:sz="4" w:space="0" w:color="auto"/>
              <w:bottom w:val="single" w:sz="4" w:space="0" w:color="auto"/>
              <w:right w:val="single" w:sz="4" w:space="0" w:color="auto"/>
            </w:tcBorders>
            <w:hideMark/>
          </w:tcPr>
          <w:p w14:paraId="4AD99E8E" w14:textId="77777777" w:rsidR="00361B23" w:rsidRPr="00361B23" w:rsidRDefault="00361B23" w:rsidP="00361B23">
            <w:pPr>
              <w:jc w:val="center"/>
              <w:rPr>
                <w:rFonts w:ascii="宋体" w:eastAsia="宋体" w:hAnsi="宋体" w:cs="Times New Roman"/>
                <w:b/>
                <w:szCs w:val="21"/>
              </w:rPr>
            </w:pPr>
            <w:r w:rsidRPr="00361B23">
              <w:rPr>
                <w:rFonts w:ascii="宋体" w:eastAsia="宋体" w:hAnsi="宋体" w:cs="Times New Roman" w:hint="eastAsia"/>
                <w:b/>
                <w:szCs w:val="21"/>
              </w:rPr>
              <w:t>六、基金份额的申购与赎回</w:t>
            </w:r>
          </w:p>
        </w:tc>
        <w:tc>
          <w:tcPr>
            <w:tcW w:w="3910" w:type="dxa"/>
            <w:tcBorders>
              <w:top w:val="single" w:sz="4" w:space="0" w:color="auto"/>
              <w:left w:val="single" w:sz="4" w:space="0" w:color="auto"/>
              <w:bottom w:val="single" w:sz="4" w:space="0" w:color="auto"/>
              <w:right w:val="single" w:sz="4" w:space="0" w:color="auto"/>
            </w:tcBorders>
          </w:tcPr>
          <w:p w14:paraId="19A47EBC"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(四)申购与赎回的程序</w:t>
            </w:r>
          </w:p>
          <w:p w14:paraId="569EC145"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2.申购和赎回申请的确认</w:t>
            </w:r>
          </w:p>
          <w:p w14:paraId="23695F24"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T日规定时间受理的申请，正常情况下，本基金份额登记机构在T+1日内为投资人对该交易的有效性进行确认，在T＋2日后（包括该日）A类基金份额投资人可向中国大陆地区销售机构或以中国大陆地区销售机构规定的其他方式查询申购与赎回申请的确认情况。H类基金份额的开放日与A类基金份额的开放日有所不同，因此H类基金份额投资人向中国香港地区销售机构或以中国香港地区销售机</w:t>
            </w:r>
            <w:r w:rsidRPr="00361B23">
              <w:rPr>
                <w:rFonts w:ascii="宋体" w:eastAsia="宋体" w:hAnsi="宋体" w:cs="Times New Roman" w:hint="eastAsia"/>
                <w:bCs/>
                <w:szCs w:val="21"/>
              </w:rPr>
              <w:lastRenderedPageBreak/>
              <w:t>构规定的其他方式查询申购与赎回的确认情况的具体时间见招募说明书补充文件的规定或另行公告。</w:t>
            </w:r>
          </w:p>
        </w:tc>
        <w:tc>
          <w:tcPr>
            <w:tcW w:w="3690" w:type="dxa"/>
            <w:tcBorders>
              <w:top w:val="single" w:sz="4" w:space="0" w:color="auto"/>
              <w:left w:val="single" w:sz="4" w:space="0" w:color="auto"/>
              <w:bottom w:val="single" w:sz="4" w:space="0" w:color="auto"/>
              <w:right w:val="single" w:sz="4" w:space="0" w:color="auto"/>
            </w:tcBorders>
            <w:hideMark/>
          </w:tcPr>
          <w:p w14:paraId="1C73B136"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lastRenderedPageBreak/>
              <w:t>(四)申购与赎回的程序</w:t>
            </w:r>
          </w:p>
          <w:p w14:paraId="1D6222E3"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2.申购和赎回申请的确认</w:t>
            </w:r>
          </w:p>
          <w:p w14:paraId="58E10FC4"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T日规定时间受理的申请，正常情况下，本基金份额登记机构在T+1日内为投资人对该交易的有效性进行确认，在T＋2日后（包括该日）投资人可向销售机构或以销售机构规定的其他方式查询申购与赎回申请的确认情况。</w:t>
            </w:r>
          </w:p>
        </w:tc>
      </w:tr>
      <w:tr w:rsidR="00361B23" w:rsidRPr="00361B23" w14:paraId="75E48F1C" w14:textId="77777777" w:rsidTr="00CC1D7A">
        <w:trPr>
          <w:jc w:val="center"/>
        </w:trPr>
        <w:tc>
          <w:tcPr>
            <w:tcW w:w="2039" w:type="dxa"/>
            <w:tcBorders>
              <w:top w:val="single" w:sz="4" w:space="0" w:color="auto"/>
              <w:left w:val="single" w:sz="4" w:space="0" w:color="auto"/>
              <w:bottom w:val="single" w:sz="4" w:space="0" w:color="auto"/>
              <w:right w:val="single" w:sz="4" w:space="0" w:color="auto"/>
            </w:tcBorders>
          </w:tcPr>
          <w:p w14:paraId="629F9144" w14:textId="77777777" w:rsidR="00361B23" w:rsidRPr="00361B23" w:rsidRDefault="00361B23" w:rsidP="00361B23">
            <w:pPr>
              <w:jc w:val="center"/>
              <w:rPr>
                <w:rFonts w:ascii="宋体" w:eastAsia="宋体" w:hAnsi="宋体" w:cs="Times New Roman"/>
                <w:b/>
                <w:szCs w:val="21"/>
              </w:rPr>
            </w:pPr>
            <w:r w:rsidRPr="00361B23">
              <w:rPr>
                <w:rFonts w:ascii="宋体" w:eastAsia="宋体" w:hAnsi="宋体" w:cs="Times New Roman" w:hint="eastAsia"/>
                <w:b/>
                <w:szCs w:val="21"/>
              </w:rPr>
              <w:t>六、基金份额的申购与赎回</w:t>
            </w:r>
          </w:p>
        </w:tc>
        <w:tc>
          <w:tcPr>
            <w:tcW w:w="3910" w:type="dxa"/>
            <w:tcBorders>
              <w:top w:val="single" w:sz="4" w:space="0" w:color="auto"/>
              <w:left w:val="single" w:sz="4" w:space="0" w:color="auto"/>
              <w:bottom w:val="single" w:sz="4" w:space="0" w:color="auto"/>
              <w:right w:val="single" w:sz="4" w:space="0" w:color="auto"/>
            </w:tcBorders>
          </w:tcPr>
          <w:p w14:paraId="1E94C76E" w14:textId="77777777" w:rsidR="00361B23" w:rsidRPr="00361B23" w:rsidRDefault="00361B23" w:rsidP="00361B23">
            <w:pPr>
              <w:adjustRightInd w:val="0"/>
              <w:snapToGrid w:val="0"/>
              <w:rPr>
                <w:rFonts w:ascii="宋体" w:eastAsia="宋体" w:hAnsi="宋体" w:cs="Times New Roman"/>
                <w:bCs/>
                <w:szCs w:val="21"/>
              </w:rPr>
            </w:pPr>
            <w:r w:rsidRPr="00361B23">
              <w:rPr>
                <w:rFonts w:ascii="仿宋_GB2312" w:eastAsia="仿宋_GB2312" w:hAnsi="Calibri" w:cs="Times New Roman" w:hint="eastAsia"/>
                <w:sz w:val="24"/>
                <w:szCs w:val="18"/>
              </w:rPr>
              <w:t>(六)</w:t>
            </w:r>
            <w:r w:rsidRPr="00361B23">
              <w:rPr>
                <w:rFonts w:ascii="宋体" w:eastAsia="宋体" w:hAnsi="宋体" w:cs="Times New Roman" w:hint="eastAsia"/>
                <w:bCs/>
                <w:szCs w:val="21"/>
              </w:rPr>
              <w:t>申购和赎回的价格、费用及其用途</w:t>
            </w:r>
          </w:p>
          <w:p w14:paraId="4CB385C0" w14:textId="77777777" w:rsidR="00361B23" w:rsidRPr="00361B23" w:rsidRDefault="00361B23" w:rsidP="00361B23">
            <w:pPr>
              <w:adjustRightInd w:val="0"/>
              <w:snapToGrid w:val="0"/>
              <w:rPr>
                <w:rFonts w:ascii="宋体" w:eastAsia="宋体" w:hAnsi="宋体" w:cs="Times New Roman"/>
                <w:bCs/>
                <w:szCs w:val="21"/>
              </w:rPr>
            </w:pPr>
          </w:p>
          <w:p w14:paraId="1E1EF8D5"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1.基金申购份额的计算</w:t>
            </w:r>
          </w:p>
          <w:p w14:paraId="253CD44E"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本基金以申购金额为基数采用比例费率计算申购费用。本基金的申购费率由基金管理人决定，并在招募说明书中列示。本基金A类基金份额提供两种申购费用的支付模式。投资人可以选择前端收费模式，即在申购时支付申购费用；也可以选择后端收费模式，即在赎回时才支付相应的申购费用，该费用随基金份额的持有时间递减。H类基金份额投资人仅适用前端收费模式，即在申购时支付申购费用。基金申购份额具体的计算方法在招募说明书或其补充文件中列示。</w:t>
            </w:r>
          </w:p>
          <w:p w14:paraId="29A96E68"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4.申购份额余额的处理方式：A类基金份额投资人进行场外申购或H类基金份额投资人进行申购时，申购的有效份额为按实际确认的申购金额在扣除相应的费用后，以申请当日该类别的基金份额净值为基准计算，四舍五入保留到小数点后两位，由此误差产生的收益或损失由基金财产承担；场内申购A类基金份额时，申购的有效份额为按实际确认的申购金额在扣除相应的费用后，以申请当日A类基金份额净值为基准计算，保留到整数位，剩余部分折回金额返回投资人，折回金额的计算保留到小数点后2位，小数点2位以后的部分四舍五入，由此误差产生的收益或损失由基金财产承担。</w:t>
            </w:r>
          </w:p>
          <w:p w14:paraId="63FD5CDA"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5.赎回金额的处理方式：赎回金额为按实际确认的有效赎回份额乘以当日该类别基金份额净值并扣除相应的费用，赎回金额单位为元。上述计算结果均按四舍五入方法，保留到小数点后两位，由此误差产生的收益或损失由基金财产承担。</w:t>
            </w:r>
          </w:p>
          <w:p w14:paraId="09E00591" w14:textId="77777777" w:rsidR="00361B23" w:rsidRPr="00361B23" w:rsidRDefault="00361B23" w:rsidP="00361B23">
            <w:pPr>
              <w:adjustRightInd w:val="0"/>
              <w:snapToGrid w:val="0"/>
              <w:rPr>
                <w:rFonts w:ascii="宋体" w:eastAsia="宋体" w:hAnsi="宋体" w:cs="Times New Roman"/>
                <w:bCs/>
                <w:szCs w:val="21"/>
              </w:rPr>
            </w:pPr>
          </w:p>
          <w:p w14:paraId="72425481"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6.本基金A类/H类基金份额净值的计算，保留到小数点后4位，小数点后第5位四舍五入，由此产生的误差在基金财产中列支。</w:t>
            </w:r>
          </w:p>
          <w:p w14:paraId="75B0C7FB"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7.本基金的申购费用应在投资人申购基金份额时收取，不列入基金财产，主要用于本基金的市场推广、销售、注册登记等各项费用。</w:t>
            </w:r>
          </w:p>
          <w:p w14:paraId="19F4D069"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8.赎回费用由赎回基金份额的基金份额持有人承担，A类基金份额的赎回费总额</w:t>
            </w:r>
            <w:r w:rsidRPr="00361B23">
              <w:rPr>
                <w:rFonts w:ascii="宋体" w:eastAsia="宋体" w:hAnsi="宋体" w:cs="Times New Roman" w:hint="eastAsia"/>
                <w:bCs/>
                <w:szCs w:val="21"/>
              </w:rPr>
              <w:lastRenderedPageBreak/>
              <w:t>的25%归基金财产，75%用于支付注册登记费和其他必要的手续费，但对持续持有期少于7日的A类基金份额持有人收取不低于1.5%的赎回费并全额计入基金财产。H类基金份额的赎回费100%归基金财产。</w:t>
            </w:r>
          </w:p>
        </w:tc>
        <w:tc>
          <w:tcPr>
            <w:tcW w:w="3690" w:type="dxa"/>
            <w:tcBorders>
              <w:top w:val="single" w:sz="4" w:space="0" w:color="auto"/>
              <w:left w:val="single" w:sz="4" w:space="0" w:color="auto"/>
              <w:bottom w:val="single" w:sz="4" w:space="0" w:color="auto"/>
              <w:right w:val="single" w:sz="4" w:space="0" w:color="auto"/>
            </w:tcBorders>
          </w:tcPr>
          <w:p w14:paraId="5FEC1918" w14:textId="77777777" w:rsidR="00361B23" w:rsidRPr="00361B23" w:rsidRDefault="00361B23" w:rsidP="00361B23">
            <w:pPr>
              <w:adjustRightInd w:val="0"/>
              <w:snapToGrid w:val="0"/>
              <w:rPr>
                <w:rFonts w:ascii="宋体" w:eastAsia="宋体" w:hAnsi="宋体" w:cs="Times New Roman"/>
                <w:bCs/>
                <w:szCs w:val="21"/>
              </w:rPr>
            </w:pPr>
            <w:r w:rsidRPr="00361B23">
              <w:rPr>
                <w:rFonts w:ascii="仿宋_GB2312" w:eastAsia="仿宋_GB2312" w:hAnsi="Calibri" w:cs="Times New Roman" w:hint="eastAsia"/>
                <w:sz w:val="24"/>
                <w:szCs w:val="18"/>
              </w:rPr>
              <w:lastRenderedPageBreak/>
              <w:t>(六)</w:t>
            </w:r>
            <w:r w:rsidRPr="00361B23">
              <w:rPr>
                <w:rFonts w:ascii="宋体" w:eastAsia="宋体" w:hAnsi="宋体" w:cs="Times New Roman" w:hint="eastAsia"/>
                <w:bCs/>
                <w:szCs w:val="21"/>
              </w:rPr>
              <w:t>申购和赎回的价格、费用及其用途</w:t>
            </w:r>
          </w:p>
          <w:p w14:paraId="7F8B9C76"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1.基金申购份额的计算</w:t>
            </w:r>
          </w:p>
          <w:p w14:paraId="29FE468A"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本基金以申购金额为基数采用比例费率计算申购费用。本基金的申购费率由基金管理人决定，并在招募说明书中列示。本基金提供两种申购费用的支付模式。投资人可以选择前端收费模式，即在申购时支付申购费用；也可以选择后端收费模式，即在赎回时才支付相应的申购费用，该费用随基金份额的持有时间递减。</w:t>
            </w:r>
          </w:p>
          <w:p w14:paraId="1AE4F6B9" w14:textId="77777777" w:rsidR="00361B23" w:rsidRPr="00361B23" w:rsidRDefault="00361B23" w:rsidP="00361B23">
            <w:pPr>
              <w:adjustRightInd w:val="0"/>
              <w:snapToGrid w:val="0"/>
              <w:rPr>
                <w:rFonts w:ascii="宋体" w:eastAsia="宋体" w:hAnsi="宋体" w:cs="Times New Roman"/>
                <w:bCs/>
                <w:szCs w:val="21"/>
              </w:rPr>
            </w:pPr>
            <w:r w:rsidRPr="00361B23" w:rsidDel="00BC6BC3">
              <w:rPr>
                <w:rFonts w:ascii="宋体" w:eastAsia="宋体" w:hAnsi="宋体" w:cs="Times New Roman" w:hint="eastAsia"/>
                <w:bCs/>
                <w:szCs w:val="21"/>
              </w:rPr>
              <w:t xml:space="preserve"> </w:t>
            </w:r>
          </w:p>
          <w:p w14:paraId="5CD9E1D6" w14:textId="77777777" w:rsidR="00361B23" w:rsidRPr="00361B23" w:rsidRDefault="00361B23" w:rsidP="00361B23">
            <w:pPr>
              <w:adjustRightInd w:val="0"/>
              <w:snapToGrid w:val="0"/>
              <w:rPr>
                <w:rFonts w:ascii="宋体" w:eastAsia="宋体" w:hAnsi="宋体" w:cs="Times New Roman"/>
                <w:bCs/>
                <w:szCs w:val="21"/>
              </w:rPr>
            </w:pPr>
          </w:p>
          <w:p w14:paraId="2DB9A549" w14:textId="77777777" w:rsidR="00361B23" w:rsidRPr="00361B23" w:rsidRDefault="00361B23" w:rsidP="00361B23">
            <w:pPr>
              <w:adjustRightInd w:val="0"/>
              <w:snapToGrid w:val="0"/>
              <w:rPr>
                <w:rFonts w:ascii="宋体" w:eastAsia="宋体" w:hAnsi="宋体" w:cs="Times New Roman"/>
                <w:bCs/>
                <w:szCs w:val="21"/>
              </w:rPr>
            </w:pPr>
          </w:p>
          <w:p w14:paraId="4606B37E" w14:textId="77777777" w:rsidR="00361B23" w:rsidRPr="00361B23" w:rsidRDefault="00361B23" w:rsidP="00361B23">
            <w:pPr>
              <w:adjustRightInd w:val="0"/>
              <w:snapToGrid w:val="0"/>
              <w:rPr>
                <w:rFonts w:ascii="宋体" w:eastAsia="宋体" w:hAnsi="宋体" w:cs="Times New Roman"/>
                <w:bCs/>
                <w:szCs w:val="21"/>
              </w:rPr>
            </w:pPr>
          </w:p>
          <w:p w14:paraId="0A20B7AD"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4.申购份额余额的处理方式：投资人进行场外申购时，申购的有效份额为按实际确认的申购金额在扣除相应的费用后，以申请当日基金份额净值为基准计算，四舍五入保留到小数点后两位，由此误差产生的收益或损失由基金财产承担；场内申购时，申购的有效份额为按实际确认的申购金额在扣除相应的费用后，以申请当日基金份额净值为基准计算，保留到整数位，剩余部分折回金额返回投资人，折回金额的计算保留到小数点后2位，小数点2位以后的部分四舍五入，由此误差产生的收益或损失由基金财产承担。</w:t>
            </w:r>
          </w:p>
          <w:p w14:paraId="24332597" w14:textId="77777777" w:rsidR="00361B23" w:rsidRPr="00361B23" w:rsidRDefault="00361B23" w:rsidP="00361B23">
            <w:pPr>
              <w:adjustRightInd w:val="0"/>
              <w:snapToGrid w:val="0"/>
              <w:rPr>
                <w:rFonts w:ascii="宋体" w:eastAsia="宋体" w:hAnsi="宋体" w:cs="Times New Roman"/>
                <w:bCs/>
                <w:szCs w:val="21"/>
              </w:rPr>
            </w:pPr>
          </w:p>
          <w:p w14:paraId="5935DF1B"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5.赎回金额的处理方式：赎回金额为按实际确认的有效赎回份额乘以当日基金份额净值并扣除相应的费用，赎回金额单位为元。上述计算结果均按四舍五入方法，保留到小数点后两位，由此误差产生的收益或损失由基金财产承担。</w:t>
            </w:r>
          </w:p>
          <w:p w14:paraId="02BCF311"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6.本基金份额净值的计算，保留到小数点后4位，小数点后第5位四舍五入，由此产生的误差在基金财产中列支。</w:t>
            </w:r>
          </w:p>
          <w:p w14:paraId="25C58801" w14:textId="77777777" w:rsidR="00361B23" w:rsidRPr="00361B23" w:rsidRDefault="00361B23" w:rsidP="00361B23">
            <w:pPr>
              <w:adjustRightInd w:val="0"/>
              <w:snapToGrid w:val="0"/>
              <w:rPr>
                <w:rFonts w:ascii="宋体" w:eastAsia="宋体" w:hAnsi="宋体" w:cs="Times New Roman"/>
                <w:bCs/>
                <w:szCs w:val="21"/>
              </w:rPr>
            </w:pPr>
          </w:p>
          <w:p w14:paraId="25FF4404"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7.申购费用由投资人承担，不列入基金财产，主要用于本基金的市场推广、销售、注册登记等各项费用。</w:t>
            </w:r>
          </w:p>
          <w:p w14:paraId="4CE11A08" w14:textId="77777777" w:rsidR="00361B23" w:rsidRPr="00361B23" w:rsidRDefault="00361B23" w:rsidP="00361B23">
            <w:pPr>
              <w:adjustRightInd w:val="0"/>
              <w:snapToGrid w:val="0"/>
              <w:rPr>
                <w:rFonts w:ascii="宋体" w:eastAsia="宋体" w:hAnsi="宋体" w:cs="Times New Roman"/>
                <w:bCs/>
                <w:szCs w:val="21"/>
              </w:rPr>
            </w:pPr>
          </w:p>
          <w:p w14:paraId="72B070CE"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8.赎回费用由赎回基金份额的基金份额持有人承担，赎回费总额的25%归基</w:t>
            </w:r>
            <w:r w:rsidRPr="00361B23">
              <w:rPr>
                <w:rFonts w:ascii="宋体" w:eastAsia="宋体" w:hAnsi="宋体" w:cs="Times New Roman" w:hint="eastAsia"/>
                <w:bCs/>
                <w:szCs w:val="21"/>
              </w:rPr>
              <w:lastRenderedPageBreak/>
              <w:t>金财产，75%用于支付注册登记费和其他必要的手续费，但对持续持有期少于7日的基金份额持有人收取不低于1.5%的赎回费并全额计入基金财产。</w:t>
            </w:r>
          </w:p>
        </w:tc>
      </w:tr>
      <w:tr w:rsidR="00361B23" w:rsidRPr="00361B23" w14:paraId="565AB526" w14:textId="77777777" w:rsidTr="00CC1D7A">
        <w:trPr>
          <w:jc w:val="center"/>
        </w:trPr>
        <w:tc>
          <w:tcPr>
            <w:tcW w:w="2039" w:type="dxa"/>
            <w:tcBorders>
              <w:top w:val="single" w:sz="4" w:space="0" w:color="auto"/>
              <w:left w:val="single" w:sz="4" w:space="0" w:color="auto"/>
              <w:bottom w:val="single" w:sz="4" w:space="0" w:color="auto"/>
              <w:right w:val="single" w:sz="4" w:space="0" w:color="auto"/>
            </w:tcBorders>
            <w:hideMark/>
          </w:tcPr>
          <w:p w14:paraId="5C53242D" w14:textId="77777777" w:rsidR="00361B23" w:rsidRPr="00361B23" w:rsidRDefault="00361B23" w:rsidP="00361B23">
            <w:pPr>
              <w:jc w:val="center"/>
              <w:rPr>
                <w:rFonts w:ascii="宋体" w:eastAsia="宋体" w:hAnsi="宋体" w:cs="Times New Roman"/>
                <w:b/>
                <w:szCs w:val="21"/>
              </w:rPr>
            </w:pPr>
            <w:r w:rsidRPr="00361B23">
              <w:rPr>
                <w:rFonts w:ascii="宋体" w:eastAsia="宋体" w:hAnsi="宋体" w:cs="Times New Roman" w:hint="eastAsia"/>
                <w:b/>
                <w:szCs w:val="21"/>
              </w:rPr>
              <w:lastRenderedPageBreak/>
              <w:t>六、基金份额的申购与赎回</w:t>
            </w:r>
          </w:p>
        </w:tc>
        <w:tc>
          <w:tcPr>
            <w:tcW w:w="3910" w:type="dxa"/>
            <w:tcBorders>
              <w:top w:val="single" w:sz="4" w:space="0" w:color="auto"/>
              <w:left w:val="single" w:sz="4" w:space="0" w:color="auto"/>
              <w:bottom w:val="single" w:sz="4" w:space="0" w:color="auto"/>
              <w:right w:val="single" w:sz="4" w:space="0" w:color="auto"/>
            </w:tcBorders>
          </w:tcPr>
          <w:p w14:paraId="7C9FA7B0" w14:textId="77777777" w:rsidR="00361B23" w:rsidRPr="00361B23" w:rsidRDefault="00361B23" w:rsidP="00361B23">
            <w:pPr>
              <w:adjustRightInd w:val="0"/>
              <w:snapToGrid w:val="0"/>
              <w:ind w:firstLineChars="14" w:firstLine="29"/>
              <w:rPr>
                <w:rFonts w:ascii="宋体" w:eastAsia="宋体" w:hAnsi="宋体" w:cs="Times New Roman"/>
                <w:bCs/>
                <w:szCs w:val="21"/>
              </w:rPr>
            </w:pPr>
            <w:r w:rsidRPr="00361B23">
              <w:rPr>
                <w:rFonts w:ascii="宋体" w:eastAsia="宋体" w:hAnsi="宋体" w:cs="Times New Roman" w:hint="eastAsia"/>
                <w:bCs/>
                <w:szCs w:val="21"/>
              </w:rPr>
              <w:t>(七)拒绝或暂停申购的情形</w:t>
            </w:r>
          </w:p>
          <w:p w14:paraId="13F106DF" w14:textId="77777777" w:rsidR="00361B23" w:rsidRPr="00361B23" w:rsidRDefault="00361B23" w:rsidP="00361B23">
            <w:pPr>
              <w:adjustRightInd w:val="0"/>
              <w:snapToGrid w:val="0"/>
              <w:ind w:firstLineChars="14" w:firstLine="29"/>
              <w:rPr>
                <w:rFonts w:ascii="宋体" w:eastAsia="宋体" w:hAnsi="宋体" w:cs="Times New Roman"/>
                <w:bCs/>
                <w:szCs w:val="21"/>
              </w:rPr>
            </w:pPr>
            <w:r w:rsidRPr="00361B23">
              <w:rPr>
                <w:rFonts w:ascii="宋体" w:eastAsia="宋体" w:hAnsi="宋体" w:cs="Times New Roman" w:hint="eastAsia"/>
                <w:bCs/>
                <w:szCs w:val="21"/>
              </w:rPr>
              <w:t>8.H类基金份额的资产规模占基金总资产的比例高于50%时，暂停接受H类基金份额的申购。</w:t>
            </w:r>
          </w:p>
          <w:p w14:paraId="20A15D46" w14:textId="77777777" w:rsidR="00361B23" w:rsidRPr="00361B23" w:rsidRDefault="00361B23" w:rsidP="00361B23">
            <w:pPr>
              <w:adjustRightInd w:val="0"/>
              <w:snapToGrid w:val="0"/>
              <w:ind w:firstLineChars="14" w:firstLine="29"/>
              <w:rPr>
                <w:rFonts w:ascii="宋体" w:eastAsia="宋体" w:hAnsi="宋体" w:cs="Times New Roman"/>
                <w:bCs/>
                <w:szCs w:val="21"/>
              </w:rPr>
            </w:pPr>
            <w:r w:rsidRPr="00361B23">
              <w:rPr>
                <w:rFonts w:ascii="宋体" w:eastAsia="宋体" w:hAnsi="宋体" w:cs="Times New Roman" w:hint="eastAsia"/>
                <w:bCs/>
                <w:szCs w:val="21"/>
              </w:rPr>
              <w:t>9.全部内地互认基金的人民币跨境金额达到或超过国家规定的总额度时，暂停接受H类基金份额的申购。</w:t>
            </w:r>
            <w:bookmarkStart w:id="1" w:name="OLE_LINK30"/>
            <w:bookmarkStart w:id="2" w:name="OLE_LINK31"/>
          </w:p>
          <w:p w14:paraId="69840C1C" w14:textId="77777777" w:rsidR="00361B23" w:rsidRPr="00361B23" w:rsidRDefault="00361B23" w:rsidP="00361B23">
            <w:pPr>
              <w:adjustRightInd w:val="0"/>
              <w:snapToGrid w:val="0"/>
              <w:ind w:firstLineChars="14" w:firstLine="29"/>
              <w:rPr>
                <w:rFonts w:ascii="宋体" w:eastAsia="宋体" w:hAnsi="宋体" w:cs="Times New Roman"/>
                <w:bCs/>
                <w:szCs w:val="21"/>
              </w:rPr>
            </w:pPr>
            <w:r w:rsidRPr="00361B23">
              <w:rPr>
                <w:rFonts w:ascii="宋体" w:eastAsia="宋体" w:hAnsi="宋体" w:cs="Times New Roman" w:hint="eastAsia"/>
                <w:bCs/>
                <w:szCs w:val="21"/>
              </w:rPr>
              <w:t>发生上述1－4、7-10项暂停申购情形时，基金管理人应当根据有关规定在中国证监会指定媒介上刊登暂停申购公告。如果投资人的申购申请被拒绝，被拒绝的申购款项将退还给投资人。在暂停申购的情况消除时，基金管理人应及时恢复申购业务的办理。发生上述H类份额暂停申购的情形时，针对中国香港地区投资人的公告要求，具体请参见招募说明书或其补充文件的规定。</w:t>
            </w:r>
            <w:bookmarkEnd w:id="1"/>
            <w:bookmarkEnd w:id="2"/>
          </w:p>
        </w:tc>
        <w:tc>
          <w:tcPr>
            <w:tcW w:w="3690" w:type="dxa"/>
            <w:tcBorders>
              <w:top w:val="single" w:sz="4" w:space="0" w:color="auto"/>
              <w:left w:val="single" w:sz="4" w:space="0" w:color="auto"/>
              <w:bottom w:val="single" w:sz="4" w:space="0" w:color="auto"/>
              <w:right w:val="single" w:sz="4" w:space="0" w:color="auto"/>
            </w:tcBorders>
          </w:tcPr>
          <w:p w14:paraId="09D18B88" w14:textId="77777777" w:rsidR="00361B23" w:rsidRPr="00361B23" w:rsidRDefault="00361B23" w:rsidP="00361B23">
            <w:pPr>
              <w:adjustRightInd w:val="0"/>
              <w:snapToGrid w:val="0"/>
              <w:ind w:firstLineChars="14" w:firstLine="29"/>
              <w:rPr>
                <w:rFonts w:ascii="宋体" w:eastAsia="宋体" w:hAnsi="宋体" w:cs="Times New Roman"/>
                <w:bCs/>
                <w:szCs w:val="21"/>
              </w:rPr>
            </w:pPr>
            <w:r w:rsidRPr="00361B23">
              <w:rPr>
                <w:rFonts w:ascii="宋体" w:eastAsia="宋体" w:hAnsi="宋体" w:cs="Times New Roman" w:hint="eastAsia"/>
                <w:bCs/>
                <w:szCs w:val="21"/>
              </w:rPr>
              <w:t>(七)拒绝或暂停申购的情形</w:t>
            </w:r>
          </w:p>
          <w:p w14:paraId="46E28F76" w14:textId="77777777" w:rsidR="00361B23" w:rsidRPr="00361B23" w:rsidRDefault="00361B23" w:rsidP="00361B23">
            <w:pPr>
              <w:adjustRightInd w:val="0"/>
              <w:snapToGrid w:val="0"/>
              <w:ind w:firstLineChars="14" w:firstLine="29"/>
              <w:rPr>
                <w:rFonts w:ascii="宋体" w:eastAsia="宋体" w:hAnsi="宋体" w:cs="Times New Roman"/>
                <w:bCs/>
                <w:szCs w:val="21"/>
              </w:rPr>
            </w:pPr>
          </w:p>
          <w:p w14:paraId="7CA67E66" w14:textId="77777777" w:rsidR="00361B23" w:rsidRPr="00361B23" w:rsidRDefault="00361B23" w:rsidP="00361B23">
            <w:pPr>
              <w:adjustRightInd w:val="0"/>
              <w:snapToGrid w:val="0"/>
              <w:ind w:firstLineChars="14" w:firstLine="29"/>
              <w:rPr>
                <w:rFonts w:ascii="宋体" w:eastAsia="宋体" w:hAnsi="宋体" w:cs="Times New Roman"/>
                <w:bCs/>
                <w:szCs w:val="21"/>
              </w:rPr>
            </w:pPr>
          </w:p>
          <w:p w14:paraId="1A4C1BC6" w14:textId="77777777" w:rsidR="00361B23" w:rsidRPr="00361B23" w:rsidRDefault="00361B23" w:rsidP="00361B23">
            <w:pPr>
              <w:adjustRightInd w:val="0"/>
              <w:snapToGrid w:val="0"/>
              <w:ind w:firstLineChars="14" w:firstLine="29"/>
              <w:rPr>
                <w:rFonts w:ascii="宋体" w:eastAsia="宋体" w:hAnsi="宋体" w:cs="Times New Roman"/>
                <w:bCs/>
                <w:szCs w:val="21"/>
              </w:rPr>
            </w:pPr>
          </w:p>
          <w:p w14:paraId="74D23333" w14:textId="77777777" w:rsidR="00361B23" w:rsidRPr="00361B23" w:rsidRDefault="00361B23" w:rsidP="00361B23">
            <w:pPr>
              <w:adjustRightInd w:val="0"/>
              <w:snapToGrid w:val="0"/>
              <w:ind w:firstLineChars="14" w:firstLine="29"/>
              <w:rPr>
                <w:rFonts w:ascii="宋体" w:eastAsia="宋体" w:hAnsi="宋体" w:cs="Times New Roman"/>
                <w:bCs/>
                <w:szCs w:val="21"/>
              </w:rPr>
            </w:pPr>
          </w:p>
          <w:p w14:paraId="3F03152D" w14:textId="77777777" w:rsidR="00361B23" w:rsidRPr="00361B23" w:rsidRDefault="00361B23" w:rsidP="00361B23">
            <w:pPr>
              <w:adjustRightInd w:val="0"/>
              <w:snapToGrid w:val="0"/>
              <w:ind w:firstLineChars="14" w:firstLine="29"/>
              <w:rPr>
                <w:rFonts w:ascii="宋体" w:eastAsia="宋体" w:hAnsi="宋体" w:cs="Times New Roman"/>
                <w:bCs/>
                <w:szCs w:val="21"/>
              </w:rPr>
            </w:pPr>
          </w:p>
          <w:p w14:paraId="74503DAE" w14:textId="77777777" w:rsidR="00361B23" w:rsidRPr="00361B23" w:rsidRDefault="00361B23" w:rsidP="00361B23">
            <w:pPr>
              <w:adjustRightInd w:val="0"/>
              <w:snapToGrid w:val="0"/>
              <w:ind w:firstLineChars="14" w:firstLine="29"/>
              <w:rPr>
                <w:rFonts w:ascii="宋体" w:eastAsia="宋体" w:hAnsi="宋体" w:cs="Times New Roman"/>
                <w:bCs/>
                <w:szCs w:val="21"/>
              </w:rPr>
            </w:pPr>
          </w:p>
          <w:p w14:paraId="455B305A" w14:textId="77777777" w:rsidR="00361B23" w:rsidRPr="00361B23" w:rsidRDefault="00361B23" w:rsidP="00361B23">
            <w:pPr>
              <w:adjustRightInd w:val="0"/>
              <w:snapToGrid w:val="0"/>
              <w:ind w:firstLineChars="14" w:firstLine="29"/>
              <w:rPr>
                <w:rFonts w:ascii="宋体" w:eastAsia="宋体" w:hAnsi="宋体" w:cs="Times New Roman"/>
                <w:bCs/>
                <w:szCs w:val="21"/>
              </w:rPr>
            </w:pPr>
            <w:r w:rsidRPr="00361B23">
              <w:rPr>
                <w:rFonts w:ascii="宋体" w:eastAsia="宋体" w:hAnsi="宋体" w:cs="Times New Roman" w:hint="eastAsia"/>
                <w:bCs/>
                <w:szCs w:val="21"/>
              </w:rPr>
              <w:t>发生上述1－4、7、8项暂停申购情形时，基金管理人应当根据有关规定在中国证监会指定媒介上刊登暂停申购公告。如果投资人的申购申请被拒绝，被拒绝的申购款项将退还给投资人。在暂停申购的情况消除时，基金管理人应及时恢复申购业务的办理。</w:t>
            </w:r>
          </w:p>
        </w:tc>
      </w:tr>
      <w:tr w:rsidR="00361B23" w:rsidRPr="00361B23" w14:paraId="5652F61B" w14:textId="77777777" w:rsidTr="00CC1D7A">
        <w:trPr>
          <w:jc w:val="center"/>
        </w:trPr>
        <w:tc>
          <w:tcPr>
            <w:tcW w:w="2039" w:type="dxa"/>
            <w:tcBorders>
              <w:top w:val="single" w:sz="4" w:space="0" w:color="auto"/>
              <w:left w:val="single" w:sz="4" w:space="0" w:color="auto"/>
              <w:bottom w:val="single" w:sz="4" w:space="0" w:color="auto"/>
              <w:right w:val="single" w:sz="4" w:space="0" w:color="auto"/>
            </w:tcBorders>
            <w:hideMark/>
          </w:tcPr>
          <w:p w14:paraId="70E46571" w14:textId="77777777" w:rsidR="00361B23" w:rsidRPr="00361B23" w:rsidRDefault="00361B23" w:rsidP="00361B23">
            <w:pPr>
              <w:jc w:val="center"/>
              <w:rPr>
                <w:rFonts w:ascii="宋体" w:eastAsia="宋体" w:hAnsi="宋体" w:cs="Times New Roman"/>
                <w:b/>
                <w:szCs w:val="21"/>
              </w:rPr>
            </w:pPr>
            <w:r w:rsidRPr="00361B23">
              <w:rPr>
                <w:rFonts w:ascii="宋体" w:eastAsia="宋体" w:hAnsi="宋体" w:cs="Times New Roman" w:hint="eastAsia"/>
                <w:b/>
                <w:szCs w:val="21"/>
              </w:rPr>
              <w:t>六、基金份额的申购与赎回</w:t>
            </w:r>
          </w:p>
        </w:tc>
        <w:tc>
          <w:tcPr>
            <w:tcW w:w="3910" w:type="dxa"/>
            <w:tcBorders>
              <w:top w:val="single" w:sz="4" w:space="0" w:color="auto"/>
              <w:left w:val="single" w:sz="4" w:space="0" w:color="auto"/>
              <w:bottom w:val="single" w:sz="4" w:space="0" w:color="auto"/>
              <w:right w:val="single" w:sz="4" w:space="0" w:color="auto"/>
            </w:tcBorders>
          </w:tcPr>
          <w:p w14:paraId="05149CCF" w14:textId="77777777" w:rsidR="00361B23" w:rsidRPr="00361B23" w:rsidRDefault="00361B23" w:rsidP="00361B23">
            <w:pPr>
              <w:adjustRightInd w:val="0"/>
              <w:snapToGrid w:val="0"/>
              <w:ind w:firstLineChars="14" w:firstLine="29"/>
              <w:rPr>
                <w:rFonts w:ascii="宋体" w:eastAsia="宋体" w:hAnsi="宋体" w:cs="Times New Roman"/>
                <w:bCs/>
                <w:szCs w:val="21"/>
              </w:rPr>
            </w:pPr>
            <w:r w:rsidRPr="00361B23">
              <w:rPr>
                <w:rFonts w:ascii="宋体" w:eastAsia="宋体" w:hAnsi="宋体" w:cs="Times New Roman" w:hint="eastAsia"/>
                <w:bCs/>
                <w:szCs w:val="21"/>
              </w:rPr>
              <w:t>(九)巨额赎回的情形及处理方式</w:t>
            </w:r>
          </w:p>
          <w:p w14:paraId="02D07550" w14:textId="77777777" w:rsidR="00361B23" w:rsidRPr="00361B23" w:rsidRDefault="00361B23" w:rsidP="00361B23">
            <w:pPr>
              <w:adjustRightInd w:val="0"/>
              <w:snapToGrid w:val="0"/>
              <w:ind w:firstLineChars="14" w:firstLine="29"/>
              <w:rPr>
                <w:rFonts w:ascii="宋体" w:eastAsia="宋体" w:hAnsi="宋体" w:cs="Times New Roman"/>
                <w:bCs/>
                <w:szCs w:val="21"/>
              </w:rPr>
            </w:pPr>
            <w:r w:rsidRPr="00361B23">
              <w:rPr>
                <w:rFonts w:ascii="宋体" w:eastAsia="宋体" w:hAnsi="宋体" w:cs="Times New Roman" w:hint="eastAsia"/>
                <w:bCs/>
                <w:szCs w:val="21"/>
              </w:rPr>
              <w:t>2.巨额赎回的处理方式</w:t>
            </w:r>
          </w:p>
          <w:p w14:paraId="123135D0" w14:textId="77777777" w:rsidR="00361B23" w:rsidRPr="00361B23" w:rsidRDefault="00361B23" w:rsidP="00361B23">
            <w:pPr>
              <w:adjustRightInd w:val="0"/>
              <w:snapToGrid w:val="0"/>
              <w:ind w:firstLineChars="14" w:firstLine="29"/>
              <w:rPr>
                <w:rFonts w:ascii="宋体" w:eastAsia="宋体" w:hAnsi="宋体" w:cs="Times New Roman"/>
                <w:bCs/>
                <w:szCs w:val="21"/>
              </w:rPr>
            </w:pPr>
            <w:r w:rsidRPr="00361B23">
              <w:rPr>
                <w:rFonts w:ascii="宋体" w:eastAsia="宋体" w:hAnsi="宋体" w:cs="Times New Roman" w:hint="eastAsia"/>
                <w:bCs/>
                <w:szCs w:val="21"/>
              </w:rPr>
              <w:t>(2)部分顺延赎回：当基金管理人认为支付投资人的赎回申请有困难或认为支付投资人的赎回申请而进行的财产变现可能会对基金资产净值造成较大波动时，基金管理人在当日接受赎回比例不低于上一日基金总份额的10％的前提下，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对应类别基金份额净值为基础计算赎回金额，并以此类推，直到全部赎回为止。如投资人在提交赎回申请时未作明确选择，投资人未能赎回部分作自动延期赎回处理。中国香港地区销售机构对持有H类基金份额投资者的选择权另有规定的，按其规定办理。</w:t>
            </w:r>
          </w:p>
          <w:p w14:paraId="04EA2570" w14:textId="77777777" w:rsidR="00361B23" w:rsidRPr="00361B23" w:rsidRDefault="00361B23" w:rsidP="00361B23">
            <w:pPr>
              <w:adjustRightInd w:val="0"/>
              <w:snapToGrid w:val="0"/>
              <w:ind w:firstLineChars="14" w:firstLine="29"/>
              <w:rPr>
                <w:rFonts w:ascii="宋体" w:eastAsia="宋体" w:hAnsi="宋体" w:cs="Times New Roman"/>
                <w:bCs/>
                <w:szCs w:val="21"/>
              </w:rPr>
            </w:pPr>
            <w:r w:rsidRPr="00361B23">
              <w:rPr>
                <w:rFonts w:ascii="宋体" w:eastAsia="宋体" w:hAnsi="宋体" w:cs="Times New Roman" w:hint="eastAsia"/>
                <w:bCs/>
                <w:szCs w:val="21"/>
              </w:rPr>
              <w:t>本基金发生巨额赎回且单个基金份额持</w:t>
            </w:r>
            <w:r w:rsidRPr="00361B23">
              <w:rPr>
                <w:rFonts w:ascii="宋体" w:eastAsia="宋体" w:hAnsi="宋体" w:cs="Times New Roman" w:hint="eastAsia"/>
                <w:bCs/>
                <w:szCs w:val="21"/>
              </w:rPr>
              <w:lastRenderedPageBreak/>
              <w:t>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顺延赎回”的约定方式与其他基金份额持有人的赎回申请一并办理。但是，如该类基金份额持有人在当日选择取消赎回，则其当日未获受理的部分赎回申请将被撤销。</w:t>
            </w:r>
          </w:p>
          <w:p w14:paraId="25AAFF00" w14:textId="77777777" w:rsidR="00361B23" w:rsidRPr="00361B23" w:rsidRDefault="00361B23" w:rsidP="00361B23">
            <w:pPr>
              <w:adjustRightInd w:val="0"/>
              <w:snapToGrid w:val="0"/>
              <w:rPr>
                <w:rFonts w:ascii="宋体" w:eastAsia="宋体" w:hAnsi="宋体" w:cs="Times New Roman"/>
                <w:bCs/>
                <w:szCs w:val="21"/>
              </w:rPr>
            </w:pPr>
          </w:p>
        </w:tc>
        <w:tc>
          <w:tcPr>
            <w:tcW w:w="3690" w:type="dxa"/>
            <w:tcBorders>
              <w:top w:val="single" w:sz="4" w:space="0" w:color="auto"/>
              <w:left w:val="single" w:sz="4" w:space="0" w:color="auto"/>
              <w:bottom w:val="single" w:sz="4" w:space="0" w:color="auto"/>
              <w:right w:val="single" w:sz="4" w:space="0" w:color="auto"/>
            </w:tcBorders>
            <w:hideMark/>
          </w:tcPr>
          <w:p w14:paraId="2C055727" w14:textId="77777777" w:rsidR="00361B23" w:rsidRPr="00361B23" w:rsidRDefault="00361B23" w:rsidP="00361B23">
            <w:pPr>
              <w:adjustRightInd w:val="0"/>
              <w:snapToGrid w:val="0"/>
              <w:ind w:firstLineChars="14" w:firstLine="29"/>
              <w:rPr>
                <w:rFonts w:ascii="宋体" w:eastAsia="宋体" w:hAnsi="宋体" w:cs="Times New Roman"/>
                <w:bCs/>
                <w:szCs w:val="21"/>
              </w:rPr>
            </w:pPr>
            <w:r w:rsidRPr="00361B23">
              <w:rPr>
                <w:rFonts w:ascii="宋体" w:eastAsia="宋体" w:hAnsi="宋体" w:cs="Times New Roman" w:hint="eastAsia"/>
                <w:bCs/>
                <w:szCs w:val="21"/>
              </w:rPr>
              <w:lastRenderedPageBreak/>
              <w:t>(九)巨额赎回的情形及处理方式</w:t>
            </w:r>
          </w:p>
          <w:p w14:paraId="63ED36D4" w14:textId="77777777" w:rsidR="00361B23" w:rsidRPr="00361B23" w:rsidRDefault="00361B23" w:rsidP="00361B23">
            <w:pPr>
              <w:adjustRightInd w:val="0"/>
              <w:snapToGrid w:val="0"/>
              <w:ind w:firstLineChars="14" w:firstLine="29"/>
              <w:rPr>
                <w:rFonts w:ascii="宋体" w:eastAsia="宋体" w:hAnsi="宋体" w:cs="Times New Roman"/>
                <w:bCs/>
                <w:szCs w:val="21"/>
              </w:rPr>
            </w:pPr>
            <w:r w:rsidRPr="00361B23">
              <w:rPr>
                <w:rFonts w:ascii="宋体" w:eastAsia="宋体" w:hAnsi="宋体" w:cs="Times New Roman" w:hint="eastAsia"/>
                <w:bCs/>
                <w:szCs w:val="21"/>
              </w:rPr>
              <w:t>2.巨额赎回的处理方式</w:t>
            </w:r>
          </w:p>
          <w:p w14:paraId="1E5D3DAE" w14:textId="77777777" w:rsidR="00361B23" w:rsidRPr="00361B23" w:rsidRDefault="00361B23" w:rsidP="00361B23">
            <w:pPr>
              <w:adjustRightInd w:val="0"/>
              <w:snapToGrid w:val="0"/>
              <w:ind w:firstLineChars="14" w:firstLine="29"/>
              <w:rPr>
                <w:rFonts w:ascii="宋体" w:eastAsia="宋体" w:hAnsi="宋体" w:cs="Times New Roman"/>
                <w:bCs/>
                <w:szCs w:val="21"/>
              </w:rPr>
            </w:pPr>
            <w:r w:rsidRPr="00361B23">
              <w:rPr>
                <w:rFonts w:ascii="宋体" w:eastAsia="宋体" w:hAnsi="宋体" w:cs="Times New Roman" w:hint="eastAsia"/>
                <w:bCs/>
                <w:szCs w:val="21"/>
              </w:rPr>
              <w:t>(2)部分顺延赎回：当基金管理人认为支付投资人的赎回申请有困难或认为支付投资人的赎回申请而进行的财产变现可能会对基金资产净值造成较大波动时，基金管理人在当日接受赎回比例不低于上一日基金总份额的10％的前提下，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基金份额净值为基础计算赎回金额，并以此类推，直到全部赎回为止。如投资人在提交赎回申请时未作明确选择，投资人未能赎回部分作自动延期赎回处理。</w:t>
            </w:r>
          </w:p>
          <w:p w14:paraId="7A140DCE" w14:textId="77777777" w:rsidR="00361B23" w:rsidRPr="00361B23" w:rsidRDefault="00361B23" w:rsidP="00361B23">
            <w:pPr>
              <w:adjustRightInd w:val="0"/>
              <w:snapToGrid w:val="0"/>
              <w:ind w:firstLineChars="14" w:firstLine="29"/>
              <w:rPr>
                <w:rFonts w:ascii="宋体" w:eastAsia="宋体" w:hAnsi="宋体" w:cs="Times New Roman"/>
                <w:bCs/>
                <w:szCs w:val="21"/>
              </w:rPr>
            </w:pPr>
          </w:p>
          <w:p w14:paraId="6E62909E" w14:textId="77777777" w:rsidR="00361B23" w:rsidRPr="00361B23" w:rsidRDefault="00361B23" w:rsidP="00361B23">
            <w:pPr>
              <w:adjustRightInd w:val="0"/>
              <w:snapToGrid w:val="0"/>
              <w:ind w:firstLineChars="14" w:firstLine="29"/>
              <w:rPr>
                <w:rFonts w:ascii="宋体" w:eastAsia="宋体" w:hAnsi="宋体" w:cs="Times New Roman"/>
                <w:bCs/>
                <w:szCs w:val="21"/>
              </w:rPr>
            </w:pPr>
            <w:r w:rsidRPr="00361B23">
              <w:rPr>
                <w:rFonts w:ascii="宋体" w:eastAsia="宋体" w:hAnsi="宋体" w:cs="Times New Roman" w:hint="eastAsia"/>
                <w:bCs/>
                <w:szCs w:val="21"/>
              </w:rPr>
              <w:t>本基金发生巨额赎回且单个基金份额</w:t>
            </w:r>
            <w:r w:rsidRPr="00361B23">
              <w:rPr>
                <w:rFonts w:ascii="宋体" w:eastAsia="宋体" w:hAnsi="宋体" w:cs="Times New Roman" w:hint="eastAsia"/>
                <w:bCs/>
                <w:szCs w:val="21"/>
              </w:rPr>
              <w:lastRenderedPageBreak/>
              <w:t>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顺延赎回”的约定方式与其他基金份额持有人的赎回申请一并办理。但是，如基金份额持有人在当日选择取消赎回，则其当日未获受理的部分赎回申请将被撤销。</w:t>
            </w:r>
          </w:p>
        </w:tc>
      </w:tr>
      <w:tr w:rsidR="00361B23" w:rsidRPr="00361B23" w14:paraId="5AD67EBA" w14:textId="77777777" w:rsidTr="00CC1D7A">
        <w:trPr>
          <w:jc w:val="center"/>
        </w:trPr>
        <w:tc>
          <w:tcPr>
            <w:tcW w:w="2039" w:type="dxa"/>
            <w:tcBorders>
              <w:top w:val="single" w:sz="4" w:space="0" w:color="auto"/>
              <w:left w:val="single" w:sz="4" w:space="0" w:color="auto"/>
              <w:bottom w:val="single" w:sz="4" w:space="0" w:color="auto"/>
              <w:right w:val="single" w:sz="4" w:space="0" w:color="auto"/>
            </w:tcBorders>
            <w:hideMark/>
          </w:tcPr>
          <w:p w14:paraId="47B85BA0" w14:textId="77777777" w:rsidR="00361B23" w:rsidRPr="00361B23" w:rsidRDefault="00361B23" w:rsidP="00361B23">
            <w:pPr>
              <w:jc w:val="center"/>
              <w:rPr>
                <w:rFonts w:ascii="宋体" w:eastAsia="宋体" w:hAnsi="宋体" w:cs="Times New Roman"/>
                <w:b/>
                <w:szCs w:val="21"/>
              </w:rPr>
            </w:pPr>
            <w:r w:rsidRPr="00361B23">
              <w:rPr>
                <w:rFonts w:ascii="宋体" w:eastAsia="宋体" w:hAnsi="宋体" w:cs="Times New Roman" w:hint="eastAsia"/>
                <w:b/>
                <w:szCs w:val="21"/>
              </w:rPr>
              <w:lastRenderedPageBreak/>
              <w:t>六、基金份额的申购与赎回</w:t>
            </w:r>
          </w:p>
        </w:tc>
        <w:tc>
          <w:tcPr>
            <w:tcW w:w="3910" w:type="dxa"/>
            <w:tcBorders>
              <w:top w:val="single" w:sz="4" w:space="0" w:color="auto"/>
              <w:left w:val="single" w:sz="4" w:space="0" w:color="auto"/>
              <w:bottom w:val="single" w:sz="4" w:space="0" w:color="auto"/>
              <w:right w:val="single" w:sz="4" w:space="0" w:color="auto"/>
            </w:tcBorders>
            <w:hideMark/>
          </w:tcPr>
          <w:p w14:paraId="069FDF99" w14:textId="77777777" w:rsidR="00361B23" w:rsidRPr="00361B23" w:rsidRDefault="00361B23" w:rsidP="00361B23">
            <w:pPr>
              <w:adjustRightInd w:val="0"/>
              <w:snapToGrid w:val="0"/>
              <w:ind w:firstLineChars="14" w:firstLine="29"/>
              <w:rPr>
                <w:rFonts w:ascii="宋体" w:eastAsia="宋体" w:hAnsi="宋体" w:cs="Times New Roman"/>
                <w:bCs/>
                <w:szCs w:val="21"/>
              </w:rPr>
            </w:pPr>
            <w:r w:rsidRPr="00361B23">
              <w:rPr>
                <w:rFonts w:ascii="宋体" w:eastAsia="宋体" w:hAnsi="宋体" w:cs="Times New Roman" w:hint="eastAsia"/>
                <w:bCs/>
                <w:szCs w:val="21"/>
              </w:rPr>
              <w:t>（十六）本部分约定的部分业务暂不向H类基金份额投资人开通，具体请见招募说明书或其补充文件的规定。</w:t>
            </w:r>
          </w:p>
        </w:tc>
        <w:tc>
          <w:tcPr>
            <w:tcW w:w="3690" w:type="dxa"/>
            <w:tcBorders>
              <w:top w:val="single" w:sz="4" w:space="0" w:color="auto"/>
              <w:left w:val="single" w:sz="4" w:space="0" w:color="auto"/>
              <w:bottom w:val="single" w:sz="4" w:space="0" w:color="auto"/>
              <w:right w:val="single" w:sz="4" w:space="0" w:color="auto"/>
            </w:tcBorders>
          </w:tcPr>
          <w:p w14:paraId="3E519539" w14:textId="77777777" w:rsidR="00361B23" w:rsidRPr="00361B23" w:rsidRDefault="00361B23" w:rsidP="00361B23">
            <w:pPr>
              <w:adjustRightInd w:val="0"/>
              <w:snapToGrid w:val="0"/>
              <w:rPr>
                <w:rFonts w:ascii="宋体" w:eastAsia="宋体" w:hAnsi="宋体" w:cs="Times New Roman"/>
                <w:bCs/>
                <w:szCs w:val="21"/>
              </w:rPr>
            </w:pPr>
          </w:p>
        </w:tc>
      </w:tr>
      <w:tr w:rsidR="00361B23" w:rsidRPr="00361B23" w14:paraId="0F3C2545" w14:textId="77777777" w:rsidTr="00CC1D7A">
        <w:trPr>
          <w:jc w:val="center"/>
        </w:trPr>
        <w:tc>
          <w:tcPr>
            <w:tcW w:w="2039" w:type="dxa"/>
            <w:tcBorders>
              <w:top w:val="single" w:sz="4" w:space="0" w:color="auto"/>
              <w:left w:val="single" w:sz="4" w:space="0" w:color="auto"/>
              <w:bottom w:val="single" w:sz="4" w:space="0" w:color="auto"/>
              <w:right w:val="single" w:sz="4" w:space="0" w:color="auto"/>
            </w:tcBorders>
            <w:hideMark/>
          </w:tcPr>
          <w:p w14:paraId="71C8894C" w14:textId="77777777" w:rsidR="00361B23" w:rsidRPr="00361B23" w:rsidRDefault="00361B23" w:rsidP="00361B23">
            <w:pPr>
              <w:jc w:val="center"/>
              <w:rPr>
                <w:rFonts w:ascii="宋体" w:eastAsia="宋体" w:hAnsi="宋体" w:cs="Times New Roman"/>
                <w:b/>
                <w:szCs w:val="21"/>
              </w:rPr>
            </w:pPr>
            <w:r w:rsidRPr="00361B23">
              <w:rPr>
                <w:rFonts w:ascii="宋体" w:eastAsia="宋体" w:hAnsi="宋体" w:cs="Times New Roman" w:hint="eastAsia"/>
                <w:b/>
                <w:szCs w:val="21"/>
              </w:rPr>
              <w:t>七、基金合同当事人及权利义务</w:t>
            </w:r>
          </w:p>
        </w:tc>
        <w:tc>
          <w:tcPr>
            <w:tcW w:w="3910" w:type="dxa"/>
            <w:tcBorders>
              <w:top w:val="single" w:sz="4" w:space="0" w:color="auto"/>
              <w:left w:val="single" w:sz="4" w:space="0" w:color="auto"/>
              <w:bottom w:val="single" w:sz="4" w:space="0" w:color="auto"/>
              <w:right w:val="single" w:sz="4" w:space="0" w:color="auto"/>
            </w:tcBorders>
          </w:tcPr>
          <w:p w14:paraId="35481FBF"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(八)基金份额持有人的权利</w:t>
            </w:r>
          </w:p>
          <w:p w14:paraId="2AF6B509"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同一类别的每份基金份额具有同等的合法权益。</w:t>
            </w:r>
          </w:p>
        </w:tc>
        <w:tc>
          <w:tcPr>
            <w:tcW w:w="3690" w:type="dxa"/>
            <w:tcBorders>
              <w:top w:val="single" w:sz="4" w:space="0" w:color="auto"/>
              <w:left w:val="single" w:sz="4" w:space="0" w:color="auto"/>
              <w:bottom w:val="single" w:sz="4" w:space="0" w:color="auto"/>
              <w:right w:val="single" w:sz="4" w:space="0" w:color="auto"/>
            </w:tcBorders>
          </w:tcPr>
          <w:p w14:paraId="558BDB28"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(八)基金份额持有人的权利</w:t>
            </w:r>
          </w:p>
          <w:p w14:paraId="716372E8"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每份基金份额具有同等的合法权益。</w:t>
            </w:r>
          </w:p>
        </w:tc>
      </w:tr>
      <w:tr w:rsidR="00361B23" w:rsidRPr="00361B23" w14:paraId="755BE84E" w14:textId="77777777" w:rsidTr="00CC1D7A">
        <w:trPr>
          <w:jc w:val="center"/>
        </w:trPr>
        <w:tc>
          <w:tcPr>
            <w:tcW w:w="2039" w:type="dxa"/>
            <w:tcBorders>
              <w:top w:val="single" w:sz="4" w:space="0" w:color="auto"/>
              <w:left w:val="single" w:sz="4" w:space="0" w:color="auto"/>
              <w:bottom w:val="single" w:sz="4" w:space="0" w:color="auto"/>
              <w:right w:val="single" w:sz="4" w:space="0" w:color="auto"/>
            </w:tcBorders>
            <w:hideMark/>
          </w:tcPr>
          <w:p w14:paraId="116E8CA1" w14:textId="77777777" w:rsidR="00361B23" w:rsidRPr="00361B23" w:rsidRDefault="00361B23" w:rsidP="00361B23">
            <w:pPr>
              <w:jc w:val="center"/>
              <w:rPr>
                <w:rFonts w:ascii="宋体" w:eastAsia="宋体" w:hAnsi="宋体" w:cs="Times New Roman"/>
                <w:b/>
                <w:szCs w:val="21"/>
              </w:rPr>
            </w:pPr>
            <w:r w:rsidRPr="00361B23">
              <w:rPr>
                <w:rFonts w:ascii="宋体" w:eastAsia="宋体" w:hAnsi="宋体" w:cs="Times New Roman" w:hint="eastAsia"/>
                <w:b/>
                <w:szCs w:val="21"/>
              </w:rPr>
              <w:t>八、基金份额持有人大会</w:t>
            </w:r>
          </w:p>
        </w:tc>
        <w:tc>
          <w:tcPr>
            <w:tcW w:w="3910" w:type="dxa"/>
            <w:tcBorders>
              <w:top w:val="single" w:sz="4" w:space="0" w:color="auto"/>
              <w:left w:val="single" w:sz="4" w:space="0" w:color="auto"/>
              <w:bottom w:val="single" w:sz="4" w:space="0" w:color="auto"/>
              <w:right w:val="single" w:sz="4" w:space="0" w:color="auto"/>
            </w:tcBorders>
          </w:tcPr>
          <w:p w14:paraId="5915B7AE" w14:textId="77777777" w:rsidR="00361B23" w:rsidRPr="00361B23" w:rsidRDefault="00361B23" w:rsidP="00361B23">
            <w:pPr>
              <w:adjustRightInd w:val="0"/>
              <w:snapToGrid w:val="0"/>
              <w:ind w:firstLineChars="14" w:firstLine="29"/>
              <w:rPr>
                <w:rFonts w:ascii="宋体" w:eastAsia="宋体" w:hAnsi="宋体" w:cs="Times New Roman"/>
                <w:bCs/>
                <w:szCs w:val="21"/>
              </w:rPr>
            </w:pPr>
            <w:r w:rsidRPr="00361B23">
              <w:rPr>
                <w:rFonts w:ascii="宋体" w:eastAsia="宋体" w:hAnsi="宋体" w:cs="Times New Roman" w:hint="eastAsia"/>
                <w:bCs/>
                <w:szCs w:val="21"/>
              </w:rPr>
              <w:t>(十)H类基金份额持有人参与持有人大会</w:t>
            </w:r>
          </w:p>
          <w:p w14:paraId="31347B15" w14:textId="77777777" w:rsidR="00361B23" w:rsidRPr="00361B23" w:rsidRDefault="00361B23" w:rsidP="00361B23">
            <w:pPr>
              <w:adjustRightInd w:val="0"/>
              <w:snapToGrid w:val="0"/>
              <w:ind w:firstLineChars="14" w:firstLine="29"/>
              <w:rPr>
                <w:rFonts w:ascii="宋体" w:eastAsia="宋体" w:hAnsi="宋体" w:cs="Times New Roman"/>
                <w:bCs/>
                <w:szCs w:val="21"/>
              </w:rPr>
            </w:pPr>
            <w:r w:rsidRPr="00361B23">
              <w:rPr>
                <w:rFonts w:ascii="宋体" w:eastAsia="宋体" w:hAnsi="宋体" w:cs="Times New Roman" w:hint="eastAsia"/>
                <w:bCs/>
                <w:szCs w:val="21"/>
              </w:rPr>
              <w:t>本基金的香港代表及/或中国香港地区销售机构可作为本基金H类基金份额的名义持有人，代H类基金份额持有人出席基金份额持有人大会，代其行使基金份额持有人大会表决权等。</w:t>
            </w:r>
          </w:p>
        </w:tc>
        <w:tc>
          <w:tcPr>
            <w:tcW w:w="3690" w:type="dxa"/>
            <w:tcBorders>
              <w:top w:val="single" w:sz="4" w:space="0" w:color="auto"/>
              <w:left w:val="single" w:sz="4" w:space="0" w:color="auto"/>
              <w:bottom w:val="single" w:sz="4" w:space="0" w:color="auto"/>
              <w:right w:val="single" w:sz="4" w:space="0" w:color="auto"/>
            </w:tcBorders>
          </w:tcPr>
          <w:p w14:paraId="4562AB8C" w14:textId="77777777" w:rsidR="00361B23" w:rsidRPr="00361B23" w:rsidRDefault="00361B23" w:rsidP="00361B23">
            <w:pPr>
              <w:adjustRightInd w:val="0"/>
              <w:snapToGrid w:val="0"/>
              <w:rPr>
                <w:rFonts w:ascii="宋体" w:eastAsia="宋体" w:hAnsi="宋体" w:cs="Times New Roman"/>
                <w:bCs/>
                <w:szCs w:val="21"/>
              </w:rPr>
            </w:pPr>
          </w:p>
        </w:tc>
      </w:tr>
      <w:tr w:rsidR="00361B23" w:rsidRPr="00361B23" w14:paraId="10BDDBFD" w14:textId="77777777" w:rsidTr="00CC1D7A">
        <w:trPr>
          <w:jc w:val="center"/>
        </w:trPr>
        <w:tc>
          <w:tcPr>
            <w:tcW w:w="2039" w:type="dxa"/>
            <w:tcBorders>
              <w:top w:val="single" w:sz="4" w:space="0" w:color="auto"/>
              <w:left w:val="single" w:sz="4" w:space="0" w:color="auto"/>
              <w:bottom w:val="single" w:sz="4" w:space="0" w:color="auto"/>
              <w:right w:val="single" w:sz="4" w:space="0" w:color="auto"/>
            </w:tcBorders>
            <w:hideMark/>
          </w:tcPr>
          <w:p w14:paraId="61EBFF5B" w14:textId="77777777" w:rsidR="00361B23" w:rsidRPr="00361B23" w:rsidRDefault="00361B23" w:rsidP="00361B23">
            <w:pPr>
              <w:jc w:val="center"/>
              <w:rPr>
                <w:rFonts w:ascii="宋体" w:eastAsia="宋体" w:hAnsi="宋体" w:cs="Times New Roman"/>
                <w:b/>
                <w:szCs w:val="21"/>
              </w:rPr>
            </w:pPr>
            <w:r w:rsidRPr="00361B23">
              <w:rPr>
                <w:rFonts w:ascii="宋体" w:eastAsia="宋体" w:hAnsi="宋体" w:cs="Times New Roman" w:hint="eastAsia"/>
                <w:b/>
                <w:szCs w:val="21"/>
              </w:rPr>
              <w:t>十一、基金份额的登记</w:t>
            </w:r>
          </w:p>
        </w:tc>
        <w:tc>
          <w:tcPr>
            <w:tcW w:w="3910" w:type="dxa"/>
            <w:tcBorders>
              <w:top w:val="single" w:sz="4" w:space="0" w:color="auto"/>
              <w:left w:val="single" w:sz="4" w:space="0" w:color="auto"/>
              <w:bottom w:val="single" w:sz="4" w:space="0" w:color="auto"/>
              <w:right w:val="single" w:sz="4" w:space="0" w:color="auto"/>
            </w:tcBorders>
            <w:hideMark/>
          </w:tcPr>
          <w:p w14:paraId="35B02C30" w14:textId="77777777" w:rsidR="00361B23" w:rsidRPr="00361B23" w:rsidRDefault="00361B23" w:rsidP="00361B23">
            <w:pPr>
              <w:adjustRightInd w:val="0"/>
              <w:snapToGrid w:val="0"/>
              <w:ind w:firstLineChars="14" w:firstLine="29"/>
              <w:rPr>
                <w:rFonts w:ascii="宋体" w:eastAsia="宋体" w:hAnsi="宋体" w:cs="Times New Roman"/>
                <w:bCs/>
                <w:szCs w:val="21"/>
              </w:rPr>
            </w:pPr>
            <w:bookmarkStart w:id="3" w:name="_DV_M465"/>
            <w:bookmarkEnd w:id="3"/>
            <w:r w:rsidRPr="00361B23">
              <w:rPr>
                <w:rFonts w:ascii="宋体" w:eastAsia="宋体" w:hAnsi="宋体" w:cs="Times New Roman" w:hint="eastAsia"/>
                <w:bCs/>
                <w:szCs w:val="21"/>
              </w:rPr>
              <w:t>(四)份额登记机构承担如下义务：</w:t>
            </w:r>
          </w:p>
          <w:p w14:paraId="429BF704" w14:textId="77777777" w:rsidR="00361B23" w:rsidRPr="00361B23" w:rsidRDefault="00361B23" w:rsidP="00361B23">
            <w:pPr>
              <w:adjustRightInd w:val="0"/>
              <w:snapToGrid w:val="0"/>
              <w:ind w:firstLineChars="14" w:firstLine="29"/>
              <w:rPr>
                <w:rFonts w:ascii="宋体" w:eastAsia="宋体" w:hAnsi="宋体" w:cs="Times New Roman"/>
                <w:szCs w:val="21"/>
              </w:rPr>
            </w:pPr>
            <w:r w:rsidRPr="00361B23">
              <w:rPr>
                <w:rFonts w:ascii="宋体" w:eastAsia="宋体" w:hAnsi="宋体" w:cs="Times New Roman" w:hint="eastAsia"/>
                <w:bCs/>
                <w:szCs w:val="21"/>
              </w:rPr>
              <w:t>5.按基金合同和招募说明书及其补充文件的规定为投资人办理非交易过户业务、转托管和提供其他必要服务；</w:t>
            </w:r>
          </w:p>
        </w:tc>
        <w:tc>
          <w:tcPr>
            <w:tcW w:w="3690" w:type="dxa"/>
            <w:tcBorders>
              <w:top w:val="single" w:sz="4" w:space="0" w:color="auto"/>
              <w:left w:val="single" w:sz="4" w:space="0" w:color="auto"/>
              <w:bottom w:val="single" w:sz="4" w:space="0" w:color="auto"/>
              <w:right w:val="single" w:sz="4" w:space="0" w:color="auto"/>
            </w:tcBorders>
            <w:hideMark/>
          </w:tcPr>
          <w:p w14:paraId="74603C87"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(四)份额登记机构承担如下义务：</w:t>
            </w:r>
          </w:p>
          <w:p w14:paraId="2AFEEC59" w14:textId="77777777" w:rsidR="00361B23" w:rsidRPr="00361B23" w:rsidRDefault="00361B23" w:rsidP="00361B23">
            <w:pPr>
              <w:adjustRightInd w:val="0"/>
              <w:snapToGrid w:val="0"/>
              <w:rPr>
                <w:rFonts w:ascii="宋体" w:eastAsia="宋体" w:hAnsi="宋体" w:cs="Times New Roman"/>
                <w:szCs w:val="21"/>
              </w:rPr>
            </w:pPr>
            <w:r w:rsidRPr="00361B23">
              <w:rPr>
                <w:rFonts w:ascii="宋体" w:eastAsia="宋体" w:hAnsi="宋体" w:cs="Times New Roman" w:hint="eastAsia"/>
                <w:bCs/>
                <w:szCs w:val="21"/>
              </w:rPr>
              <w:t>5.按基金合同和招募说明书规定为投资人办理非交易过户业务、转托管和提供其他必要服务；</w:t>
            </w:r>
          </w:p>
        </w:tc>
      </w:tr>
      <w:tr w:rsidR="00361B23" w:rsidRPr="00361B23" w14:paraId="18FD97B6" w14:textId="77777777" w:rsidTr="00CC1D7A">
        <w:trPr>
          <w:jc w:val="center"/>
        </w:trPr>
        <w:tc>
          <w:tcPr>
            <w:tcW w:w="2039" w:type="dxa"/>
            <w:tcBorders>
              <w:top w:val="single" w:sz="4" w:space="0" w:color="auto"/>
              <w:left w:val="single" w:sz="4" w:space="0" w:color="auto"/>
              <w:bottom w:val="single" w:sz="4" w:space="0" w:color="auto"/>
              <w:right w:val="single" w:sz="4" w:space="0" w:color="auto"/>
            </w:tcBorders>
          </w:tcPr>
          <w:p w14:paraId="5EAD4197" w14:textId="77777777" w:rsidR="00361B23" w:rsidRPr="00361B23" w:rsidRDefault="00361B23" w:rsidP="00361B23">
            <w:pPr>
              <w:adjustRightInd w:val="0"/>
              <w:snapToGrid w:val="0"/>
              <w:ind w:firstLineChars="14" w:firstLine="30"/>
              <w:jc w:val="center"/>
              <w:rPr>
                <w:rFonts w:ascii="宋体" w:eastAsia="宋体" w:hAnsi="宋体" w:cs="Times New Roman"/>
                <w:szCs w:val="21"/>
              </w:rPr>
            </w:pPr>
            <w:r w:rsidRPr="00361B23">
              <w:rPr>
                <w:rFonts w:ascii="宋体" w:eastAsia="宋体" w:hAnsi="宋体" w:cs="Times New Roman" w:hint="eastAsia"/>
                <w:b/>
                <w:szCs w:val="21"/>
              </w:rPr>
              <w:t>十四、基金资产的估值</w:t>
            </w:r>
          </w:p>
        </w:tc>
        <w:tc>
          <w:tcPr>
            <w:tcW w:w="3910" w:type="dxa"/>
            <w:tcBorders>
              <w:top w:val="single" w:sz="4" w:space="0" w:color="auto"/>
              <w:left w:val="single" w:sz="4" w:space="0" w:color="auto"/>
              <w:bottom w:val="single" w:sz="4" w:space="0" w:color="auto"/>
              <w:right w:val="single" w:sz="4" w:space="0" w:color="auto"/>
            </w:tcBorders>
            <w:hideMark/>
          </w:tcPr>
          <w:p w14:paraId="37BA1F0A" w14:textId="77777777" w:rsidR="00361B23" w:rsidRPr="00361B23" w:rsidRDefault="00361B23" w:rsidP="00361B23">
            <w:pPr>
              <w:adjustRightInd w:val="0"/>
              <w:snapToGrid w:val="0"/>
              <w:ind w:firstLineChars="14" w:firstLine="29"/>
              <w:rPr>
                <w:rFonts w:ascii="宋体" w:eastAsia="宋体" w:hAnsi="宋体" w:cs="Times New Roman"/>
                <w:bCs/>
                <w:szCs w:val="21"/>
              </w:rPr>
            </w:pPr>
            <w:r w:rsidRPr="00361B23">
              <w:rPr>
                <w:rFonts w:ascii="宋体" w:eastAsia="宋体" w:hAnsi="宋体" w:cs="Times New Roman" w:hint="eastAsia"/>
                <w:bCs/>
                <w:szCs w:val="21"/>
              </w:rPr>
              <w:t>(四)估值程序</w:t>
            </w:r>
          </w:p>
          <w:p w14:paraId="7A458CA9" w14:textId="77777777" w:rsidR="00361B23" w:rsidRPr="00361B23" w:rsidRDefault="00361B23" w:rsidP="00361B23">
            <w:pPr>
              <w:adjustRightInd w:val="0"/>
              <w:snapToGrid w:val="0"/>
              <w:ind w:firstLineChars="14" w:firstLine="29"/>
              <w:rPr>
                <w:rFonts w:ascii="宋体" w:eastAsia="宋体" w:hAnsi="宋体" w:cs="Times New Roman"/>
                <w:bCs/>
                <w:szCs w:val="21"/>
              </w:rPr>
            </w:pPr>
            <w:r w:rsidRPr="00361B23">
              <w:rPr>
                <w:rFonts w:ascii="宋体" w:eastAsia="宋体" w:hAnsi="宋体" w:cs="Times New Roman" w:hint="eastAsia"/>
                <w:bCs/>
                <w:szCs w:val="21"/>
              </w:rPr>
              <w:t>1.……</w:t>
            </w:r>
          </w:p>
          <w:p w14:paraId="59321AEA" w14:textId="77777777" w:rsidR="00361B23" w:rsidRPr="00361B23" w:rsidRDefault="00361B23" w:rsidP="00361B23">
            <w:pPr>
              <w:adjustRightInd w:val="0"/>
              <w:snapToGrid w:val="0"/>
              <w:ind w:firstLineChars="14" w:firstLine="29"/>
              <w:rPr>
                <w:rFonts w:ascii="宋体" w:eastAsia="宋体" w:hAnsi="宋体" w:cs="Times New Roman"/>
                <w:bCs/>
                <w:szCs w:val="21"/>
              </w:rPr>
            </w:pPr>
            <w:r w:rsidRPr="00361B23">
              <w:rPr>
                <w:rFonts w:ascii="宋体" w:eastAsia="宋体" w:hAnsi="宋体" w:cs="Times New Roman" w:hint="eastAsia"/>
                <w:bCs/>
                <w:szCs w:val="21"/>
              </w:rPr>
              <w:t>每个工作日分别计算A类基金份额及H类基金份额的基金资产净值及基金份额净值，并按规定公告。</w:t>
            </w:r>
          </w:p>
        </w:tc>
        <w:tc>
          <w:tcPr>
            <w:tcW w:w="3690" w:type="dxa"/>
            <w:tcBorders>
              <w:top w:val="single" w:sz="4" w:space="0" w:color="auto"/>
              <w:left w:val="single" w:sz="4" w:space="0" w:color="auto"/>
              <w:bottom w:val="single" w:sz="4" w:space="0" w:color="auto"/>
              <w:right w:val="single" w:sz="4" w:space="0" w:color="auto"/>
            </w:tcBorders>
            <w:hideMark/>
          </w:tcPr>
          <w:p w14:paraId="723F7605" w14:textId="77777777" w:rsidR="00361B23" w:rsidRPr="00361B23" w:rsidRDefault="00361B23" w:rsidP="00361B23">
            <w:pPr>
              <w:adjustRightInd w:val="0"/>
              <w:snapToGrid w:val="0"/>
              <w:ind w:firstLineChars="14" w:firstLine="29"/>
              <w:rPr>
                <w:rFonts w:ascii="宋体" w:eastAsia="宋体" w:hAnsi="宋体" w:cs="Times New Roman"/>
                <w:bCs/>
                <w:szCs w:val="21"/>
              </w:rPr>
            </w:pPr>
            <w:r w:rsidRPr="00361B23">
              <w:rPr>
                <w:rFonts w:ascii="宋体" w:eastAsia="宋体" w:hAnsi="宋体" w:cs="Times New Roman" w:hint="eastAsia"/>
                <w:bCs/>
                <w:szCs w:val="21"/>
              </w:rPr>
              <w:t>(四)估值程序</w:t>
            </w:r>
          </w:p>
          <w:p w14:paraId="079F970E" w14:textId="77777777" w:rsidR="00361B23" w:rsidRPr="00361B23" w:rsidRDefault="00361B23" w:rsidP="00361B23">
            <w:pPr>
              <w:adjustRightInd w:val="0"/>
              <w:snapToGrid w:val="0"/>
              <w:ind w:firstLineChars="14" w:firstLine="29"/>
              <w:rPr>
                <w:rFonts w:ascii="宋体" w:eastAsia="宋体" w:hAnsi="宋体" w:cs="Times New Roman"/>
                <w:bCs/>
                <w:szCs w:val="21"/>
              </w:rPr>
            </w:pPr>
            <w:r w:rsidRPr="00361B23">
              <w:rPr>
                <w:rFonts w:ascii="宋体" w:eastAsia="宋体" w:hAnsi="宋体" w:cs="Times New Roman" w:hint="eastAsia"/>
                <w:bCs/>
                <w:szCs w:val="21"/>
              </w:rPr>
              <w:t>1.……</w:t>
            </w:r>
          </w:p>
          <w:p w14:paraId="1072A3AB" w14:textId="77777777" w:rsidR="00361B23" w:rsidRPr="00361B23" w:rsidRDefault="00361B23" w:rsidP="00361B23">
            <w:pPr>
              <w:adjustRightInd w:val="0"/>
              <w:snapToGrid w:val="0"/>
              <w:ind w:firstLineChars="14" w:firstLine="29"/>
              <w:rPr>
                <w:rFonts w:ascii="宋体" w:eastAsia="宋体" w:hAnsi="宋体" w:cs="Times New Roman"/>
                <w:bCs/>
                <w:szCs w:val="21"/>
              </w:rPr>
            </w:pPr>
            <w:r w:rsidRPr="00361B23">
              <w:rPr>
                <w:rFonts w:ascii="宋体" w:eastAsia="宋体" w:hAnsi="宋体" w:cs="Times New Roman" w:hint="eastAsia"/>
                <w:bCs/>
                <w:szCs w:val="21"/>
              </w:rPr>
              <w:t>每个工作日计算基金资产净值及基金份额净值，并按规定公告。</w:t>
            </w:r>
          </w:p>
        </w:tc>
      </w:tr>
      <w:tr w:rsidR="00361B23" w:rsidRPr="00361B23" w14:paraId="1C24A61C" w14:textId="77777777" w:rsidTr="00CC1D7A">
        <w:trPr>
          <w:jc w:val="center"/>
        </w:trPr>
        <w:tc>
          <w:tcPr>
            <w:tcW w:w="2039" w:type="dxa"/>
            <w:tcBorders>
              <w:top w:val="single" w:sz="4" w:space="0" w:color="auto"/>
              <w:left w:val="single" w:sz="4" w:space="0" w:color="auto"/>
              <w:bottom w:val="single" w:sz="4" w:space="0" w:color="auto"/>
              <w:right w:val="single" w:sz="4" w:space="0" w:color="auto"/>
            </w:tcBorders>
          </w:tcPr>
          <w:p w14:paraId="53B1EA9F" w14:textId="77777777" w:rsidR="00361B23" w:rsidRPr="00361B23" w:rsidRDefault="00361B23" w:rsidP="00361B23">
            <w:pPr>
              <w:tabs>
                <w:tab w:val="left" w:pos="720"/>
              </w:tabs>
              <w:jc w:val="center"/>
              <w:rPr>
                <w:rFonts w:ascii="宋体" w:eastAsia="宋体" w:hAnsi="宋体" w:cs="Times New Roman"/>
                <w:b/>
                <w:szCs w:val="21"/>
              </w:rPr>
            </w:pPr>
            <w:r w:rsidRPr="00361B23">
              <w:rPr>
                <w:rFonts w:ascii="宋体" w:eastAsia="宋体" w:hAnsi="宋体" w:cs="Times New Roman" w:hint="eastAsia"/>
                <w:b/>
                <w:szCs w:val="21"/>
              </w:rPr>
              <w:t>十四、基金资产的估值</w:t>
            </w:r>
          </w:p>
        </w:tc>
        <w:tc>
          <w:tcPr>
            <w:tcW w:w="3910" w:type="dxa"/>
            <w:tcBorders>
              <w:top w:val="single" w:sz="4" w:space="0" w:color="auto"/>
              <w:left w:val="single" w:sz="4" w:space="0" w:color="auto"/>
              <w:bottom w:val="single" w:sz="4" w:space="0" w:color="auto"/>
              <w:right w:val="single" w:sz="4" w:space="0" w:color="auto"/>
            </w:tcBorders>
          </w:tcPr>
          <w:p w14:paraId="6B82B6DE"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(七)基金净值的确认</w:t>
            </w:r>
          </w:p>
          <w:p w14:paraId="10AE4C13"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用于基金信息披露的基金资产净值和各类别基金份额净值由基金管理人负责计算，基金托管人负责进行复核。基金管理人应于每个工作日交易结束后计算当日的基金资产净值并发送给基金托管人。基金托管人按法律法规、基金合同规定的估值方法、时间、程序进行复核；经基金托管人复核无误后，由基金管理人对基金净值予以公布。</w:t>
            </w:r>
          </w:p>
        </w:tc>
        <w:tc>
          <w:tcPr>
            <w:tcW w:w="3690" w:type="dxa"/>
            <w:tcBorders>
              <w:top w:val="single" w:sz="4" w:space="0" w:color="auto"/>
              <w:left w:val="single" w:sz="4" w:space="0" w:color="auto"/>
              <w:bottom w:val="single" w:sz="4" w:space="0" w:color="auto"/>
              <w:right w:val="single" w:sz="4" w:space="0" w:color="auto"/>
            </w:tcBorders>
            <w:hideMark/>
          </w:tcPr>
          <w:p w14:paraId="09A93E43"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(七)基金净值的确认</w:t>
            </w:r>
          </w:p>
          <w:p w14:paraId="3CC63D26"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用于基金信息披露的基金资产净值和基金份额净值由基金管理人负责计算，基金托管人负责进行复核。基金管理人应于每个工作日交易结束后计算当日的基金资产净值并发送给基金托管人。基金托管人按法律法规、基金合同规定的估值方法、时间、程序进行复核；经基金托管人复核无误后，由基金管理人对基金净值予以公布。</w:t>
            </w:r>
          </w:p>
        </w:tc>
      </w:tr>
      <w:tr w:rsidR="00361B23" w:rsidRPr="00361B23" w14:paraId="2ABAF22D" w14:textId="77777777" w:rsidTr="00CC1D7A">
        <w:trPr>
          <w:jc w:val="center"/>
        </w:trPr>
        <w:tc>
          <w:tcPr>
            <w:tcW w:w="2039" w:type="dxa"/>
            <w:tcBorders>
              <w:top w:val="single" w:sz="4" w:space="0" w:color="auto"/>
              <w:left w:val="single" w:sz="4" w:space="0" w:color="auto"/>
              <w:bottom w:val="single" w:sz="4" w:space="0" w:color="auto"/>
              <w:right w:val="single" w:sz="4" w:space="0" w:color="auto"/>
            </w:tcBorders>
            <w:hideMark/>
          </w:tcPr>
          <w:p w14:paraId="450548B4" w14:textId="77777777" w:rsidR="00361B23" w:rsidRPr="00361B23" w:rsidRDefault="00361B23" w:rsidP="00361B23">
            <w:pPr>
              <w:tabs>
                <w:tab w:val="left" w:pos="720"/>
              </w:tabs>
              <w:jc w:val="center"/>
              <w:rPr>
                <w:rFonts w:ascii="宋体" w:eastAsia="宋体" w:hAnsi="宋体" w:cs="Times New Roman"/>
                <w:b/>
                <w:szCs w:val="21"/>
              </w:rPr>
            </w:pPr>
            <w:r w:rsidRPr="00361B23">
              <w:rPr>
                <w:rFonts w:ascii="宋体" w:eastAsia="宋体" w:hAnsi="宋体" w:cs="Times New Roman" w:hint="eastAsia"/>
                <w:b/>
                <w:szCs w:val="21"/>
              </w:rPr>
              <w:t>十五、基金的费用与税收</w:t>
            </w:r>
          </w:p>
        </w:tc>
        <w:tc>
          <w:tcPr>
            <w:tcW w:w="3910" w:type="dxa"/>
            <w:tcBorders>
              <w:top w:val="single" w:sz="4" w:space="0" w:color="auto"/>
              <w:left w:val="single" w:sz="4" w:space="0" w:color="auto"/>
              <w:bottom w:val="single" w:sz="4" w:space="0" w:color="auto"/>
              <w:right w:val="single" w:sz="4" w:space="0" w:color="auto"/>
            </w:tcBorders>
          </w:tcPr>
          <w:p w14:paraId="76C2F4A2"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(六)基金税收</w:t>
            </w:r>
          </w:p>
          <w:p w14:paraId="302FE37D"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基金和基金份额持有人根据中国大陆地区、中国香港地区及投资人所在国家法律</w:t>
            </w:r>
            <w:r w:rsidRPr="00361B23">
              <w:rPr>
                <w:rFonts w:ascii="宋体" w:eastAsia="宋体" w:hAnsi="宋体" w:cs="Times New Roman" w:hint="eastAsia"/>
                <w:bCs/>
                <w:szCs w:val="21"/>
              </w:rPr>
              <w:lastRenderedPageBreak/>
              <w:t>法规的规定，履行纳税义务。</w:t>
            </w:r>
          </w:p>
        </w:tc>
        <w:tc>
          <w:tcPr>
            <w:tcW w:w="3690" w:type="dxa"/>
            <w:tcBorders>
              <w:top w:val="single" w:sz="4" w:space="0" w:color="auto"/>
              <w:left w:val="single" w:sz="4" w:space="0" w:color="auto"/>
              <w:bottom w:val="single" w:sz="4" w:space="0" w:color="auto"/>
              <w:right w:val="single" w:sz="4" w:space="0" w:color="auto"/>
            </w:tcBorders>
            <w:hideMark/>
          </w:tcPr>
          <w:p w14:paraId="3836F6F8"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lastRenderedPageBreak/>
              <w:t>(六)基金税收</w:t>
            </w:r>
          </w:p>
          <w:p w14:paraId="2FAD69A7"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基金和基金份额持有人根据国家法律法规的规定，履行纳税义务。</w:t>
            </w:r>
          </w:p>
        </w:tc>
      </w:tr>
      <w:tr w:rsidR="00361B23" w:rsidRPr="00361B23" w14:paraId="29E99365" w14:textId="77777777" w:rsidTr="00CC1D7A">
        <w:trPr>
          <w:jc w:val="center"/>
        </w:trPr>
        <w:tc>
          <w:tcPr>
            <w:tcW w:w="2039" w:type="dxa"/>
            <w:tcBorders>
              <w:top w:val="single" w:sz="4" w:space="0" w:color="auto"/>
              <w:left w:val="single" w:sz="4" w:space="0" w:color="auto"/>
              <w:bottom w:val="single" w:sz="4" w:space="0" w:color="auto"/>
              <w:right w:val="single" w:sz="4" w:space="0" w:color="auto"/>
            </w:tcBorders>
            <w:hideMark/>
          </w:tcPr>
          <w:p w14:paraId="60E97F43" w14:textId="77777777" w:rsidR="00361B23" w:rsidRPr="00361B23" w:rsidRDefault="00361B23" w:rsidP="00361B23">
            <w:pPr>
              <w:tabs>
                <w:tab w:val="left" w:pos="720"/>
              </w:tabs>
              <w:jc w:val="center"/>
              <w:rPr>
                <w:rFonts w:ascii="宋体" w:eastAsia="宋体" w:hAnsi="宋体" w:cs="Times New Roman"/>
                <w:b/>
                <w:szCs w:val="21"/>
              </w:rPr>
            </w:pPr>
            <w:r w:rsidRPr="00361B23">
              <w:rPr>
                <w:rFonts w:ascii="宋体" w:eastAsia="宋体" w:hAnsi="宋体" w:cs="Times New Roman" w:hint="eastAsia"/>
                <w:b/>
                <w:szCs w:val="21"/>
              </w:rPr>
              <w:t>十六、基金的收益与分配</w:t>
            </w:r>
          </w:p>
        </w:tc>
        <w:tc>
          <w:tcPr>
            <w:tcW w:w="3910" w:type="dxa"/>
            <w:tcBorders>
              <w:top w:val="single" w:sz="4" w:space="0" w:color="auto"/>
              <w:left w:val="single" w:sz="4" w:space="0" w:color="auto"/>
              <w:bottom w:val="single" w:sz="4" w:space="0" w:color="auto"/>
              <w:right w:val="single" w:sz="4" w:space="0" w:color="auto"/>
            </w:tcBorders>
          </w:tcPr>
          <w:p w14:paraId="78C42226"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(三)收益分配原则</w:t>
            </w:r>
          </w:p>
          <w:p w14:paraId="175F12D4"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1.不同类别的基金份额在收益分配数额方面可能有所不同，基金管理人可对各类别基金份额分别制定收益分配方案，本基金同一类别的每一基金份额享有同等分配权；</w:t>
            </w:r>
          </w:p>
          <w:p w14:paraId="35620EC8"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2.基金收益分配后每类基金份额净值不能低于面值；</w:t>
            </w:r>
          </w:p>
          <w:p w14:paraId="0DDDD83D"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 xml:space="preserve">4.本基金各类基金份额的收益每年最多分配10次，每次各类基金份额的基金收益分配比例不低于该类基金份额可分配收益的50%； </w:t>
            </w:r>
          </w:p>
          <w:p w14:paraId="12BD5DE0"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5.本基金A类基金份额的收益分配方式分为两种：现金分红与红利再投资，投资人可选择现金红利或将现金红利按除息日的基金份额净值自动转为基金份额进行再投资；若投资人不选择，本基金A类基金份额的默认的收益分配方式是现金分红；本基金H类基金份额的收益分配方式为现金分红；</w:t>
            </w:r>
          </w:p>
          <w:p w14:paraId="05C71952" w14:textId="77777777" w:rsidR="00361B23" w:rsidRPr="00361B23" w:rsidRDefault="00361B23" w:rsidP="00361B23">
            <w:pPr>
              <w:adjustRightInd w:val="0"/>
              <w:snapToGrid w:val="0"/>
              <w:rPr>
                <w:rFonts w:ascii="宋体" w:eastAsia="宋体" w:hAnsi="宋体" w:cs="Times New Roman"/>
                <w:b/>
                <w:bCs/>
                <w:szCs w:val="21"/>
              </w:rPr>
            </w:pPr>
            <w:r w:rsidRPr="00361B23">
              <w:rPr>
                <w:rFonts w:ascii="宋体" w:eastAsia="宋体" w:hAnsi="宋体" w:cs="Times New Roman" w:hint="eastAsia"/>
                <w:bCs/>
                <w:szCs w:val="21"/>
              </w:rPr>
              <w:t>9.在符合有关基金分红条件的前提下，本基金各类基金份额的收益每年至少分配一次，但若基金合同生效不满3个月则可不进行收益分配；</w:t>
            </w:r>
          </w:p>
        </w:tc>
        <w:tc>
          <w:tcPr>
            <w:tcW w:w="3690" w:type="dxa"/>
            <w:tcBorders>
              <w:top w:val="single" w:sz="4" w:space="0" w:color="auto"/>
              <w:left w:val="single" w:sz="4" w:space="0" w:color="auto"/>
              <w:bottom w:val="single" w:sz="4" w:space="0" w:color="auto"/>
              <w:right w:val="single" w:sz="4" w:space="0" w:color="auto"/>
            </w:tcBorders>
          </w:tcPr>
          <w:p w14:paraId="42230215"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(三)收益分配原则</w:t>
            </w:r>
          </w:p>
          <w:p w14:paraId="5413A84F"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1.本基金的每份基金份额享有同等分配权；</w:t>
            </w:r>
          </w:p>
          <w:p w14:paraId="112CBFE2" w14:textId="77777777" w:rsidR="00361B23" w:rsidRPr="00361B23" w:rsidRDefault="00361B23" w:rsidP="00361B23">
            <w:pPr>
              <w:adjustRightInd w:val="0"/>
              <w:snapToGrid w:val="0"/>
              <w:rPr>
                <w:rFonts w:ascii="宋体" w:eastAsia="宋体" w:hAnsi="宋体" w:cs="Times New Roman"/>
                <w:bCs/>
                <w:szCs w:val="21"/>
              </w:rPr>
            </w:pPr>
          </w:p>
          <w:p w14:paraId="7CCA0B21" w14:textId="77777777" w:rsidR="00361B23" w:rsidRPr="00361B23" w:rsidRDefault="00361B23" w:rsidP="00361B23">
            <w:pPr>
              <w:adjustRightInd w:val="0"/>
              <w:snapToGrid w:val="0"/>
              <w:rPr>
                <w:rFonts w:ascii="宋体" w:eastAsia="宋体" w:hAnsi="宋体" w:cs="Times New Roman"/>
                <w:bCs/>
                <w:szCs w:val="21"/>
              </w:rPr>
            </w:pPr>
          </w:p>
          <w:p w14:paraId="6E19DC82" w14:textId="77777777" w:rsidR="00361B23" w:rsidRPr="00361B23" w:rsidRDefault="00361B23" w:rsidP="00361B23">
            <w:pPr>
              <w:adjustRightInd w:val="0"/>
              <w:snapToGrid w:val="0"/>
              <w:rPr>
                <w:rFonts w:ascii="宋体" w:eastAsia="宋体" w:hAnsi="宋体" w:cs="Times New Roman"/>
                <w:bCs/>
                <w:szCs w:val="21"/>
              </w:rPr>
            </w:pPr>
          </w:p>
          <w:p w14:paraId="712D5A3D"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2.基金收益分配后每一基金份额净值不能低于面值；</w:t>
            </w:r>
          </w:p>
          <w:p w14:paraId="73EBCF77"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 xml:space="preserve">4.本基金收益每年最多分配10次，每次基金收益分配比例不低于可分配收益的50%； </w:t>
            </w:r>
          </w:p>
          <w:p w14:paraId="38830B6E" w14:textId="77777777" w:rsidR="00361B23" w:rsidRPr="00361B23" w:rsidRDefault="00361B23" w:rsidP="00361B23">
            <w:pPr>
              <w:adjustRightInd w:val="0"/>
              <w:snapToGrid w:val="0"/>
              <w:rPr>
                <w:rFonts w:ascii="宋体" w:eastAsia="宋体" w:hAnsi="宋体" w:cs="Times New Roman"/>
                <w:bCs/>
                <w:szCs w:val="21"/>
              </w:rPr>
            </w:pPr>
          </w:p>
          <w:p w14:paraId="165A56E7"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5.本基金收益分配方式分为两种：现金分红与红利再投资，投资人可选择现金红利或将现金红利按除息日的基金份额净值自动转为基金份额进行再投资；若投资人不选择，本基金默认的收益分配方式是现金分红；</w:t>
            </w:r>
          </w:p>
          <w:p w14:paraId="22C48A87" w14:textId="77777777" w:rsidR="00361B23" w:rsidRPr="00361B23" w:rsidRDefault="00361B23" w:rsidP="00361B23">
            <w:pPr>
              <w:adjustRightInd w:val="0"/>
              <w:snapToGrid w:val="0"/>
              <w:rPr>
                <w:rFonts w:ascii="宋体" w:eastAsia="宋体" w:hAnsi="宋体" w:cs="Times New Roman"/>
                <w:bCs/>
                <w:szCs w:val="21"/>
              </w:rPr>
            </w:pPr>
          </w:p>
          <w:p w14:paraId="69030FC4" w14:textId="77777777" w:rsidR="00361B23" w:rsidRPr="00361B23" w:rsidRDefault="00361B23" w:rsidP="00361B23">
            <w:pPr>
              <w:adjustRightInd w:val="0"/>
              <w:snapToGrid w:val="0"/>
              <w:rPr>
                <w:rFonts w:ascii="宋体" w:eastAsia="宋体" w:hAnsi="宋体" w:cs="Times New Roman"/>
                <w:bCs/>
                <w:szCs w:val="21"/>
              </w:rPr>
            </w:pPr>
          </w:p>
          <w:p w14:paraId="3580D148"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9.在符合有关基金分红条件的前提下，本基金收益每年至少分配一次，但若基金合同生效不满3个月则可不进行收益分配；</w:t>
            </w:r>
          </w:p>
        </w:tc>
      </w:tr>
      <w:tr w:rsidR="00361B23" w:rsidRPr="00361B23" w14:paraId="2CD53F31" w14:textId="77777777" w:rsidTr="00CC1D7A">
        <w:trPr>
          <w:jc w:val="center"/>
        </w:trPr>
        <w:tc>
          <w:tcPr>
            <w:tcW w:w="2039" w:type="dxa"/>
            <w:tcBorders>
              <w:top w:val="single" w:sz="4" w:space="0" w:color="auto"/>
              <w:left w:val="single" w:sz="4" w:space="0" w:color="auto"/>
              <w:bottom w:val="single" w:sz="4" w:space="0" w:color="auto"/>
              <w:right w:val="single" w:sz="4" w:space="0" w:color="auto"/>
            </w:tcBorders>
          </w:tcPr>
          <w:p w14:paraId="00C8542D" w14:textId="77777777" w:rsidR="00361B23" w:rsidRPr="00361B23" w:rsidRDefault="00361B23" w:rsidP="00361B23">
            <w:pPr>
              <w:jc w:val="center"/>
              <w:rPr>
                <w:rFonts w:ascii="宋体" w:eastAsia="宋体" w:hAnsi="宋体" w:cs="Times New Roman"/>
                <w:b/>
                <w:szCs w:val="21"/>
              </w:rPr>
            </w:pPr>
            <w:r w:rsidRPr="00361B23">
              <w:rPr>
                <w:rFonts w:ascii="宋体" w:eastAsia="宋体" w:hAnsi="宋体" w:cs="Times New Roman" w:hint="eastAsia"/>
                <w:b/>
                <w:szCs w:val="21"/>
              </w:rPr>
              <w:t>十八、基金的信息披露</w:t>
            </w:r>
          </w:p>
        </w:tc>
        <w:tc>
          <w:tcPr>
            <w:tcW w:w="3910" w:type="dxa"/>
            <w:tcBorders>
              <w:top w:val="single" w:sz="4" w:space="0" w:color="auto"/>
              <w:left w:val="single" w:sz="4" w:space="0" w:color="auto"/>
              <w:bottom w:val="single" w:sz="4" w:space="0" w:color="auto"/>
              <w:right w:val="single" w:sz="4" w:space="0" w:color="auto"/>
            </w:tcBorders>
          </w:tcPr>
          <w:p w14:paraId="2051E498"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基金的信息披露应符合《基金法》、《运作办法》、《信息披露办法》、《流动性规定》、基金合同及其他有关规定。本基金信息披露义务人以保护基金份额持有人利益为根本出发点，按照法律法规和中国证监会的规定披露基金信息，并保证所披露信息的真实性、准确性、完整性、及时性、简明性和易得性。H类基金份额的信息披露义务人应予披露的基金信息的披露方式详见招募说明书及其补充文件。</w:t>
            </w:r>
          </w:p>
        </w:tc>
        <w:tc>
          <w:tcPr>
            <w:tcW w:w="3690" w:type="dxa"/>
            <w:tcBorders>
              <w:top w:val="single" w:sz="4" w:space="0" w:color="auto"/>
              <w:left w:val="single" w:sz="4" w:space="0" w:color="auto"/>
              <w:bottom w:val="single" w:sz="4" w:space="0" w:color="auto"/>
              <w:right w:val="single" w:sz="4" w:space="0" w:color="auto"/>
            </w:tcBorders>
            <w:hideMark/>
          </w:tcPr>
          <w:p w14:paraId="00BB4F13"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基金的信息披露应符合《基金法》、《运作办法》、《信息披露办法》、《流动性规定》、基金合同及其他有关规定。本基金信息披露义务人以保护基金份额持有人利益为根本出发点，按照法律法规和中国证监会的规定披露基金信息，并保证所披露信息的真实性、准确性、完整性、及时性、简明性和易得性。</w:t>
            </w:r>
          </w:p>
        </w:tc>
      </w:tr>
      <w:tr w:rsidR="00361B23" w:rsidRPr="00361B23" w14:paraId="656371A4" w14:textId="77777777" w:rsidTr="00CC1D7A">
        <w:trPr>
          <w:jc w:val="center"/>
        </w:trPr>
        <w:tc>
          <w:tcPr>
            <w:tcW w:w="2039" w:type="dxa"/>
            <w:tcBorders>
              <w:top w:val="single" w:sz="4" w:space="0" w:color="auto"/>
              <w:left w:val="single" w:sz="4" w:space="0" w:color="auto"/>
              <w:bottom w:val="single" w:sz="4" w:space="0" w:color="auto"/>
              <w:right w:val="single" w:sz="4" w:space="0" w:color="auto"/>
            </w:tcBorders>
            <w:hideMark/>
          </w:tcPr>
          <w:p w14:paraId="0BE60E3D" w14:textId="77777777" w:rsidR="00361B23" w:rsidRPr="00361B23" w:rsidRDefault="00361B23" w:rsidP="00361B23">
            <w:pPr>
              <w:jc w:val="center"/>
              <w:rPr>
                <w:rFonts w:ascii="宋体" w:eastAsia="宋体" w:hAnsi="宋体" w:cs="Times New Roman"/>
                <w:b/>
                <w:szCs w:val="21"/>
              </w:rPr>
            </w:pPr>
            <w:bookmarkStart w:id="4" w:name="_Toc25647"/>
            <w:bookmarkStart w:id="5" w:name="_Toc123102466"/>
            <w:bookmarkStart w:id="6" w:name="_Toc29891"/>
            <w:bookmarkStart w:id="7" w:name="_Toc10006"/>
            <w:bookmarkStart w:id="8" w:name="_Toc9005"/>
            <w:bookmarkStart w:id="9" w:name="_Toc141703899"/>
            <w:bookmarkStart w:id="10" w:name="_Toc8049"/>
            <w:bookmarkStart w:id="11" w:name="_Toc27464"/>
            <w:bookmarkStart w:id="12" w:name="_Toc123112247"/>
            <w:bookmarkStart w:id="13" w:name="_Toc6237"/>
            <w:bookmarkStart w:id="14" w:name="_Toc123051465"/>
            <w:bookmarkStart w:id="15" w:name="_Toc98560364"/>
            <w:bookmarkStart w:id="16" w:name="_Toc8059"/>
            <w:bookmarkStart w:id="17" w:name="_Toc7170"/>
            <w:bookmarkStart w:id="18" w:name="_Toc22978"/>
            <w:bookmarkStart w:id="19" w:name="_Toc139991749"/>
            <w:bookmarkStart w:id="20" w:name="_Toc79667164"/>
            <w:bookmarkStart w:id="21" w:name="_Toc11113"/>
            <w:r w:rsidRPr="00361B23">
              <w:rPr>
                <w:rFonts w:ascii="宋体" w:eastAsia="宋体" w:hAnsi="宋体" w:cs="Times New Roman" w:hint="eastAsia"/>
                <w:b/>
                <w:szCs w:val="21"/>
              </w:rPr>
              <w:t>十九、基金合同的变更、终止与基金财产的清算</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c>
        <w:tc>
          <w:tcPr>
            <w:tcW w:w="3910" w:type="dxa"/>
            <w:tcBorders>
              <w:top w:val="single" w:sz="4" w:space="0" w:color="auto"/>
              <w:left w:val="single" w:sz="4" w:space="0" w:color="auto"/>
              <w:bottom w:val="single" w:sz="4" w:space="0" w:color="auto"/>
              <w:right w:val="single" w:sz="4" w:space="0" w:color="auto"/>
            </w:tcBorders>
          </w:tcPr>
          <w:p w14:paraId="13BCEFD0" w14:textId="77777777" w:rsidR="00361B23" w:rsidRPr="00361B23" w:rsidRDefault="00361B23" w:rsidP="00361B23">
            <w:pPr>
              <w:adjustRightInd w:val="0"/>
              <w:snapToGrid w:val="0"/>
              <w:rPr>
                <w:rFonts w:ascii="宋体" w:eastAsia="宋体" w:hAnsi="宋体" w:cs="Times New Roman"/>
                <w:bCs/>
                <w:szCs w:val="21"/>
              </w:rPr>
            </w:pPr>
            <w:bookmarkStart w:id="22" w:name="_Toc79392639"/>
            <w:r w:rsidRPr="00361B23">
              <w:rPr>
                <w:rFonts w:ascii="宋体" w:eastAsia="宋体" w:hAnsi="宋体" w:cs="Times New Roman" w:hint="eastAsia"/>
                <w:bCs/>
                <w:szCs w:val="21"/>
              </w:rPr>
              <w:t>(三)基金财产的清算</w:t>
            </w:r>
            <w:bookmarkEnd w:id="22"/>
          </w:p>
          <w:p w14:paraId="5248B423"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4.基金财产按下列顺序清偿：</w:t>
            </w:r>
          </w:p>
          <w:p w14:paraId="4A3377AF"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(4)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tc>
        <w:tc>
          <w:tcPr>
            <w:tcW w:w="3690" w:type="dxa"/>
            <w:tcBorders>
              <w:top w:val="single" w:sz="4" w:space="0" w:color="auto"/>
              <w:left w:val="single" w:sz="4" w:space="0" w:color="auto"/>
              <w:bottom w:val="single" w:sz="4" w:space="0" w:color="auto"/>
              <w:right w:val="single" w:sz="4" w:space="0" w:color="auto"/>
            </w:tcBorders>
            <w:hideMark/>
          </w:tcPr>
          <w:p w14:paraId="33834DAA"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(三)基金财产的清算</w:t>
            </w:r>
          </w:p>
          <w:p w14:paraId="4F474B79"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4.基金财产按下列顺序清偿：</w:t>
            </w:r>
          </w:p>
          <w:p w14:paraId="7D273D31" w14:textId="77777777" w:rsidR="00361B23" w:rsidRPr="00361B23" w:rsidRDefault="00361B23" w:rsidP="00361B23">
            <w:pPr>
              <w:adjustRightInd w:val="0"/>
              <w:snapToGrid w:val="0"/>
              <w:rPr>
                <w:rFonts w:ascii="宋体" w:eastAsia="宋体" w:hAnsi="宋体" w:cs="Times New Roman"/>
                <w:bCs/>
                <w:szCs w:val="21"/>
              </w:rPr>
            </w:pPr>
            <w:r w:rsidRPr="00361B23">
              <w:rPr>
                <w:rFonts w:ascii="宋体" w:eastAsia="宋体" w:hAnsi="宋体" w:cs="Times New Roman" w:hint="eastAsia"/>
                <w:bCs/>
                <w:szCs w:val="21"/>
              </w:rPr>
              <w:t>(4)按基金份额持有人持有的基金份额比例进行分配。</w:t>
            </w:r>
          </w:p>
        </w:tc>
      </w:tr>
    </w:tbl>
    <w:p w14:paraId="330B8FB3" w14:textId="77777777" w:rsidR="00AD16DC" w:rsidRDefault="00AD16DC">
      <w:pPr>
        <w:widowControl/>
        <w:jc w:val="left"/>
      </w:pPr>
      <w:r>
        <w:br w:type="page"/>
      </w:r>
    </w:p>
    <w:p w14:paraId="5D9487D0" w14:textId="77777777" w:rsidR="00331F84" w:rsidRDefault="00331F84" w:rsidP="00331F84">
      <w:pPr>
        <w:jc w:val="center"/>
        <w:rPr>
          <w:rFonts w:ascii="Calibri" w:eastAsia="宋体" w:hAnsi="Calibri" w:cs="Times New Roman"/>
          <w:b/>
        </w:rPr>
      </w:pPr>
      <w:r w:rsidRPr="00331F84">
        <w:rPr>
          <w:rFonts w:ascii="Calibri" w:eastAsia="宋体" w:hAnsi="Calibri" w:cs="Times New Roman" w:hint="eastAsia"/>
          <w:b/>
        </w:rPr>
        <w:lastRenderedPageBreak/>
        <w:t>附件</w:t>
      </w:r>
      <w:r w:rsidRPr="00331F84">
        <w:rPr>
          <w:rFonts w:ascii="Calibri" w:eastAsia="宋体" w:hAnsi="Calibri" w:cs="Times New Roman"/>
          <w:b/>
        </w:rPr>
        <w:t>2</w:t>
      </w:r>
      <w:r w:rsidRPr="00331F84">
        <w:rPr>
          <w:rFonts w:ascii="Calibri" w:eastAsia="宋体" w:hAnsi="Calibri" w:cs="Times New Roman"/>
          <w:b/>
        </w:rPr>
        <w:t>：</w:t>
      </w:r>
      <w:r w:rsidRPr="00331F84">
        <w:rPr>
          <w:rFonts w:ascii="Calibri" w:eastAsia="宋体" w:hAnsi="Calibri" w:cs="Times New Roman" w:hint="eastAsia"/>
          <w:b/>
        </w:rPr>
        <w:t>《交银施罗德稳健配置混合型证券投资基金托管协议》修订前后对照表</w:t>
      </w:r>
    </w:p>
    <w:p w14:paraId="262B22D6" w14:textId="77777777" w:rsidR="0096058E" w:rsidRPr="00331F84" w:rsidRDefault="0096058E" w:rsidP="00331F84">
      <w:pPr>
        <w:jc w:val="center"/>
        <w:rPr>
          <w:rFonts w:ascii="Calibri" w:eastAsia="宋体" w:hAnsi="Calibri" w:cs="Times New Roman"/>
          <w: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2039"/>
        <w:gridCol w:w="3910"/>
        <w:gridCol w:w="3690"/>
      </w:tblGrid>
      <w:tr w:rsidR="0096058E" w:rsidRPr="0096058E" w14:paraId="6405188F" w14:textId="77777777" w:rsidTr="00CF4B0D">
        <w:trPr>
          <w:trHeight w:val="99"/>
          <w:jc w:val="center"/>
        </w:trPr>
        <w:tc>
          <w:tcPr>
            <w:tcW w:w="2039" w:type="dxa"/>
            <w:tcBorders>
              <w:top w:val="single" w:sz="4" w:space="0" w:color="auto"/>
              <w:left w:val="single" w:sz="4" w:space="0" w:color="auto"/>
              <w:bottom w:val="single" w:sz="4" w:space="0" w:color="auto"/>
              <w:right w:val="single" w:sz="4" w:space="0" w:color="auto"/>
            </w:tcBorders>
            <w:vAlign w:val="center"/>
            <w:hideMark/>
          </w:tcPr>
          <w:p w14:paraId="5FE43146" w14:textId="77777777" w:rsidR="0096058E" w:rsidRPr="0096058E" w:rsidRDefault="0096058E" w:rsidP="00CF4B0D">
            <w:pPr>
              <w:jc w:val="center"/>
              <w:rPr>
                <w:rFonts w:ascii="宋体" w:eastAsia="宋体" w:hAnsi="宋体" w:cs="Times New Roman"/>
                <w:b/>
                <w:szCs w:val="21"/>
              </w:rPr>
            </w:pPr>
            <w:r w:rsidRPr="0096058E">
              <w:rPr>
                <w:rFonts w:ascii="宋体" w:eastAsia="宋体" w:hAnsi="宋体" w:cs="Times New Roman" w:hint="eastAsia"/>
                <w:b/>
                <w:szCs w:val="21"/>
              </w:rPr>
              <w:t>章节</w:t>
            </w:r>
          </w:p>
        </w:tc>
        <w:tc>
          <w:tcPr>
            <w:tcW w:w="3910" w:type="dxa"/>
            <w:tcBorders>
              <w:top w:val="single" w:sz="4" w:space="0" w:color="auto"/>
              <w:left w:val="single" w:sz="4" w:space="0" w:color="auto"/>
              <w:bottom w:val="single" w:sz="4" w:space="0" w:color="auto"/>
              <w:right w:val="single" w:sz="4" w:space="0" w:color="auto"/>
            </w:tcBorders>
            <w:vAlign w:val="center"/>
            <w:hideMark/>
          </w:tcPr>
          <w:p w14:paraId="504339D9" w14:textId="77777777" w:rsidR="0096058E" w:rsidRPr="0096058E" w:rsidRDefault="0096058E" w:rsidP="00CF4B0D">
            <w:pPr>
              <w:jc w:val="center"/>
              <w:rPr>
                <w:rFonts w:ascii="宋体" w:eastAsia="宋体" w:hAnsi="宋体" w:cs="Times New Roman"/>
                <w:b/>
                <w:szCs w:val="21"/>
              </w:rPr>
            </w:pPr>
            <w:r w:rsidRPr="0096058E">
              <w:rPr>
                <w:rFonts w:ascii="宋体" w:eastAsia="宋体" w:hAnsi="宋体" w:cs="Times New Roman" w:hint="eastAsia"/>
                <w:b/>
                <w:szCs w:val="21"/>
              </w:rPr>
              <w:t>修订前</w:t>
            </w:r>
          </w:p>
        </w:tc>
        <w:tc>
          <w:tcPr>
            <w:tcW w:w="3690" w:type="dxa"/>
            <w:tcBorders>
              <w:top w:val="single" w:sz="4" w:space="0" w:color="auto"/>
              <w:left w:val="single" w:sz="4" w:space="0" w:color="auto"/>
              <w:bottom w:val="single" w:sz="4" w:space="0" w:color="auto"/>
              <w:right w:val="single" w:sz="4" w:space="0" w:color="auto"/>
            </w:tcBorders>
            <w:vAlign w:val="center"/>
            <w:hideMark/>
          </w:tcPr>
          <w:p w14:paraId="3E0F177E" w14:textId="77777777" w:rsidR="0096058E" w:rsidRPr="0096058E" w:rsidRDefault="0096058E" w:rsidP="00CF4B0D">
            <w:pPr>
              <w:jc w:val="center"/>
              <w:rPr>
                <w:rFonts w:ascii="宋体" w:eastAsia="宋体" w:hAnsi="宋体" w:cs="Times New Roman"/>
                <w:b/>
                <w:szCs w:val="21"/>
              </w:rPr>
            </w:pPr>
            <w:r w:rsidRPr="0096058E">
              <w:rPr>
                <w:rFonts w:ascii="宋体" w:eastAsia="宋体" w:hAnsi="宋体" w:cs="Times New Roman" w:hint="eastAsia"/>
                <w:b/>
                <w:szCs w:val="21"/>
              </w:rPr>
              <w:t>修订后</w:t>
            </w:r>
          </w:p>
        </w:tc>
      </w:tr>
      <w:tr w:rsidR="0096058E" w:rsidRPr="0096058E" w14:paraId="7956CC0E" w14:textId="77777777" w:rsidTr="00CC1D7A">
        <w:trPr>
          <w:jc w:val="center"/>
        </w:trPr>
        <w:tc>
          <w:tcPr>
            <w:tcW w:w="2039" w:type="dxa"/>
            <w:tcBorders>
              <w:top w:val="single" w:sz="4" w:space="0" w:color="auto"/>
              <w:left w:val="single" w:sz="4" w:space="0" w:color="auto"/>
              <w:bottom w:val="single" w:sz="4" w:space="0" w:color="auto"/>
              <w:right w:val="single" w:sz="4" w:space="0" w:color="auto"/>
            </w:tcBorders>
            <w:hideMark/>
          </w:tcPr>
          <w:p w14:paraId="328C1358" w14:textId="77777777" w:rsidR="0096058E" w:rsidRPr="0096058E" w:rsidRDefault="0096058E" w:rsidP="0096058E">
            <w:pPr>
              <w:jc w:val="center"/>
              <w:rPr>
                <w:rFonts w:ascii="宋体" w:eastAsia="宋体" w:hAnsi="宋体" w:cs="Times New Roman"/>
                <w:b/>
                <w:szCs w:val="21"/>
              </w:rPr>
            </w:pPr>
            <w:r w:rsidRPr="0096058E">
              <w:rPr>
                <w:rFonts w:ascii="宋体" w:eastAsia="宋体" w:hAnsi="宋体" w:cs="Times New Roman" w:hint="eastAsia"/>
                <w:b/>
                <w:szCs w:val="21"/>
              </w:rPr>
              <w:t>八、基金资产净值计算和会计核算</w:t>
            </w:r>
          </w:p>
        </w:tc>
        <w:tc>
          <w:tcPr>
            <w:tcW w:w="3910" w:type="dxa"/>
            <w:tcBorders>
              <w:top w:val="single" w:sz="4" w:space="0" w:color="auto"/>
              <w:left w:val="single" w:sz="4" w:space="0" w:color="auto"/>
              <w:bottom w:val="single" w:sz="4" w:space="0" w:color="auto"/>
              <w:right w:val="single" w:sz="4" w:space="0" w:color="auto"/>
            </w:tcBorders>
          </w:tcPr>
          <w:p w14:paraId="42CEF84D" w14:textId="77777777" w:rsidR="0096058E" w:rsidRPr="0096058E" w:rsidRDefault="0096058E" w:rsidP="0096058E">
            <w:pPr>
              <w:adjustRightInd w:val="0"/>
              <w:snapToGrid w:val="0"/>
              <w:rPr>
                <w:rFonts w:ascii="宋体" w:eastAsia="宋体" w:hAnsi="宋体" w:cs="Times New Roman"/>
                <w:kern w:val="0"/>
                <w:szCs w:val="21"/>
              </w:rPr>
            </w:pPr>
            <w:r w:rsidRPr="0096058E">
              <w:rPr>
                <w:rFonts w:ascii="宋体" w:eastAsia="宋体" w:hAnsi="宋体" w:cs="Times New Roman" w:hint="eastAsia"/>
                <w:kern w:val="0"/>
                <w:szCs w:val="21"/>
              </w:rPr>
              <w:t>（一）基金资产净值的计算、复核与完成的时间及程序</w:t>
            </w:r>
          </w:p>
          <w:p w14:paraId="191879F1" w14:textId="77777777" w:rsidR="0096058E" w:rsidRPr="0096058E" w:rsidRDefault="0096058E" w:rsidP="0096058E">
            <w:pPr>
              <w:adjustRightInd w:val="0"/>
              <w:snapToGrid w:val="0"/>
              <w:rPr>
                <w:rFonts w:ascii="宋体" w:eastAsia="宋体" w:hAnsi="宋体" w:cs="Times New Roman"/>
                <w:kern w:val="0"/>
                <w:szCs w:val="21"/>
              </w:rPr>
            </w:pPr>
            <w:r w:rsidRPr="0096058E">
              <w:rPr>
                <w:rFonts w:ascii="宋体" w:eastAsia="宋体" w:hAnsi="宋体" w:cs="Times New Roman" w:hint="eastAsia"/>
                <w:kern w:val="0"/>
                <w:szCs w:val="21"/>
              </w:rPr>
              <w:t>1.基金资产净值</w:t>
            </w:r>
          </w:p>
          <w:p w14:paraId="5B0ACF77" w14:textId="77777777" w:rsidR="0096058E" w:rsidRPr="0096058E" w:rsidRDefault="0096058E" w:rsidP="0096058E">
            <w:pPr>
              <w:adjustRightInd w:val="0"/>
              <w:snapToGrid w:val="0"/>
              <w:rPr>
                <w:rFonts w:ascii="宋体" w:eastAsia="宋体" w:hAnsi="宋体" w:cs="Times New Roman"/>
                <w:kern w:val="0"/>
                <w:szCs w:val="21"/>
              </w:rPr>
            </w:pPr>
            <w:r w:rsidRPr="0096058E">
              <w:rPr>
                <w:rFonts w:ascii="宋体" w:eastAsia="宋体" w:hAnsi="宋体" w:cs="Times New Roman" w:hint="eastAsia"/>
                <w:kern w:val="0"/>
                <w:szCs w:val="21"/>
              </w:rPr>
              <w:t>每个工作日分别计算A类基金份额及H类基金份额的基金资产净值及基金份额净值，并按规定公告。</w:t>
            </w:r>
          </w:p>
        </w:tc>
        <w:tc>
          <w:tcPr>
            <w:tcW w:w="3690" w:type="dxa"/>
            <w:tcBorders>
              <w:top w:val="single" w:sz="4" w:space="0" w:color="auto"/>
              <w:left w:val="single" w:sz="4" w:space="0" w:color="auto"/>
              <w:bottom w:val="single" w:sz="4" w:space="0" w:color="auto"/>
              <w:right w:val="single" w:sz="4" w:space="0" w:color="auto"/>
            </w:tcBorders>
            <w:hideMark/>
          </w:tcPr>
          <w:p w14:paraId="48C5FBEB" w14:textId="77777777" w:rsidR="0096058E" w:rsidRPr="0096058E" w:rsidRDefault="0096058E" w:rsidP="0096058E">
            <w:pPr>
              <w:adjustRightInd w:val="0"/>
              <w:snapToGrid w:val="0"/>
              <w:rPr>
                <w:rFonts w:ascii="宋体" w:eastAsia="宋体" w:hAnsi="宋体" w:cs="Times New Roman"/>
                <w:bCs/>
                <w:szCs w:val="21"/>
              </w:rPr>
            </w:pPr>
            <w:r w:rsidRPr="0096058E">
              <w:rPr>
                <w:rFonts w:ascii="宋体" w:eastAsia="宋体" w:hAnsi="宋体" w:cs="Times New Roman" w:hint="eastAsia"/>
                <w:bCs/>
                <w:szCs w:val="21"/>
              </w:rPr>
              <w:t>（一）基金资产净值的计算、复核与完成的时间及程序</w:t>
            </w:r>
          </w:p>
          <w:p w14:paraId="6E5E5197" w14:textId="77777777" w:rsidR="0096058E" w:rsidRPr="0096058E" w:rsidRDefault="0096058E" w:rsidP="0096058E">
            <w:pPr>
              <w:adjustRightInd w:val="0"/>
              <w:snapToGrid w:val="0"/>
              <w:rPr>
                <w:rFonts w:ascii="宋体" w:eastAsia="宋体" w:hAnsi="宋体" w:cs="Times New Roman"/>
                <w:bCs/>
                <w:szCs w:val="21"/>
              </w:rPr>
            </w:pPr>
            <w:r w:rsidRPr="0096058E">
              <w:rPr>
                <w:rFonts w:ascii="宋体" w:eastAsia="宋体" w:hAnsi="宋体" w:cs="Times New Roman" w:hint="eastAsia"/>
                <w:bCs/>
                <w:szCs w:val="21"/>
              </w:rPr>
              <w:t>1.基金资产净值</w:t>
            </w:r>
          </w:p>
          <w:p w14:paraId="336D0B49" w14:textId="77777777" w:rsidR="0096058E" w:rsidRPr="0096058E" w:rsidRDefault="0096058E" w:rsidP="0096058E">
            <w:pPr>
              <w:adjustRightInd w:val="0"/>
              <w:snapToGrid w:val="0"/>
              <w:rPr>
                <w:rFonts w:ascii="宋体" w:eastAsia="宋体" w:hAnsi="宋体" w:cs="Times New Roman"/>
                <w:bCs/>
                <w:szCs w:val="21"/>
              </w:rPr>
            </w:pPr>
            <w:r w:rsidRPr="0096058E">
              <w:rPr>
                <w:rFonts w:ascii="宋体" w:eastAsia="宋体" w:hAnsi="宋体" w:cs="Times New Roman" w:hint="eastAsia"/>
                <w:bCs/>
                <w:szCs w:val="21"/>
              </w:rPr>
              <w:t>每个工作日计算基金资产净值及基金份额净值，并按规定公告。</w:t>
            </w:r>
          </w:p>
        </w:tc>
      </w:tr>
      <w:tr w:rsidR="0096058E" w:rsidRPr="0096058E" w14:paraId="489FDA12" w14:textId="77777777" w:rsidTr="00CC1D7A">
        <w:trPr>
          <w:jc w:val="center"/>
        </w:trPr>
        <w:tc>
          <w:tcPr>
            <w:tcW w:w="2039" w:type="dxa"/>
            <w:tcBorders>
              <w:top w:val="single" w:sz="4" w:space="0" w:color="auto"/>
              <w:left w:val="single" w:sz="4" w:space="0" w:color="auto"/>
              <w:bottom w:val="single" w:sz="4" w:space="0" w:color="auto"/>
              <w:right w:val="single" w:sz="4" w:space="0" w:color="auto"/>
            </w:tcBorders>
          </w:tcPr>
          <w:p w14:paraId="11DF1B71" w14:textId="77777777" w:rsidR="0096058E" w:rsidRPr="0096058E" w:rsidRDefault="0096058E" w:rsidP="0096058E">
            <w:pPr>
              <w:jc w:val="center"/>
              <w:rPr>
                <w:rFonts w:ascii="宋体" w:eastAsia="宋体" w:hAnsi="宋体" w:cs="Times New Roman"/>
                <w:b/>
                <w:szCs w:val="21"/>
              </w:rPr>
            </w:pPr>
            <w:r w:rsidRPr="0096058E">
              <w:rPr>
                <w:rFonts w:ascii="宋体" w:eastAsia="宋体" w:hAnsi="宋体" w:cs="Times New Roman" w:hint="eastAsia"/>
                <w:b/>
                <w:szCs w:val="21"/>
              </w:rPr>
              <w:t>九、基金收益分配</w:t>
            </w:r>
          </w:p>
        </w:tc>
        <w:tc>
          <w:tcPr>
            <w:tcW w:w="3910" w:type="dxa"/>
            <w:tcBorders>
              <w:top w:val="single" w:sz="4" w:space="0" w:color="auto"/>
              <w:left w:val="single" w:sz="4" w:space="0" w:color="auto"/>
              <w:bottom w:val="single" w:sz="4" w:space="0" w:color="auto"/>
              <w:right w:val="single" w:sz="4" w:space="0" w:color="auto"/>
            </w:tcBorders>
          </w:tcPr>
          <w:p w14:paraId="372C7653" w14:textId="77777777" w:rsidR="0096058E" w:rsidRPr="0096058E" w:rsidRDefault="0096058E" w:rsidP="0096058E">
            <w:pPr>
              <w:adjustRightInd w:val="0"/>
              <w:snapToGrid w:val="0"/>
              <w:rPr>
                <w:rFonts w:ascii="宋体" w:eastAsia="宋体" w:hAnsi="宋体" w:cs="Times New Roman"/>
                <w:kern w:val="0"/>
                <w:szCs w:val="21"/>
              </w:rPr>
            </w:pPr>
            <w:r w:rsidRPr="0096058E">
              <w:rPr>
                <w:rFonts w:ascii="宋体" w:eastAsia="宋体" w:hAnsi="宋体" w:cs="Times New Roman" w:hint="eastAsia"/>
                <w:kern w:val="0"/>
                <w:szCs w:val="21"/>
              </w:rPr>
              <w:t>（一）基金收益分配的原则</w:t>
            </w:r>
          </w:p>
          <w:p w14:paraId="3FC41170" w14:textId="77777777" w:rsidR="0096058E" w:rsidRPr="0096058E" w:rsidRDefault="0096058E" w:rsidP="0096058E">
            <w:pPr>
              <w:adjustRightInd w:val="0"/>
              <w:snapToGrid w:val="0"/>
              <w:rPr>
                <w:rFonts w:ascii="宋体" w:eastAsia="宋体" w:hAnsi="宋体" w:cs="Times New Roman"/>
                <w:kern w:val="0"/>
                <w:szCs w:val="21"/>
              </w:rPr>
            </w:pPr>
            <w:r w:rsidRPr="0096058E">
              <w:rPr>
                <w:rFonts w:ascii="宋体" w:eastAsia="宋体" w:hAnsi="宋体" w:cs="Times New Roman" w:hint="eastAsia"/>
                <w:kern w:val="0"/>
                <w:szCs w:val="21"/>
              </w:rPr>
              <w:t>基金收益分配应遵循下列原则：</w:t>
            </w:r>
          </w:p>
          <w:p w14:paraId="5FDDD3DF" w14:textId="77777777" w:rsidR="0096058E" w:rsidRPr="0096058E" w:rsidRDefault="0096058E" w:rsidP="0096058E">
            <w:pPr>
              <w:adjustRightInd w:val="0"/>
              <w:snapToGrid w:val="0"/>
              <w:rPr>
                <w:rFonts w:ascii="宋体" w:eastAsia="宋体" w:hAnsi="宋体" w:cs="Times New Roman"/>
                <w:kern w:val="0"/>
                <w:szCs w:val="21"/>
              </w:rPr>
            </w:pPr>
            <w:r w:rsidRPr="0096058E">
              <w:rPr>
                <w:rFonts w:ascii="宋体" w:eastAsia="宋体" w:hAnsi="宋体" w:cs="Times New Roman" w:hint="eastAsia"/>
                <w:kern w:val="0"/>
                <w:szCs w:val="21"/>
              </w:rPr>
              <w:t>1.不同类别的基金份额在收益分配数额方面可能有所不同，基金管理人可对各类别基金份额分别制定收益分配方案，本基金同一类别的每一基金份额享有同等分配权；</w:t>
            </w:r>
          </w:p>
          <w:p w14:paraId="5C15F836" w14:textId="77777777" w:rsidR="0096058E" w:rsidRPr="0096058E" w:rsidRDefault="0096058E" w:rsidP="0096058E">
            <w:pPr>
              <w:adjustRightInd w:val="0"/>
              <w:snapToGrid w:val="0"/>
              <w:rPr>
                <w:rFonts w:ascii="宋体" w:eastAsia="宋体" w:hAnsi="宋体" w:cs="Times New Roman"/>
                <w:kern w:val="0"/>
                <w:szCs w:val="21"/>
              </w:rPr>
            </w:pPr>
            <w:r w:rsidRPr="0096058E">
              <w:rPr>
                <w:rFonts w:ascii="宋体" w:eastAsia="宋体" w:hAnsi="宋体" w:cs="Times New Roman" w:hint="eastAsia"/>
                <w:kern w:val="0"/>
                <w:szCs w:val="21"/>
              </w:rPr>
              <w:t>2.基金收益分配后每类基金份额净值不能低于面值；</w:t>
            </w:r>
          </w:p>
          <w:p w14:paraId="51E02687" w14:textId="77777777" w:rsidR="0096058E" w:rsidRPr="0096058E" w:rsidRDefault="0096058E" w:rsidP="0096058E">
            <w:pPr>
              <w:adjustRightInd w:val="0"/>
              <w:snapToGrid w:val="0"/>
              <w:rPr>
                <w:rFonts w:ascii="宋体" w:eastAsia="宋体" w:hAnsi="宋体" w:cs="Times New Roman"/>
                <w:kern w:val="0"/>
                <w:szCs w:val="21"/>
              </w:rPr>
            </w:pPr>
            <w:r w:rsidRPr="0096058E">
              <w:rPr>
                <w:rFonts w:ascii="宋体" w:eastAsia="宋体" w:hAnsi="宋体" w:cs="Times New Roman" w:hint="eastAsia"/>
                <w:kern w:val="0"/>
                <w:szCs w:val="21"/>
              </w:rPr>
              <w:t>4.本基金各类基金份额的收益每年最多分配10次，每次各类基金份额的基金收益分配比例不低于该类基金份额可分配收益的50%；</w:t>
            </w:r>
          </w:p>
          <w:p w14:paraId="1F32ED00" w14:textId="77777777" w:rsidR="0096058E" w:rsidRPr="0096058E" w:rsidRDefault="0096058E" w:rsidP="0096058E">
            <w:pPr>
              <w:adjustRightInd w:val="0"/>
              <w:snapToGrid w:val="0"/>
              <w:rPr>
                <w:rFonts w:ascii="宋体" w:eastAsia="宋体" w:hAnsi="宋体" w:cs="Times New Roman"/>
                <w:kern w:val="0"/>
                <w:szCs w:val="21"/>
              </w:rPr>
            </w:pPr>
            <w:r w:rsidRPr="0096058E">
              <w:rPr>
                <w:rFonts w:ascii="宋体" w:eastAsia="宋体" w:hAnsi="宋体" w:cs="Times New Roman" w:hint="eastAsia"/>
                <w:kern w:val="0"/>
                <w:szCs w:val="21"/>
              </w:rPr>
              <w:t>5.本基金A类基金份额的收益分配方式分为两种：现金分红与红利再投资，投资者可选择现金红利或将现金红利按除息日的基金份额净值自动转为基金份额进行再投资；若投资者不选择，本基金A类基金份额的默认的收益分配方式是现金分红；本基金H类基金份额的收益分配方式为现金分红；</w:t>
            </w:r>
          </w:p>
          <w:p w14:paraId="7FBAD850" w14:textId="77777777" w:rsidR="0096058E" w:rsidRPr="0096058E" w:rsidRDefault="0096058E" w:rsidP="0096058E">
            <w:pPr>
              <w:adjustRightInd w:val="0"/>
              <w:snapToGrid w:val="0"/>
              <w:rPr>
                <w:rFonts w:ascii="宋体" w:eastAsia="宋体" w:hAnsi="宋体" w:cs="Times New Roman"/>
                <w:kern w:val="0"/>
                <w:szCs w:val="21"/>
              </w:rPr>
            </w:pPr>
            <w:r w:rsidRPr="0096058E">
              <w:rPr>
                <w:rFonts w:ascii="宋体" w:eastAsia="宋体" w:hAnsi="宋体" w:cs="Times New Roman" w:hint="eastAsia"/>
                <w:kern w:val="0"/>
                <w:szCs w:val="21"/>
              </w:rPr>
              <w:t>9.在符合有关基金分红条件的前提下，本基金各类基金份额的收益每年至少分配一次，但若基金合同生效不满3个月则可不进行收益分配；</w:t>
            </w:r>
          </w:p>
        </w:tc>
        <w:tc>
          <w:tcPr>
            <w:tcW w:w="3690" w:type="dxa"/>
            <w:tcBorders>
              <w:top w:val="single" w:sz="4" w:space="0" w:color="auto"/>
              <w:left w:val="single" w:sz="4" w:space="0" w:color="auto"/>
              <w:bottom w:val="single" w:sz="4" w:space="0" w:color="auto"/>
              <w:right w:val="single" w:sz="4" w:space="0" w:color="auto"/>
            </w:tcBorders>
          </w:tcPr>
          <w:p w14:paraId="3E09618F" w14:textId="77777777" w:rsidR="0096058E" w:rsidRPr="0096058E" w:rsidRDefault="0096058E" w:rsidP="0096058E">
            <w:pPr>
              <w:adjustRightInd w:val="0"/>
              <w:snapToGrid w:val="0"/>
              <w:rPr>
                <w:rFonts w:ascii="宋体" w:eastAsia="宋体" w:hAnsi="宋体" w:cs="Times New Roman"/>
                <w:bCs/>
                <w:szCs w:val="21"/>
              </w:rPr>
            </w:pPr>
            <w:r w:rsidRPr="0096058E">
              <w:rPr>
                <w:rFonts w:ascii="宋体" w:eastAsia="宋体" w:hAnsi="宋体" w:cs="Times New Roman" w:hint="eastAsia"/>
                <w:bCs/>
                <w:szCs w:val="21"/>
              </w:rPr>
              <w:t>（一）基金收益分配的原则</w:t>
            </w:r>
          </w:p>
          <w:p w14:paraId="08F08564" w14:textId="77777777" w:rsidR="0096058E" w:rsidRPr="0096058E" w:rsidRDefault="0096058E" w:rsidP="0096058E">
            <w:pPr>
              <w:adjustRightInd w:val="0"/>
              <w:snapToGrid w:val="0"/>
              <w:rPr>
                <w:rFonts w:ascii="宋体" w:eastAsia="宋体" w:hAnsi="宋体" w:cs="Times New Roman"/>
                <w:bCs/>
                <w:szCs w:val="21"/>
              </w:rPr>
            </w:pPr>
            <w:r w:rsidRPr="0096058E">
              <w:rPr>
                <w:rFonts w:ascii="宋体" w:eastAsia="宋体" w:hAnsi="宋体" w:cs="Times New Roman" w:hint="eastAsia"/>
                <w:bCs/>
                <w:szCs w:val="21"/>
              </w:rPr>
              <w:t>基金收益分配应遵循下列原则：</w:t>
            </w:r>
          </w:p>
          <w:p w14:paraId="0E3A0A06" w14:textId="77777777" w:rsidR="0096058E" w:rsidRPr="0096058E" w:rsidRDefault="0096058E" w:rsidP="0096058E">
            <w:pPr>
              <w:adjustRightInd w:val="0"/>
              <w:snapToGrid w:val="0"/>
              <w:rPr>
                <w:rFonts w:ascii="宋体" w:eastAsia="宋体" w:hAnsi="宋体" w:cs="Times New Roman"/>
                <w:bCs/>
                <w:szCs w:val="21"/>
              </w:rPr>
            </w:pPr>
            <w:r w:rsidRPr="0096058E">
              <w:rPr>
                <w:rFonts w:ascii="宋体" w:eastAsia="宋体" w:hAnsi="宋体" w:cs="Times New Roman" w:hint="eastAsia"/>
                <w:bCs/>
                <w:szCs w:val="21"/>
              </w:rPr>
              <w:t>1.本基金的每份基金份额享有同等分配权；</w:t>
            </w:r>
          </w:p>
          <w:p w14:paraId="639F4099" w14:textId="77777777" w:rsidR="0096058E" w:rsidRPr="0096058E" w:rsidRDefault="0096058E" w:rsidP="0096058E">
            <w:pPr>
              <w:adjustRightInd w:val="0"/>
              <w:snapToGrid w:val="0"/>
              <w:rPr>
                <w:rFonts w:ascii="宋体" w:eastAsia="宋体" w:hAnsi="宋体" w:cs="Times New Roman"/>
                <w:bCs/>
                <w:szCs w:val="21"/>
              </w:rPr>
            </w:pPr>
          </w:p>
          <w:p w14:paraId="6F7E252A" w14:textId="77777777" w:rsidR="0096058E" w:rsidRPr="0096058E" w:rsidRDefault="0096058E" w:rsidP="0096058E">
            <w:pPr>
              <w:adjustRightInd w:val="0"/>
              <w:snapToGrid w:val="0"/>
              <w:rPr>
                <w:rFonts w:ascii="宋体" w:eastAsia="宋体" w:hAnsi="宋体" w:cs="Times New Roman"/>
                <w:bCs/>
                <w:szCs w:val="21"/>
              </w:rPr>
            </w:pPr>
          </w:p>
          <w:p w14:paraId="5564B890" w14:textId="77777777" w:rsidR="0096058E" w:rsidRPr="0096058E" w:rsidRDefault="0096058E" w:rsidP="0096058E">
            <w:pPr>
              <w:adjustRightInd w:val="0"/>
              <w:snapToGrid w:val="0"/>
              <w:rPr>
                <w:rFonts w:ascii="宋体" w:eastAsia="宋体" w:hAnsi="宋体" w:cs="Times New Roman"/>
                <w:bCs/>
                <w:szCs w:val="21"/>
              </w:rPr>
            </w:pPr>
          </w:p>
          <w:p w14:paraId="14095358" w14:textId="77777777" w:rsidR="0096058E" w:rsidRPr="0096058E" w:rsidRDefault="0096058E" w:rsidP="0096058E">
            <w:pPr>
              <w:adjustRightInd w:val="0"/>
              <w:snapToGrid w:val="0"/>
              <w:rPr>
                <w:rFonts w:ascii="宋体" w:eastAsia="宋体" w:hAnsi="宋体" w:cs="Times New Roman"/>
                <w:bCs/>
                <w:szCs w:val="21"/>
              </w:rPr>
            </w:pPr>
            <w:r w:rsidRPr="0096058E">
              <w:rPr>
                <w:rFonts w:ascii="宋体" w:eastAsia="宋体" w:hAnsi="宋体" w:cs="Times New Roman" w:hint="eastAsia"/>
                <w:bCs/>
                <w:szCs w:val="21"/>
              </w:rPr>
              <w:t>2.基金收益分配后每一基金份额净值不能低于面值；</w:t>
            </w:r>
          </w:p>
          <w:p w14:paraId="44CF0114" w14:textId="77777777" w:rsidR="0096058E" w:rsidRPr="0096058E" w:rsidRDefault="0096058E" w:rsidP="0096058E">
            <w:pPr>
              <w:adjustRightInd w:val="0"/>
              <w:snapToGrid w:val="0"/>
              <w:rPr>
                <w:rFonts w:ascii="宋体" w:eastAsia="宋体" w:hAnsi="宋体" w:cs="Times New Roman"/>
                <w:bCs/>
                <w:szCs w:val="21"/>
              </w:rPr>
            </w:pPr>
            <w:r w:rsidRPr="0096058E">
              <w:rPr>
                <w:rFonts w:ascii="宋体" w:eastAsia="宋体" w:hAnsi="宋体" w:cs="Times New Roman" w:hint="eastAsia"/>
                <w:bCs/>
                <w:szCs w:val="21"/>
              </w:rPr>
              <w:t>4.本基金收益每年最多分配10次，每次基金收益分配比例不低于可分配收益的50%；</w:t>
            </w:r>
          </w:p>
          <w:p w14:paraId="54693940" w14:textId="77777777" w:rsidR="0096058E" w:rsidRPr="0096058E" w:rsidRDefault="0096058E" w:rsidP="0096058E">
            <w:pPr>
              <w:adjustRightInd w:val="0"/>
              <w:snapToGrid w:val="0"/>
              <w:rPr>
                <w:rFonts w:ascii="宋体" w:eastAsia="宋体" w:hAnsi="宋体" w:cs="Times New Roman"/>
                <w:bCs/>
                <w:szCs w:val="21"/>
              </w:rPr>
            </w:pPr>
          </w:p>
          <w:p w14:paraId="63C6360C" w14:textId="77777777" w:rsidR="0096058E" w:rsidRPr="0096058E" w:rsidRDefault="0096058E" w:rsidP="0096058E">
            <w:pPr>
              <w:adjustRightInd w:val="0"/>
              <w:snapToGrid w:val="0"/>
              <w:rPr>
                <w:rFonts w:ascii="宋体" w:eastAsia="宋体" w:hAnsi="宋体" w:cs="Times New Roman"/>
                <w:bCs/>
                <w:szCs w:val="21"/>
              </w:rPr>
            </w:pPr>
            <w:r w:rsidRPr="0096058E">
              <w:rPr>
                <w:rFonts w:ascii="宋体" w:eastAsia="宋体" w:hAnsi="宋体" w:cs="Times New Roman" w:hint="eastAsia"/>
                <w:bCs/>
                <w:szCs w:val="21"/>
              </w:rPr>
              <w:t>5.本基金收益分配方式分为两种：现金分红与红利再投资，投资人可选择现金红利或将现金红利按除息日的基金份额净值自动转为基金份额进行再投资；若投资人不选择，本基金默认的收益分配方式是现金分红；</w:t>
            </w:r>
          </w:p>
          <w:p w14:paraId="4614567B" w14:textId="77777777" w:rsidR="0096058E" w:rsidRPr="0096058E" w:rsidRDefault="0096058E" w:rsidP="0096058E">
            <w:pPr>
              <w:adjustRightInd w:val="0"/>
              <w:snapToGrid w:val="0"/>
              <w:rPr>
                <w:rFonts w:ascii="宋体" w:eastAsia="宋体" w:hAnsi="宋体" w:cs="Times New Roman"/>
                <w:bCs/>
                <w:szCs w:val="21"/>
              </w:rPr>
            </w:pPr>
          </w:p>
          <w:p w14:paraId="15468AA6" w14:textId="77777777" w:rsidR="0096058E" w:rsidRPr="0096058E" w:rsidRDefault="0096058E" w:rsidP="0096058E">
            <w:pPr>
              <w:adjustRightInd w:val="0"/>
              <w:snapToGrid w:val="0"/>
              <w:rPr>
                <w:rFonts w:ascii="宋体" w:eastAsia="宋体" w:hAnsi="宋体" w:cs="Times New Roman"/>
                <w:bCs/>
                <w:szCs w:val="21"/>
              </w:rPr>
            </w:pPr>
          </w:p>
          <w:p w14:paraId="4E41AD3D" w14:textId="77777777" w:rsidR="0096058E" w:rsidRPr="0096058E" w:rsidRDefault="0096058E" w:rsidP="0096058E">
            <w:pPr>
              <w:adjustRightInd w:val="0"/>
              <w:snapToGrid w:val="0"/>
              <w:rPr>
                <w:rFonts w:ascii="宋体" w:eastAsia="宋体" w:hAnsi="宋体" w:cs="Times New Roman"/>
                <w:bCs/>
                <w:szCs w:val="21"/>
              </w:rPr>
            </w:pPr>
            <w:r w:rsidRPr="0096058E">
              <w:rPr>
                <w:rFonts w:ascii="宋体" w:eastAsia="宋体" w:hAnsi="宋体" w:cs="Times New Roman" w:hint="eastAsia"/>
                <w:bCs/>
                <w:szCs w:val="21"/>
              </w:rPr>
              <w:t>9.在符合有关基金分红条件的前提下，本基金收益每年至少分配一次，但若基金合同生效不满3个月则可不进行收益分配；</w:t>
            </w:r>
          </w:p>
        </w:tc>
      </w:tr>
      <w:tr w:rsidR="0096058E" w:rsidRPr="0096058E" w14:paraId="2A1653E7" w14:textId="77777777" w:rsidTr="00CC1D7A">
        <w:trPr>
          <w:jc w:val="center"/>
        </w:trPr>
        <w:tc>
          <w:tcPr>
            <w:tcW w:w="2039" w:type="dxa"/>
            <w:tcBorders>
              <w:top w:val="single" w:sz="4" w:space="0" w:color="auto"/>
              <w:left w:val="single" w:sz="4" w:space="0" w:color="auto"/>
              <w:bottom w:val="single" w:sz="4" w:space="0" w:color="auto"/>
              <w:right w:val="single" w:sz="4" w:space="0" w:color="auto"/>
            </w:tcBorders>
          </w:tcPr>
          <w:p w14:paraId="377DC75F" w14:textId="77777777" w:rsidR="0096058E" w:rsidRPr="0096058E" w:rsidRDefault="0096058E" w:rsidP="0096058E">
            <w:pPr>
              <w:jc w:val="center"/>
              <w:rPr>
                <w:rFonts w:ascii="宋体" w:eastAsia="宋体" w:hAnsi="宋体" w:cs="Times New Roman"/>
                <w:b/>
                <w:szCs w:val="21"/>
              </w:rPr>
            </w:pPr>
            <w:r w:rsidRPr="0096058E">
              <w:rPr>
                <w:rFonts w:ascii="宋体" w:eastAsia="宋体" w:hAnsi="宋体" w:cs="Times New Roman" w:hint="eastAsia"/>
                <w:b/>
                <w:szCs w:val="21"/>
              </w:rPr>
              <w:t>十、基金信息披露</w:t>
            </w:r>
          </w:p>
        </w:tc>
        <w:tc>
          <w:tcPr>
            <w:tcW w:w="3910" w:type="dxa"/>
            <w:tcBorders>
              <w:top w:val="single" w:sz="4" w:space="0" w:color="auto"/>
              <w:left w:val="single" w:sz="4" w:space="0" w:color="auto"/>
              <w:bottom w:val="single" w:sz="4" w:space="0" w:color="auto"/>
              <w:right w:val="single" w:sz="4" w:space="0" w:color="auto"/>
            </w:tcBorders>
          </w:tcPr>
          <w:p w14:paraId="6F565163" w14:textId="77777777" w:rsidR="0096058E" w:rsidRPr="0096058E" w:rsidRDefault="0096058E" w:rsidP="0096058E">
            <w:pPr>
              <w:adjustRightInd w:val="0"/>
              <w:snapToGrid w:val="0"/>
              <w:rPr>
                <w:rFonts w:ascii="宋体" w:eastAsia="宋体" w:hAnsi="宋体" w:cs="Times New Roman"/>
                <w:kern w:val="0"/>
                <w:szCs w:val="21"/>
              </w:rPr>
            </w:pPr>
            <w:r w:rsidRPr="0096058E">
              <w:rPr>
                <w:rFonts w:ascii="宋体" w:eastAsia="宋体" w:hAnsi="宋体" w:cs="Times New Roman" w:hint="eastAsia"/>
                <w:kern w:val="0"/>
                <w:szCs w:val="21"/>
              </w:rPr>
              <w:t>（四）特别地，H类基金份额的信息披露内容、信息披露义务人的职责及信息披露方式参见招募说明书补充文件。</w:t>
            </w:r>
          </w:p>
        </w:tc>
        <w:tc>
          <w:tcPr>
            <w:tcW w:w="3690" w:type="dxa"/>
            <w:tcBorders>
              <w:top w:val="single" w:sz="4" w:space="0" w:color="auto"/>
              <w:left w:val="single" w:sz="4" w:space="0" w:color="auto"/>
              <w:bottom w:val="single" w:sz="4" w:space="0" w:color="auto"/>
              <w:right w:val="single" w:sz="4" w:space="0" w:color="auto"/>
            </w:tcBorders>
          </w:tcPr>
          <w:p w14:paraId="5D7D46E9" w14:textId="77777777" w:rsidR="0096058E" w:rsidRPr="0096058E" w:rsidRDefault="0096058E" w:rsidP="0096058E">
            <w:pPr>
              <w:adjustRightInd w:val="0"/>
              <w:snapToGrid w:val="0"/>
              <w:rPr>
                <w:rFonts w:ascii="宋体" w:eastAsia="宋体" w:hAnsi="宋体" w:cs="Times New Roman"/>
                <w:bCs/>
                <w:szCs w:val="21"/>
              </w:rPr>
            </w:pPr>
          </w:p>
        </w:tc>
      </w:tr>
      <w:tr w:rsidR="0096058E" w:rsidRPr="0096058E" w14:paraId="30CF2CFB" w14:textId="77777777" w:rsidTr="00CC1D7A">
        <w:trPr>
          <w:jc w:val="center"/>
        </w:trPr>
        <w:tc>
          <w:tcPr>
            <w:tcW w:w="2039" w:type="dxa"/>
            <w:tcBorders>
              <w:top w:val="single" w:sz="4" w:space="0" w:color="auto"/>
              <w:left w:val="single" w:sz="4" w:space="0" w:color="auto"/>
              <w:bottom w:val="single" w:sz="4" w:space="0" w:color="auto"/>
              <w:right w:val="single" w:sz="4" w:space="0" w:color="auto"/>
            </w:tcBorders>
          </w:tcPr>
          <w:p w14:paraId="359D970A" w14:textId="77777777" w:rsidR="0096058E" w:rsidRPr="0096058E" w:rsidRDefault="0096058E" w:rsidP="0096058E">
            <w:pPr>
              <w:jc w:val="center"/>
              <w:rPr>
                <w:rFonts w:ascii="宋体" w:eastAsia="宋体" w:hAnsi="宋体" w:cs="Times New Roman"/>
                <w:b/>
                <w:szCs w:val="21"/>
              </w:rPr>
            </w:pPr>
            <w:r w:rsidRPr="0096058E">
              <w:rPr>
                <w:rFonts w:ascii="宋体" w:eastAsia="宋体" w:hAnsi="宋体" w:cs="Times New Roman" w:hint="eastAsia"/>
                <w:b/>
                <w:szCs w:val="21"/>
              </w:rPr>
              <w:t>十六、托管协议的变更、终止与基金财产的清算</w:t>
            </w:r>
          </w:p>
        </w:tc>
        <w:tc>
          <w:tcPr>
            <w:tcW w:w="3910" w:type="dxa"/>
            <w:tcBorders>
              <w:top w:val="single" w:sz="4" w:space="0" w:color="auto"/>
              <w:left w:val="single" w:sz="4" w:space="0" w:color="auto"/>
              <w:bottom w:val="single" w:sz="4" w:space="0" w:color="auto"/>
              <w:right w:val="single" w:sz="4" w:space="0" w:color="auto"/>
            </w:tcBorders>
          </w:tcPr>
          <w:p w14:paraId="79B83777" w14:textId="77777777" w:rsidR="0096058E" w:rsidRPr="0096058E" w:rsidRDefault="0096058E" w:rsidP="0096058E">
            <w:pPr>
              <w:adjustRightInd w:val="0"/>
              <w:snapToGrid w:val="0"/>
              <w:rPr>
                <w:rFonts w:ascii="宋体" w:eastAsia="宋体" w:hAnsi="宋体" w:cs="Times New Roman"/>
                <w:kern w:val="0"/>
                <w:szCs w:val="21"/>
              </w:rPr>
            </w:pPr>
            <w:r w:rsidRPr="0096058E">
              <w:rPr>
                <w:rFonts w:ascii="宋体" w:eastAsia="宋体" w:hAnsi="宋体" w:cs="Times New Roman" w:hint="eastAsia"/>
                <w:kern w:val="0"/>
                <w:szCs w:val="21"/>
              </w:rPr>
              <w:t>（三）基金财产的清算</w:t>
            </w:r>
          </w:p>
          <w:p w14:paraId="2B34D275" w14:textId="77777777" w:rsidR="0096058E" w:rsidRPr="0096058E" w:rsidRDefault="0096058E" w:rsidP="0096058E">
            <w:pPr>
              <w:adjustRightInd w:val="0"/>
              <w:snapToGrid w:val="0"/>
              <w:rPr>
                <w:rFonts w:ascii="宋体" w:eastAsia="宋体" w:hAnsi="宋体" w:cs="Times New Roman"/>
                <w:kern w:val="0"/>
                <w:szCs w:val="21"/>
              </w:rPr>
            </w:pPr>
            <w:r w:rsidRPr="0096058E">
              <w:rPr>
                <w:rFonts w:ascii="宋体" w:eastAsia="宋体" w:hAnsi="宋体" w:cs="Times New Roman" w:hint="eastAsia"/>
                <w:kern w:val="0"/>
                <w:szCs w:val="21"/>
              </w:rPr>
              <w:t>3.清算费用</w:t>
            </w:r>
          </w:p>
          <w:p w14:paraId="247AA0A8" w14:textId="77777777" w:rsidR="0096058E" w:rsidRPr="0096058E" w:rsidRDefault="0096058E" w:rsidP="0096058E">
            <w:pPr>
              <w:adjustRightInd w:val="0"/>
              <w:snapToGrid w:val="0"/>
              <w:rPr>
                <w:rFonts w:ascii="宋体" w:eastAsia="宋体" w:hAnsi="宋体" w:cs="Times New Roman"/>
                <w:kern w:val="0"/>
                <w:szCs w:val="21"/>
              </w:rPr>
            </w:pPr>
            <w:r w:rsidRPr="0096058E">
              <w:rPr>
                <w:rFonts w:ascii="宋体" w:eastAsia="宋体" w:hAnsi="宋体" w:cs="Times New Roman" w:hint="eastAsia"/>
                <w:kern w:val="0"/>
                <w:szCs w:val="21"/>
              </w:rPr>
              <w:t>(4)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tc>
        <w:tc>
          <w:tcPr>
            <w:tcW w:w="3690" w:type="dxa"/>
            <w:tcBorders>
              <w:top w:val="single" w:sz="4" w:space="0" w:color="auto"/>
              <w:left w:val="single" w:sz="4" w:space="0" w:color="auto"/>
              <w:bottom w:val="single" w:sz="4" w:space="0" w:color="auto"/>
              <w:right w:val="single" w:sz="4" w:space="0" w:color="auto"/>
            </w:tcBorders>
          </w:tcPr>
          <w:p w14:paraId="0F7211D2" w14:textId="77777777" w:rsidR="0096058E" w:rsidRPr="0096058E" w:rsidRDefault="0096058E" w:rsidP="0096058E">
            <w:pPr>
              <w:adjustRightInd w:val="0"/>
              <w:snapToGrid w:val="0"/>
              <w:rPr>
                <w:rFonts w:ascii="宋体" w:eastAsia="宋体" w:hAnsi="宋体" w:cs="Times New Roman"/>
                <w:bCs/>
                <w:szCs w:val="21"/>
              </w:rPr>
            </w:pPr>
            <w:r w:rsidRPr="0096058E">
              <w:rPr>
                <w:rFonts w:ascii="宋体" w:eastAsia="宋体" w:hAnsi="宋体" w:cs="Times New Roman" w:hint="eastAsia"/>
                <w:bCs/>
                <w:szCs w:val="21"/>
              </w:rPr>
              <w:t>（三）基金财产的清算</w:t>
            </w:r>
          </w:p>
          <w:p w14:paraId="26224F07" w14:textId="77777777" w:rsidR="0096058E" w:rsidRPr="0096058E" w:rsidRDefault="0096058E" w:rsidP="0096058E">
            <w:pPr>
              <w:adjustRightInd w:val="0"/>
              <w:snapToGrid w:val="0"/>
              <w:rPr>
                <w:rFonts w:ascii="宋体" w:eastAsia="宋体" w:hAnsi="宋体" w:cs="Times New Roman"/>
                <w:bCs/>
                <w:szCs w:val="21"/>
              </w:rPr>
            </w:pPr>
            <w:r w:rsidRPr="0096058E">
              <w:rPr>
                <w:rFonts w:ascii="宋体" w:eastAsia="宋体" w:hAnsi="宋体" w:cs="Times New Roman" w:hint="eastAsia"/>
                <w:bCs/>
                <w:szCs w:val="21"/>
              </w:rPr>
              <w:t>3.清算费用</w:t>
            </w:r>
          </w:p>
          <w:p w14:paraId="0D3E79B1" w14:textId="77777777" w:rsidR="0096058E" w:rsidRPr="0096058E" w:rsidRDefault="0096058E" w:rsidP="0096058E">
            <w:pPr>
              <w:adjustRightInd w:val="0"/>
              <w:snapToGrid w:val="0"/>
              <w:rPr>
                <w:rFonts w:ascii="宋体" w:eastAsia="宋体" w:hAnsi="宋体" w:cs="Times New Roman"/>
                <w:bCs/>
                <w:szCs w:val="21"/>
              </w:rPr>
            </w:pPr>
            <w:r w:rsidRPr="0096058E">
              <w:rPr>
                <w:rFonts w:ascii="宋体" w:eastAsia="宋体" w:hAnsi="宋体" w:cs="Times New Roman" w:hint="eastAsia"/>
                <w:bCs/>
                <w:szCs w:val="21"/>
              </w:rPr>
              <w:t>(4)按基金份额持有人持有的基金份额比例进行分配。</w:t>
            </w:r>
          </w:p>
        </w:tc>
      </w:tr>
    </w:tbl>
    <w:p w14:paraId="16FD5D12" w14:textId="77777777" w:rsidR="00D171D5" w:rsidRPr="0096058E" w:rsidRDefault="00CC1181"/>
    <w:sectPr w:rsidR="00D171D5" w:rsidRPr="009605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26AAE" w14:textId="77777777" w:rsidR="00CC1181" w:rsidRDefault="00CC1181" w:rsidP="00584707">
      <w:r>
        <w:separator/>
      </w:r>
    </w:p>
  </w:endnote>
  <w:endnote w:type="continuationSeparator" w:id="0">
    <w:p w14:paraId="1D0A08EA" w14:textId="77777777" w:rsidR="00CC1181" w:rsidRDefault="00CC1181" w:rsidP="0058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38B55" w14:textId="77777777" w:rsidR="00CC1181" w:rsidRDefault="00CC1181" w:rsidP="00584707">
      <w:r>
        <w:separator/>
      </w:r>
    </w:p>
  </w:footnote>
  <w:footnote w:type="continuationSeparator" w:id="0">
    <w:p w14:paraId="551749DB" w14:textId="77777777" w:rsidR="00CC1181" w:rsidRDefault="00CC1181" w:rsidP="00584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3A"/>
    <w:rsid w:val="000A355C"/>
    <w:rsid w:val="00153AB1"/>
    <w:rsid w:val="001D6E35"/>
    <w:rsid w:val="001E6AC7"/>
    <w:rsid w:val="00210E3A"/>
    <w:rsid w:val="00281880"/>
    <w:rsid w:val="002F132C"/>
    <w:rsid w:val="00320ADB"/>
    <w:rsid w:val="00331F84"/>
    <w:rsid w:val="00361B23"/>
    <w:rsid w:val="00381795"/>
    <w:rsid w:val="00383B12"/>
    <w:rsid w:val="003B4F42"/>
    <w:rsid w:val="00501642"/>
    <w:rsid w:val="00584707"/>
    <w:rsid w:val="005F04A6"/>
    <w:rsid w:val="006304C5"/>
    <w:rsid w:val="007A1741"/>
    <w:rsid w:val="00843633"/>
    <w:rsid w:val="008A2B72"/>
    <w:rsid w:val="0096058E"/>
    <w:rsid w:val="00A54FE5"/>
    <w:rsid w:val="00AD16DC"/>
    <w:rsid w:val="00B7622D"/>
    <w:rsid w:val="00C15DA3"/>
    <w:rsid w:val="00C512AD"/>
    <w:rsid w:val="00C9657F"/>
    <w:rsid w:val="00CC1181"/>
    <w:rsid w:val="00CF4B0D"/>
    <w:rsid w:val="00D76F16"/>
    <w:rsid w:val="00E622CD"/>
    <w:rsid w:val="00E76D45"/>
    <w:rsid w:val="00F41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D28E9"/>
  <w15:chartTrackingRefBased/>
  <w15:docId w15:val="{406CE353-54CC-4BEE-BB79-BB40963B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7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707"/>
    <w:rPr>
      <w:sz w:val="18"/>
      <w:szCs w:val="18"/>
    </w:rPr>
  </w:style>
  <w:style w:type="paragraph" w:styleId="a5">
    <w:name w:val="footer"/>
    <w:basedOn w:val="a"/>
    <w:link w:val="a6"/>
    <w:uiPriority w:val="99"/>
    <w:unhideWhenUsed/>
    <w:rsid w:val="00584707"/>
    <w:pPr>
      <w:tabs>
        <w:tab w:val="center" w:pos="4153"/>
        <w:tab w:val="right" w:pos="8306"/>
      </w:tabs>
      <w:snapToGrid w:val="0"/>
      <w:jc w:val="left"/>
    </w:pPr>
    <w:rPr>
      <w:sz w:val="18"/>
      <w:szCs w:val="18"/>
    </w:rPr>
  </w:style>
  <w:style w:type="character" w:customStyle="1" w:styleId="a6">
    <w:name w:val="页脚 字符"/>
    <w:basedOn w:val="a0"/>
    <w:link w:val="a5"/>
    <w:uiPriority w:val="99"/>
    <w:rsid w:val="00584707"/>
    <w:rPr>
      <w:sz w:val="18"/>
      <w:szCs w:val="18"/>
    </w:rPr>
  </w:style>
  <w:style w:type="character" w:styleId="a7">
    <w:name w:val="annotation reference"/>
    <w:basedOn w:val="a0"/>
    <w:uiPriority w:val="99"/>
    <w:semiHidden/>
    <w:unhideWhenUsed/>
    <w:rsid w:val="00A54FE5"/>
    <w:rPr>
      <w:sz w:val="21"/>
      <w:szCs w:val="21"/>
    </w:rPr>
  </w:style>
  <w:style w:type="paragraph" w:styleId="a8">
    <w:name w:val="annotation text"/>
    <w:basedOn w:val="a"/>
    <w:link w:val="a9"/>
    <w:uiPriority w:val="99"/>
    <w:semiHidden/>
    <w:unhideWhenUsed/>
    <w:rsid w:val="00A54FE5"/>
    <w:pPr>
      <w:jc w:val="left"/>
    </w:pPr>
  </w:style>
  <w:style w:type="character" w:customStyle="1" w:styleId="a9">
    <w:name w:val="批注文字 字符"/>
    <w:basedOn w:val="a0"/>
    <w:link w:val="a8"/>
    <w:uiPriority w:val="99"/>
    <w:semiHidden/>
    <w:rsid w:val="00A54FE5"/>
  </w:style>
  <w:style w:type="paragraph" w:styleId="aa">
    <w:name w:val="annotation subject"/>
    <w:basedOn w:val="a8"/>
    <w:next w:val="a8"/>
    <w:link w:val="ab"/>
    <w:uiPriority w:val="99"/>
    <w:semiHidden/>
    <w:unhideWhenUsed/>
    <w:rsid w:val="00A54FE5"/>
    <w:rPr>
      <w:b/>
      <w:bCs/>
    </w:rPr>
  </w:style>
  <w:style w:type="character" w:customStyle="1" w:styleId="ab">
    <w:name w:val="批注主题 字符"/>
    <w:basedOn w:val="a9"/>
    <w:link w:val="aa"/>
    <w:uiPriority w:val="99"/>
    <w:semiHidden/>
    <w:rsid w:val="00A54FE5"/>
    <w:rPr>
      <w:b/>
      <w:bCs/>
    </w:rPr>
  </w:style>
  <w:style w:type="paragraph" w:styleId="ac">
    <w:name w:val="Balloon Text"/>
    <w:basedOn w:val="a"/>
    <w:link w:val="ad"/>
    <w:uiPriority w:val="99"/>
    <w:semiHidden/>
    <w:unhideWhenUsed/>
    <w:rsid w:val="00A54FE5"/>
    <w:rPr>
      <w:sz w:val="18"/>
      <w:szCs w:val="18"/>
    </w:rPr>
  </w:style>
  <w:style w:type="character" w:customStyle="1" w:styleId="ad">
    <w:name w:val="批注框文本 字符"/>
    <w:basedOn w:val="a0"/>
    <w:link w:val="ac"/>
    <w:uiPriority w:val="99"/>
    <w:semiHidden/>
    <w:rsid w:val="00A54FE5"/>
    <w:rPr>
      <w:sz w:val="18"/>
      <w:szCs w:val="18"/>
    </w:rPr>
  </w:style>
  <w:style w:type="paragraph" w:styleId="ae">
    <w:name w:val="Revision"/>
    <w:hidden/>
    <w:uiPriority w:val="99"/>
    <w:semiHidden/>
    <w:rsid w:val="000A3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1632</Words>
  <Characters>9309</Characters>
  <Application>Microsoft Office Word</Application>
  <DocSecurity>0</DocSecurity>
  <Lines>77</Lines>
  <Paragraphs>21</Paragraphs>
  <ScaleCrop>false</ScaleCrop>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张婕茹</dc:creator>
  <cp:keywords/>
  <dc:description/>
  <cp:lastModifiedBy>张婕茹</cp:lastModifiedBy>
  <cp:revision>11</cp:revision>
  <dcterms:created xsi:type="dcterms:W3CDTF">2022-05-27T07:47:00Z</dcterms:created>
  <dcterms:modified xsi:type="dcterms:W3CDTF">2022-06-22T02:50:00Z</dcterms:modified>
</cp:coreProperties>
</file>