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60635" w14:textId="77777777" w:rsidR="00DC3906" w:rsidRDefault="00DC3906" w:rsidP="00D53D73">
      <w:pPr>
        <w:pStyle w:val="2"/>
        <w:jc w:val="center"/>
        <w:rPr>
          <w:rFonts w:ascii="宋体"/>
          <w:sz w:val="56"/>
        </w:rPr>
      </w:pPr>
      <w:bookmarkStart w:id="0" w:name="_GoBack"/>
      <w:bookmarkEnd w:id="0"/>
    </w:p>
    <w:p w14:paraId="68401C3E" w14:textId="53EBF95B" w:rsidR="00DC3906" w:rsidRPr="006F33A4" w:rsidRDefault="00462BB7" w:rsidP="005B35D5">
      <w:pPr>
        <w:pStyle w:val="2"/>
        <w:jc w:val="center"/>
        <w:rPr>
          <w:rFonts w:ascii="宋体" w:hAnsi="宋体"/>
          <w:sz w:val="52"/>
          <w:szCs w:val="52"/>
        </w:rPr>
      </w:pPr>
      <w:r w:rsidRPr="00462BB7">
        <w:rPr>
          <w:rFonts w:ascii="宋体" w:hAnsi="宋体" w:hint="eastAsia"/>
          <w:sz w:val="52"/>
          <w:szCs w:val="52"/>
        </w:rPr>
        <w:t>交银施罗德增强收益债券型证券投资基金</w:t>
      </w:r>
      <w:r w:rsidR="00DC3906" w:rsidRPr="006F33A4">
        <w:rPr>
          <w:rFonts w:ascii="宋体" w:hAnsi="宋体" w:hint="eastAsia"/>
          <w:sz w:val="52"/>
          <w:szCs w:val="52"/>
        </w:rPr>
        <w:t>清算报告</w:t>
      </w:r>
    </w:p>
    <w:p w14:paraId="7E885C46" w14:textId="77777777" w:rsidR="00DC3906" w:rsidRPr="006F33A4" w:rsidRDefault="00DC3906">
      <w:pPr>
        <w:rPr>
          <w:rFonts w:ascii="宋体"/>
        </w:rPr>
      </w:pPr>
    </w:p>
    <w:p w14:paraId="5048DCE5" w14:textId="77777777" w:rsidR="00DC3906" w:rsidRPr="006F33A4" w:rsidRDefault="00DC3906">
      <w:pPr>
        <w:rPr>
          <w:rFonts w:ascii="宋体"/>
        </w:rPr>
      </w:pPr>
    </w:p>
    <w:p w14:paraId="164F1396" w14:textId="77777777" w:rsidR="00DC3906" w:rsidRPr="006F33A4" w:rsidRDefault="00DC3906">
      <w:pPr>
        <w:rPr>
          <w:rFonts w:ascii="宋体"/>
        </w:rPr>
      </w:pPr>
    </w:p>
    <w:p w14:paraId="72AF2586" w14:textId="77777777" w:rsidR="00DC3906" w:rsidRPr="006F33A4" w:rsidRDefault="00DC3906">
      <w:pPr>
        <w:rPr>
          <w:rFonts w:ascii="宋体"/>
        </w:rPr>
      </w:pPr>
    </w:p>
    <w:p w14:paraId="443F832F" w14:textId="77777777" w:rsidR="00DC3906" w:rsidRPr="006F33A4" w:rsidRDefault="00DC3906">
      <w:pPr>
        <w:rPr>
          <w:rFonts w:ascii="宋体"/>
        </w:rPr>
      </w:pPr>
    </w:p>
    <w:p w14:paraId="53988581" w14:textId="77777777" w:rsidR="00DC3906" w:rsidRPr="006F33A4" w:rsidRDefault="00DC3906">
      <w:pPr>
        <w:rPr>
          <w:rFonts w:ascii="宋体"/>
        </w:rPr>
      </w:pPr>
    </w:p>
    <w:p w14:paraId="1D468121" w14:textId="77777777" w:rsidR="00DC3906" w:rsidRPr="006F33A4" w:rsidRDefault="00DC3906">
      <w:pPr>
        <w:rPr>
          <w:rFonts w:ascii="宋体"/>
        </w:rPr>
      </w:pPr>
    </w:p>
    <w:p w14:paraId="34D48B9B" w14:textId="77777777" w:rsidR="00DC3906" w:rsidRPr="006F33A4" w:rsidRDefault="00DC3906">
      <w:pPr>
        <w:rPr>
          <w:rFonts w:ascii="宋体"/>
        </w:rPr>
      </w:pPr>
    </w:p>
    <w:p w14:paraId="58FC9120" w14:textId="77777777" w:rsidR="00DC3906" w:rsidRPr="006F33A4" w:rsidRDefault="00DC3906">
      <w:pPr>
        <w:rPr>
          <w:rFonts w:ascii="宋体"/>
        </w:rPr>
      </w:pPr>
    </w:p>
    <w:p w14:paraId="6C584DF7" w14:textId="77777777" w:rsidR="00DC3906" w:rsidRPr="006F33A4" w:rsidRDefault="00DC3906">
      <w:pPr>
        <w:rPr>
          <w:rFonts w:ascii="宋体"/>
        </w:rPr>
      </w:pPr>
    </w:p>
    <w:p w14:paraId="12B3F8AA" w14:textId="77777777" w:rsidR="00DC3906" w:rsidRPr="006F33A4" w:rsidRDefault="00DC3906">
      <w:pPr>
        <w:rPr>
          <w:rFonts w:ascii="宋体"/>
        </w:rPr>
      </w:pPr>
    </w:p>
    <w:p w14:paraId="1D575605" w14:textId="77777777" w:rsidR="00DC3906" w:rsidRPr="006F33A4" w:rsidRDefault="00DC3906">
      <w:pPr>
        <w:rPr>
          <w:rFonts w:ascii="宋体"/>
        </w:rPr>
      </w:pPr>
    </w:p>
    <w:p w14:paraId="3A8BC380" w14:textId="77777777" w:rsidR="00DC3906" w:rsidRPr="006F33A4" w:rsidRDefault="00DC3906">
      <w:pPr>
        <w:rPr>
          <w:rFonts w:ascii="宋体"/>
        </w:rPr>
      </w:pPr>
    </w:p>
    <w:p w14:paraId="1ED7DC7E" w14:textId="77777777" w:rsidR="00DC3906" w:rsidRPr="006F33A4" w:rsidRDefault="00DC3906">
      <w:pPr>
        <w:rPr>
          <w:rFonts w:ascii="宋体"/>
        </w:rPr>
      </w:pPr>
    </w:p>
    <w:p w14:paraId="5A32A331" w14:textId="77777777" w:rsidR="00DC3906" w:rsidRPr="006F33A4" w:rsidRDefault="00DC3906" w:rsidP="00D53D73">
      <w:pPr>
        <w:jc w:val="center"/>
        <w:rPr>
          <w:rFonts w:ascii="宋体"/>
          <w:sz w:val="24"/>
        </w:rPr>
      </w:pPr>
      <w:r w:rsidRPr="006F33A4">
        <w:rPr>
          <w:rFonts w:ascii="宋体" w:hAnsi="宋体" w:hint="eastAsia"/>
          <w:sz w:val="24"/>
        </w:rPr>
        <w:t>基金管理人：</w:t>
      </w:r>
      <w:r w:rsidR="005B35D5" w:rsidRPr="006F33A4">
        <w:rPr>
          <w:rFonts w:ascii="宋体" w:hAnsi="宋体" w:hint="eastAsia"/>
          <w:sz w:val="24"/>
        </w:rPr>
        <w:t>交银施罗德基金管理有限公司</w:t>
      </w:r>
    </w:p>
    <w:p w14:paraId="63AB6B56" w14:textId="568FC9EB" w:rsidR="00DC3906" w:rsidRPr="006F33A4" w:rsidRDefault="00DC3906" w:rsidP="00D53D73">
      <w:pPr>
        <w:jc w:val="center"/>
        <w:rPr>
          <w:rFonts w:ascii="宋体" w:hAnsi="宋体"/>
          <w:sz w:val="24"/>
        </w:rPr>
      </w:pPr>
      <w:r w:rsidRPr="006F33A4">
        <w:rPr>
          <w:rFonts w:ascii="宋体" w:hAnsi="宋体" w:hint="eastAsia"/>
          <w:sz w:val="24"/>
        </w:rPr>
        <w:t>基金托管人：</w:t>
      </w:r>
      <w:r w:rsidR="00C50AAF" w:rsidRPr="00C50AAF">
        <w:rPr>
          <w:rFonts w:ascii="宋体" w:hAnsi="宋体" w:hint="eastAsia"/>
          <w:sz w:val="24"/>
        </w:rPr>
        <w:t>中国建设银行股份有限公司</w:t>
      </w:r>
    </w:p>
    <w:p w14:paraId="4241A898" w14:textId="5CFA3EA8" w:rsidR="00707986" w:rsidRPr="001D7770" w:rsidRDefault="00707986" w:rsidP="00D53D73">
      <w:pPr>
        <w:jc w:val="center"/>
        <w:rPr>
          <w:rFonts w:ascii="宋体"/>
          <w:sz w:val="24"/>
        </w:rPr>
      </w:pPr>
      <w:r w:rsidRPr="001D7770">
        <w:rPr>
          <w:rFonts w:ascii="宋体" w:hAnsi="宋体" w:hint="eastAsia"/>
          <w:sz w:val="24"/>
        </w:rPr>
        <w:t>清算报告出具日：</w:t>
      </w:r>
      <w:r w:rsidR="002C4383" w:rsidRPr="001D7770">
        <w:rPr>
          <w:rFonts w:ascii="宋体" w:hAnsi="宋体"/>
        </w:rPr>
        <w:t>20</w:t>
      </w:r>
      <w:r w:rsidR="002C4383" w:rsidRPr="001D7770">
        <w:rPr>
          <w:rFonts w:ascii="宋体" w:hAnsi="宋体" w:hint="eastAsia"/>
        </w:rPr>
        <w:t>2</w:t>
      </w:r>
      <w:r w:rsidR="00181A1F">
        <w:rPr>
          <w:rFonts w:ascii="宋体" w:hAnsi="宋体"/>
        </w:rPr>
        <w:t>1</w:t>
      </w:r>
      <w:r w:rsidR="002C4383" w:rsidRPr="001D7770">
        <w:rPr>
          <w:rFonts w:ascii="宋体" w:hAnsi="宋体" w:hint="eastAsia"/>
        </w:rPr>
        <w:t>年</w:t>
      </w:r>
      <w:r w:rsidR="002C4383" w:rsidRPr="001D7770">
        <w:rPr>
          <w:rFonts w:ascii="宋体" w:hAnsi="宋体"/>
        </w:rPr>
        <w:t>1</w:t>
      </w:r>
      <w:r w:rsidR="001D7770" w:rsidRPr="001D7770">
        <w:rPr>
          <w:rFonts w:ascii="宋体" w:hAnsi="宋体"/>
        </w:rPr>
        <w:t>2</w:t>
      </w:r>
      <w:r w:rsidRPr="001D7770">
        <w:rPr>
          <w:rFonts w:ascii="宋体" w:hAnsi="宋体" w:hint="eastAsia"/>
        </w:rPr>
        <w:t>月</w:t>
      </w:r>
      <w:r w:rsidR="008228F0">
        <w:rPr>
          <w:rFonts w:ascii="宋体" w:hAnsi="宋体"/>
        </w:rPr>
        <w:t>31</w:t>
      </w:r>
      <w:r w:rsidRPr="001D7770">
        <w:rPr>
          <w:rFonts w:ascii="宋体" w:hAnsi="宋体" w:hint="eastAsia"/>
        </w:rPr>
        <w:t>日</w:t>
      </w:r>
    </w:p>
    <w:p w14:paraId="6BEDADB3" w14:textId="05D96AC4" w:rsidR="00DC3906" w:rsidRPr="001D7770" w:rsidRDefault="00DC3906" w:rsidP="00D53D73">
      <w:pPr>
        <w:jc w:val="center"/>
        <w:rPr>
          <w:rFonts w:ascii="宋体"/>
          <w:sz w:val="24"/>
        </w:rPr>
      </w:pPr>
      <w:r w:rsidRPr="001D7770">
        <w:rPr>
          <w:rFonts w:ascii="宋体" w:hAnsi="宋体" w:hint="eastAsia"/>
          <w:sz w:val="24"/>
        </w:rPr>
        <w:t>清算报告公告日：</w:t>
      </w:r>
      <w:r w:rsidR="00C50AAF" w:rsidRPr="001D7770">
        <w:rPr>
          <w:rFonts w:ascii="宋体" w:hAnsi="宋体"/>
        </w:rPr>
        <w:t>20</w:t>
      </w:r>
      <w:r w:rsidR="00C50AAF" w:rsidRPr="001D7770">
        <w:rPr>
          <w:rFonts w:ascii="宋体" w:hAnsi="宋体" w:hint="eastAsia"/>
        </w:rPr>
        <w:t>2</w:t>
      </w:r>
      <w:r w:rsidR="00DC4B78">
        <w:rPr>
          <w:rFonts w:ascii="宋体" w:hAnsi="宋体"/>
        </w:rPr>
        <w:t>2</w:t>
      </w:r>
      <w:r w:rsidR="001D2408" w:rsidRPr="001D7770">
        <w:rPr>
          <w:rFonts w:ascii="宋体" w:hAnsi="宋体" w:hint="eastAsia"/>
        </w:rPr>
        <w:t>年</w:t>
      </w:r>
      <w:r w:rsidR="00DC4B78">
        <w:rPr>
          <w:rFonts w:ascii="宋体" w:hAnsi="宋体"/>
        </w:rPr>
        <w:t>1</w:t>
      </w:r>
      <w:r w:rsidR="001D2408" w:rsidRPr="001D7770">
        <w:rPr>
          <w:rFonts w:ascii="宋体" w:hAnsi="宋体" w:hint="eastAsia"/>
        </w:rPr>
        <w:t>月</w:t>
      </w:r>
      <w:r w:rsidR="00DC4B78">
        <w:rPr>
          <w:rFonts w:ascii="宋体" w:hAnsi="宋体"/>
        </w:rPr>
        <w:t>19</w:t>
      </w:r>
      <w:r w:rsidR="001D2408" w:rsidRPr="001D7770">
        <w:rPr>
          <w:rFonts w:ascii="宋体" w:hAnsi="宋体" w:hint="eastAsia"/>
        </w:rPr>
        <w:t>日</w:t>
      </w:r>
    </w:p>
    <w:p w14:paraId="182DAE1B" w14:textId="77777777" w:rsidR="00DC3906" w:rsidRPr="006F33A4" w:rsidRDefault="00DC3906">
      <w:pPr>
        <w:rPr>
          <w:rFonts w:ascii="宋体"/>
          <w:sz w:val="22"/>
        </w:rPr>
      </w:pPr>
    </w:p>
    <w:p w14:paraId="2B7D01E0" w14:textId="77777777" w:rsidR="00DC3906" w:rsidRPr="006F33A4" w:rsidRDefault="00DC3906">
      <w:pPr>
        <w:widowControl/>
        <w:jc w:val="left"/>
        <w:rPr>
          <w:rFonts w:ascii="宋体"/>
        </w:rPr>
      </w:pPr>
      <w:r w:rsidRPr="006F33A4">
        <w:rPr>
          <w:rFonts w:ascii="宋体"/>
        </w:rPr>
        <w:br w:type="page"/>
      </w:r>
    </w:p>
    <w:p w14:paraId="75BDAD76" w14:textId="77777777" w:rsidR="00DC3906" w:rsidRPr="006F33A4" w:rsidRDefault="00DC3906" w:rsidP="00CA7C64">
      <w:pPr>
        <w:spacing w:afterLines="100" w:after="312"/>
        <w:rPr>
          <w:rStyle w:val="ab"/>
        </w:rPr>
      </w:pPr>
      <w:r w:rsidRPr="006F33A4">
        <w:rPr>
          <w:rStyle w:val="ab"/>
          <w:rFonts w:hint="eastAsia"/>
        </w:rPr>
        <w:lastRenderedPageBreak/>
        <w:t>一、重要提示</w:t>
      </w:r>
    </w:p>
    <w:p w14:paraId="3701C72A" w14:textId="0B4FDD7E" w:rsidR="00C50AAF" w:rsidRPr="006F33A4" w:rsidRDefault="00655BD7" w:rsidP="00E03A07">
      <w:pPr>
        <w:ind w:firstLine="420"/>
        <w:rPr>
          <w:rFonts w:ascii="宋体"/>
        </w:rPr>
      </w:pPr>
      <w:r w:rsidRPr="00B74D3F">
        <w:rPr>
          <w:rFonts w:ascii="宋体" w:hint="eastAsia"/>
        </w:rPr>
        <w:t>交银施罗德增强收益债券型证券投资基金</w:t>
      </w:r>
      <w:r w:rsidR="00C50AAF" w:rsidRPr="00B74D3F">
        <w:rPr>
          <w:rFonts w:ascii="宋体" w:hint="eastAsia"/>
        </w:rPr>
        <w:t>（以下简称“本基金”）由交银施罗德基金管理有限公司担任基金管理人，由中国建设银行股份有限公司担任基金托管人</w:t>
      </w:r>
      <w:r w:rsidR="00D520CE">
        <w:rPr>
          <w:rFonts w:ascii="宋体" w:hint="eastAsia"/>
        </w:rPr>
        <w:t>。</w:t>
      </w:r>
      <w:r w:rsidR="00B02396">
        <w:rPr>
          <w:rFonts w:ascii="宋体" w:hint="eastAsia"/>
        </w:rPr>
        <w:t>本基金是</w:t>
      </w:r>
      <w:r w:rsidR="00B02396" w:rsidRPr="00B02396">
        <w:rPr>
          <w:rFonts w:ascii="宋体"/>
        </w:rPr>
        <w:t>由原交银施罗德荣泰保本混合型证券投资基金(以下简称</w:t>
      </w:r>
      <w:r w:rsidR="00B02396" w:rsidRPr="00B02396">
        <w:rPr>
          <w:rFonts w:ascii="宋体"/>
        </w:rPr>
        <w:t>“</w:t>
      </w:r>
      <w:r w:rsidR="00B02396" w:rsidRPr="00B02396">
        <w:rPr>
          <w:rFonts w:ascii="宋体"/>
        </w:rPr>
        <w:t>交银施罗德荣泰保本基金</w:t>
      </w:r>
      <w:r w:rsidR="00B02396" w:rsidRPr="00B02396">
        <w:rPr>
          <w:rFonts w:ascii="宋体"/>
        </w:rPr>
        <w:t>”</w:t>
      </w:r>
      <w:r w:rsidR="00B02396" w:rsidRPr="00B02396">
        <w:rPr>
          <w:rFonts w:ascii="宋体"/>
        </w:rPr>
        <w:t>)转型而来</w:t>
      </w:r>
      <w:r w:rsidR="00A534AC" w:rsidRPr="00B02396">
        <w:rPr>
          <w:rFonts w:ascii="宋体" w:hint="eastAsia"/>
        </w:rPr>
        <w:t>。</w:t>
      </w:r>
      <w:r w:rsidR="00B02396" w:rsidRPr="00B02396">
        <w:rPr>
          <w:rFonts w:ascii="宋体" w:hint="eastAsia"/>
        </w:rPr>
        <w:t>交银施罗德荣泰保本混合型证券投资基金经中国证券监督管理委员会(以下简称“中国证监会”)证监许可[2013]150号《关于核准交银施罗德荣泰保本混合型证券投资基金募集的批复》核准，由交银施罗德基金管理有限公司依照《中华人民共和国证券投资基金法》和《交银施罗德荣泰保本混合型证券投资基金基金合同》负责公开募集。</w:t>
      </w:r>
      <w:r w:rsidR="00B02396" w:rsidRPr="00B02396">
        <w:rPr>
          <w:rFonts w:ascii="宋体"/>
        </w:rPr>
        <w:t>经向中国证监会备案，《交银施罗德荣泰保本混合型证券投资基金基金合同》于2013年12月25日正式生效</w:t>
      </w:r>
      <w:r w:rsidR="00B02396" w:rsidRPr="00B02396">
        <w:rPr>
          <w:rFonts w:ascii="宋体" w:hint="eastAsia"/>
        </w:rPr>
        <w:t>。</w:t>
      </w:r>
      <w:r w:rsidR="009F46CB" w:rsidRPr="009F46CB">
        <w:rPr>
          <w:rFonts w:ascii="宋体" w:hint="eastAsia"/>
        </w:rPr>
        <w:t>根据《交银施罗德荣泰保本混合型证券投资基金保本到期安排及交银</w:t>
      </w:r>
      <w:r w:rsidR="009F46CB">
        <w:rPr>
          <w:rFonts w:ascii="宋体" w:hint="eastAsia"/>
        </w:rPr>
        <w:t>施罗德增强收益债券型证券投资基金转型后运作相关业务规则的公告》</w:t>
      </w:r>
      <w:r w:rsidR="00B02396" w:rsidRPr="00B02396">
        <w:rPr>
          <w:rFonts w:ascii="宋体" w:hint="eastAsia"/>
        </w:rPr>
        <w:t>，交银施罗德荣泰保本基金因未能符合保本基金存续条件，自2016年12月30日起转型为交银施罗德增强收益债券型证券投资基金</w:t>
      </w:r>
      <w:r w:rsidR="00BA0D17">
        <w:rPr>
          <w:rFonts w:ascii="宋体" w:hint="eastAsia"/>
        </w:rPr>
        <w:t>。</w:t>
      </w:r>
    </w:p>
    <w:p w14:paraId="18B1D6D8" w14:textId="263EA381" w:rsidR="00CA7BCB" w:rsidRPr="006F33A4" w:rsidRDefault="00CA7BCB" w:rsidP="00CA7BCB">
      <w:pPr>
        <w:ind w:firstLine="420"/>
        <w:rPr>
          <w:rFonts w:ascii="宋体" w:hAnsi="宋体"/>
        </w:rPr>
      </w:pPr>
      <w:r>
        <w:rPr>
          <w:rFonts w:ascii="宋体" w:hAnsi="宋体" w:hint="eastAsia"/>
        </w:rPr>
        <w:t>根据</w:t>
      </w:r>
      <w:r>
        <w:rPr>
          <w:rFonts w:ascii="宋体" w:hAnsi="宋体"/>
        </w:rPr>
        <w:t>《</w:t>
      </w:r>
      <w:r w:rsidR="009A4C6F" w:rsidRPr="009A4C6F">
        <w:rPr>
          <w:rFonts w:ascii="宋体" w:hAnsi="宋体" w:hint="eastAsia"/>
        </w:rPr>
        <w:t>交银施罗德增强收益债券型证券投资基金</w:t>
      </w:r>
      <w:r w:rsidRPr="006F33A4">
        <w:rPr>
          <w:rFonts w:ascii="宋体" w:hAnsi="宋体" w:hint="eastAsia"/>
        </w:rPr>
        <w:t>基金合同</w:t>
      </w:r>
      <w:r>
        <w:rPr>
          <w:rFonts w:ascii="宋体" w:hAnsi="宋体"/>
        </w:rPr>
        <w:t>》</w:t>
      </w:r>
      <w:r w:rsidRPr="006F33A4">
        <w:rPr>
          <w:rFonts w:ascii="宋体" w:hAnsi="宋体" w:hint="eastAsia"/>
        </w:rPr>
        <w:t>（以下简称“《基金合同》”或“基金合同”）</w:t>
      </w:r>
      <w:r>
        <w:rPr>
          <w:rFonts w:ascii="宋体" w:hAnsi="宋体" w:hint="eastAsia"/>
        </w:rPr>
        <w:t>“第</w:t>
      </w:r>
      <w:r w:rsidR="00776CC3">
        <w:rPr>
          <w:rFonts w:ascii="宋体" w:hAnsi="宋体" w:hint="eastAsia"/>
        </w:rPr>
        <w:t>十九</w:t>
      </w:r>
      <w:r>
        <w:rPr>
          <w:rFonts w:ascii="宋体" w:hAnsi="宋体"/>
        </w:rPr>
        <w:t>部分</w:t>
      </w:r>
      <w:r>
        <w:rPr>
          <w:rFonts w:ascii="宋体" w:hAnsi="宋体" w:hint="eastAsia"/>
        </w:rPr>
        <w:t xml:space="preserve"> 基金</w:t>
      </w:r>
      <w:r>
        <w:rPr>
          <w:rFonts w:ascii="宋体" w:hAnsi="宋体"/>
        </w:rPr>
        <w:t>合同的变更、终止与基金财产的清算”</w:t>
      </w:r>
      <w:r>
        <w:rPr>
          <w:rFonts w:ascii="宋体" w:hAnsi="宋体" w:hint="eastAsia"/>
        </w:rPr>
        <w:t>中</w:t>
      </w:r>
      <w:r>
        <w:rPr>
          <w:rFonts w:ascii="宋体" w:hAnsi="宋体"/>
        </w:rPr>
        <w:t>，</w:t>
      </w:r>
      <w:r w:rsidRPr="006F33A4">
        <w:rPr>
          <w:rFonts w:ascii="宋体" w:hAnsi="宋体" w:hint="eastAsia"/>
        </w:rPr>
        <w:t>发生下列情形之一的，本基金</w:t>
      </w:r>
      <w:r>
        <w:rPr>
          <w:rFonts w:ascii="宋体" w:hAnsi="宋体" w:hint="eastAsia"/>
        </w:rPr>
        <w:t>应当</w:t>
      </w:r>
      <w:r w:rsidRPr="006F33A4">
        <w:rPr>
          <w:rFonts w:ascii="宋体" w:hAnsi="宋体" w:hint="eastAsia"/>
        </w:rPr>
        <w:t>终止</w:t>
      </w:r>
      <w:r>
        <w:rPr>
          <w:rFonts w:ascii="宋体" w:hAnsi="宋体" w:hint="eastAsia"/>
        </w:rPr>
        <w:t>：基金</w:t>
      </w:r>
      <w:r>
        <w:rPr>
          <w:rFonts w:ascii="宋体" w:hAnsi="宋体"/>
        </w:rPr>
        <w:t>份额持有人大会决定终止</w:t>
      </w:r>
      <w:r>
        <w:rPr>
          <w:rFonts w:ascii="宋体" w:hAnsi="宋体" w:hint="eastAsia"/>
        </w:rPr>
        <w:t>等</w:t>
      </w:r>
      <w:r>
        <w:rPr>
          <w:rFonts w:ascii="宋体" w:hAnsi="宋体"/>
        </w:rPr>
        <w:t>。</w:t>
      </w:r>
      <w:r>
        <w:rPr>
          <w:rFonts w:ascii="宋体" w:hAnsi="宋体" w:hint="eastAsia"/>
        </w:rPr>
        <w:t>根据20</w:t>
      </w:r>
      <w:r w:rsidR="008035C1">
        <w:rPr>
          <w:rFonts w:ascii="宋体" w:hAnsi="宋体"/>
        </w:rPr>
        <w:t>21</w:t>
      </w:r>
      <w:r>
        <w:rPr>
          <w:rFonts w:ascii="宋体" w:hAnsi="宋体" w:hint="eastAsia"/>
        </w:rPr>
        <w:t>年</w:t>
      </w:r>
      <w:r w:rsidR="008035C1">
        <w:rPr>
          <w:rFonts w:ascii="宋体" w:hAnsi="宋体"/>
        </w:rPr>
        <w:t>12</w:t>
      </w:r>
      <w:r>
        <w:rPr>
          <w:rFonts w:ascii="宋体" w:hAnsi="宋体" w:hint="eastAsia"/>
        </w:rPr>
        <w:t>月</w:t>
      </w:r>
      <w:r w:rsidR="008035C1">
        <w:rPr>
          <w:rFonts w:ascii="宋体" w:hAnsi="宋体"/>
        </w:rPr>
        <w:t>15</w:t>
      </w:r>
      <w:r>
        <w:rPr>
          <w:rFonts w:ascii="宋体" w:hAnsi="宋体" w:hint="eastAsia"/>
        </w:rPr>
        <w:t>日</w:t>
      </w:r>
      <w:r>
        <w:rPr>
          <w:rFonts w:ascii="宋体" w:hAnsi="宋体"/>
        </w:rPr>
        <w:t>《</w:t>
      </w:r>
      <w:r w:rsidR="008035C1" w:rsidRPr="008035C1">
        <w:rPr>
          <w:rFonts w:ascii="宋体" w:hAnsi="宋体" w:hint="eastAsia"/>
        </w:rPr>
        <w:t>交银施罗德基金管理有限公司关于交银施罗德增强收益债券型证券投资基金基金份额持有人大会表决结果暨决议生效的公告</w:t>
      </w:r>
      <w:r>
        <w:rPr>
          <w:rFonts w:ascii="宋体" w:hAnsi="宋体"/>
        </w:rPr>
        <w:t>》</w:t>
      </w:r>
      <w:r>
        <w:rPr>
          <w:rFonts w:ascii="宋体" w:hAnsi="宋体" w:hint="eastAsia"/>
        </w:rPr>
        <w:t>，</w:t>
      </w:r>
      <w:r w:rsidRPr="00CA7BCB">
        <w:rPr>
          <w:rFonts w:ascii="宋体" w:hAnsi="宋体" w:hint="eastAsia"/>
        </w:rPr>
        <w:t>基金份额持有人大会于20</w:t>
      </w:r>
      <w:r w:rsidR="008035C1">
        <w:rPr>
          <w:rFonts w:ascii="宋体" w:hAnsi="宋体"/>
        </w:rPr>
        <w:t>21</w:t>
      </w:r>
      <w:r w:rsidRPr="00CA7BCB">
        <w:rPr>
          <w:rFonts w:ascii="宋体" w:hAnsi="宋体" w:hint="eastAsia"/>
        </w:rPr>
        <w:t>年1</w:t>
      </w:r>
      <w:r w:rsidR="008035C1">
        <w:rPr>
          <w:rFonts w:ascii="宋体" w:hAnsi="宋体"/>
        </w:rPr>
        <w:t>2</w:t>
      </w:r>
      <w:r w:rsidRPr="00CA7BCB">
        <w:rPr>
          <w:rFonts w:ascii="宋体" w:hAnsi="宋体" w:hint="eastAsia"/>
        </w:rPr>
        <w:t>月</w:t>
      </w:r>
      <w:r w:rsidR="008035C1">
        <w:rPr>
          <w:rFonts w:ascii="宋体" w:hAnsi="宋体"/>
        </w:rPr>
        <w:t>14</w:t>
      </w:r>
      <w:r w:rsidRPr="00CA7BCB">
        <w:rPr>
          <w:rFonts w:ascii="宋体" w:hAnsi="宋体" w:hint="eastAsia"/>
        </w:rPr>
        <w:t>日表决通过了《</w:t>
      </w:r>
      <w:r w:rsidR="00B734E1" w:rsidRPr="00B734E1">
        <w:rPr>
          <w:rFonts w:ascii="宋体" w:hAnsi="宋体" w:hint="eastAsia"/>
        </w:rPr>
        <w:t>关于终止交银施罗德增强收益债券型证券投资基金基金合同有关事项的议案</w:t>
      </w:r>
      <w:r w:rsidRPr="00CA7BCB">
        <w:rPr>
          <w:rFonts w:ascii="宋体" w:hAnsi="宋体" w:hint="eastAsia"/>
        </w:rPr>
        <w:t>》，</w:t>
      </w:r>
      <w:r>
        <w:rPr>
          <w:rFonts w:ascii="宋体" w:hAnsi="宋体" w:hint="eastAsia"/>
        </w:rPr>
        <w:t>本次基金份额持有人大会决议自该日起生效。</w:t>
      </w:r>
    </w:p>
    <w:p w14:paraId="67392428" w14:textId="477EFEFD" w:rsidR="00DC3906" w:rsidRPr="006F33A4" w:rsidRDefault="00DC3906" w:rsidP="00E03A07">
      <w:pPr>
        <w:ind w:firstLine="420"/>
        <w:rPr>
          <w:rFonts w:ascii="宋体"/>
        </w:rPr>
      </w:pPr>
      <w:r w:rsidRPr="006F33A4">
        <w:rPr>
          <w:rFonts w:ascii="宋体" w:hAnsi="宋体" w:hint="eastAsia"/>
        </w:rPr>
        <w:t>本基金自</w:t>
      </w:r>
      <w:r w:rsidR="00F94699" w:rsidRPr="006F33A4">
        <w:rPr>
          <w:rFonts w:ascii="宋体" w:hAnsi="宋体"/>
        </w:rPr>
        <w:t>20</w:t>
      </w:r>
      <w:r w:rsidR="00E3113E">
        <w:rPr>
          <w:rFonts w:ascii="宋体" w:hAnsi="宋体"/>
        </w:rPr>
        <w:t>21</w:t>
      </w:r>
      <w:r w:rsidR="00F94699" w:rsidRPr="006F33A4">
        <w:rPr>
          <w:rFonts w:ascii="宋体" w:hAnsi="宋体" w:hint="eastAsia"/>
        </w:rPr>
        <w:t>年</w:t>
      </w:r>
      <w:r w:rsidR="00E3113E">
        <w:rPr>
          <w:rFonts w:ascii="宋体" w:hAnsi="宋体"/>
        </w:rPr>
        <w:t>12</w:t>
      </w:r>
      <w:r w:rsidRPr="006F33A4">
        <w:rPr>
          <w:rFonts w:ascii="宋体" w:hAnsi="宋体" w:hint="eastAsia"/>
        </w:rPr>
        <w:t>月</w:t>
      </w:r>
      <w:r w:rsidR="00382059">
        <w:rPr>
          <w:rFonts w:ascii="宋体" w:hAnsi="宋体"/>
        </w:rPr>
        <w:t>16</w:t>
      </w:r>
      <w:r w:rsidRPr="006F33A4">
        <w:rPr>
          <w:rFonts w:ascii="宋体" w:hAnsi="宋体" w:hint="eastAsia"/>
        </w:rPr>
        <w:t>日起进入清算期，由基金管理人</w:t>
      </w:r>
      <w:r w:rsidR="005B35D5" w:rsidRPr="006F33A4">
        <w:rPr>
          <w:rFonts w:ascii="宋体" w:hAnsi="宋体" w:hint="eastAsia"/>
        </w:rPr>
        <w:t>交银施罗德基金管理有限公司</w:t>
      </w:r>
      <w:r w:rsidRPr="006F33A4">
        <w:rPr>
          <w:rFonts w:ascii="宋体" w:hAnsi="宋体" w:hint="eastAsia"/>
        </w:rPr>
        <w:t>、基金托管人</w:t>
      </w:r>
      <w:r w:rsidR="00246755" w:rsidRPr="00C50AAF">
        <w:rPr>
          <w:rFonts w:ascii="宋体" w:hint="eastAsia"/>
        </w:rPr>
        <w:t>中国建设银行股份有限公司</w:t>
      </w:r>
      <w:r w:rsidRPr="006F33A4">
        <w:rPr>
          <w:rFonts w:ascii="宋体" w:hAnsi="宋体" w:hint="eastAsia"/>
        </w:rPr>
        <w:t>、</w:t>
      </w:r>
      <w:r w:rsidR="005B35D5" w:rsidRPr="006F33A4">
        <w:rPr>
          <w:rFonts w:ascii="宋体" w:hAnsi="宋体" w:hint="eastAsia"/>
        </w:rPr>
        <w:t>普华永道中天会计师事务所（特殊普通合伙）</w:t>
      </w:r>
      <w:r w:rsidRPr="006F33A4">
        <w:rPr>
          <w:rFonts w:ascii="宋体" w:hAnsi="宋体" w:hint="eastAsia"/>
        </w:rPr>
        <w:t>和通力律师事务所组成基金财产清算小组履行基金财产清算程序，并由</w:t>
      </w:r>
      <w:r w:rsidR="005B35D5" w:rsidRPr="006F33A4">
        <w:rPr>
          <w:rFonts w:ascii="宋体" w:hAnsi="宋体" w:hint="eastAsia"/>
        </w:rPr>
        <w:t>普华永道中天会计师事务所（特殊普通合伙）</w:t>
      </w:r>
      <w:r w:rsidRPr="006F33A4">
        <w:rPr>
          <w:rFonts w:ascii="宋体" w:hAnsi="宋体" w:hint="eastAsia"/>
        </w:rPr>
        <w:t>对清算报告进行审计，通力律师事务所对清算报告出具法律意见。</w:t>
      </w:r>
    </w:p>
    <w:p w14:paraId="162CF7C3" w14:textId="77777777" w:rsidR="00DC3906" w:rsidRPr="00246755" w:rsidRDefault="00DC3906" w:rsidP="00E03A07">
      <w:pPr>
        <w:ind w:firstLine="420"/>
        <w:rPr>
          <w:rFonts w:ascii="宋体"/>
        </w:rPr>
      </w:pPr>
    </w:p>
    <w:p w14:paraId="5629B686" w14:textId="77777777" w:rsidR="00DC3906" w:rsidRPr="006F33A4" w:rsidRDefault="00DC3906" w:rsidP="00CA7C64">
      <w:pPr>
        <w:spacing w:afterLines="100" w:after="312"/>
        <w:rPr>
          <w:rStyle w:val="ab"/>
        </w:rPr>
      </w:pPr>
      <w:r w:rsidRPr="006F33A4">
        <w:rPr>
          <w:rStyle w:val="ab"/>
          <w:rFonts w:hint="eastAsia"/>
        </w:rPr>
        <w:t>二、基金概况</w:t>
      </w:r>
    </w:p>
    <w:p w14:paraId="194C25D9" w14:textId="77777777" w:rsidR="00DC3906" w:rsidRPr="006F33A4" w:rsidRDefault="00DC3906" w:rsidP="00CA7C64">
      <w:pPr>
        <w:spacing w:afterLines="50" w:after="156"/>
        <w:rPr>
          <w:rFonts w:ascii="宋体"/>
          <w:b/>
        </w:rPr>
      </w:pPr>
      <w:r w:rsidRPr="006F33A4">
        <w:rPr>
          <w:rFonts w:ascii="宋体" w:hAnsi="宋体"/>
          <w:b/>
        </w:rPr>
        <w:t>1</w:t>
      </w:r>
      <w:r w:rsidRPr="006F33A4">
        <w:rPr>
          <w:rFonts w:ascii="宋体" w:hAnsi="宋体"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25"/>
      </w:tblGrid>
      <w:tr w:rsidR="00DC3906" w:rsidRPr="006F33A4" w14:paraId="26D246BC" w14:textId="77777777" w:rsidTr="00CF69E3">
        <w:tc>
          <w:tcPr>
            <w:tcW w:w="1809" w:type="dxa"/>
          </w:tcPr>
          <w:p w14:paraId="1954B047" w14:textId="77777777" w:rsidR="00DC3906" w:rsidRPr="006F33A4" w:rsidRDefault="00DC3906" w:rsidP="00C43916">
            <w:pPr>
              <w:rPr>
                <w:rFonts w:ascii="宋体"/>
              </w:rPr>
            </w:pPr>
            <w:r w:rsidRPr="006F33A4">
              <w:rPr>
                <w:rFonts w:ascii="宋体" w:hAnsi="宋体" w:hint="eastAsia"/>
              </w:rPr>
              <w:t>基金名称：</w:t>
            </w:r>
          </w:p>
        </w:tc>
        <w:tc>
          <w:tcPr>
            <w:tcW w:w="6713" w:type="dxa"/>
          </w:tcPr>
          <w:p w14:paraId="60FB6158" w14:textId="0CB09432" w:rsidR="00DC3906" w:rsidRPr="006F33A4" w:rsidRDefault="00152C07" w:rsidP="00C43916">
            <w:pPr>
              <w:rPr>
                <w:rFonts w:ascii="宋体"/>
              </w:rPr>
            </w:pPr>
            <w:r w:rsidRPr="00152C07">
              <w:rPr>
                <w:rFonts w:ascii="宋体" w:hint="eastAsia"/>
              </w:rPr>
              <w:t>交银施罗德增强收益债券型证券投资基金</w:t>
            </w:r>
          </w:p>
        </w:tc>
      </w:tr>
      <w:tr w:rsidR="00DC3906" w:rsidRPr="006F33A4" w14:paraId="6CEB0570" w14:textId="77777777" w:rsidTr="00CF69E3">
        <w:tc>
          <w:tcPr>
            <w:tcW w:w="1809" w:type="dxa"/>
          </w:tcPr>
          <w:p w14:paraId="6BF064FF" w14:textId="77777777" w:rsidR="00DC3906" w:rsidRPr="006F33A4" w:rsidRDefault="00DC3906" w:rsidP="00C43916">
            <w:pPr>
              <w:rPr>
                <w:rFonts w:ascii="宋体"/>
              </w:rPr>
            </w:pPr>
            <w:r w:rsidRPr="006F33A4">
              <w:rPr>
                <w:rFonts w:ascii="宋体" w:hAnsi="宋体" w:hint="eastAsia"/>
              </w:rPr>
              <w:t>基金简称：</w:t>
            </w:r>
          </w:p>
        </w:tc>
        <w:tc>
          <w:tcPr>
            <w:tcW w:w="6713" w:type="dxa"/>
          </w:tcPr>
          <w:p w14:paraId="005F8E84" w14:textId="48F51E22" w:rsidR="00DC3906" w:rsidRPr="006F33A4" w:rsidRDefault="00152C07" w:rsidP="00795524">
            <w:pPr>
              <w:rPr>
                <w:rFonts w:ascii="宋体"/>
              </w:rPr>
            </w:pPr>
            <w:r w:rsidRPr="00152C07">
              <w:rPr>
                <w:rFonts w:ascii="宋体" w:hint="eastAsia"/>
              </w:rPr>
              <w:t>交</w:t>
            </w:r>
            <w:proofErr w:type="gramStart"/>
            <w:r w:rsidRPr="00152C07">
              <w:rPr>
                <w:rFonts w:ascii="宋体" w:hint="eastAsia"/>
              </w:rPr>
              <w:t>银增强</w:t>
            </w:r>
            <w:proofErr w:type="gramEnd"/>
            <w:r w:rsidRPr="00152C07">
              <w:rPr>
                <w:rFonts w:ascii="宋体" w:hint="eastAsia"/>
              </w:rPr>
              <w:t>收益债券</w:t>
            </w:r>
          </w:p>
        </w:tc>
      </w:tr>
      <w:tr w:rsidR="00DC3906" w:rsidRPr="006F33A4" w14:paraId="1482497A" w14:textId="77777777" w:rsidTr="00CF69E3">
        <w:tc>
          <w:tcPr>
            <w:tcW w:w="1809" w:type="dxa"/>
          </w:tcPr>
          <w:p w14:paraId="0F3C8F54" w14:textId="77777777" w:rsidR="00DC3906" w:rsidRPr="006F33A4" w:rsidRDefault="00DC3906" w:rsidP="00C43916">
            <w:pPr>
              <w:rPr>
                <w:rFonts w:ascii="宋体"/>
              </w:rPr>
            </w:pPr>
            <w:r w:rsidRPr="006F33A4">
              <w:rPr>
                <w:rFonts w:ascii="宋体" w:hAnsi="宋体" w:hint="eastAsia"/>
              </w:rPr>
              <w:t>基金交易代码：</w:t>
            </w:r>
          </w:p>
        </w:tc>
        <w:tc>
          <w:tcPr>
            <w:tcW w:w="6713" w:type="dxa"/>
          </w:tcPr>
          <w:p w14:paraId="21535220" w14:textId="173EF4B0" w:rsidR="00DC3906" w:rsidRPr="006F33A4" w:rsidRDefault="00152C07" w:rsidP="00452316">
            <w:pPr>
              <w:rPr>
                <w:rFonts w:ascii="宋体" w:hAnsi="宋体"/>
              </w:rPr>
            </w:pPr>
            <w:r w:rsidRPr="00152C07">
              <w:rPr>
                <w:rFonts w:ascii="宋体" w:hAnsi="宋体"/>
              </w:rPr>
              <w:t>519729</w:t>
            </w:r>
          </w:p>
        </w:tc>
      </w:tr>
      <w:tr w:rsidR="00DC3906" w:rsidRPr="006F33A4" w14:paraId="0EC08A20" w14:textId="77777777" w:rsidTr="00CF69E3">
        <w:tc>
          <w:tcPr>
            <w:tcW w:w="1809" w:type="dxa"/>
          </w:tcPr>
          <w:p w14:paraId="65499B78" w14:textId="77777777" w:rsidR="00DC3906" w:rsidRPr="006F33A4" w:rsidRDefault="00DC3906" w:rsidP="00C43916">
            <w:pPr>
              <w:rPr>
                <w:rFonts w:ascii="宋体"/>
              </w:rPr>
            </w:pPr>
            <w:r w:rsidRPr="006F33A4">
              <w:rPr>
                <w:rFonts w:ascii="宋体" w:hAnsi="宋体" w:hint="eastAsia"/>
              </w:rPr>
              <w:t>基金运作方式：</w:t>
            </w:r>
          </w:p>
        </w:tc>
        <w:tc>
          <w:tcPr>
            <w:tcW w:w="6713" w:type="dxa"/>
          </w:tcPr>
          <w:p w14:paraId="53DE35BE" w14:textId="77777777" w:rsidR="00DC3906" w:rsidRPr="006F33A4" w:rsidRDefault="00DC3906" w:rsidP="00C43916">
            <w:pPr>
              <w:rPr>
                <w:rFonts w:ascii="宋体"/>
              </w:rPr>
            </w:pPr>
            <w:r w:rsidRPr="006F33A4">
              <w:rPr>
                <w:rFonts w:ascii="宋体" w:hAnsi="宋体" w:hint="eastAsia"/>
              </w:rPr>
              <w:t>契约型开放式</w:t>
            </w:r>
          </w:p>
        </w:tc>
      </w:tr>
      <w:tr w:rsidR="00DC3906" w:rsidRPr="006F33A4" w14:paraId="21DB0C8F" w14:textId="77777777" w:rsidTr="00CF69E3">
        <w:tc>
          <w:tcPr>
            <w:tcW w:w="1809" w:type="dxa"/>
          </w:tcPr>
          <w:p w14:paraId="0B7FA7C6" w14:textId="77777777" w:rsidR="00DC3906" w:rsidRPr="006F33A4" w:rsidRDefault="00DC3906" w:rsidP="00C43916">
            <w:pPr>
              <w:rPr>
                <w:rFonts w:ascii="宋体"/>
              </w:rPr>
            </w:pPr>
            <w:r w:rsidRPr="006F33A4">
              <w:rPr>
                <w:rFonts w:ascii="宋体" w:hAnsi="宋体" w:hint="eastAsia"/>
              </w:rPr>
              <w:t>基金合同生效日：</w:t>
            </w:r>
          </w:p>
        </w:tc>
        <w:tc>
          <w:tcPr>
            <w:tcW w:w="6713" w:type="dxa"/>
          </w:tcPr>
          <w:p w14:paraId="3B54089C" w14:textId="3C340E5C" w:rsidR="00DC3906" w:rsidRPr="005051EE" w:rsidRDefault="00E47375" w:rsidP="0092057B">
            <w:pPr>
              <w:rPr>
                <w:rFonts w:ascii="宋体"/>
              </w:rPr>
            </w:pPr>
            <w:r w:rsidRPr="005051EE">
              <w:rPr>
                <w:rFonts w:ascii="宋体" w:hAnsi="宋体" w:hint="eastAsia"/>
              </w:rPr>
              <w:t>2016年12月30日</w:t>
            </w:r>
          </w:p>
        </w:tc>
      </w:tr>
      <w:tr w:rsidR="00DC3906" w:rsidRPr="006F33A4" w14:paraId="020C74C1" w14:textId="77777777" w:rsidTr="00CF69E3">
        <w:tc>
          <w:tcPr>
            <w:tcW w:w="1809" w:type="dxa"/>
          </w:tcPr>
          <w:p w14:paraId="6B7D9327" w14:textId="77777777" w:rsidR="00DC3906" w:rsidRPr="006F33A4" w:rsidRDefault="00DC3906" w:rsidP="00C43916">
            <w:pPr>
              <w:rPr>
                <w:rFonts w:ascii="宋体"/>
              </w:rPr>
            </w:pPr>
            <w:r w:rsidRPr="006F33A4">
              <w:rPr>
                <w:rFonts w:ascii="宋体" w:hAnsi="宋体" w:hint="eastAsia"/>
              </w:rPr>
              <w:t>基金管理人名称：</w:t>
            </w:r>
          </w:p>
        </w:tc>
        <w:tc>
          <w:tcPr>
            <w:tcW w:w="6713" w:type="dxa"/>
          </w:tcPr>
          <w:p w14:paraId="4B832AC4" w14:textId="77777777" w:rsidR="00DC3906" w:rsidRPr="006F33A4" w:rsidRDefault="00795524" w:rsidP="00C43916">
            <w:pPr>
              <w:rPr>
                <w:rFonts w:ascii="宋体"/>
              </w:rPr>
            </w:pPr>
            <w:r w:rsidRPr="006F33A4">
              <w:rPr>
                <w:rFonts w:ascii="宋体" w:hAnsi="宋体" w:hint="eastAsia"/>
              </w:rPr>
              <w:t>交银施罗德</w:t>
            </w:r>
            <w:r w:rsidR="00DC3906" w:rsidRPr="006F33A4">
              <w:rPr>
                <w:rFonts w:ascii="宋体" w:hAnsi="宋体" w:hint="eastAsia"/>
              </w:rPr>
              <w:t>基金管理有限公司</w:t>
            </w:r>
          </w:p>
        </w:tc>
      </w:tr>
      <w:tr w:rsidR="00DC3906" w:rsidRPr="006F33A4" w14:paraId="799300C8" w14:textId="77777777" w:rsidTr="00CF69E3">
        <w:tc>
          <w:tcPr>
            <w:tcW w:w="1809" w:type="dxa"/>
          </w:tcPr>
          <w:p w14:paraId="32E7B188" w14:textId="77777777" w:rsidR="00DC3906" w:rsidRPr="006F33A4" w:rsidRDefault="00DC3906" w:rsidP="00C43916">
            <w:pPr>
              <w:rPr>
                <w:rFonts w:ascii="宋体"/>
              </w:rPr>
            </w:pPr>
            <w:r w:rsidRPr="006F33A4">
              <w:rPr>
                <w:rFonts w:ascii="宋体" w:hAnsi="宋体" w:hint="eastAsia"/>
              </w:rPr>
              <w:t>基金托管人名称：</w:t>
            </w:r>
          </w:p>
        </w:tc>
        <w:tc>
          <w:tcPr>
            <w:tcW w:w="6713" w:type="dxa"/>
          </w:tcPr>
          <w:p w14:paraId="7D9288B2" w14:textId="67876596" w:rsidR="00DC3906" w:rsidRPr="006F33A4" w:rsidRDefault="00246755" w:rsidP="00C43916">
            <w:pPr>
              <w:rPr>
                <w:rFonts w:ascii="宋体"/>
              </w:rPr>
            </w:pPr>
            <w:r w:rsidRPr="00246755">
              <w:rPr>
                <w:rFonts w:ascii="宋体" w:hAnsi="宋体" w:hint="eastAsia"/>
              </w:rPr>
              <w:t>中国建设银行股份有限公司</w:t>
            </w:r>
          </w:p>
        </w:tc>
      </w:tr>
    </w:tbl>
    <w:p w14:paraId="1791FD0F" w14:textId="77777777" w:rsidR="00DC3906" w:rsidRPr="006F33A4" w:rsidRDefault="00DC3906" w:rsidP="00CA7C64">
      <w:pPr>
        <w:spacing w:beforeLines="50" w:before="156" w:afterLines="50" w:after="156"/>
        <w:rPr>
          <w:rFonts w:ascii="宋体"/>
          <w:b/>
        </w:rPr>
      </w:pPr>
      <w:r w:rsidRPr="006F33A4">
        <w:rPr>
          <w:rFonts w:ascii="宋体" w:hAnsi="宋体"/>
          <w:b/>
        </w:rPr>
        <w:t>2</w:t>
      </w:r>
      <w:r w:rsidRPr="006F33A4">
        <w:rPr>
          <w:rFonts w:ascii="宋体" w:hAnsi="宋体" w:hint="eastAsia"/>
          <w:b/>
        </w:rPr>
        <w:t>、基金产品说明</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6805"/>
      </w:tblGrid>
      <w:tr w:rsidR="003F3D45" w:rsidRPr="006F33A4" w14:paraId="6ABEED24" w14:textId="77777777" w:rsidTr="00092A2A">
        <w:tc>
          <w:tcPr>
            <w:tcW w:w="1491" w:type="dxa"/>
          </w:tcPr>
          <w:p w14:paraId="56A5DA6D" w14:textId="77777777" w:rsidR="003F3D45" w:rsidRPr="006F33A4" w:rsidRDefault="003F3D45" w:rsidP="003F3D45">
            <w:pPr>
              <w:rPr>
                <w:rFonts w:ascii="宋体"/>
              </w:rPr>
            </w:pPr>
            <w:r w:rsidRPr="006F33A4">
              <w:rPr>
                <w:rFonts w:ascii="宋体" w:hAnsi="宋体" w:hint="eastAsia"/>
              </w:rPr>
              <w:lastRenderedPageBreak/>
              <w:t>投资目标</w:t>
            </w:r>
          </w:p>
        </w:tc>
        <w:tc>
          <w:tcPr>
            <w:tcW w:w="6805" w:type="dxa"/>
          </w:tcPr>
          <w:p w14:paraId="33B9675B" w14:textId="399A02E8" w:rsidR="003F3D45" w:rsidRPr="006F33A4" w:rsidRDefault="003F3D45" w:rsidP="003F3D45">
            <w:pPr>
              <w:rPr>
                <w:rFonts w:ascii="宋体"/>
              </w:rPr>
            </w:pPr>
            <w:r w:rsidRPr="00726A5D">
              <w:rPr>
                <w:rFonts w:hint="eastAsia"/>
              </w:rPr>
              <w:t>在严格控制投资风险的基础上，力争实现基金资产的长期稳定增值。</w:t>
            </w:r>
          </w:p>
        </w:tc>
      </w:tr>
      <w:tr w:rsidR="003F3D45" w:rsidRPr="006F33A4" w14:paraId="62836149" w14:textId="77777777" w:rsidTr="00092A2A">
        <w:tc>
          <w:tcPr>
            <w:tcW w:w="1491" w:type="dxa"/>
          </w:tcPr>
          <w:p w14:paraId="399C6B2D" w14:textId="77777777" w:rsidR="003F3D45" w:rsidRPr="006F33A4" w:rsidRDefault="003F3D45" w:rsidP="003F3D45">
            <w:pPr>
              <w:rPr>
                <w:rFonts w:ascii="宋体"/>
              </w:rPr>
            </w:pPr>
            <w:r w:rsidRPr="006F33A4">
              <w:rPr>
                <w:rFonts w:ascii="宋体" w:hAnsi="宋体" w:hint="eastAsia"/>
              </w:rPr>
              <w:t>投资策略</w:t>
            </w:r>
          </w:p>
        </w:tc>
        <w:tc>
          <w:tcPr>
            <w:tcW w:w="6805" w:type="dxa"/>
          </w:tcPr>
          <w:p w14:paraId="40C862CE" w14:textId="76FB3D28" w:rsidR="003F3D45" w:rsidRPr="006F33A4" w:rsidRDefault="003F3D45" w:rsidP="003F3D45">
            <w:pPr>
              <w:rPr>
                <w:rFonts w:ascii="宋体" w:hAnsi="宋体"/>
              </w:rPr>
            </w:pPr>
            <w:r w:rsidRPr="00726A5D">
              <w:rPr>
                <w:rFonts w:hint="eastAsia"/>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3F3D45" w:rsidRPr="006F33A4" w14:paraId="1F0D1885" w14:textId="77777777" w:rsidTr="00092A2A">
        <w:tc>
          <w:tcPr>
            <w:tcW w:w="1491" w:type="dxa"/>
          </w:tcPr>
          <w:p w14:paraId="65380F4D" w14:textId="77777777" w:rsidR="003F3D45" w:rsidRPr="006F33A4" w:rsidRDefault="003F3D45" w:rsidP="003F3D45">
            <w:pPr>
              <w:rPr>
                <w:rFonts w:ascii="宋体"/>
              </w:rPr>
            </w:pPr>
            <w:r w:rsidRPr="006F33A4">
              <w:rPr>
                <w:rFonts w:ascii="宋体" w:hAnsi="宋体" w:hint="eastAsia"/>
              </w:rPr>
              <w:t>业绩比较基准</w:t>
            </w:r>
          </w:p>
        </w:tc>
        <w:tc>
          <w:tcPr>
            <w:tcW w:w="6805" w:type="dxa"/>
          </w:tcPr>
          <w:p w14:paraId="32AFD863" w14:textId="2BEFB5FA" w:rsidR="003F3D45" w:rsidRPr="006F33A4" w:rsidRDefault="003F3D45" w:rsidP="003F3D45">
            <w:pPr>
              <w:rPr>
                <w:rFonts w:ascii="宋体" w:hAnsi="宋体"/>
              </w:rPr>
            </w:pPr>
            <w:r w:rsidRPr="00726A5D">
              <w:rPr>
                <w:rFonts w:hint="eastAsia"/>
              </w:rPr>
              <w:t>90%</w:t>
            </w:r>
            <w:r w:rsidRPr="00726A5D">
              <w:rPr>
                <w:rFonts w:hint="eastAsia"/>
              </w:rPr>
              <w:t>×中证综合债券指数收益率</w:t>
            </w:r>
            <w:r w:rsidRPr="00726A5D">
              <w:rPr>
                <w:rFonts w:hint="eastAsia"/>
              </w:rPr>
              <w:t>+10%</w:t>
            </w:r>
            <w:r w:rsidRPr="00726A5D">
              <w:rPr>
                <w:rFonts w:hint="eastAsia"/>
              </w:rPr>
              <w:t>×沪深</w:t>
            </w:r>
            <w:r w:rsidRPr="00726A5D">
              <w:rPr>
                <w:rFonts w:hint="eastAsia"/>
              </w:rPr>
              <w:t>300</w:t>
            </w:r>
            <w:r w:rsidRPr="00726A5D">
              <w:rPr>
                <w:rFonts w:hint="eastAsia"/>
              </w:rPr>
              <w:t>指数收益率</w:t>
            </w:r>
          </w:p>
        </w:tc>
      </w:tr>
      <w:tr w:rsidR="003F3D45" w:rsidRPr="006F33A4" w14:paraId="0E820943" w14:textId="77777777" w:rsidTr="00092A2A">
        <w:tc>
          <w:tcPr>
            <w:tcW w:w="1491" w:type="dxa"/>
          </w:tcPr>
          <w:p w14:paraId="547275E4" w14:textId="77777777" w:rsidR="003F3D45" w:rsidRPr="006F33A4" w:rsidRDefault="003F3D45" w:rsidP="003F3D45">
            <w:pPr>
              <w:rPr>
                <w:rFonts w:ascii="宋体"/>
              </w:rPr>
            </w:pPr>
            <w:r w:rsidRPr="006F33A4">
              <w:rPr>
                <w:rFonts w:ascii="宋体" w:hAnsi="宋体" w:hint="eastAsia"/>
              </w:rPr>
              <w:t>风险收益特征</w:t>
            </w:r>
          </w:p>
        </w:tc>
        <w:tc>
          <w:tcPr>
            <w:tcW w:w="6805" w:type="dxa"/>
          </w:tcPr>
          <w:p w14:paraId="462181EC" w14:textId="76A1F7E2" w:rsidR="003F3D45" w:rsidRPr="006F33A4" w:rsidRDefault="003F3D45" w:rsidP="003F3D45">
            <w:pPr>
              <w:rPr>
                <w:rFonts w:ascii="宋体"/>
              </w:rPr>
            </w:pPr>
            <w:r w:rsidRPr="00726A5D">
              <w:rPr>
                <w:rFonts w:hint="eastAsia"/>
              </w:rPr>
              <w:t>本基金为债券型证券投资基金，其长期平均的预期收益和风险高于货币市场基金，低于混合型基金和股票型基金，属于证券投资基金中中等风险品种。</w:t>
            </w:r>
          </w:p>
        </w:tc>
      </w:tr>
    </w:tbl>
    <w:p w14:paraId="2DAA109B" w14:textId="77777777" w:rsidR="00DC3906" w:rsidRPr="00246755" w:rsidRDefault="00DC3906" w:rsidP="00C43916">
      <w:pPr>
        <w:rPr>
          <w:rFonts w:ascii="宋体"/>
        </w:rPr>
      </w:pPr>
    </w:p>
    <w:p w14:paraId="704BC5CD" w14:textId="77777777" w:rsidR="00DC3906" w:rsidRPr="006F33A4" w:rsidRDefault="00DC3906" w:rsidP="00CA7C64">
      <w:pPr>
        <w:spacing w:afterLines="100" w:after="312"/>
        <w:rPr>
          <w:rStyle w:val="ab"/>
        </w:rPr>
      </w:pPr>
      <w:r w:rsidRPr="006F33A4">
        <w:rPr>
          <w:rStyle w:val="ab"/>
          <w:rFonts w:hint="eastAsia"/>
        </w:rPr>
        <w:t>三、财务会计报告</w:t>
      </w:r>
    </w:p>
    <w:p w14:paraId="25F02BDB" w14:textId="77777777" w:rsidR="00DC3906" w:rsidRPr="006F33A4" w:rsidRDefault="001D2408" w:rsidP="00CA7C64">
      <w:pPr>
        <w:spacing w:afterLines="50" w:after="156"/>
        <w:rPr>
          <w:rFonts w:ascii="宋体"/>
          <w:b/>
        </w:rPr>
      </w:pPr>
      <w:r w:rsidRPr="006F33A4">
        <w:rPr>
          <w:rFonts w:ascii="宋体" w:hAnsi="宋体" w:hint="eastAsia"/>
          <w:b/>
        </w:rPr>
        <w:t>资产负债表（经审计）</w:t>
      </w:r>
    </w:p>
    <w:p w14:paraId="09CF3712" w14:textId="12319037" w:rsidR="00DC3906" w:rsidRPr="006F33A4" w:rsidRDefault="00DC3906" w:rsidP="00C43916">
      <w:pPr>
        <w:rPr>
          <w:rFonts w:ascii="宋体"/>
        </w:rPr>
      </w:pPr>
      <w:r w:rsidRPr="006F33A4">
        <w:rPr>
          <w:rFonts w:ascii="宋体" w:hAnsi="宋体" w:hint="eastAsia"/>
        </w:rPr>
        <w:t>会计主体：</w:t>
      </w:r>
      <w:r w:rsidR="00D351A6" w:rsidRPr="00D351A6">
        <w:rPr>
          <w:rFonts w:ascii="宋体" w:hAnsi="宋体" w:hint="eastAsia"/>
        </w:rPr>
        <w:t>交银施罗德增强收益债券型证券投资基金</w:t>
      </w:r>
    </w:p>
    <w:p w14:paraId="6D805E17" w14:textId="48231FDB" w:rsidR="00FA4863" w:rsidRPr="006F33A4" w:rsidRDefault="00DC3906" w:rsidP="00FA4863">
      <w:pPr>
        <w:rPr>
          <w:rFonts w:ascii="宋体"/>
        </w:rPr>
      </w:pPr>
      <w:r w:rsidRPr="006F33A4">
        <w:rPr>
          <w:rFonts w:ascii="宋体" w:hAnsi="宋体" w:hint="eastAsia"/>
        </w:rPr>
        <w:t>最后运作日：</w:t>
      </w:r>
      <w:r w:rsidR="00A211A2" w:rsidRPr="006F33A4">
        <w:rPr>
          <w:rFonts w:ascii="宋体" w:hAnsi="宋体"/>
        </w:rPr>
        <w:t>20</w:t>
      </w:r>
      <w:r w:rsidR="00D351A6">
        <w:rPr>
          <w:rFonts w:ascii="宋体" w:hAnsi="宋体"/>
        </w:rPr>
        <w:t>21</w:t>
      </w:r>
      <w:r w:rsidR="00A211A2" w:rsidRPr="006F33A4">
        <w:rPr>
          <w:rFonts w:ascii="宋体" w:hAnsi="宋体" w:hint="eastAsia"/>
        </w:rPr>
        <w:t>年</w:t>
      </w:r>
      <w:r w:rsidR="00103333">
        <w:rPr>
          <w:rFonts w:ascii="宋体" w:hAnsi="宋体" w:hint="eastAsia"/>
        </w:rPr>
        <w:t>1</w:t>
      </w:r>
      <w:r w:rsidR="00D351A6">
        <w:rPr>
          <w:rFonts w:ascii="宋体" w:hAnsi="宋体"/>
        </w:rPr>
        <w:t>2</w:t>
      </w:r>
      <w:r w:rsidR="00FA4863" w:rsidRPr="006F33A4">
        <w:rPr>
          <w:rFonts w:ascii="宋体" w:hAnsi="宋体" w:hint="eastAsia"/>
        </w:rPr>
        <w:t>月</w:t>
      </w:r>
      <w:r w:rsidR="00D351A6">
        <w:rPr>
          <w:rFonts w:ascii="宋体" w:hAnsi="宋体"/>
        </w:rPr>
        <w:t>15</w:t>
      </w:r>
      <w:r w:rsidR="00FA4863" w:rsidRPr="006F33A4">
        <w:rPr>
          <w:rFonts w:ascii="宋体" w:hAnsi="宋体" w:hint="eastAsia"/>
        </w:rPr>
        <w:t>日</w:t>
      </w:r>
    </w:p>
    <w:p w14:paraId="70A68D2B" w14:textId="77777777" w:rsidR="00DC3906" w:rsidRPr="006F33A4" w:rsidRDefault="00DC3906" w:rsidP="00FA4863">
      <w:pPr>
        <w:rPr>
          <w:rFonts w:ascii="宋体"/>
          <w:sz w:val="18"/>
        </w:rPr>
      </w:pPr>
      <w:r w:rsidRPr="006F33A4">
        <w:rPr>
          <w:rFonts w:ascii="宋体" w:hAnsi="宋体" w:hint="eastAsia"/>
          <w:sz w:val="18"/>
        </w:rPr>
        <w:t>单位：人民币元</w:t>
      </w:r>
    </w:p>
    <w:tbl>
      <w:tblPr>
        <w:tblW w:w="5000" w:type="pct"/>
        <w:tblLayout w:type="fixed"/>
        <w:tblLook w:val="00A0" w:firstRow="1" w:lastRow="0" w:firstColumn="1" w:lastColumn="0" w:noHBand="0" w:noVBand="0"/>
      </w:tblPr>
      <w:tblGrid>
        <w:gridCol w:w="2527"/>
        <w:gridCol w:w="1693"/>
        <w:gridCol w:w="2553"/>
        <w:gridCol w:w="1495"/>
      </w:tblGrid>
      <w:tr w:rsidR="00C476C3" w:rsidRPr="006F33A4" w14:paraId="0D0D62EE" w14:textId="77777777" w:rsidTr="008C25BA">
        <w:trPr>
          <w:trHeight w:val="300"/>
        </w:trPr>
        <w:tc>
          <w:tcPr>
            <w:tcW w:w="1528" w:type="pct"/>
            <w:tcBorders>
              <w:top w:val="double" w:sz="6" w:space="0" w:color="000000"/>
              <w:left w:val="double" w:sz="6" w:space="0" w:color="000000"/>
              <w:bottom w:val="single" w:sz="4" w:space="0" w:color="000000"/>
              <w:right w:val="single" w:sz="4" w:space="0" w:color="000000"/>
            </w:tcBorders>
            <w:shd w:val="clear" w:color="000000" w:fill="FFFFFF"/>
            <w:noWrap/>
          </w:tcPr>
          <w:p w14:paraId="40828B5B" w14:textId="43A5C6A4" w:rsidR="00C476C3" w:rsidRPr="006F33A4" w:rsidRDefault="00C476C3" w:rsidP="00C476C3">
            <w:pPr>
              <w:widowControl/>
              <w:jc w:val="center"/>
              <w:rPr>
                <w:rFonts w:asciiTheme="minorEastAsia" w:eastAsiaTheme="minorEastAsia" w:hAnsiTheme="minorEastAsia" w:cs="Arial"/>
                <w:color w:val="000000"/>
                <w:sz w:val="21"/>
                <w:szCs w:val="21"/>
              </w:rPr>
            </w:pPr>
            <w:r w:rsidRPr="006F33A4">
              <w:rPr>
                <w:rFonts w:hint="eastAsia"/>
              </w:rPr>
              <w:t>资</w:t>
            </w:r>
            <w:r w:rsidRPr="006F33A4">
              <w:t xml:space="preserve">     </w:t>
            </w:r>
            <w:r w:rsidRPr="006F33A4">
              <w:rPr>
                <w:rFonts w:hint="eastAsia"/>
              </w:rPr>
              <w:t>产</w:t>
            </w:r>
          </w:p>
        </w:tc>
        <w:tc>
          <w:tcPr>
            <w:tcW w:w="1024" w:type="pct"/>
            <w:tcBorders>
              <w:top w:val="double" w:sz="6" w:space="0" w:color="000000"/>
              <w:left w:val="nil"/>
              <w:bottom w:val="single" w:sz="4" w:space="0" w:color="000000"/>
              <w:right w:val="single" w:sz="4" w:space="0" w:color="000000"/>
            </w:tcBorders>
            <w:shd w:val="clear" w:color="000000" w:fill="FFFFFF"/>
            <w:noWrap/>
          </w:tcPr>
          <w:p w14:paraId="6B28E8B7" w14:textId="241C7A6C" w:rsidR="00C476C3" w:rsidRPr="006F33A4" w:rsidRDefault="00C476C3" w:rsidP="00C476C3">
            <w:pPr>
              <w:widowControl/>
              <w:jc w:val="center"/>
              <w:rPr>
                <w:rFonts w:asciiTheme="minorEastAsia" w:eastAsiaTheme="minorEastAsia" w:hAnsiTheme="minorEastAsia" w:cs="Arial"/>
                <w:color w:val="000000"/>
                <w:sz w:val="21"/>
                <w:szCs w:val="21"/>
              </w:rPr>
            </w:pPr>
            <w:r w:rsidRPr="006F33A4">
              <w:rPr>
                <w:rFonts w:hint="eastAsia"/>
              </w:rPr>
              <w:t>最后运作日</w:t>
            </w:r>
          </w:p>
        </w:tc>
        <w:tc>
          <w:tcPr>
            <w:tcW w:w="1544" w:type="pct"/>
            <w:tcBorders>
              <w:top w:val="double" w:sz="6" w:space="0" w:color="000000"/>
              <w:left w:val="nil"/>
              <w:bottom w:val="single" w:sz="4" w:space="0" w:color="000000"/>
              <w:right w:val="single" w:sz="4" w:space="0" w:color="000000"/>
            </w:tcBorders>
            <w:shd w:val="clear" w:color="000000" w:fill="FFFFFF"/>
            <w:noWrap/>
          </w:tcPr>
          <w:p w14:paraId="1B749956" w14:textId="739153CD" w:rsidR="00C476C3" w:rsidRPr="006F33A4" w:rsidRDefault="00C476C3" w:rsidP="00C476C3">
            <w:pPr>
              <w:widowControl/>
              <w:jc w:val="center"/>
              <w:rPr>
                <w:rFonts w:asciiTheme="minorEastAsia" w:eastAsiaTheme="minorEastAsia" w:hAnsiTheme="minorEastAsia" w:cs="Arial"/>
                <w:color w:val="000000"/>
                <w:sz w:val="21"/>
                <w:szCs w:val="21"/>
              </w:rPr>
            </w:pPr>
            <w:r w:rsidRPr="006F33A4">
              <w:rPr>
                <w:rFonts w:hint="eastAsia"/>
              </w:rPr>
              <w:t>负债和所有者权益</w:t>
            </w:r>
          </w:p>
        </w:tc>
        <w:tc>
          <w:tcPr>
            <w:tcW w:w="904" w:type="pct"/>
            <w:tcBorders>
              <w:top w:val="double" w:sz="6" w:space="0" w:color="000000"/>
              <w:left w:val="nil"/>
              <w:bottom w:val="single" w:sz="4" w:space="0" w:color="000000"/>
              <w:right w:val="double" w:sz="4" w:space="0" w:color="auto"/>
            </w:tcBorders>
            <w:shd w:val="clear" w:color="000000" w:fill="FFFFFF"/>
            <w:noWrap/>
          </w:tcPr>
          <w:p w14:paraId="632B3E99" w14:textId="2948E61F" w:rsidR="00C476C3" w:rsidRPr="006F33A4" w:rsidRDefault="00C476C3" w:rsidP="00C476C3">
            <w:pPr>
              <w:widowControl/>
              <w:jc w:val="center"/>
              <w:rPr>
                <w:rFonts w:asciiTheme="minorEastAsia" w:eastAsiaTheme="minorEastAsia" w:hAnsiTheme="minorEastAsia" w:cs="Arial"/>
                <w:color w:val="000000"/>
                <w:sz w:val="21"/>
                <w:szCs w:val="21"/>
              </w:rPr>
            </w:pPr>
            <w:r w:rsidRPr="006F33A4">
              <w:rPr>
                <w:rFonts w:hint="eastAsia"/>
              </w:rPr>
              <w:t>最后运作日</w:t>
            </w:r>
          </w:p>
        </w:tc>
      </w:tr>
      <w:tr w:rsidR="008C25BA" w:rsidRPr="006F33A4" w14:paraId="6D94F423"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598F4CA" w14:textId="6CB0F678" w:rsidR="008C25BA" w:rsidRPr="006F33A4" w:rsidRDefault="008C25BA" w:rsidP="008C25BA">
            <w:pPr>
              <w:widowControl/>
              <w:jc w:val="center"/>
              <w:rPr>
                <w:rFonts w:asciiTheme="minorEastAsia" w:eastAsiaTheme="minorEastAsia" w:hAnsiTheme="minorEastAsia" w:cs="Arial"/>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67F3C94A" w14:textId="4E4E19FB" w:rsidR="008C25BA" w:rsidRPr="006F33A4" w:rsidRDefault="008C25BA" w:rsidP="008C25BA">
            <w:pPr>
              <w:widowControl/>
              <w:jc w:val="center"/>
              <w:rPr>
                <w:rFonts w:asciiTheme="minorEastAsia" w:eastAsiaTheme="minorEastAsia" w:hAnsiTheme="minorEastAsia" w:cs="Arial"/>
                <w:color w:val="000000"/>
                <w:sz w:val="21"/>
                <w:szCs w:val="21"/>
              </w:rPr>
            </w:pPr>
            <w:r w:rsidRPr="00413649">
              <w:t>2021/12/15</w:t>
            </w:r>
          </w:p>
        </w:tc>
        <w:tc>
          <w:tcPr>
            <w:tcW w:w="1544" w:type="pct"/>
            <w:tcBorders>
              <w:top w:val="nil"/>
              <w:left w:val="nil"/>
              <w:bottom w:val="single" w:sz="4" w:space="0" w:color="000000"/>
              <w:right w:val="single" w:sz="4" w:space="0" w:color="000000"/>
            </w:tcBorders>
            <w:shd w:val="clear" w:color="000000" w:fill="FFFFFF"/>
            <w:noWrap/>
          </w:tcPr>
          <w:p w14:paraId="0E7E08E8" w14:textId="22E4DAFC" w:rsidR="008C25BA" w:rsidRPr="006F33A4" w:rsidRDefault="008C25BA" w:rsidP="008C25BA">
            <w:pPr>
              <w:widowControl/>
              <w:jc w:val="center"/>
              <w:rPr>
                <w:rFonts w:asciiTheme="minorEastAsia" w:eastAsiaTheme="minorEastAsia" w:hAnsiTheme="minorEastAsia" w:cs="Arial"/>
                <w:color w:val="000000"/>
                <w:sz w:val="21"/>
                <w:szCs w:val="21"/>
              </w:rPr>
            </w:pPr>
          </w:p>
        </w:tc>
        <w:tc>
          <w:tcPr>
            <w:tcW w:w="904" w:type="pct"/>
            <w:tcBorders>
              <w:top w:val="nil"/>
              <w:left w:val="nil"/>
              <w:bottom w:val="single" w:sz="4" w:space="0" w:color="000000"/>
              <w:right w:val="double" w:sz="4" w:space="0" w:color="auto"/>
            </w:tcBorders>
            <w:shd w:val="clear" w:color="000000" w:fill="FFFFFF"/>
            <w:noWrap/>
          </w:tcPr>
          <w:p w14:paraId="14286AC6" w14:textId="432E76D6" w:rsidR="008C25BA" w:rsidRPr="006F33A4" w:rsidRDefault="008C25BA" w:rsidP="008C25BA">
            <w:pPr>
              <w:widowControl/>
              <w:jc w:val="center"/>
              <w:rPr>
                <w:rFonts w:asciiTheme="minorEastAsia" w:eastAsiaTheme="minorEastAsia" w:hAnsiTheme="minorEastAsia" w:cs="Arial"/>
                <w:color w:val="000000"/>
                <w:sz w:val="21"/>
                <w:szCs w:val="21"/>
              </w:rPr>
            </w:pPr>
            <w:r w:rsidRPr="00413649">
              <w:t>2021/12/15</w:t>
            </w:r>
          </w:p>
        </w:tc>
      </w:tr>
      <w:tr w:rsidR="008C25BA" w:rsidRPr="006F33A4" w14:paraId="764658E5"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666C420" w14:textId="3AE0F6F5" w:rsidR="008C25BA" w:rsidRPr="006F33A4" w:rsidRDefault="008C25BA" w:rsidP="008C25BA">
            <w:pPr>
              <w:widowControl/>
              <w:jc w:val="left"/>
              <w:rPr>
                <w:rFonts w:asciiTheme="minorEastAsia" w:eastAsiaTheme="minorEastAsia" w:hAnsiTheme="minorEastAsia" w:cs="宋体"/>
                <w:b/>
                <w:bCs/>
                <w:color w:val="000000"/>
                <w:sz w:val="21"/>
                <w:szCs w:val="21"/>
              </w:rPr>
            </w:pPr>
            <w:r w:rsidRPr="00413649">
              <w:rPr>
                <w:rFonts w:hint="eastAsia"/>
              </w:rPr>
              <w:t>资</w:t>
            </w:r>
            <w:r w:rsidRPr="00413649">
              <w:rPr>
                <w:rFonts w:hint="eastAsia"/>
              </w:rPr>
              <w:t xml:space="preserve">  </w:t>
            </w:r>
            <w:r w:rsidRPr="00413649">
              <w:rPr>
                <w:rFonts w:hint="eastAsia"/>
              </w:rPr>
              <w:t>产</w:t>
            </w:r>
            <w:r w:rsidRPr="00413649">
              <w:rPr>
                <w:rFonts w:hint="eastAsia"/>
              </w:rPr>
              <w:t xml:space="preserve"> :</w:t>
            </w:r>
          </w:p>
        </w:tc>
        <w:tc>
          <w:tcPr>
            <w:tcW w:w="1024" w:type="pct"/>
            <w:tcBorders>
              <w:top w:val="nil"/>
              <w:left w:val="nil"/>
              <w:bottom w:val="single" w:sz="4" w:space="0" w:color="000000"/>
              <w:right w:val="single" w:sz="4" w:space="0" w:color="000000"/>
            </w:tcBorders>
            <w:shd w:val="clear" w:color="000000" w:fill="FFFFFF"/>
            <w:noWrap/>
          </w:tcPr>
          <w:p w14:paraId="2F7EB832" w14:textId="0F41E1F9" w:rsidR="008C25BA" w:rsidRPr="006F33A4" w:rsidRDefault="008C25BA" w:rsidP="008C25BA">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2B6D3553" w14:textId="324C2074" w:rsidR="008C25BA" w:rsidRPr="006F33A4" w:rsidRDefault="008C25BA" w:rsidP="008C25BA">
            <w:pPr>
              <w:widowControl/>
              <w:jc w:val="left"/>
              <w:rPr>
                <w:rFonts w:asciiTheme="minorEastAsia" w:eastAsiaTheme="minorEastAsia" w:hAnsiTheme="minorEastAsia" w:cs="宋体"/>
                <w:b/>
                <w:bCs/>
                <w:color w:val="000000"/>
                <w:sz w:val="21"/>
                <w:szCs w:val="21"/>
              </w:rPr>
            </w:pPr>
            <w:r w:rsidRPr="00413649">
              <w:rPr>
                <w:rFonts w:hint="eastAsia"/>
              </w:rPr>
              <w:t>负债</w:t>
            </w:r>
            <w:r w:rsidRPr="00413649">
              <w:rPr>
                <w:rFonts w:hint="eastAsia"/>
              </w:rPr>
              <w:t>:</w:t>
            </w:r>
          </w:p>
        </w:tc>
        <w:tc>
          <w:tcPr>
            <w:tcW w:w="904" w:type="pct"/>
            <w:tcBorders>
              <w:top w:val="nil"/>
              <w:left w:val="nil"/>
              <w:bottom w:val="single" w:sz="4" w:space="0" w:color="000000"/>
              <w:right w:val="double" w:sz="4" w:space="0" w:color="auto"/>
            </w:tcBorders>
            <w:shd w:val="clear" w:color="000000" w:fill="FFFFFF"/>
            <w:noWrap/>
          </w:tcPr>
          <w:p w14:paraId="17A37EDB" w14:textId="2D8F26AD" w:rsidR="008C25BA" w:rsidRPr="006F33A4" w:rsidRDefault="008C25BA" w:rsidP="008C25BA">
            <w:pPr>
              <w:widowControl/>
              <w:jc w:val="right"/>
              <w:rPr>
                <w:rFonts w:asciiTheme="minorEastAsia" w:eastAsiaTheme="minorEastAsia" w:hAnsiTheme="minorEastAsia" w:cs="宋体"/>
                <w:color w:val="000000"/>
                <w:sz w:val="21"/>
                <w:szCs w:val="21"/>
              </w:rPr>
            </w:pPr>
          </w:p>
        </w:tc>
      </w:tr>
      <w:tr w:rsidR="008C25BA" w:rsidRPr="006F33A4" w14:paraId="19E071FA"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3CD3205" w14:textId="7F166EBD"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银行存款</w:t>
            </w:r>
          </w:p>
        </w:tc>
        <w:tc>
          <w:tcPr>
            <w:tcW w:w="1024" w:type="pct"/>
            <w:tcBorders>
              <w:top w:val="nil"/>
              <w:left w:val="nil"/>
              <w:bottom w:val="single" w:sz="4" w:space="0" w:color="000000"/>
              <w:right w:val="single" w:sz="4" w:space="0" w:color="000000"/>
            </w:tcBorders>
            <w:shd w:val="clear" w:color="000000" w:fill="FFFFFF"/>
            <w:noWrap/>
          </w:tcPr>
          <w:p w14:paraId="7204A1C9" w14:textId="02D932F0"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 xml:space="preserve"> 757,520.61 </w:t>
            </w:r>
          </w:p>
        </w:tc>
        <w:tc>
          <w:tcPr>
            <w:tcW w:w="1544" w:type="pct"/>
            <w:tcBorders>
              <w:top w:val="nil"/>
              <w:left w:val="nil"/>
              <w:bottom w:val="single" w:sz="4" w:space="0" w:color="000000"/>
              <w:right w:val="single" w:sz="4" w:space="0" w:color="000000"/>
            </w:tcBorders>
            <w:shd w:val="clear" w:color="000000" w:fill="FFFFFF"/>
            <w:noWrap/>
          </w:tcPr>
          <w:p w14:paraId="36BF9029" w14:textId="16B68FA3"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短期借款</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6E0A3D59" w14:textId="4A3BA8BA"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 xml:space="preserve">　</w:t>
            </w:r>
            <w:r w:rsidRPr="00413649">
              <w:rPr>
                <w:rFonts w:hint="eastAsia"/>
              </w:rPr>
              <w:t xml:space="preserve"> </w:t>
            </w:r>
          </w:p>
        </w:tc>
      </w:tr>
      <w:tr w:rsidR="008C25BA" w:rsidRPr="006F33A4" w14:paraId="04ED0383"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2813400" w14:textId="333388AD"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结算备付金</w:t>
            </w:r>
          </w:p>
        </w:tc>
        <w:tc>
          <w:tcPr>
            <w:tcW w:w="1024" w:type="pct"/>
            <w:tcBorders>
              <w:top w:val="nil"/>
              <w:left w:val="nil"/>
              <w:bottom w:val="single" w:sz="4" w:space="0" w:color="000000"/>
              <w:right w:val="single" w:sz="4" w:space="0" w:color="000000"/>
            </w:tcBorders>
            <w:shd w:val="clear" w:color="000000" w:fill="FFFFFF"/>
            <w:noWrap/>
          </w:tcPr>
          <w:p w14:paraId="41B4B5F9" w14:textId="6E627FEC"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 xml:space="preserve"> 27,635.04 </w:t>
            </w:r>
          </w:p>
        </w:tc>
        <w:tc>
          <w:tcPr>
            <w:tcW w:w="1544" w:type="pct"/>
            <w:tcBorders>
              <w:top w:val="nil"/>
              <w:left w:val="nil"/>
              <w:bottom w:val="single" w:sz="4" w:space="0" w:color="000000"/>
              <w:right w:val="single" w:sz="4" w:space="0" w:color="000000"/>
            </w:tcBorders>
            <w:shd w:val="clear" w:color="000000" w:fill="FFFFFF"/>
            <w:noWrap/>
          </w:tcPr>
          <w:p w14:paraId="4CB5E05B" w14:textId="48F7BEFE"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交易性金融负债</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786CE729" w14:textId="7F80B56B"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 xml:space="preserve">　</w:t>
            </w:r>
            <w:r w:rsidRPr="00413649">
              <w:rPr>
                <w:rFonts w:hint="eastAsia"/>
              </w:rPr>
              <w:t xml:space="preserve"> </w:t>
            </w:r>
          </w:p>
        </w:tc>
      </w:tr>
      <w:tr w:rsidR="008C25BA" w:rsidRPr="006F33A4" w14:paraId="5229273C"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3AC768F" w14:textId="70B52BD1"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存出保证金</w:t>
            </w:r>
          </w:p>
        </w:tc>
        <w:tc>
          <w:tcPr>
            <w:tcW w:w="1024" w:type="pct"/>
            <w:tcBorders>
              <w:top w:val="nil"/>
              <w:left w:val="nil"/>
              <w:bottom w:val="single" w:sz="4" w:space="0" w:color="000000"/>
              <w:right w:val="single" w:sz="4" w:space="0" w:color="000000"/>
            </w:tcBorders>
            <w:shd w:val="clear" w:color="000000" w:fill="FFFFFF"/>
            <w:noWrap/>
          </w:tcPr>
          <w:p w14:paraId="5A4D07BE" w14:textId="60080B52"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 xml:space="preserve"> 1,109.28 </w:t>
            </w:r>
          </w:p>
        </w:tc>
        <w:tc>
          <w:tcPr>
            <w:tcW w:w="1544" w:type="pct"/>
            <w:tcBorders>
              <w:top w:val="nil"/>
              <w:left w:val="nil"/>
              <w:bottom w:val="single" w:sz="4" w:space="0" w:color="000000"/>
              <w:right w:val="single" w:sz="4" w:space="0" w:color="000000"/>
            </w:tcBorders>
            <w:shd w:val="clear" w:color="000000" w:fill="FFFFFF"/>
            <w:noWrap/>
          </w:tcPr>
          <w:p w14:paraId="582EDBEA" w14:textId="3C103355"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衍生金融负债</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18B77C52" w14:textId="676DD7AC"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 xml:space="preserve">　</w:t>
            </w:r>
            <w:r w:rsidRPr="00413649">
              <w:rPr>
                <w:rFonts w:hint="eastAsia"/>
              </w:rPr>
              <w:t xml:space="preserve"> </w:t>
            </w:r>
          </w:p>
        </w:tc>
      </w:tr>
      <w:tr w:rsidR="008C25BA" w:rsidRPr="006F33A4" w14:paraId="4028039C"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FD313A6" w14:textId="6FA56E17"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交易性金融资产</w:t>
            </w:r>
          </w:p>
        </w:tc>
        <w:tc>
          <w:tcPr>
            <w:tcW w:w="1024" w:type="pct"/>
            <w:tcBorders>
              <w:top w:val="nil"/>
              <w:left w:val="nil"/>
              <w:bottom w:val="single" w:sz="4" w:space="0" w:color="000000"/>
              <w:right w:val="single" w:sz="4" w:space="0" w:color="000000"/>
            </w:tcBorders>
            <w:shd w:val="clear" w:color="000000" w:fill="FFFFFF"/>
            <w:noWrap/>
          </w:tcPr>
          <w:p w14:paraId="2FA57B88" w14:textId="3B9D24AA"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4,431,845.40 </w:t>
            </w:r>
          </w:p>
        </w:tc>
        <w:tc>
          <w:tcPr>
            <w:tcW w:w="1544" w:type="pct"/>
            <w:tcBorders>
              <w:top w:val="nil"/>
              <w:left w:val="nil"/>
              <w:bottom w:val="single" w:sz="4" w:space="0" w:color="000000"/>
              <w:right w:val="single" w:sz="4" w:space="0" w:color="000000"/>
            </w:tcBorders>
            <w:shd w:val="clear" w:color="000000" w:fill="FFFFFF"/>
            <w:noWrap/>
          </w:tcPr>
          <w:p w14:paraId="7A80DB08" w14:textId="57AD3ADD"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卖出回购金融资产款</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3C5FBED0" w14:textId="4F9711B8"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 </w:t>
            </w:r>
          </w:p>
        </w:tc>
      </w:tr>
      <w:tr w:rsidR="008C25BA" w:rsidRPr="006F33A4" w14:paraId="2844F918"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A1F4D8A" w14:textId="2B5B5384"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其中：股票投资</w:t>
            </w:r>
          </w:p>
        </w:tc>
        <w:tc>
          <w:tcPr>
            <w:tcW w:w="1024" w:type="pct"/>
            <w:tcBorders>
              <w:top w:val="nil"/>
              <w:left w:val="nil"/>
              <w:bottom w:val="single" w:sz="4" w:space="0" w:color="000000"/>
              <w:right w:val="single" w:sz="4" w:space="0" w:color="000000"/>
            </w:tcBorders>
            <w:shd w:val="clear" w:color="000000" w:fill="FFFFFF"/>
            <w:noWrap/>
          </w:tcPr>
          <w:p w14:paraId="7DEE871D" w14:textId="31E125AE"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 xml:space="preserve">　</w:t>
            </w:r>
            <w:r w:rsidRPr="00413649">
              <w:rPr>
                <w:rFonts w:hint="eastAsia"/>
              </w:rPr>
              <w:t xml:space="preserve"> </w:t>
            </w:r>
          </w:p>
        </w:tc>
        <w:tc>
          <w:tcPr>
            <w:tcW w:w="1544" w:type="pct"/>
            <w:tcBorders>
              <w:top w:val="nil"/>
              <w:left w:val="nil"/>
              <w:bottom w:val="single" w:sz="4" w:space="0" w:color="000000"/>
              <w:right w:val="single" w:sz="4" w:space="0" w:color="000000"/>
            </w:tcBorders>
            <w:shd w:val="clear" w:color="000000" w:fill="FFFFFF"/>
            <w:noWrap/>
          </w:tcPr>
          <w:p w14:paraId="42C25786" w14:textId="37E31F29"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应付证券清算款</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34A4906A" w14:textId="71EB671F"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 </w:t>
            </w:r>
          </w:p>
        </w:tc>
      </w:tr>
      <w:tr w:rsidR="008C25BA" w:rsidRPr="006F33A4" w14:paraId="292E9472"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914C53D" w14:textId="2562F14A"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债券投资</w:t>
            </w:r>
          </w:p>
        </w:tc>
        <w:tc>
          <w:tcPr>
            <w:tcW w:w="1024" w:type="pct"/>
            <w:tcBorders>
              <w:top w:val="nil"/>
              <w:left w:val="nil"/>
              <w:bottom w:val="single" w:sz="4" w:space="0" w:color="000000"/>
              <w:right w:val="single" w:sz="4" w:space="0" w:color="000000"/>
            </w:tcBorders>
            <w:shd w:val="clear" w:color="000000" w:fill="FFFFFF"/>
            <w:noWrap/>
          </w:tcPr>
          <w:p w14:paraId="2CDFA5DB" w14:textId="32E6989C"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 xml:space="preserve"> 4,431,845.40 </w:t>
            </w:r>
          </w:p>
        </w:tc>
        <w:tc>
          <w:tcPr>
            <w:tcW w:w="1544" w:type="pct"/>
            <w:tcBorders>
              <w:top w:val="nil"/>
              <w:left w:val="nil"/>
              <w:bottom w:val="single" w:sz="4" w:space="0" w:color="000000"/>
              <w:right w:val="single" w:sz="4" w:space="0" w:color="000000"/>
            </w:tcBorders>
            <w:shd w:val="clear" w:color="000000" w:fill="FFFFFF"/>
            <w:noWrap/>
          </w:tcPr>
          <w:p w14:paraId="1AEA7D3B" w14:textId="72453EA0"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应付</w:t>
            </w:r>
            <w:proofErr w:type="gramStart"/>
            <w:r w:rsidRPr="00413649">
              <w:rPr>
                <w:rFonts w:hint="eastAsia"/>
              </w:rPr>
              <w:t>赎回款</w:t>
            </w:r>
            <w:proofErr w:type="gramEnd"/>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30D2FC87" w14:textId="0C12FBEC"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429,357.95</w:t>
            </w:r>
          </w:p>
        </w:tc>
      </w:tr>
      <w:tr w:rsidR="008C25BA" w:rsidRPr="006F33A4" w14:paraId="733FE5A6"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B01A53D" w14:textId="6424284F"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资产支持证券投资</w:t>
            </w:r>
          </w:p>
        </w:tc>
        <w:tc>
          <w:tcPr>
            <w:tcW w:w="1024" w:type="pct"/>
            <w:tcBorders>
              <w:top w:val="nil"/>
              <w:left w:val="nil"/>
              <w:bottom w:val="single" w:sz="4" w:space="0" w:color="000000"/>
              <w:right w:val="single" w:sz="4" w:space="0" w:color="000000"/>
            </w:tcBorders>
            <w:shd w:val="clear" w:color="000000" w:fill="FFFFFF"/>
            <w:noWrap/>
          </w:tcPr>
          <w:p w14:paraId="092D0E79" w14:textId="4A91905C"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 xml:space="preserve">　</w:t>
            </w:r>
            <w:r w:rsidRPr="00413649">
              <w:rPr>
                <w:rFonts w:hint="eastAsia"/>
              </w:rPr>
              <w:t xml:space="preserve"> </w:t>
            </w:r>
          </w:p>
        </w:tc>
        <w:tc>
          <w:tcPr>
            <w:tcW w:w="1544" w:type="pct"/>
            <w:tcBorders>
              <w:top w:val="nil"/>
              <w:left w:val="nil"/>
              <w:bottom w:val="single" w:sz="4" w:space="0" w:color="000000"/>
              <w:right w:val="single" w:sz="4" w:space="0" w:color="000000"/>
            </w:tcBorders>
            <w:shd w:val="clear" w:color="000000" w:fill="FFFFFF"/>
            <w:noWrap/>
          </w:tcPr>
          <w:p w14:paraId="2090EE6F" w14:textId="5CDAB423"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应付管理人报酬</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7317CDD2" w14:textId="4E865B3A"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1,596.45</w:t>
            </w:r>
          </w:p>
        </w:tc>
      </w:tr>
      <w:tr w:rsidR="008C25BA" w:rsidRPr="006F33A4" w14:paraId="6FA154E5"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55A14F3" w14:textId="629B6C45"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基金投资</w:t>
            </w:r>
          </w:p>
        </w:tc>
        <w:tc>
          <w:tcPr>
            <w:tcW w:w="1024" w:type="pct"/>
            <w:tcBorders>
              <w:top w:val="nil"/>
              <w:left w:val="nil"/>
              <w:bottom w:val="single" w:sz="4" w:space="0" w:color="000000"/>
              <w:right w:val="single" w:sz="4" w:space="0" w:color="000000"/>
            </w:tcBorders>
            <w:shd w:val="clear" w:color="000000" w:fill="FFFFFF"/>
            <w:noWrap/>
          </w:tcPr>
          <w:p w14:paraId="1BE2B407" w14:textId="27177D10"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 xml:space="preserve">　</w:t>
            </w:r>
            <w:r w:rsidRPr="00413649">
              <w:rPr>
                <w:rFonts w:hint="eastAsia"/>
              </w:rPr>
              <w:t xml:space="preserve"> </w:t>
            </w:r>
          </w:p>
        </w:tc>
        <w:tc>
          <w:tcPr>
            <w:tcW w:w="1544" w:type="pct"/>
            <w:tcBorders>
              <w:top w:val="nil"/>
              <w:left w:val="nil"/>
              <w:bottom w:val="single" w:sz="4" w:space="0" w:color="000000"/>
              <w:right w:val="single" w:sz="4" w:space="0" w:color="000000"/>
            </w:tcBorders>
            <w:shd w:val="clear" w:color="000000" w:fill="FFFFFF"/>
            <w:noWrap/>
          </w:tcPr>
          <w:p w14:paraId="63212CDC" w14:textId="79549EEE"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应付托管费</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0AC2D63B" w14:textId="53095CCC"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456.13</w:t>
            </w:r>
          </w:p>
        </w:tc>
      </w:tr>
      <w:tr w:rsidR="008C25BA" w:rsidRPr="006F33A4" w14:paraId="251DC1E4"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B42CFA0" w14:textId="2C85A6C9"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衍生金融资产</w:t>
            </w:r>
          </w:p>
        </w:tc>
        <w:tc>
          <w:tcPr>
            <w:tcW w:w="1024" w:type="pct"/>
            <w:tcBorders>
              <w:top w:val="nil"/>
              <w:left w:val="nil"/>
              <w:bottom w:val="single" w:sz="4" w:space="0" w:color="000000"/>
              <w:right w:val="single" w:sz="4" w:space="0" w:color="000000"/>
            </w:tcBorders>
            <w:shd w:val="clear" w:color="000000" w:fill="FFFFFF"/>
            <w:noWrap/>
          </w:tcPr>
          <w:p w14:paraId="6D23FF78" w14:textId="529074B1"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 xml:space="preserve">　</w:t>
            </w:r>
            <w:r w:rsidRPr="00413649">
              <w:rPr>
                <w:rFonts w:hint="eastAsia"/>
              </w:rPr>
              <w:t xml:space="preserve"> </w:t>
            </w:r>
          </w:p>
        </w:tc>
        <w:tc>
          <w:tcPr>
            <w:tcW w:w="1544" w:type="pct"/>
            <w:tcBorders>
              <w:top w:val="nil"/>
              <w:left w:val="nil"/>
              <w:bottom w:val="single" w:sz="4" w:space="0" w:color="000000"/>
              <w:right w:val="single" w:sz="4" w:space="0" w:color="000000"/>
            </w:tcBorders>
            <w:shd w:val="clear" w:color="000000" w:fill="FFFFFF"/>
            <w:noWrap/>
          </w:tcPr>
          <w:p w14:paraId="190C9056" w14:textId="56980046"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应付销售服务费</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120A02E5" w14:textId="207A50BB"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 xml:space="preserve"> - </w:t>
            </w:r>
          </w:p>
        </w:tc>
      </w:tr>
      <w:tr w:rsidR="008C25BA" w:rsidRPr="006F33A4" w14:paraId="400B8670"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1A4123C" w14:textId="0298E5C2"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买入返售金融资产</w:t>
            </w:r>
          </w:p>
        </w:tc>
        <w:tc>
          <w:tcPr>
            <w:tcW w:w="1024" w:type="pct"/>
            <w:tcBorders>
              <w:top w:val="nil"/>
              <w:left w:val="nil"/>
              <w:bottom w:val="single" w:sz="4" w:space="0" w:color="000000"/>
              <w:right w:val="single" w:sz="4" w:space="0" w:color="000000"/>
            </w:tcBorders>
            <w:shd w:val="clear" w:color="000000" w:fill="FFFFFF"/>
            <w:noWrap/>
          </w:tcPr>
          <w:p w14:paraId="0E5C4970" w14:textId="7384D721"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 xml:space="preserve">　</w:t>
            </w:r>
            <w:r w:rsidRPr="00413649">
              <w:rPr>
                <w:rFonts w:hint="eastAsia"/>
              </w:rPr>
              <w:t xml:space="preserve"> </w:t>
            </w:r>
          </w:p>
        </w:tc>
        <w:tc>
          <w:tcPr>
            <w:tcW w:w="1544" w:type="pct"/>
            <w:tcBorders>
              <w:top w:val="nil"/>
              <w:left w:val="nil"/>
              <w:bottom w:val="single" w:sz="4" w:space="0" w:color="000000"/>
              <w:right w:val="single" w:sz="4" w:space="0" w:color="000000"/>
            </w:tcBorders>
            <w:shd w:val="clear" w:color="000000" w:fill="FFFFFF"/>
            <w:noWrap/>
          </w:tcPr>
          <w:p w14:paraId="057A05AA" w14:textId="49536522"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应付交易费用</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3537FDAC" w14:textId="1B64EB65"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1,460.20</w:t>
            </w:r>
          </w:p>
        </w:tc>
      </w:tr>
      <w:tr w:rsidR="008C25BA" w:rsidRPr="006F33A4" w14:paraId="6545D2D8"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5315BCE" w14:textId="716FC49B"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应收证券清算款</w:t>
            </w:r>
          </w:p>
        </w:tc>
        <w:tc>
          <w:tcPr>
            <w:tcW w:w="1024" w:type="pct"/>
            <w:tcBorders>
              <w:top w:val="nil"/>
              <w:left w:val="nil"/>
              <w:bottom w:val="single" w:sz="4" w:space="0" w:color="000000"/>
              <w:right w:val="single" w:sz="4" w:space="0" w:color="000000"/>
            </w:tcBorders>
            <w:shd w:val="clear" w:color="000000" w:fill="FFFFFF"/>
            <w:noWrap/>
          </w:tcPr>
          <w:p w14:paraId="219BB937" w14:textId="26749F45"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 xml:space="preserve">　</w:t>
            </w:r>
            <w:r w:rsidRPr="00413649">
              <w:rPr>
                <w:rFonts w:hint="eastAsia"/>
              </w:rPr>
              <w:t xml:space="preserve"> </w:t>
            </w:r>
          </w:p>
        </w:tc>
        <w:tc>
          <w:tcPr>
            <w:tcW w:w="1544" w:type="pct"/>
            <w:tcBorders>
              <w:top w:val="nil"/>
              <w:left w:val="nil"/>
              <w:bottom w:val="single" w:sz="4" w:space="0" w:color="000000"/>
              <w:right w:val="single" w:sz="4" w:space="0" w:color="000000"/>
            </w:tcBorders>
            <w:shd w:val="clear" w:color="000000" w:fill="FFFFFF"/>
            <w:noWrap/>
          </w:tcPr>
          <w:p w14:paraId="6E1D427A" w14:textId="4CD89DAC"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应付税费</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738C37CE" w14:textId="19D1FBD6"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 </w:t>
            </w:r>
          </w:p>
        </w:tc>
      </w:tr>
      <w:tr w:rsidR="008C25BA" w:rsidRPr="006F33A4" w14:paraId="083CC87D"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B68FCC" w14:textId="2FF20375"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应收利息</w:t>
            </w:r>
          </w:p>
        </w:tc>
        <w:tc>
          <w:tcPr>
            <w:tcW w:w="1024" w:type="pct"/>
            <w:tcBorders>
              <w:top w:val="nil"/>
              <w:left w:val="nil"/>
              <w:bottom w:val="single" w:sz="4" w:space="0" w:color="000000"/>
              <w:right w:val="single" w:sz="4" w:space="0" w:color="000000"/>
            </w:tcBorders>
            <w:shd w:val="clear" w:color="000000" w:fill="FFFFFF"/>
            <w:noWrap/>
          </w:tcPr>
          <w:p w14:paraId="70B74B17" w14:textId="04F0E1E5"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 xml:space="preserve"> 102,994.90 </w:t>
            </w:r>
          </w:p>
        </w:tc>
        <w:tc>
          <w:tcPr>
            <w:tcW w:w="1544" w:type="pct"/>
            <w:tcBorders>
              <w:top w:val="nil"/>
              <w:left w:val="nil"/>
              <w:bottom w:val="single" w:sz="4" w:space="0" w:color="000000"/>
              <w:right w:val="single" w:sz="4" w:space="0" w:color="000000"/>
            </w:tcBorders>
            <w:shd w:val="clear" w:color="000000" w:fill="FFFFFF"/>
            <w:noWrap/>
          </w:tcPr>
          <w:p w14:paraId="42C8A438" w14:textId="0DFEF88D"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应付利息</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2650E3B8" w14:textId="41237ED1"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 xml:space="preserve">　</w:t>
            </w:r>
            <w:r w:rsidRPr="00413649">
              <w:rPr>
                <w:rFonts w:hint="eastAsia"/>
              </w:rPr>
              <w:t xml:space="preserve"> </w:t>
            </w:r>
          </w:p>
        </w:tc>
      </w:tr>
      <w:tr w:rsidR="008C25BA" w:rsidRPr="006F33A4" w14:paraId="3BE062FB"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EE41132" w14:textId="6295C838"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应收股利</w:t>
            </w:r>
          </w:p>
        </w:tc>
        <w:tc>
          <w:tcPr>
            <w:tcW w:w="1024" w:type="pct"/>
            <w:tcBorders>
              <w:top w:val="nil"/>
              <w:left w:val="nil"/>
              <w:bottom w:val="single" w:sz="4" w:space="0" w:color="000000"/>
              <w:right w:val="single" w:sz="4" w:space="0" w:color="000000"/>
            </w:tcBorders>
            <w:shd w:val="clear" w:color="000000" w:fill="FFFFFF"/>
            <w:noWrap/>
          </w:tcPr>
          <w:p w14:paraId="2E745DF8" w14:textId="509A0435"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 xml:space="preserve">　</w:t>
            </w:r>
            <w:r w:rsidRPr="00413649">
              <w:rPr>
                <w:rFonts w:hint="eastAsia"/>
              </w:rPr>
              <w:t xml:space="preserve"> </w:t>
            </w:r>
          </w:p>
        </w:tc>
        <w:tc>
          <w:tcPr>
            <w:tcW w:w="1544" w:type="pct"/>
            <w:tcBorders>
              <w:top w:val="nil"/>
              <w:left w:val="nil"/>
              <w:bottom w:val="single" w:sz="4" w:space="0" w:color="000000"/>
              <w:right w:val="single" w:sz="4" w:space="0" w:color="000000"/>
            </w:tcBorders>
            <w:shd w:val="clear" w:color="000000" w:fill="FFFFFF"/>
            <w:noWrap/>
          </w:tcPr>
          <w:p w14:paraId="4145AC6A" w14:textId="017ECEF2"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应付利润</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28F436A0" w14:textId="3ECD74A3"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 xml:space="preserve">　</w:t>
            </w:r>
            <w:r w:rsidRPr="00413649">
              <w:rPr>
                <w:rFonts w:hint="eastAsia"/>
              </w:rPr>
              <w:t xml:space="preserve"> </w:t>
            </w:r>
          </w:p>
        </w:tc>
      </w:tr>
      <w:tr w:rsidR="008C25BA" w:rsidRPr="006F33A4" w14:paraId="3CD49563"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2A41FC45" w14:textId="0A4B876F"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应收申购款</w:t>
            </w:r>
          </w:p>
        </w:tc>
        <w:tc>
          <w:tcPr>
            <w:tcW w:w="1024" w:type="pct"/>
            <w:tcBorders>
              <w:top w:val="nil"/>
              <w:left w:val="nil"/>
              <w:bottom w:val="single" w:sz="4" w:space="0" w:color="000000"/>
              <w:right w:val="single" w:sz="4" w:space="0" w:color="000000"/>
            </w:tcBorders>
            <w:shd w:val="clear" w:color="000000" w:fill="FFFFFF"/>
            <w:noWrap/>
          </w:tcPr>
          <w:p w14:paraId="4077A8AD" w14:textId="60B9E686"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 xml:space="preserve"> 9.99 </w:t>
            </w:r>
          </w:p>
        </w:tc>
        <w:tc>
          <w:tcPr>
            <w:tcW w:w="1544" w:type="pct"/>
            <w:tcBorders>
              <w:top w:val="nil"/>
              <w:left w:val="nil"/>
              <w:bottom w:val="single" w:sz="4" w:space="0" w:color="000000"/>
              <w:right w:val="single" w:sz="4" w:space="0" w:color="000000"/>
            </w:tcBorders>
            <w:shd w:val="clear" w:color="000000" w:fill="FFFFFF"/>
            <w:noWrap/>
          </w:tcPr>
          <w:p w14:paraId="498EC4DF" w14:textId="24120D49"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其他负债</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0523788E" w14:textId="4E1C702B"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42,600.00</w:t>
            </w:r>
          </w:p>
        </w:tc>
      </w:tr>
      <w:tr w:rsidR="008C25BA" w:rsidRPr="006F33A4" w14:paraId="136CD4DE"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73BA7A" w14:textId="34714B12"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其他资产</w:t>
            </w:r>
          </w:p>
        </w:tc>
        <w:tc>
          <w:tcPr>
            <w:tcW w:w="1024" w:type="pct"/>
            <w:tcBorders>
              <w:top w:val="nil"/>
              <w:left w:val="nil"/>
              <w:bottom w:val="single" w:sz="4" w:space="0" w:color="000000"/>
              <w:right w:val="single" w:sz="4" w:space="0" w:color="000000"/>
            </w:tcBorders>
            <w:shd w:val="clear" w:color="000000" w:fill="FFFFFF"/>
            <w:noWrap/>
          </w:tcPr>
          <w:p w14:paraId="6CC5A70B" w14:textId="031BAE17" w:rsidR="008C25BA" w:rsidRPr="006F33A4" w:rsidRDefault="008C25BA" w:rsidP="008C25BA">
            <w:pPr>
              <w:widowControl/>
              <w:jc w:val="righ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 xml:space="preserve">　</w:t>
            </w:r>
            <w:r w:rsidRPr="00413649">
              <w:rPr>
                <w:rFonts w:hint="eastAsia"/>
              </w:rPr>
              <w:t xml:space="preserve"> </w:t>
            </w:r>
          </w:p>
        </w:tc>
        <w:tc>
          <w:tcPr>
            <w:tcW w:w="1544" w:type="pct"/>
            <w:tcBorders>
              <w:top w:val="nil"/>
              <w:left w:val="nil"/>
              <w:bottom w:val="single" w:sz="4" w:space="0" w:color="000000"/>
              <w:right w:val="single" w:sz="4" w:space="0" w:color="000000"/>
            </w:tcBorders>
            <w:shd w:val="clear" w:color="000000" w:fill="FFFFFF"/>
            <w:noWrap/>
          </w:tcPr>
          <w:p w14:paraId="75A65132" w14:textId="0649DC9C" w:rsidR="008C25BA" w:rsidRPr="006F33A4" w:rsidRDefault="008C25BA" w:rsidP="008C25BA">
            <w:pPr>
              <w:widowControl/>
              <w:jc w:val="left"/>
              <w:rPr>
                <w:rFonts w:asciiTheme="minorEastAsia" w:eastAsiaTheme="minorEastAsia" w:hAnsiTheme="minorEastAsia" w:cs="宋体"/>
                <w:b/>
                <w:bCs/>
                <w:color w:val="000000"/>
                <w:sz w:val="21"/>
                <w:szCs w:val="21"/>
              </w:rPr>
            </w:pPr>
            <w:r w:rsidRPr="00413649">
              <w:rPr>
                <w:rFonts w:hint="eastAsia"/>
              </w:rPr>
              <w:t xml:space="preserve"> </w:t>
            </w:r>
            <w:r w:rsidRPr="00413649">
              <w:rPr>
                <w:rFonts w:hint="eastAsia"/>
              </w:rPr>
              <w:t>负债合计</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0885E347" w14:textId="6F80CD1A" w:rsidR="008C25BA" w:rsidRPr="006F33A4" w:rsidRDefault="008C25BA" w:rsidP="008C25BA">
            <w:pPr>
              <w:widowControl/>
              <w:adjustRightInd/>
              <w:spacing w:line="240" w:lineRule="auto"/>
              <w:jc w:val="right"/>
              <w:textAlignment w:val="auto"/>
              <w:rPr>
                <w:rFonts w:asciiTheme="minorEastAsia" w:eastAsiaTheme="minorEastAsia" w:hAnsiTheme="minorEastAsia" w:cs="宋体"/>
                <w:color w:val="000000"/>
                <w:sz w:val="21"/>
                <w:szCs w:val="21"/>
              </w:rPr>
            </w:pPr>
            <w:r w:rsidRPr="00413649">
              <w:rPr>
                <w:rFonts w:hint="eastAsia"/>
              </w:rPr>
              <w:t>475,470.73</w:t>
            </w:r>
          </w:p>
        </w:tc>
      </w:tr>
      <w:tr w:rsidR="008C25BA" w:rsidRPr="006F33A4" w14:paraId="5B9E96A6"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12EF35B" w14:textId="71706263" w:rsidR="008C25BA" w:rsidRPr="006F33A4" w:rsidRDefault="008C25BA" w:rsidP="008C25BA">
            <w:pPr>
              <w:widowControl/>
              <w:jc w:val="left"/>
              <w:rPr>
                <w:rFonts w:asciiTheme="minorEastAsia" w:eastAsiaTheme="minorEastAsia" w:hAnsiTheme="minorEastAsia" w:cs="宋体"/>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113AD86E" w14:textId="7F7B550A" w:rsidR="008C25BA" w:rsidRPr="006F33A4" w:rsidRDefault="008C25BA" w:rsidP="008C25BA">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198DBCCB" w14:textId="05541F93" w:rsidR="008C25BA" w:rsidRPr="006F33A4" w:rsidRDefault="008C25BA" w:rsidP="008C25BA">
            <w:pPr>
              <w:widowControl/>
              <w:jc w:val="left"/>
              <w:rPr>
                <w:rFonts w:asciiTheme="minorEastAsia" w:eastAsiaTheme="minorEastAsia" w:hAnsiTheme="minorEastAsia" w:cs="宋体"/>
                <w:b/>
                <w:bCs/>
                <w:color w:val="000000"/>
                <w:sz w:val="21"/>
                <w:szCs w:val="21"/>
              </w:rPr>
            </w:pPr>
            <w:r w:rsidRPr="00413649">
              <w:rPr>
                <w:rFonts w:hint="eastAsia"/>
              </w:rPr>
              <w:t xml:space="preserve"> </w:t>
            </w:r>
            <w:r w:rsidRPr="00413649">
              <w:rPr>
                <w:rFonts w:hint="eastAsia"/>
              </w:rPr>
              <w:t>所有者权益：</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6D908080" w14:textId="2715812A" w:rsidR="008C25BA" w:rsidRPr="006F33A4" w:rsidRDefault="008C25BA" w:rsidP="008C25BA">
            <w:pPr>
              <w:jc w:val="right"/>
              <w:rPr>
                <w:rFonts w:asciiTheme="minorEastAsia" w:eastAsiaTheme="minorEastAsia" w:hAnsiTheme="minorEastAsia" w:cs="宋体"/>
                <w:color w:val="000000"/>
                <w:sz w:val="21"/>
                <w:szCs w:val="21"/>
              </w:rPr>
            </w:pPr>
          </w:p>
        </w:tc>
      </w:tr>
      <w:tr w:rsidR="008C25BA" w:rsidRPr="006F33A4" w14:paraId="4B7C9633"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6E064AB9" w14:textId="7F08E4CC" w:rsidR="008C25BA" w:rsidRPr="006F33A4" w:rsidRDefault="008C25BA" w:rsidP="008C25BA">
            <w:pPr>
              <w:widowControl/>
              <w:jc w:val="left"/>
              <w:rPr>
                <w:rFonts w:asciiTheme="minorEastAsia" w:eastAsiaTheme="minorEastAsia" w:hAnsiTheme="minorEastAsia" w:cs="宋体"/>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026D950B" w14:textId="133E5D53" w:rsidR="008C25BA" w:rsidRPr="006F33A4" w:rsidRDefault="008C25BA" w:rsidP="008C25BA">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40FB87F6" w14:textId="0A010AC9"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实收基金</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0C9BAE5B" w14:textId="680A74F5"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3,306,236.44</w:t>
            </w:r>
          </w:p>
        </w:tc>
      </w:tr>
      <w:tr w:rsidR="008C25BA" w:rsidRPr="006F33A4" w14:paraId="008462C6"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59B04C3" w14:textId="6CC48CB8" w:rsidR="008C25BA" w:rsidRPr="006F33A4" w:rsidRDefault="008C25BA" w:rsidP="008C25BA">
            <w:pPr>
              <w:widowControl/>
              <w:jc w:val="left"/>
              <w:rPr>
                <w:rFonts w:asciiTheme="minorEastAsia" w:eastAsiaTheme="minorEastAsia" w:hAnsiTheme="minorEastAsia" w:cs="宋体"/>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27126556" w14:textId="4B5761EF" w:rsidR="008C25BA" w:rsidRPr="006F33A4" w:rsidRDefault="008C25BA" w:rsidP="008C25BA">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07C66C70" w14:textId="4CA6A5C9" w:rsidR="008C25BA" w:rsidRPr="006F33A4" w:rsidRDefault="008C25BA" w:rsidP="008C25BA">
            <w:pPr>
              <w:widowControl/>
              <w:jc w:val="left"/>
              <w:rPr>
                <w:rFonts w:asciiTheme="minorEastAsia" w:eastAsiaTheme="minorEastAsia" w:hAnsiTheme="minorEastAsia" w:cs="宋体"/>
                <w:color w:val="000000"/>
                <w:sz w:val="21"/>
                <w:szCs w:val="21"/>
              </w:rPr>
            </w:pPr>
            <w:r w:rsidRPr="00413649">
              <w:rPr>
                <w:rFonts w:hint="eastAsia"/>
              </w:rPr>
              <w:t xml:space="preserve"> </w:t>
            </w:r>
            <w:r w:rsidRPr="00413649">
              <w:rPr>
                <w:rFonts w:hint="eastAsia"/>
              </w:rPr>
              <w:t>未分配利润</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623AB025" w14:textId="2CA42A33"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1,539,408.05</w:t>
            </w:r>
          </w:p>
        </w:tc>
      </w:tr>
      <w:tr w:rsidR="008C25BA" w:rsidRPr="006F33A4" w14:paraId="71F907E0" w14:textId="77777777" w:rsidTr="008C25BA">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1CDE58C" w14:textId="735CF37F" w:rsidR="008C25BA" w:rsidRPr="006F33A4" w:rsidRDefault="008C25BA" w:rsidP="008C25BA">
            <w:pPr>
              <w:widowControl/>
              <w:jc w:val="left"/>
              <w:rPr>
                <w:rFonts w:asciiTheme="minorEastAsia" w:eastAsiaTheme="minorEastAsia" w:hAnsiTheme="minorEastAsia" w:cs="宋体"/>
                <w:color w:val="000000"/>
                <w:sz w:val="21"/>
                <w:szCs w:val="21"/>
              </w:rPr>
            </w:pPr>
          </w:p>
        </w:tc>
        <w:tc>
          <w:tcPr>
            <w:tcW w:w="1024" w:type="pct"/>
            <w:tcBorders>
              <w:top w:val="nil"/>
              <w:left w:val="nil"/>
              <w:bottom w:val="single" w:sz="4" w:space="0" w:color="000000"/>
              <w:right w:val="single" w:sz="4" w:space="0" w:color="000000"/>
            </w:tcBorders>
            <w:shd w:val="clear" w:color="000000" w:fill="FFFFFF"/>
            <w:noWrap/>
          </w:tcPr>
          <w:p w14:paraId="02EC1EBB" w14:textId="4FF651A9" w:rsidR="008C25BA" w:rsidRPr="006F33A4" w:rsidRDefault="008C25BA" w:rsidP="008C25BA">
            <w:pPr>
              <w:widowControl/>
              <w:jc w:val="right"/>
              <w:rPr>
                <w:rFonts w:asciiTheme="minorEastAsia" w:eastAsiaTheme="minorEastAsia" w:hAnsiTheme="minorEastAsia" w:cs="宋体"/>
                <w:color w:val="000000"/>
                <w:sz w:val="21"/>
                <w:szCs w:val="21"/>
              </w:rPr>
            </w:pPr>
          </w:p>
        </w:tc>
        <w:tc>
          <w:tcPr>
            <w:tcW w:w="1544" w:type="pct"/>
            <w:tcBorders>
              <w:top w:val="nil"/>
              <w:left w:val="nil"/>
              <w:bottom w:val="single" w:sz="4" w:space="0" w:color="000000"/>
              <w:right w:val="single" w:sz="4" w:space="0" w:color="000000"/>
            </w:tcBorders>
            <w:shd w:val="clear" w:color="000000" w:fill="FFFFFF"/>
            <w:noWrap/>
          </w:tcPr>
          <w:p w14:paraId="3763961E" w14:textId="0E5653CB" w:rsidR="008C25BA" w:rsidRPr="006F33A4" w:rsidRDefault="008C25BA" w:rsidP="008C25BA">
            <w:pPr>
              <w:widowControl/>
              <w:jc w:val="left"/>
              <w:rPr>
                <w:rFonts w:asciiTheme="minorEastAsia" w:eastAsiaTheme="minorEastAsia" w:hAnsiTheme="minorEastAsia" w:cs="宋体"/>
                <w:b/>
                <w:bCs/>
                <w:color w:val="000000"/>
                <w:sz w:val="21"/>
                <w:szCs w:val="21"/>
              </w:rPr>
            </w:pPr>
            <w:r w:rsidRPr="00413649">
              <w:rPr>
                <w:rFonts w:hint="eastAsia"/>
              </w:rPr>
              <w:t xml:space="preserve"> </w:t>
            </w:r>
            <w:r w:rsidRPr="00413649">
              <w:rPr>
                <w:rFonts w:hint="eastAsia"/>
              </w:rPr>
              <w:t>所有者权益合计</w:t>
            </w:r>
            <w:r w:rsidRPr="00413649">
              <w:rPr>
                <w:rFonts w:hint="eastAsia"/>
              </w:rPr>
              <w:t xml:space="preserve"> </w:t>
            </w:r>
          </w:p>
        </w:tc>
        <w:tc>
          <w:tcPr>
            <w:tcW w:w="904" w:type="pct"/>
            <w:tcBorders>
              <w:top w:val="nil"/>
              <w:left w:val="nil"/>
              <w:bottom w:val="single" w:sz="4" w:space="0" w:color="000000"/>
              <w:right w:val="double" w:sz="4" w:space="0" w:color="auto"/>
            </w:tcBorders>
            <w:shd w:val="clear" w:color="000000" w:fill="FFFFFF"/>
            <w:noWrap/>
          </w:tcPr>
          <w:p w14:paraId="0282E0DC" w14:textId="4D58E87F" w:rsidR="008C25BA" w:rsidRPr="006F33A4" w:rsidRDefault="008C25BA" w:rsidP="008C25BA">
            <w:pPr>
              <w:jc w:val="right"/>
              <w:rPr>
                <w:rFonts w:asciiTheme="minorEastAsia" w:eastAsiaTheme="minorEastAsia" w:hAnsiTheme="minorEastAsia"/>
                <w:color w:val="000000"/>
                <w:sz w:val="21"/>
                <w:szCs w:val="21"/>
              </w:rPr>
            </w:pPr>
            <w:r w:rsidRPr="00413649">
              <w:rPr>
                <w:rFonts w:hint="eastAsia"/>
              </w:rPr>
              <w:t>4,845,644.49</w:t>
            </w:r>
          </w:p>
        </w:tc>
      </w:tr>
      <w:tr w:rsidR="008C25BA" w:rsidRPr="006F33A4" w14:paraId="02A599D9" w14:textId="77777777" w:rsidTr="008C25BA">
        <w:trPr>
          <w:trHeight w:val="300"/>
        </w:trPr>
        <w:tc>
          <w:tcPr>
            <w:tcW w:w="1528" w:type="pct"/>
            <w:tcBorders>
              <w:top w:val="nil"/>
              <w:left w:val="double" w:sz="6" w:space="0" w:color="000000"/>
              <w:bottom w:val="double" w:sz="6" w:space="0" w:color="000000"/>
              <w:right w:val="single" w:sz="4" w:space="0" w:color="000000"/>
            </w:tcBorders>
            <w:shd w:val="clear" w:color="000000" w:fill="FFFFFF"/>
            <w:noWrap/>
          </w:tcPr>
          <w:p w14:paraId="79AFFFCE" w14:textId="265D37D7" w:rsidR="008C25BA" w:rsidRPr="006F33A4" w:rsidRDefault="008C25BA" w:rsidP="008C25BA">
            <w:pPr>
              <w:widowControl/>
              <w:jc w:val="left"/>
              <w:rPr>
                <w:rFonts w:asciiTheme="minorEastAsia" w:eastAsiaTheme="minorEastAsia" w:hAnsiTheme="minorEastAsia" w:cs="宋体"/>
                <w:b/>
                <w:bCs/>
                <w:color w:val="000000"/>
                <w:sz w:val="21"/>
                <w:szCs w:val="21"/>
              </w:rPr>
            </w:pPr>
            <w:r w:rsidRPr="00413649">
              <w:rPr>
                <w:rFonts w:hint="eastAsia"/>
              </w:rPr>
              <w:t>资产合计</w:t>
            </w:r>
            <w:r w:rsidRPr="00413649">
              <w:rPr>
                <w:rFonts w:hint="eastAsia"/>
              </w:rPr>
              <w:t>:</w:t>
            </w:r>
          </w:p>
        </w:tc>
        <w:tc>
          <w:tcPr>
            <w:tcW w:w="1024" w:type="pct"/>
            <w:tcBorders>
              <w:top w:val="nil"/>
              <w:left w:val="nil"/>
              <w:bottom w:val="double" w:sz="6" w:space="0" w:color="000000"/>
              <w:right w:val="single" w:sz="4" w:space="0" w:color="000000"/>
            </w:tcBorders>
            <w:shd w:val="clear" w:color="000000" w:fill="FFFFFF"/>
            <w:noWrap/>
          </w:tcPr>
          <w:p w14:paraId="6FF57419" w14:textId="227A4D44"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 xml:space="preserve"> 5,321,115.22 </w:t>
            </w:r>
          </w:p>
        </w:tc>
        <w:tc>
          <w:tcPr>
            <w:tcW w:w="1544" w:type="pct"/>
            <w:tcBorders>
              <w:top w:val="nil"/>
              <w:left w:val="nil"/>
              <w:bottom w:val="double" w:sz="6" w:space="0" w:color="000000"/>
              <w:right w:val="single" w:sz="4" w:space="0" w:color="000000"/>
            </w:tcBorders>
            <w:shd w:val="clear" w:color="000000" w:fill="FFFFFF"/>
            <w:noWrap/>
          </w:tcPr>
          <w:p w14:paraId="3673E36F" w14:textId="27F980F0" w:rsidR="008C25BA" w:rsidRPr="006F33A4" w:rsidRDefault="008C25BA" w:rsidP="008C25BA">
            <w:pPr>
              <w:widowControl/>
              <w:jc w:val="left"/>
              <w:rPr>
                <w:rFonts w:asciiTheme="minorEastAsia" w:eastAsiaTheme="minorEastAsia" w:hAnsiTheme="minorEastAsia" w:cs="宋体"/>
                <w:b/>
                <w:bCs/>
                <w:color w:val="000000"/>
                <w:sz w:val="21"/>
                <w:szCs w:val="21"/>
              </w:rPr>
            </w:pPr>
            <w:r w:rsidRPr="00413649">
              <w:rPr>
                <w:rFonts w:hint="eastAsia"/>
              </w:rPr>
              <w:t xml:space="preserve"> </w:t>
            </w:r>
            <w:r w:rsidRPr="00413649">
              <w:rPr>
                <w:rFonts w:hint="eastAsia"/>
              </w:rPr>
              <w:t>负债与持有人权益总计：</w:t>
            </w:r>
            <w:r w:rsidRPr="00413649">
              <w:rPr>
                <w:rFonts w:hint="eastAsia"/>
              </w:rPr>
              <w:t xml:space="preserve"> </w:t>
            </w:r>
          </w:p>
        </w:tc>
        <w:tc>
          <w:tcPr>
            <w:tcW w:w="904" w:type="pct"/>
            <w:tcBorders>
              <w:top w:val="nil"/>
              <w:left w:val="nil"/>
              <w:bottom w:val="double" w:sz="6" w:space="0" w:color="000000"/>
              <w:right w:val="double" w:sz="4" w:space="0" w:color="auto"/>
            </w:tcBorders>
            <w:shd w:val="clear" w:color="000000" w:fill="FFFFFF"/>
            <w:noWrap/>
          </w:tcPr>
          <w:p w14:paraId="16E8F903" w14:textId="4D0DBB11" w:rsidR="008C25BA" w:rsidRPr="006F33A4" w:rsidRDefault="008C25BA" w:rsidP="008C25BA">
            <w:pPr>
              <w:jc w:val="right"/>
              <w:rPr>
                <w:rFonts w:asciiTheme="minorEastAsia" w:eastAsiaTheme="minorEastAsia" w:hAnsiTheme="minorEastAsia" w:cs="宋体"/>
                <w:color w:val="000000"/>
                <w:sz w:val="21"/>
                <w:szCs w:val="21"/>
              </w:rPr>
            </w:pPr>
            <w:r w:rsidRPr="00413649">
              <w:rPr>
                <w:rFonts w:hint="eastAsia"/>
              </w:rPr>
              <w:t>5,321,115.22</w:t>
            </w:r>
          </w:p>
        </w:tc>
      </w:tr>
    </w:tbl>
    <w:p w14:paraId="260BBE53" w14:textId="77777777" w:rsidR="00DC3906" w:rsidRPr="006F33A4" w:rsidRDefault="00DC3906" w:rsidP="00C43916">
      <w:pPr>
        <w:rPr>
          <w:rFonts w:ascii="宋体"/>
        </w:rPr>
      </w:pPr>
    </w:p>
    <w:p w14:paraId="2B913B3D" w14:textId="77777777" w:rsidR="00DC3906" w:rsidRPr="006F33A4" w:rsidRDefault="00DC3906" w:rsidP="00CA7C64">
      <w:pPr>
        <w:spacing w:afterLines="100" w:after="312"/>
        <w:rPr>
          <w:rStyle w:val="ab"/>
        </w:rPr>
      </w:pPr>
      <w:r w:rsidRPr="006F33A4">
        <w:rPr>
          <w:rStyle w:val="ab"/>
          <w:rFonts w:hint="eastAsia"/>
        </w:rPr>
        <w:t>四、清算报表附注</w:t>
      </w:r>
    </w:p>
    <w:p w14:paraId="2264AA0E" w14:textId="77777777" w:rsidR="00BD49DA" w:rsidRPr="00AD1582" w:rsidRDefault="00DC3906" w:rsidP="006425EB">
      <w:pPr>
        <w:rPr>
          <w:rFonts w:ascii="宋体" w:hAnsi="宋体"/>
          <w:b/>
        </w:rPr>
      </w:pPr>
      <w:r w:rsidRPr="00AD1582">
        <w:rPr>
          <w:rFonts w:ascii="宋体" w:hAnsi="宋体"/>
          <w:b/>
        </w:rPr>
        <w:t>1</w:t>
      </w:r>
      <w:r w:rsidRPr="00AD1582">
        <w:rPr>
          <w:rFonts w:ascii="宋体" w:hAnsi="宋体" w:hint="eastAsia"/>
          <w:b/>
        </w:rPr>
        <w:t>、基金基本情况</w:t>
      </w:r>
    </w:p>
    <w:p w14:paraId="0AB51BE1" w14:textId="5F1ACE2E" w:rsidR="00BD49DA" w:rsidRPr="00AD1582" w:rsidRDefault="00BD49DA" w:rsidP="00BD49DA">
      <w:pPr>
        <w:ind w:firstLine="420"/>
        <w:rPr>
          <w:lang w:eastAsia="zh-Hans"/>
        </w:rPr>
      </w:pPr>
      <w:r w:rsidRPr="00AD1582">
        <w:rPr>
          <w:rFonts w:hint="eastAsia"/>
          <w:lang w:eastAsia="zh-Hans"/>
        </w:rPr>
        <w:t>交银施罗德增强收益债券型证券投资基金是由原交银施罗德荣泰保本混合型证券投资基金</w:t>
      </w:r>
      <w:r w:rsidRPr="00AD1582">
        <w:rPr>
          <w:rFonts w:hint="eastAsia"/>
          <w:lang w:eastAsia="zh-Hans"/>
        </w:rPr>
        <w:t>(</w:t>
      </w:r>
      <w:r w:rsidRPr="00AD1582">
        <w:rPr>
          <w:rFonts w:hint="eastAsia"/>
          <w:lang w:eastAsia="zh-Hans"/>
        </w:rPr>
        <w:t>以下简称“交银施罗德荣泰保本基金”</w:t>
      </w:r>
      <w:r w:rsidRPr="00AD1582">
        <w:rPr>
          <w:rFonts w:hint="eastAsia"/>
          <w:lang w:eastAsia="zh-Hans"/>
        </w:rPr>
        <w:t>)</w:t>
      </w:r>
      <w:r w:rsidRPr="00AD1582">
        <w:rPr>
          <w:rFonts w:hint="eastAsia"/>
          <w:lang w:eastAsia="zh-Hans"/>
        </w:rPr>
        <w:t>转型而来。交银施罗德荣泰保本混合型证券投资基金经中国证券监督管理委员会</w:t>
      </w:r>
      <w:r w:rsidRPr="00AD1582">
        <w:rPr>
          <w:rFonts w:hint="eastAsia"/>
          <w:lang w:eastAsia="zh-Hans"/>
        </w:rPr>
        <w:t>(</w:t>
      </w:r>
      <w:r w:rsidRPr="00AD1582">
        <w:rPr>
          <w:rFonts w:hint="eastAsia"/>
          <w:lang w:eastAsia="zh-Hans"/>
        </w:rPr>
        <w:t>以下简称“中国证监会”</w:t>
      </w:r>
      <w:r w:rsidRPr="00AD1582">
        <w:rPr>
          <w:rFonts w:hint="eastAsia"/>
          <w:lang w:eastAsia="zh-Hans"/>
        </w:rPr>
        <w:t>)</w:t>
      </w:r>
      <w:r w:rsidRPr="00AD1582">
        <w:rPr>
          <w:rFonts w:hint="eastAsia"/>
          <w:lang w:eastAsia="zh-Hans"/>
        </w:rPr>
        <w:t>证监许可</w:t>
      </w:r>
      <w:r w:rsidRPr="00AD1582">
        <w:rPr>
          <w:rFonts w:hint="eastAsia"/>
          <w:lang w:eastAsia="zh-Hans"/>
        </w:rPr>
        <w:t>[2013]150</w:t>
      </w:r>
      <w:r w:rsidRPr="00AD1582">
        <w:rPr>
          <w:rFonts w:hint="eastAsia"/>
          <w:lang w:eastAsia="zh-Hans"/>
        </w:rPr>
        <w:t>号《关于核准交银施罗德荣泰保本混合型证券投资基金募集的批复》核准，由交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sidRPr="00AD1582">
        <w:rPr>
          <w:rFonts w:hint="eastAsia"/>
          <w:lang w:eastAsia="zh-Hans"/>
        </w:rPr>
        <w:t>271,771,686.22</w:t>
      </w:r>
      <w:r w:rsidRPr="00AD1582">
        <w:rPr>
          <w:rFonts w:hint="eastAsia"/>
          <w:lang w:eastAsia="zh-Hans"/>
        </w:rPr>
        <w:t>元，业经普华永道中天会计师事务所</w:t>
      </w:r>
      <w:r w:rsidRPr="00AD1582">
        <w:rPr>
          <w:rFonts w:hint="eastAsia"/>
          <w:lang w:eastAsia="zh-Hans"/>
        </w:rPr>
        <w:t>(</w:t>
      </w:r>
      <w:r w:rsidRPr="00AD1582">
        <w:rPr>
          <w:rFonts w:hint="eastAsia"/>
          <w:lang w:eastAsia="zh-Hans"/>
        </w:rPr>
        <w:t>特殊普通合伙</w:t>
      </w:r>
      <w:r w:rsidRPr="00AD1582">
        <w:rPr>
          <w:rFonts w:hint="eastAsia"/>
          <w:lang w:eastAsia="zh-Hans"/>
        </w:rPr>
        <w:t>)</w:t>
      </w:r>
      <w:r w:rsidRPr="00AD1582">
        <w:rPr>
          <w:rFonts w:hint="eastAsia"/>
          <w:lang w:eastAsia="zh-Hans"/>
        </w:rPr>
        <w:t>普华永道中天验字</w:t>
      </w:r>
      <w:r w:rsidRPr="00AD1582">
        <w:rPr>
          <w:rFonts w:hint="eastAsia"/>
          <w:lang w:eastAsia="zh-Hans"/>
        </w:rPr>
        <w:t>(2013)</w:t>
      </w:r>
      <w:r w:rsidRPr="00AD1582">
        <w:rPr>
          <w:rFonts w:hint="eastAsia"/>
          <w:lang w:eastAsia="zh-Hans"/>
        </w:rPr>
        <w:t>第</w:t>
      </w:r>
      <w:r w:rsidRPr="00AD1582">
        <w:rPr>
          <w:rFonts w:hint="eastAsia"/>
          <w:lang w:eastAsia="zh-Hans"/>
        </w:rPr>
        <w:t>838</w:t>
      </w:r>
      <w:r w:rsidRPr="00AD1582">
        <w:rPr>
          <w:rFonts w:hint="eastAsia"/>
          <w:lang w:eastAsia="zh-Hans"/>
        </w:rPr>
        <w:t>号验资报告予以验证。经向中国证监会备案，《交银施罗德荣泰保本混合型证券投资基金基金合同》于</w:t>
      </w:r>
      <w:r w:rsidRPr="00AD1582">
        <w:rPr>
          <w:rFonts w:hint="eastAsia"/>
          <w:lang w:eastAsia="zh-Hans"/>
        </w:rPr>
        <w:t>2013</w:t>
      </w:r>
      <w:r w:rsidRPr="00AD1582">
        <w:rPr>
          <w:rFonts w:hint="eastAsia"/>
          <w:lang w:eastAsia="zh-Hans"/>
        </w:rPr>
        <w:t>年</w:t>
      </w:r>
      <w:r w:rsidRPr="00AD1582">
        <w:rPr>
          <w:rFonts w:hint="eastAsia"/>
          <w:lang w:eastAsia="zh-Hans"/>
        </w:rPr>
        <w:t>12</w:t>
      </w:r>
      <w:r w:rsidRPr="00AD1582">
        <w:rPr>
          <w:rFonts w:hint="eastAsia"/>
          <w:lang w:eastAsia="zh-Hans"/>
        </w:rPr>
        <w:t>月</w:t>
      </w:r>
      <w:r w:rsidRPr="00AD1582">
        <w:rPr>
          <w:rFonts w:hint="eastAsia"/>
          <w:lang w:eastAsia="zh-Hans"/>
        </w:rPr>
        <w:t>25</w:t>
      </w:r>
      <w:r w:rsidRPr="00AD1582">
        <w:rPr>
          <w:rFonts w:hint="eastAsia"/>
          <w:lang w:eastAsia="zh-Hans"/>
        </w:rPr>
        <w:t>日正式生效，基金合同生效日的基金份额总额为</w:t>
      </w:r>
      <w:r w:rsidRPr="00AD1582">
        <w:rPr>
          <w:rFonts w:hint="eastAsia"/>
          <w:lang w:eastAsia="zh-Hans"/>
        </w:rPr>
        <w:t>271,898,528.26</w:t>
      </w:r>
      <w:r w:rsidRPr="00AD1582">
        <w:rPr>
          <w:rFonts w:hint="eastAsia"/>
          <w:lang w:eastAsia="zh-Hans"/>
        </w:rPr>
        <w:t>份基金份额，其中认购资金利息折合</w:t>
      </w:r>
      <w:r w:rsidRPr="00AD1582">
        <w:rPr>
          <w:rFonts w:hint="eastAsia"/>
          <w:lang w:eastAsia="zh-Hans"/>
        </w:rPr>
        <w:t>126,842.04</w:t>
      </w:r>
      <w:r w:rsidRPr="00AD1582">
        <w:rPr>
          <w:rFonts w:hint="eastAsia"/>
          <w:lang w:eastAsia="zh-Hans"/>
        </w:rPr>
        <w:t>份基金份额。</w:t>
      </w:r>
    </w:p>
    <w:p w14:paraId="60FB362B" w14:textId="77777777" w:rsidR="00BD49DA" w:rsidRPr="00AD1582" w:rsidRDefault="00BD49DA" w:rsidP="00BD49DA">
      <w:pPr>
        <w:ind w:firstLine="420"/>
        <w:rPr>
          <w:lang w:eastAsia="zh-Hans"/>
        </w:rPr>
      </w:pPr>
      <w:r w:rsidRPr="00AD1582">
        <w:rPr>
          <w:rFonts w:hint="eastAsia"/>
          <w:lang w:eastAsia="zh-Hans"/>
        </w:rPr>
        <w:t>根据原《交银施罗德荣泰保本混合型证券投资基金基金合同》的有关约定，交银施罗德荣泰保本基金的保本周期为三年。交银施罗德荣泰保本基金第一个保本周期自本基金转型生效日起至三个公历年后对应日止</w:t>
      </w:r>
      <w:r w:rsidRPr="00AD1582">
        <w:rPr>
          <w:rFonts w:hint="eastAsia"/>
          <w:lang w:eastAsia="zh-Hans"/>
        </w:rPr>
        <w:t>(</w:t>
      </w:r>
      <w:r w:rsidRPr="00AD1582">
        <w:rPr>
          <w:rFonts w:hint="eastAsia"/>
          <w:lang w:eastAsia="zh-Hans"/>
        </w:rPr>
        <w:t>如该对应日为非工作日，保本周期到期日顺延至下一个工作日</w:t>
      </w:r>
      <w:r w:rsidRPr="00AD1582">
        <w:rPr>
          <w:rFonts w:hint="eastAsia"/>
          <w:lang w:eastAsia="zh-Hans"/>
        </w:rPr>
        <w:t>)</w:t>
      </w:r>
      <w:r w:rsidRPr="00AD1582">
        <w:rPr>
          <w:rFonts w:hint="eastAsia"/>
          <w:lang w:eastAsia="zh-Hans"/>
        </w:rPr>
        <w:t>。交银施罗德荣泰保本基金保本周期届满时，在符合保本基金存续条件下，继续存续并转入下一保本周期。在不符合保本基金存续条件下，交银施罗德荣泰保本基金变更为非保本的债券型基金，基金名称相应变更为“交银施罗德增强收益债券型证券投资基金”。</w:t>
      </w:r>
    </w:p>
    <w:p w14:paraId="2059E8A3" w14:textId="77777777" w:rsidR="00BD49DA" w:rsidRPr="00AD1582" w:rsidRDefault="00BD49DA" w:rsidP="00BD49DA">
      <w:pPr>
        <w:ind w:firstLine="420"/>
        <w:rPr>
          <w:lang w:eastAsia="zh-Hans"/>
        </w:rPr>
      </w:pPr>
      <w:r w:rsidRPr="00AD1582">
        <w:rPr>
          <w:rFonts w:hint="eastAsia"/>
          <w:lang w:eastAsia="zh-Hans"/>
        </w:rPr>
        <w:t>根据《交银施罗德荣泰保本混合型证券投资基金保本到期安排及交银施罗德增强收益债券型证券投资基金转型后运作相关业务规则的公告》，交银施罗德荣泰保本基金因未能符合保本基金存续条件，自</w:t>
      </w:r>
      <w:r w:rsidRPr="00AD1582">
        <w:rPr>
          <w:rFonts w:hint="eastAsia"/>
          <w:lang w:eastAsia="zh-Hans"/>
        </w:rPr>
        <w:t>2016</w:t>
      </w:r>
      <w:r w:rsidRPr="00AD1582">
        <w:rPr>
          <w:rFonts w:hint="eastAsia"/>
          <w:lang w:eastAsia="zh-Hans"/>
        </w:rPr>
        <w:t>年</w:t>
      </w:r>
      <w:r w:rsidRPr="00AD1582">
        <w:rPr>
          <w:rFonts w:hint="eastAsia"/>
          <w:lang w:eastAsia="zh-Hans"/>
        </w:rPr>
        <w:t>12</w:t>
      </w:r>
      <w:r w:rsidRPr="00AD1582">
        <w:rPr>
          <w:rFonts w:hint="eastAsia"/>
          <w:lang w:eastAsia="zh-Hans"/>
        </w:rPr>
        <w:t>月</w:t>
      </w:r>
      <w:r w:rsidRPr="00AD1582">
        <w:rPr>
          <w:rFonts w:hint="eastAsia"/>
          <w:lang w:eastAsia="zh-Hans"/>
        </w:rPr>
        <w:t>30</w:t>
      </w:r>
      <w:r w:rsidRPr="00AD1582">
        <w:rPr>
          <w:rFonts w:hint="eastAsia"/>
          <w:lang w:eastAsia="zh-Hans"/>
        </w:rPr>
        <w:t>日起转型为交银施罗德增强收益债券型证券投资基金</w:t>
      </w:r>
      <w:r w:rsidRPr="00AD1582">
        <w:rPr>
          <w:rFonts w:hint="eastAsia"/>
          <w:lang w:eastAsia="zh-Hans"/>
        </w:rPr>
        <w:t>(</w:t>
      </w:r>
      <w:r w:rsidRPr="00AD1582">
        <w:rPr>
          <w:rFonts w:hint="eastAsia"/>
          <w:lang w:eastAsia="zh-Hans"/>
        </w:rPr>
        <w:t>以下简称“本基金”</w:t>
      </w:r>
      <w:r w:rsidRPr="00AD1582">
        <w:rPr>
          <w:rFonts w:hint="eastAsia"/>
          <w:lang w:eastAsia="zh-Hans"/>
        </w:rPr>
        <w:t>)</w:t>
      </w:r>
      <w:r w:rsidRPr="00AD1582">
        <w:rPr>
          <w:rFonts w:hint="eastAsia"/>
          <w:lang w:eastAsia="zh-Hans"/>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14:paraId="7D9A6FC5" w14:textId="7A3FFD85" w:rsidR="00DC3906" w:rsidRPr="00BD49DA" w:rsidRDefault="00BD49DA" w:rsidP="00A05099">
      <w:pPr>
        <w:ind w:firstLine="420"/>
        <w:rPr>
          <w:rFonts w:ascii="宋体"/>
          <w:b/>
        </w:rPr>
      </w:pPr>
      <w:r w:rsidRPr="00AD1582">
        <w:rPr>
          <w:rFonts w:hint="eastAsia"/>
          <w:lang w:eastAsia="zh-Hans"/>
        </w:rPr>
        <w:t>根据《中华人民共和国证券投资基金法》和《交银施罗德增强收益债券型证券投资基金基金合同》的有关规定，本基金的投资范围为具有良好流动性的金融工具，包括国内依法公开发行交易的债券、股票</w:t>
      </w:r>
      <w:r w:rsidRPr="00AD1582">
        <w:rPr>
          <w:rFonts w:hint="eastAsia"/>
          <w:lang w:eastAsia="zh-Hans"/>
        </w:rPr>
        <w:t>(</w:t>
      </w:r>
      <w:r w:rsidRPr="00AD1582">
        <w:rPr>
          <w:rFonts w:hint="eastAsia"/>
          <w:lang w:eastAsia="zh-Hans"/>
        </w:rPr>
        <w:t>包括中小板、创业板及其他经中国证监会核准上市的股票、存托凭证</w:t>
      </w:r>
      <w:r w:rsidRPr="00AD1582">
        <w:rPr>
          <w:rFonts w:hint="eastAsia"/>
          <w:lang w:eastAsia="zh-Hans"/>
        </w:rPr>
        <w:t>)</w:t>
      </w:r>
      <w:r w:rsidRPr="00AD1582">
        <w:rPr>
          <w:rFonts w:hint="eastAsia"/>
          <w:lang w:eastAsia="zh-Hans"/>
        </w:rPr>
        <w:t>、货币市场工具、权证以及法律法规或中国证监会允许基金投资的其他金融工具，但需符合中国证监会的相关规定。本基金的投资组合比例为：固定收益类资产占基金资产的比例不低于</w:t>
      </w:r>
      <w:r w:rsidRPr="00AD1582">
        <w:rPr>
          <w:rFonts w:hint="eastAsia"/>
          <w:lang w:eastAsia="zh-Hans"/>
        </w:rPr>
        <w:t>80%</w:t>
      </w:r>
      <w:r w:rsidRPr="00AD1582">
        <w:rPr>
          <w:rFonts w:hint="eastAsia"/>
          <w:lang w:eastAsia="zh-Hans"/>
        </w:rPr>
        <w:t>，固定收益类资产包括国债、金融债、央行票据、地方政府债、企业债券、公司债券、中期票据、短期融资券、可转换债券</w:t>
      </w:r>
      <w:r w:rsidRPr="00AD1582">
        <w:rPr>
          <w:rFonts w:hint="eastAsia"/>
          <w:lang w:eastAsia="zh-Hans"/>
        </w:rPr>
        <w:t>(</w:t>
      </w:r>
      <w:r w:rsidRPr="00AD1582">
        <w:rPr>
          <w:rFonts w:hint="eastAsia"/>
          <w:lang w:eastAsia="zh-Hans"/>
        </w:rPr>
        <w:t>含分离交易的可转换公司债券</w:t>
      </w:r>
      <w:r w:rsidRPr="00AD1582">
        <w:rPr>
          <w:rFonts w:hint="eastAsia"/>
          <w:lang w:eastAsia="zh-Hans"/>
        </w:rPr>
        <w:t>)</w:t>
      </w:r>
      <w:r w:rsidRPr="00AD1582">
        <w:rPr>
          <w:rFonts w:hint="eastAsia"/>
          <w:lang w:eastAsia="zh-Hans"/>
        </w:rPr>
        <w:t>、资产支持证券、次级债、债券回购等金融工具；</w:t>
      </w:r>
      <w:r w:rsidRPr="00AD1582">
        <w:rPr>
          <w:rFonts w:hint="eastAsia"/>
          <w:lang w:eastAsia="zh-Hans"/>
        </w:rPr>
        <w:lastRenderedPageBreak/>
        <w:t>股票、权证等权益类资产占基金资产的比例不高于</w:t>
      </w:r>
      <w:r w:rsidRPr="00AD1582">
        <w:rPr>
          <w:rFonts w:hint="eastAsia"/>
          <w:lang w:eastAsia="zh-Hans"/>
        </w:rPr>
        <w:t>20%</w:t>
      </w:r>
      <w:r w:rsidRPr="00AD1582">
        <w:rPr>
          <w:rFonts w:hint="eastAsia"/>
          <w:lang w:eastAsia="zh-Hans"/>
        </w:rPr>
        <w:t>；现金及到期日在一年以内的政府债券的投资比例合计不低于基金资产净值的</w:t>
      </w:r>
      <w:r w:rsidRPr="00AD1582">
        <w:rPr>
          <w:rFonts w:hint="eastAsia"/>
          <w:lang w:eastAsia="zh-Hans"/>
        </w:rPr>
        <w:t>5%</w:t>
      </w:r>
      <w:r w:rsidRPr="00AD1582">
        <w:rPr>
          <w:rFonts w:hint="eastAsia"/>
          <w:lang w:eastAsia="zh-Hans"/>
        </w:rPr>
        <w:t>，其中现金不包括结算备付金、存出保证金和应收申购款等，本基金持有的全部权证，其市值不得超过基金资产净值的</w:t>
      </w:r>
      <w:r w:rsidRPr="00AD1582">
        <w:rPr>
          <w:rFonts w:hint="eastAsia"/>
          <w:lang w:eastAsia="zh-Hans"/>
        </w:rPr>
        <w:t>3%</w:t>
      </w:r>
      <w:r w:rsidRPr="00AD1582">
        <w:rPr>
          <w:rFonts w:hint="eastAsia"/>
          <w:lang w:eastAsia="zh-Hans"/>
        </w:rPr>
        <w:t>。本基金的业绩比较基准为</w:t>
      </w:r>
      <w:r w:rsidRPr="00AD1582">
        <w:rPr>
          <w:rFonts w:hint="eastAsia"/>
          <w:lang w:eastAsia="zh-Hans"/>
        </w:rPr>
        <w:t>90%</w:t>
      </w:r>
      <w:r w:rsidRPr="00AD1582">
        <w:rPr>
          <w:rFonts w:hint="eastAsia"/>
          <w:lang w:eastAsia="zh-Hans"/>
        </w:rPr>
        <w:t>×中证综合债券指数收益率</w:t>
      </w:r>
      <w:r w:rsidRPr="00AD1582">
        <w:rPr>
          <w:rFonts w:hint="eastAsia"/>
          <w:lang w:eastAsia="zh-Hans"/>
        </w:rPr>
        <w:t>+10%</w:t>
      </w:r>
      <w:r w:rsidRPr="00AD1582">
        <w:rPr>
          <w:rFonts w:hint="eastAsia"/>
          <w:lang w:eastAsia="zh-Hans"/>
        </w:rPr>
        <w:t>×沪深</w:t>
      </w:r>
      <w:r w:rsidRPr="00AD1582">
        <w:rPr>
          <w:rFonts w:hint="eastAsia"/>
          <w:lang w:eastAsia="zh-Hans"/>
        </w:rPr>
        <w:t>300</w:t>
      </w:r>
      <w:r w:rsidRPr="00AD1582">
        <w:rPr>
          <w:rFonts w:hint="eastAsia"/>
          <w:lang w:eastAsia="zh-Hans"/>
        </w:rPr>
        <w:t>指数收益率。</w:t>
      </w:r>
    </w:p>
    <w:p w14:paraId="47D4463D" w14:textId="560ADA83" w:rsidR="009D75E5" w:rsidRDefault="009D75E5" w:rsidP="009D75E5">
      <w:pPr>
        <w:ind w:firstLine="420"/>
        <w:rPr>
          <w:lang w:eastAsia="zh-Hans"/>
        </w:rPr>
      </w:pPr>
      <w:r w:rsidRPr="009D75E5">
        <w:rPr>
          <w:rFonts w:hint="eastAsia"/>
          <w:lang w:eastAsia="zh-Hans"/>
        </w:rPr>
        <w:t>根据《交银施罗德增强收益债券型证券投资基金基金合同》及交银施罗德基金管理有限公司于</w:t>
      </w:r>
      <w:r w:rsidRPr="009D75E5">
        <w:rPr>
          <w:lang w:eastAsia="zh-Hans"/>
        </w:rPr>
        <w:t>20</w:t>
      </w:r>
      <w:r w:rsidRPr="009D75E5">
        <w:rPr>
          <w:rFonts w:hint="eastAsia"/>
          <w:lang w:eastAsia="zh-Hans"/>
        </w:rPr>
        <w:t>2</w:t>
      </w:r>
      <w:r>
        <w:rPr>
          <w:lang w:eastAsia="zh-Hans"/>
        </w:rPr>
        <w:t>1</w:t>
      </w:r>
      <w:r w:rsidRPr="009D75E5">
        <w:rPr>
          <w:rFonts w:hint="eastAsia"/>
          <w:lang w:eastAsia="zh-Hans"/>
        </w:rPr>
        <w:t>年</w:t>
      </w:r>
      <w:r w:rsidRPr="009D75E5">
        <w:rPr>
          <w:lang w:eastAsia="zh-Hans"/>
        </w:rPr>
        <w:t>1</w:t>
      </w:r>
      <w:r>
        <w:rPr>
          <w:lang w:eastAsia="zh-Hans"/>
        </w:rPr>
        <w:t>2</w:t>
      </w:r>
      <w:r w:rsidRPr="009D75E5">
        <w:rPr>
          <w:rFonts w:hint="eastAsia"/>
          <w:lang w:eastAsia="zh-Hans"/>
        </w:rPr>
        <w:t>月</w:t>
      </w:r>
      <w:r>
        <w:rPr>
          <w:lang w:eastAsia="zh-Hans"/>
        </w:rPr>
        <w:t>15</w:t>
      </w:r>
      <w:r w:rsidRPr="009D75E5">
        <w:rPr>
          <w:rFonts w:hint="eastAsia"/>
          <w:lang w:eastAsia="zh-Hans"/>
        </w:rPr>
        <w:t>日发布的《</w:t>
      </w:r>
      <w:r w:rsidR="00DF3CE9" w:rsidRPr="00DF3CE9">
        <w:rPr>
          <w:rFonts w:hint="eastAsia"/>
          <w:lang w:eastAsia="zh-Hans"/>
        </w:rPr>
        <w:t>交银施罗德基金管理有限公司关于交银施罗德增强收益债券型证券投资基金基金份额持有人大会表决结果暨决议生效的公告</w:t>
      </w:r>
      <w:r w:rsidRPr="009D75E5">
        <w:rPr>
          <w:rFonts w:hint="eastAsia"/>
          <w:lang w:eastAsia="zh-Hans"/>
        </w:rPr>
        <w:t>》，</w:t>
      </w:r>
      <w:r w:rsidRPr="009D75E5">
        <w:rPr>
          <w:lang w:eastAsia="zh-Hans"/>
        </w:rPr>
        <w:t>20</w:t>
      </w:r>
      <w:r w:rsidRPr="00D71231">
        <w:rPr>
          <w:lang w:eastAsia="zh-Hans"/>
        </w:rPr>
        <w:t>21</w:t>
      </w:r>
      <w:r w:rsidRPr="00D71231">
        <w:rPr>
          <w:rFonts w:hint="eastAsia"/>
          <w:lang w:eastAsia="zh-Hans"/>
        </w:rPr>
        <w:t>年</w:t>
      </w:r>
      <w:r w:rsidR="00D71231" w:rsidRPr="00D71231">
        <w:rPr>
          <w:lang w:eastAsia="zh-Hans"/>
        </w:rPr>
        <w:t>12</w:t>
      </w:r>
      <w:r w:rsidRPr="00D71231">
        <w:rPr>
          <w:rFonts w:hint="eastAsia"/>
          <w:lang w:eastAsia="zh-Hans"/>
        </w:rPr>
        <w:t>月</w:t>
      </w:r>
      <w:r w:rsidRPr="00D71231">
        <w:rPr>
          <w:lang w:eastAsia="zh-Hans"/>
        </w:rPr>
        <w:t>15</w:t>
      </w:r>
      <w:r w:rsidRPr="00D71231">
        <w:rPr>
          <w:rFonts w:hint="eastAsia"/>
          <w:lang w:eastAsia="zh-Hans"/>
        </w:rPr>
        <w:t>日未赎</w:t>
      </w:r>
      <w:r w:rsidRPr="009D75E5">
        <w:rPr>
          <w:rFonts w:hint="eastAsia"/>
          <w:lang w:eastAsia="zh-Hans"/>
        </w:rPr>
        <w:t>回的基金份额，于</w:t>
      </w:r>
      <w:r w:rsidRPr="009D75E5">
        <w:rPr>
          <w:lang w:eastAsia="zh-Hans"/>
        </w:rPr>
        <w:t>20</w:t>
      </w:r>
      <w:r w:rsidRPr="009D75E5">
        <w:rPr>
          <w:rFonts w:hint="eastAsia"/>
          <w:lang w:eastAsia="zh-Hans"/>
        </w:rPr>
        <w:t>2</w:t>
      </w:r>
      <w:r>
        <w:rPr>
          <w:lang w:eastAsia="zh-Hans"/>
        </w:rPr>
        <w:t>1</w:t>
      </w:r>
      <w:r w:rsidRPr="009D75E5">
        <w:rPr>
          <w:rFonts w:hint="eastAsia"/>
          <w:lang w:eastAsia="zh-Hans"/>
        </w:rPr>
        <w:t>年</w:t>
      </w:r>
      <w:r w:rsidRPr="009D75E5">
        <w:rPr>
          <w:lang w:eastAsia="zh-Hans"/>
        </w:rPr>
        <w:t>1</w:t>
      </w:r>
      <w:r>
        <w:rPr>
          <w:lang w:eastAsia="zh-Hans"/>
        </w:rPr>
        <w:t>2</w:t>
      </w:r>
      <w:r w:rsidRPr="009D75E5">
        <w:rPr>
          <w:rFonts w:hint="eastAsia"/>
          <w:lang w:eastAsia="zh-Hans"/>
        </w:rPr>
        <w:t>月</w:t>
      </w:r>
      <w:r>
        <w:rPr>
          <w:rFonts w:hint="eastAsia"/>
        </w:rPr>
        <w:t>1</w:t>
      </w:r>
      <w:r w:rsidRPr="009D75E5">
        <w:rPr>
          <w:lang w:eastAsia="zh-Hans"/>
        </w:rPr>
        <w:t>6</w:t>
      </w:r>
      <w:r w:rsidRPr="009D75E5">
        <w:rPr>
          <w:rFonts w:hint="eastAsia"/>
          <w:lang w:eastAsia="zh-Hans"/>
        </w:rPr>
        <w:t>日全部进入清算程序。</w:t>
      </w:r>
    </w:p>
    <w:p w14:paraId="50C7D63E" w14:textId="77777777" w:rsidR="00DC3906" w:rsidRPr="006F33A4" w:rsidRDefault="00DC3906" w:rsidP="00CA7C64">
      <w:pPr>
        <w:spacing w:beforeLines="50" w:before="156" w:afterLines="50" w:after="156"/>
        <w:rPr>
          <w:rFonts w:ascii="宋体"/>
          <w:b/>
        </w:rPr>
      </w:pPr>
      <w:r w:rsidRPr="006F33A4">
        <w:rPr>
          <w:rFonts w:ascii="宋体" w:hAnsi="宋体"/>
          <w:b/>
        </w:rPr>
        <w:t>2</w:t>
      </w:r>
      <w:r w:rsidRPr="006F33A4">
        <w:rPr>
          <w:rFonts w:ascii="宋体" w:hAnsi="宋体" w:hint="eastAsia"/>
          <w:b/>
        </w:rPr>
        <w:t>、清算原因</w:t>
      </w:r>
    </w:p>
    <w:p w14:paraId="1D72D9C0" w14:textId="0E1E6A0A" w:rsidR="00DC3906" w:rsidRPr="006F33A4" w:rsidRDefault="00D32548" w:rsidP="00D32548">
      <w:pPr>
        <w:ind w:firstLineChars="200" w:firstLine="400"/>
        <w:rPr>
          <w:rFonts w:ascii="宋体" w:hAnsi="宋体"/>
        </w:rPr>
      </w:pPr>
      <w:r>
        <w:rPr>
          <w:rFonts w:ascii="宋体" w:hAnsi="宋体" w:hint="eastAsia"/>
        </w:rPr>
        <w:t>根据</w:t>
      </w:r>
      <w:r>
        <w:rPr>
          <w:rFonts w:ascii="宋体" w:hAnsi="宋体"/>
        </w:rPr>
        <w:t>《</w:t>
      </w:r>
      <w:r w:rsidRPr="009A4C6F">
        <w:rPr>
          <w:rFonts w:ascii="宋体" w:hAnsi="宋体" w:hint="eastAsia"/>
        </w:rPr>
        <w:t>交银施罗德增强收益债券型证券投资基金</w:t>
      </w:r>
      <w:r w:rsidRPr="006F33A4">
        <w:rPr>
          <w:rFonts w:ascii="宋体" w:hAnsi="宋体" w:hint="eastAsia"/>
        </w:rPr>
        <w:t>基金合同</w:t>
      </w:r>
      <w:r>
        <w:rPr>
          <w:rFonts w:ascii="宋体" w:hAnsi="宋体"/>
        </w:rPr>
        <w:t>》</w:t>
      </w:r>
      <w:r w:rsidRPr="006F33A4">
        <w:rPr>
          <w:rFonts w:ascii="宋体" w:hAnsi="宋体" w:hint="eastAsia"/>
        </w:rPr>
        <w:t>（以下简称“《基金合同》”或“基金合同”）</w:t>
      </w:r>
      <w:r>
        <w:rPr>
          <w:rFonts w:ascii="宋体" w:hAnsi="宋体" w:hint="eastAsia"/>
        </w:rPr>
        <w:t>“第十九</w:t>
      </w:r>
      <w:r>
        <w:rPr>
          <w:rFonts w:ascii="宋体" w:hAnsi="宋体"/>
        </w:rPr>
        <w:t>部分</w:t>
      </w:r>
      <w:r>
        <w:rPr>
          <w:rFonts w:ascii="宋体" w:hAnsi="宋体" w:hint="eastAsia"/>
        </w:rPr>
        <w:t xml:space="preserve"> 基金</w:t>
      </w:r>
      <w:r>
        <w:rPr>
          <w:rFonts w:ascii="宋体" w:hAnsi="宋体"/>
        </w:rPr>
        <w:t>合同的变更、终止与基金财产的清算”</w:t>
      </w:r>
      <w:r>
        <w:rPr>
          <w:rFonts w:ascii="宋体" w:hAnsi="宋体" w:hint="eastAsia"/>
        </w:rPr>
        <w:t>中</w:t>
      </w:r>
      <w:r>
        <w:rPr>
          <w:rFonts w:ascii="宋体" w:hAnsi="宋体"/>
        </w:rPr>
        <w:t>，</w:t>
      </w:r>
      <w:r w:rsidRPr="006F33A4">
        <w:rPr>
          <w:rFonts w:ascii="宋体" w:hAnsi="宋体" w:hint="eastAsia"/>
        </w:rPr>
        <w:t>发生下列情形之一的，本基金</w:t>
      </w:r>
      <w:r>
        <w:rPr>
          <w:rFonts w:ascii="宋体" w:hAnsi="宋体" w:hint="eastAsia"/>
        </w:rPr>
        <w:t>应当</w:t>
      </w:r>
      <w:r w:rsidRPr="006F33A4">
        <w:rPr>
          <w:rFonts w:ascii="宋体" w:hAnsi="宋体" w:hint="eastAsia"/>
        </w:rPr>
        <w:t>终止</w:t>
      </w:r>
      <w:r>
        <w:rPr>
          <w:rFonts w:ascii="宋体" w:hAnsi="宋体" w:hint="eastAsia"/>
        </w:rPr>
        <w:t>：基金</w:t>
      </w:r>
      <w:r>
        <w:rPr>
          <w:rFonts w:ascii="宋体" w:hAnsi="宋体"/>
        </w:rPr>
        <w:t>份额持有人大会决定终止</w:t>
      </w:r>
      <w:r>
        <w:rPr>
          <w:rFonts w:ascii="宋体" w:hAnsi="宋体" w:hint="eastAsia"/>
        </w:rPr>
        <w:t>等</w:t>
      </w:r>
      <w:r>
        <w:rPr>
          <w:rFonts w:ascii="宋体" w:hAnsi="宋体"/>
        </w:rPr>
        <w:t>。</w:t>
      </w:r>
      <w:r w:rsidRPr="00D32548">
        <w:rPr>
          <w:rFonts w:ascii="宋体" w:hAnsi="宋体" w:hint="eastAsia"/>
        </w:rPr>
        <w:t>根据2021年12月15日《交银施罗德基金管理有限公司关于交银施罗德增强收益债券型证券投资基金基金份额持有人大会表决结果暨决议生效的公告》，基金份额持有人大会于2021年12月14日表决通过了《关于终止交银施罗德增强收益债券型证券投资基金基金合同有关事项的议案》，本次基金份额持有人大会决议自该日起生效。</w:t>
      </w:r>
    </w:p>
    <w:p w14:paraId="5A184A54" w14:textId="77777777" w:rsidR="00DC3906" w:rsidRPr="006F33A4" w:rsidRDefault="00DC3906" w:rsidP="00CA7C64">
      <w:pPr>
        <w:spacing w:beforeLines="50" w:before="156" w:afterLines="50" w:after="156"/>
        <w:rPr>
          <w:rFonts w:ascii="宋体"/>
          <w:b/>
        </w:rPr>
      </w:pPr>
      <w:r w:rsidRPr="006F33A4">
        <w:rPr>
          <w:rFonts w:ascii="宋体" w:hAnsi="宋体"/>
          <w:b/>
        </w:rPr>
        <w:t>3</w:t>
      </w:r>
      <w:r w:rsidRPr="006F33A4">
        <w:rPr>
          <w:rFonts w:ascii="宋体" w:hAnsi="宋体" w:hint="eastAsia"/>
          <w:b/>
        </w:rPr>
        <w:t>、清算起始日</w:t>
      </w:r>
    </w:p>
    <w:p w14:paraId="70E85F77" w14:textId="5F25C0B2" w:rsidR="00DC3906" w:rsidRPr="006F33A4" w:rsidRDefault="00DC3906" w:rsidP="00432DB3">
      <w:pPr>
        <w:ind w:firstLine="420"/>
        <w:rPr>
          <w:rFonts w:ascii="宋体"/>
        </w:rPr>
      </w:pPr>
      <w:r w:rsidRPr="006F33A4">
        <w:rPr>
          <w:rFonts w:ascii="宋体" w:hAnsi="宋体" w:hint="eastAsia"/>
        </w:rPr>
        <w:t>根据</w:t>
      </w:r>
      <w:r w:rsidR="00D47C78" w:rsidRPr="00D47C78">
        <w:rPr>
          <w:rFonts w:ascii="宋体" w:hAnsi="宋体" w:hint="eastAsia"/>
        </w:rPr>
        <w:t>《交银施罗德基金管理有限公司关于交银施罗德增强收益债券型证券投资基金基金份额持有人大会表决结果暨决议生效的公告》</w:t>
      </w:r>
      <w:r w:rsidRPr="006F33A4">
        <w:rPr>
          <w:rFonts w:ascii="宋体" w:hAnsi="宋体" w:hint="eastAsia"/>
        </w:rPr>
        <w:t>，</w:t>
      </w:r>
      <w:r w:rsidR="00D33914" w:rsidRPr="006F33A4">
        <w:rPr>
          <w:rFonts w:ascii="宋体" w:hAnsi="宋体" w:hint="eastAsia"/>
        </w:rPr>
        <w:t>自</w:t>
      </w:r>
      <w:r w:rsidR="00DF3837" w:rsidRPr="006F33A4">
        <w:rPr>
          <w:rFonts w:ascii="宋体" w:hAnsi="宋体" w:hint="eastAsia"/>
        </w:rPr>
        <w:t>20</w:t>
      </w:r>
      <w:r w:rsidR="00D47C78">
        <w:rPr>
          <w:rFonts w:ascii="宋体" w:hAnsi="宋体"/>
        </w:rPr>
        <w:t>21</w:t>
      </w:r>
      <w:r w:rsidR="00DF3837" w:rsidRPr="006F33A4">
        <w:rPr>
          <w:rFonts w:ascii="宋体" w:hAnsi="宋体" w:hint="eastAsia"/>
        </w:rPr>
        <w:t>年</w:t>
      </w:r>
      <w:r w:rsidR="00D47C78">
        <w:rPr>
          <w:rFonts w:ascii="宋体" w:hAnsi="宋体"/>
        </w:rPr>
        <w:t>12</w:t>
      </w:r>
      <w:r w:rsidR="00D33914" w:rsidRPr="006F33A4">
        <w:rPr>
          <w:rFonts w:ascii="宋体" w:hAnsi="宋体" w:hint="eastAsia"/>
        </w:rPr>
        <w:t>月</w:t>
      </w:r>
      <w:r w:rsidR="00D47C78">
        <w:rPr>
          <w:rFonts w:ascii="宋体" w:hAnsi="宋体"/>
        </w:rPr>
        <w:t>16</w:t>
      </w:r>
      <w:r w:rsidR="00D33914" w:rsidRPr="006F33A4">
        <w:rPr>
          <w:rFonts w:ascii="宋体" w:hAnsi="宋体" w:hint="eastAsia"/>
        </w:rPr>
        <w:t>日起，本基金进入清算程序。故本基金清算起始日为</w:t>
      </w:r>
      <w:r w:rsidR="00DF3837" w:rsidRPr="006F33A4">
        <w:rPr>
          <w:rFonts w:ascii="宋体" w:hAnsi="宋体" w:hint="eastAsia"/>
        </w:rPr>
        <w:t>20</w:t>
      </w:r>
      <w:r w:rsidR="00D47C78">
        <w:rPr>
          <w:rFonts w:ascii="宋体" w:hAnsi="宋体"/>
        </w:rPr>
        <w:t>21</w:t>
      </w:r>
      <w:r w:rsidR="00DF3837" w:rsidRPr="006F33A4">
        <w:rPr>
          <w:rFonts w:ascii="宋体" w:hAnsi="宋体" w:hint="eastAsia"/>
        </w:rPr>
        <w:t>年</w:t>
      </w:r>
      <w:r w:rsidR="00D47C78">
        <w:rPr>
          <w:rFonts w:ascii="宋体" w:hAnsi="宋体"/>
        </w:rPr>
        <w:t>12</w:t>
      </w:r>
      <w:r w:rsidR="00D33914" w:rsidRPr="006F33A4">
        <w:rPr>
          <w:rFonts w:ascii="宋体" w:hAnsi="宋体" w:hint="eastAsia"/>
        </w:rPr>
        <w:t>月</w:t>
      </w:r>
      <w:r w:rsidR="00D47C78">
        <w:rPr>
          <w:rFonts w:ascii="宋体" w:hAnsi="宋体" w:hint="eastAsia"/>
        </w:rPr>
        <w:t>1</w:t>
      </w:r>
      <w:r w:rsidR="00DF3837">
        <w:rPr>
          <w:rFonts w:ascii="宋体" w:hAnsi="宋体"/>
        </w:rPr>
        <w:t>6</w:t>
      </w:r>
      <w:r w:rsidR="00D33914" w:rsidRPr="006F33A4">
        <w:rPr>
          <w:rFonts w:ascii="宋体" w:hAnsi="宋体" w:hint="eastAsia"/>
        </w:rPr>
        <w:t>日。</w:t>
      </w:r>
    </w:p>
    <w:p w14:paraId="1DA3481A" w14:textId="77777777" w:rsidR="00DC3906" w:rsidRPr="006F33A4" w:rsidRDefault="00DC3906" w:rsidP="00CA7C64">
      <w:pPr>
        <w:spacing w:beforeLines="50" w:before="156" w:afterLines="50" w:after="156"/>
        <w:rPr>
          <w:rFonts w:ascii="宋体"/>
          <w:b/>
        </w:rPr>
      </w:pPr>
      <w:r w:rsidRPr="006F33A4">
        <w:rPr>
          <w:rFonts w:ascii="宋体" w:hAnsi="宋体"/>
          <w:b/>
        </w:rPr>
        <w:t>4</w:t>
      </w:r>
      <w:r w:rsidRPr="006F33A4">
        <w:rPr>
          <w:rFonts w:ascii="宋体" w:hAnsi="宋体" w:hint="eastAsia"/>
          <w:b/>
        </w:rPr>
        <w:t>、清算报表编制基础</w:t>
      </w:r>
    </w:p>
    <w:p w14:paraId="1C11C844" w14:textId="77777777" w:rsidR="00DC3906" w:rsidRPr="006F33A4" w:rsidRDefault="00DC3906" w:rsidP="000667F3">
      <w:pPr>
        <w:ind w:firstLine="408"/>
        <w:rPr>
          <w:rFonts w:ascii="宋体"/>
        </w:rPr>
      </w:pPr>
      <w:r w:rsidRPr="006F33A4">
        <w:rPr>
          <w:rFonts w:ascii="宋体" w:hAnsi="宋体" w:hint="eastAsia"/>
        </w:rPr>
        <w:t>本基金的清算报表是在非持续经营的前提下参考《企业会计准则》及《证券投资基金会计核算业务指引》的有关规定编制的。自本基金最后运作日起，资产负债按清算价格计价。由于报告性质所致，本清算报表并无比</w:t>
      </w:r>
      <w:proofErr w:type="gramStart"/>
      <w:r w:rsidRPr="006F33A4">
        <w:rPr>
          <w:rFonts w:ascii="宋体" w:hAnsi="宋体" w:hint="eastAsia"/>
        </w:rPr>
        <w:t>较期间</w:t>
      </w:r>
      <w:proofErr w:type="gramEnd"/>
      <w:r w:rsidRPr="006F33A4">
        <w:rPr>
          <w:rFonts w:ascii="宋体" w:hAnsi="宋体" w:hint="eastAsia"/>
        </w:rPr>
        <w:t>的相关数据列示。</w:t>
      </w:r>
    </w:p>
    <w:p w14:paraId="713CA2BB" w14:textId="77777777" w:rsidR="00DC3906" w:rsidRPr="006F33A4" w:rsidRDefault="00DC3906" w:rsidP="000667F3">
      <w:pPr>
        <w:rPr>
          <w:rFonts w:ascii="宋体"/>
        </w:rPr>
      </w:pPr>
    </w:p>
    <w:p w14:paraId="3E3BCB75" w14:textId="77777777" w:rsidR="00DC3906" w:rsidRPr="006F33A4" w:rsidRDefault="00DC3906" w:rsidP="00CA7C64">
      <w:pPr>
        <w:spacing w:afterLines="100" w:after="312"/>
        <w:rPr>
          <w:rFonts w:ascii="宋体"/>
        </w:rPr>
      </w:pPr>
      <w:r w:rsidRPr="006F33A4">
        <w:rPr>
          <w:rStyle w:val="ab"/>
          <w:rFonts w:hint="eastAsia"/>
        </w:rPr>
        <w:t>五、清算情况</w:t>
      </w:r>
    </w:p>
    <w:p w14:paraId="16F91429" w14:textId="0848D856" w:rsidR="00DC3906" w:rsidRPr="006F33A4" w:rsidRDefault="00DC3906" w:rsidP="000667F3">
      <w:pPr>
        <w:ind w:firstLine="408"/>
        <w:rPr>
          <w:rFonts w:ascii="宋体"/>
        </w:rPr>
      </w:pPr>
      <w:r w:rsidRPr="00647415">
        <w:rPr>
          <w:rFonts w:ascii="宋体" w:hAnsi="宋体" w:hint="eastAsia"/>
        </w:rPr>
        <w:t>自</w:t>
      </w:r>
      <w:r w:rsidR="00DF3837" w:rsidRPr="00647415">
        <w:rPr>
          <w:rFonts w:ascii="宋体" w:hAnsi="宋体"/>
        </w:rPr>
        <w:t>20</w:t>
      </w:r>
      <w:r w:rsidR="001E2E67" w:rsidRPr="00647415">
        <w:rPr>
          <w:rFonts w:ascii="宋体" w:hAnsi="宋体"/>
        </w:rPr>
        <w:t>21</w:t>
      </w:r>
      <w:r w:rsidR="00DF3837" w:rsidRPr="00647415">
        <w:rPr>
          <w:rFonts w:ascii="宋体" w:hAnsi="宋体" w:hint="eastAsia"/>
        </w:rPr>
        <w:t>年</w:t>
      </w:r>
      <w:r w:rsidR="001E2E67" w:rsidRPr="00647415">
        <w:rPr>
          <w:rFonts w:ascii="宋体" w:hAnsi="宋体"/>
        </w:rPr>
        <w:t>12</w:t>
      </w:r>
      <w:r w:rsidRPr="00647415">
        <w:rPr>
          <w:rFonts w:ascii="宋体" w:hAnsi="宋体" w:hint="eastAsia"/>
        </w:rPr>
        <w:t>月</w:t>
      </w:r>
      <w:r w:rsidR="001E2E67" w:rsidRPr="00647415">
        <w:rPr>
          <w:rFonts w:ascii="宋体" w:hAnsi="宋体" w:hint="eastAsia"/>
        </w:rPr>
        <w:t>1</w:t>
      </w:r>
      <w:r w:rsidR="00DF3837" w:rsidRPr="00647415">
        <w:rPr>
          <w:rFonts w:ascii="宋体" w:hAnsi="宋体"/>
        </w:rPr>
        <w:t>6</w:t>
      </w:r>
      <w:r w:rsidRPr="00647415">
        <w:rPr>
          <w:rFonts w:ascii="宋体" w:hAnsi="宋体" w:hint="eastAsia"/>
        </w:rPr>
        <w:t>日至</w:t>
      </w:r>
      <w:r w:rsidR="00DF3837" w:rsidRPr="00647415">
        <w:rPr>
          <w:rFonts w:ascii="宋体" w:hAnsi="宋体"/>
        </w:rPr>
        <w:t>202</w:t>
      </w:r>
      <w:r w:rsidR="001E2E67" w:rsidRPr="00647415">
        <w:rPr>
          <w:rFonts w:ascii="宋体" w:hAnsi="宋体"/>
        </w:rPr>
        <w:t>1</w:t>
      </w:r>
      <w:r w:rsidR="00DF3837" w:rsidRPr="00647415">
        <w:rPr>
          <w:rFonts w:ascii="宋体" w:hAnsi="宋体" w:hint="eastAsia"/>
        </w:rPr>
        <w:t>年</w:t>
      </w:r>
      <w:r w:rsidR="001E2E67" w:rsidRPr="00647415">
        <w:rPr>
          <w:rFonts w:ascii="宋体" w:hAnsi="宋体"/>
        </w:rPr>
        <w:t>12</w:t>
      </w:r>
      <w:r w:rsidR="001A48E6" w:rsidRPr="00647415">
        <w:rPr>
          <w:rFonts w:ascii="宋体" w:hAnsi="宋体" w:hint="eastAsia"/>
        </w:rPr>
        <w:t>月</w:t>
      </w:r>
      <w:r w:rsidR="00506498">
        <w:rPr>
          <w:rFonts w:ascii="宋体" w:hAnsi="宋体"/>
        </w:rPr>
        <w:t>31</w:t>
      </w:r>
      <w:r w:rsidR="001A48E6" w:rsidRPr="00647415">
        <w:rPr>
          <w:rFonts w:ascii="宋体" w:hAnsi="宋体" w:hint="eastAsia"/>
        </w:rPr>
        <w:t>日</w:t>
      </w:r>
      <w:proofErr w:type="gramStart"/>
      <w:r w:rsidR="001A48E6" w:rsidRPr="00647415">
        <w:rPr>
          <w:rFonts w:ascii="宋体" w:hAnsi="宋体" w:hint="eastAsia"/>
        </w:rPr>
        <w:t>止</w:t>
      </w:r>
      <w:proofErr w:type="gramEnd"/>
      <w:r w:rsidRPr="00647415">
        <w:rPr>
          <w:rFonts w:ascii="宋体" w:hAnsi="宋体" w:hint="eastAsia"/>
        </w:rPr>
        <w:t>清算期间，基金财产清</w:t>
      </w:r>
      <w:r w:rsidRPr="006F33A4">
        <w:rPr>
          <w:rFonts w:ascii="宋体" w:hAnsi="宋体" w:hint="eastAsia"/>
        </w:rPr>
        <w:t>算小组对本基金的资产、负债进行清算，全部清算工作按清算原则和清算手续进行。具体清算情况如下：</w:t>
      </w:r>
    </w:p>
    <w:p w14:paraId="6C871566" w14:textId="77777777" w:rsidR="00DC3906" w:rsidRPr="006F33A4" w:rsidRDefault="00DC3906" w:rsidP="00CA7C64">
      <w:pPr>
        <w:spacing w:beforeLines="50" w:before="156" w:afterLines="50" w:after="156"/>
        <w:rPr>
          <w:rFonts w:ascii="宋体"/>
          <w:b/>
        </w:rPr>
      </w:pPr>
      <w:r w:rsidRPr="006F33A4">
        <w:rPr>
          <w:rFonts w:ascii="宋体" w:hAnsi="宋体"/>
          <w:b/>
        </w:rPr>
        <w:t>1</w:t>
      </w:r>
      <w:r w:rsidRPr="006F33A4">
        <w:rPr>
          <w:rFonts w:ascii="宋体" w:hAnsi="宋体" w:hint="eastAsia"/>
          <w:b/>
        </w:rPr>
        <w:t>、清算费用</w:t>
      </w:r>
    </w:p>
    <w:p w14:paraId="154CE637" w14:textId="17C57ACD" w:rsidR="00DC3906" w:rsidRPr="006F33A4" w:rsidRDefault="00DC3906" w:rsidP="002458A7">
      <w:pPr>
        <w:ind w:firstLineChars="200" w:firstLine="400"/>
        <w:rPr>
          <w:rFonts w:ascii="宋体"/>
        </w:rPr>
      </w:pPr>
      <w:r w:rsidRPr="006F33A4">
        <w:rPr>
          <w:rFonts w:ascii="宋体" w:hAnsi="宋体" w:hint="eastAsia"/>
        </w:rPr>
        <w:t>按照《</w:t>
      </w:r>
      <w:r w:rsidR="00D104EA" w:rsidRPr="00D104EA">
        <w:rPr>
          <w:rFonts w:ascii="宋体" w:hAnsi="宋体" w:hint="eastAsia"/>
        </w:rPr>
        <w:t>交银施罗德增强收益债券型证券投资基金基金合同》（以下简称“《基金合同》”或“基金合同”）“第十九部分 基金合同的变更、终止与基金财产的清算”中</w:t>
      </w:r>
      <w:r w:rsidRPr="006F33A4">
        <w:rPr>
          <w:rFonts w:ascii="宋体" w:hAnsi="宋体" w:hint="eastAsia"/>
        </w:rPr>
        <w:t>，清算费用是指基金财产清算小组在进行基金清算过程中发生的所有合理费用，清算费用由基金财产清算小组优先从基金财产中支付。但从保护基金份额持有人利益的角度出发，本基金清算期间的律师费由基</w:t>
      </w:r>
      <w:r w:rsidRPr="006F33A4">
        <w:rPr>
          <w:rFonts w:ascii="宋体" w:hAnsi="宋体" w:hint="eastAsia"/>
        </w:rPr>
        <w:lastRenderedPageBreak/>
        <w:t>金管理人承担。</w:t>
      </w:r>
    </w:p>
    <w:p w14:paraId="42287EB5" w14:textId="77777777" w:rsidR="00DC3906" w:rsidRPr="006F33A4" w:rsidRDefault="00DC3906" w:rsidP="00CA7C64">
      <w:pPr>
        <w:spacing w:beforeLines="50" w:before="156" w:afterLines="50" w:after="156"/>
        <w:rPr>
          <w:rFonts w:ascii="宋体"/>
          <w:b/>
        </w:rPr>
      </w:pPr>
      <w:r w:rsidRPr="006F33A4">
        <w:rPr>
          <w:rFonts w:ascii="宋体" w:hAnsi="宋体"/>
          <w:b/>
        </w:rPr>
        <w:t>2</w:t>
      </w:r>
      <w:r w:rsidRPr="006F33A4">
        <w:rPr>
          <w:rFonts w:ascii="宋体" w:hAnsi="宋体" w:hint="eastAsia"/>
          <w:b/>
        </w:rPr>
        <w:t>、资产处置情况</w:t>
      </w:r>
    </w:p>
    <w:p w14:paraId="2691BE79" w14:textId="6B68128D" w:rsidR="00DC3906" w:rsidRPr="006F33A4" w:rsidRDefault="00DC3906" w:rsidP="00380EB5">
      <w:pPr>
        <w:ind w:firstLine="408"/>
        <w:rPr>
          <w:rFonts w:ascii="宋体"/>
        </w:rPr>
      </w:pPr>
      <w:r w:rsidRPr="006F33A4">
        <w:rPr>
          <w:rFonts w:ascii="宋体" w:hAnsi="宋体" w:hint="eastAsia"/>
        </w:rPr>
        <w:t>（</w:t>
      </w:r>
      <w:r w:rsidRPr="006F33A4">
        <w:rPr>
          <w:rFonts w:ascii="宋体" w:hAnsi="宋体"/>
        </w:rPr>
        <w:t>1</w:t>
      </w:r>
      <w:r w:rsidRPr="006F33A4">
        <w:rPr>
          <w:rFonts w:ascii="宋体" w:hAnsi="宋体" w:hint="eastAsia"/>
        </w:rPr>
        <w:t>）本基金最后运作日结算</w:t>
      </w:r>
      <w:r w:rsidR="007C05AF" w:rsidRPr="006F33A4">
        <w:rPr>
          <w:rFonts w:ascii="宋体" w:hAnsi="宋体" w:hint="eastAsia"/>
        </w:rPr>
        <w:t>备付金</w:t>
      </w:r>
      <w:r w:rsidR="0080674B" w:rsidRPr="006F33A4">
        <w:rPr>
          <w:rFonts w:ascii="宋体" w:hAnsi="宋体" w:hint="eastAsia"/>
        </w:rPr>
        <w:t>为</w:t>
      </w:r>
      <w:r w:rsidR="0080674B" w:rsidRPr="006F33A4">
        <w:rPr>
          <w:rFonts w:ascii="宋体" w:hAnsi="宋体"/>
        </w:rPr>
        <w:t>人民币</w:t>
      </w:r>
      <w:r w:rsidR="001F1CB8" w:rsidRPr="001F1CB8">
        <w:rPr>
          <w:rFonts w:ascii="宋体" w:hAnsi="宋体"/>
        </w:rPr>
        <w:t>27,635.04</w:t>
      </w:r>
      <w:r w:rsidR="0080674B" w:rsidRPr="001F1CB8">
        <w:rPr>
          <w:rFonts w:ascii="宋体" w:hAnsi="宋体" w:hint="eastAsia"/>
        </w:rPr>
        <w:t>元</w:t>
      </w:r>
      <w:r w:rsidR="007C05AF" w:rsidRPr="001F1CB8">
        <w:rPr>
          <w:rFonts w:ascii="宋体" w:hAnsi="宋体"/>
        </w:rPr>
        <w:t>、</w:t>
      </w:r>
      <w:r w:rsidR="007C05AF" w:rsidRPr="006F33A4">
        <w:rPr>
          <w:rFonts w:ascii="宋体" w:hAnsi="宋体"/>
        </w:rPr>
        <w:t>存出</w:t>
      </w:r>
      <w:r w:rsidRPr="006F33A4">
        <w:rPr>
          <w:rFonts w:ascii="宋体" w:hAnsi="宋体" w:hint="eastAsia"/>
        </w:rPr>
        <w:t>保证金为人民币</w:t>
      </w:r>
      <w:r w:rsidR="001F1CB8" w:rsidRPr="001F1CB8">
        <w:rPr>
          <w:rFonts w:ascii="宋体" w:hAnsi="宋体"/>
        </w:rPr>
        <w:t>1,109.28</w:t>
      </w:r>
      <w:r w:rsidRPr="001F1CB8">
        <w:rPr>
          <w:rFonts w:ascii="宋体" w:hAnsi="宋体" w:hint="eastAsia"/>
        </w:rPr>
        <w:t>元</w:t>
      </w:r>
      <w:r w:rsidR="00484900" w:rsidRPr="001F1CB8">
        <w:rPr>
          <w:rFonts w:ascii="宋体" w:hAnsi="宋体" w:hint="eastAsia"/>
        </w:rPr>
        <w:t>，</w:t>
      </w:r>
      <w:r w:rsidR="00690772" w:rsidRPr="006F33A4">
        <w:rPr>
          <w:rFonts w:ascii="宋体" w:hAnsi="宋体" w:hint="eastAsia"/>
        </w:rPr>
        <w:t>该款项将于</w:t>
      </w:r>
      <w:r w:rsidR="00DF3837" w:rsidRPr="006F33A4">
        <w:rPr>
          <w:rFonts w:ascii="宋体" w:hAnsi="宋体" w:hint="eastAsia"/>
        </w:rPr>
        <w:t>20</w:t>
      </w:r>
      <w:r w:rsidR="001F1CB8">
        <w:rPr>
          <w:rFonts w:ascii="宋体" w:hAnsi="宋体"/>
        </w:rPr>
        <w:t>2</w:t>
      </w:r>
      <w:r w:rsidR="00AF7F44">
        <w:rPr>
          <w:rFonts w:ascii="宋体" w:hAnsi="宋体"/>
        </w:rPr>
        <w:t>2</w:t>
      </w:r>
      <w:r w:rsidR="00DF3837" w:rsidRPr="006F33A4">
        <w:rPr>
          <w:rFonts w:ascii="宋体" w:hAnsi="宋体" w:hint="eastAsia"/>
        </w:rPr>
        <w:t>年</w:t>
      </w:r>
      <w:r w:rsidR="000F03F2">
        <w:rPr>
          <w:rFonts w:ascii="宋体" w:hAnsi="宋体"/>
        </w:rPr>
        <w:t>2</w:t>
      </w:r>
      <w:r w:rsidR="00690772" w:rsidRPr="006F33A4">
        <w:rPr>
          <w:rFonts w:ascii="宋体" w:hAnsi="宋体" w:hint="eastAsia"/>
        </w:rPr>
        <w:t>月</w:t>
      </w:r>
      <w:r w:rsidR="000F03F2">
        <w:rPr>
          <w:rFonts w:ascii="宋体" w:hAnsi="宋体"/>
        </w:rPr>
        <w:t>8</w:t>
      </w:r>
      <w:r w:rsidR="00690772" w:rsidRPr="006F33A4">
        <w:rPr>
          <w:rFonts w:ascii="宋体" w:hAnsi="宋体" w:hint="eastAsia"/>
        </w:rPr>
        <w:t>日划入托管账户</w:t>
      </w:r>
      <w:r w:rsidR="009D6E94" w:rsidRPr="006F33A4">
        <w:rPr>
          <w:rFonts w:ascii="宋体" w:hAnsi="宋体" w:hint="eastAsia"/>
        </w:rPr>
        <w:t>。</w:t>
      </w:r>
    </w:p>
    <w:p w14:paraId="4044DDD5" w14:textId="27F9D205" w:rsidR="00DC3906" w:rsidRPr="009674B2" w:rsidRDefault="00DC3906" w:rsidP="009674B2">
      <w:pPr>
        <w:ind w:firstLine="408"/>
        <w:rPr>
          <w:rFonts w:ascii="宋体"/>
        </w:rPr>
      </w:pPr>
      <w:r w:rsidRPr="006F33A4">
        <w:rPr>
          <w:rFonts w:ascii="宋体" w:hAnsi="宋体" w:hint="eastAsia"/>
        </w:rPr>
        <w:t>（</w:t>
      </w:r>
      <w:r w:rsidRPr="006F33A4">
        <w:rPr>
          <w:rFonts w:ascii="宋体" w:hAnsi="宋体"/>
        </w:rPr>
        <w:t>2</w:t>
      </w:r>
      <w:r w:rsidRPr="006F33A4">
        <w:rPr>
          <w:rFonts w:ascii="宋体" w:hAnsi="宋体" w:hint="eastAsia"/>
        </w:rPr>
        <w:t>）本基金最后运作日应收利息为人民币共计</w:t>
      </w:r>
      <w:r w:rsidR="008052B2" w:rsidRPr="008052B2">
        <w:rPr>
          <w:rFonts w:ascii="宋体" w:hAnsi="宋体"/>
        </w:rPr>
        <w:t>102,994.90</w:t>
      </w:r>
      <w:r w:rsidRPr="006F33A4">
        <w:rPr>
          <w:rFonts w:ascii="宋体" w:hAnsi="宋体" w:hint="eastAsia"/>
        </w:rPr>
        <w:t>元</w:t>
      </w:r>
      <w:r w:rsidR="009674B2">
        <w:rPr>
          <w:rFonts w:ascii="宋体" w:hAnsi="宋体" w:hint="eastAsia"/>
        </w:rPr>
        <w:t>，</w:t>
      </w:r>
      <w:r w:rsidR="00422E31">
        <w:rPr>
          <w:rFonts w:ascii="宋体" w:hAnsi="宋体" w:hint="eastAsia"/>
        </w:rPr>
        <w:t>其中应收债券利息</w:t>
      </w:r>
      <w:r w:rsidR="004A7DFA">
        <w:rPr>
          <w:rFonts w:ascii="宋体" w:hAnsi="宋体" w:hint="eastAsia"/>
        </w:rPr>
        <w:t>已</w:t>
      </w:r>
      <w:r w:rsidR="00E303FB">
        <w:rPr>
          <w:rFonts w:ascii="宋体" w:hAnsi="宋体" w:hint="eastAsia"/>
        </w:rPr>
        <w:t>于</w:t>
      </w:r>
      <w:r w:rsidR="00A23736">
        <w:rPr>
          <w:rFonts w:ascii="宋体" w:hAnsi="宋体" w:hint="eastAsia"/>
        </w:rPr>
        <w:t>债券</w:t>
      </w:r>
      <w:r w:rsidR="00422E31">
        <w:rPr>
          <w:rFonts w:ascii="宋体" w:hAnsi="宋体" w:hint="eastAsia"/>
        </w:rPr>
        <w:t>变现后</w:t>
      </w:r>
      <w:r w:rsidR="009F31D1">
        <w:rPr>
          <w:rFonts w:ascii="宋体" w:hAnsi="宋体" w:hint="eastAsia"/>
        </w:rPr>
        <w:t>到账</w:t>
      </w:r>
      <w:r w:rsidR="00422E31">
        <w:rPr>
          <w:rFonts w:ascii="宋体" w:hAnsi="宋体" w:hint="eastAsia"/>
        </w:rPr>
        <w:t>，其余应收利息</w:t>
      </w:r>
      <w:r w:rsidR="009674B2" w:rsidRPr="006F33A4">
        <w:rPr>
          <w:rFonts w:ascii="宋体" w:hAnsi="宋体" w:hint="eastAsia"/>
        </w:rPr>
        <w:t>款项将于20</w:t>
      </w:r>
      <w:r w:rsidR="009674B2">
        <w:rPr>
          <w:rFonts w:ascii="宋体" w:hAnsi="宋体"/>
        </w:rPr>
        <w:t>22</w:t>
      </w:r>
      <w:r w:rsidR="009674B2" w:rsidRPr="006F33A4">
        <w:rPr>
          <w:rFonts w:ascii="宋体" w:hAnsi="宋体" w:hint="eastAsia"/>
        </w:rPr>
        <w:t>年</w:t>
      </w:r>
      <w:r w:rsidR="009674B2">
        <w:rPr>
          <w:rFonts w:ascii="宋体" w:hAnsi="宋体"/>
        </w:rPr>
        <w:t>3</w:t>
      </w:r>
      <w:r w:rsidR="009674B2" w:rsidRPr="006F33A4">
        <w:rPr>
          <w:rFonts w:ascii="宋体" w:hAnsi="宋体" w:hint="eastAsia"/>
        </w:rPr>
        <w:t>月</w:t>
      </w:r>
      <w:r w:rsidR="009674B2">
        <w:rPr>
          <w:rFonts w:ascii="宋体" w:hAnsi="宋体"/>
        </w:rPr>
        <w:t>21</w:t>
      </w:r>
      <w:r w:rsidR="009674B2" w:rsidRPr="006F33A4">
        <w:rPr>
          <w:rFonts w:ascii="宋体" w:hAnsi="宋体" w:hint="eastAsia"/>
        </w:rPr>
        <w:t>日划入托管账户。</w:t>
      </w:r>
    </w:p>
    <w:p w14:paraId="3A655C28" w14:textId="119F7CB4" w:rsidR="00B90415" w:rsidRPr="006F33A4" w:rsidRDefault="00B90415" w:rsidP="00B90415">
      <w:pPr>
        <w:ind w:firstLine="408"/>
        <w:rPr>
          <w:rFonts w:ascii="宋体"/>
        </w:rPr>
      </w:pPr>
      <w:r w:rsidRPr="006F33A4">
        <w:rPr>
          <w:rFonts w:ascii="宋体" w:hAnsi="宋体" w:hint="eastAsia"/>
        </w:rPr>
        <w:t>（</w:t>
      </w:r>
      <w:r w:rsidRPr="006F33A4">
        <w:rPr>
          <w:rFonts w:ascii="宋体" w:hAnsi="宋体"/>
        </w:rPr>
        <w:t>3</w:t>
      </w:r>
      <w:r w:rsidRPr="006F33A4">
        <w:rPr>
          <w:rFonts w:ascii="宋体" w:hAnsi="宋体" w:hint="eastAsia"/>
        </w:rPr>
        <w:t>）本基金最后运作日</w:t>
      </w:r>
      <w:r w:rsidR="00B70922">
        <w:rPr>
          <w:rFonts w:ascii="宋体" w:hAnsi="宋体" w:hint="eastAsia"/>
        </w:rPr>
        <w:t>交易性金融资产（债券投资）</w:t>
      </w:r>
      <w:r w:rsidRPr="006F33A4">
        <w:rPr>
          <w:rFonts w:ascii="宋体" w:hAnsi="宋体" w:hint="eastAsia"/>
        </w:rPr>
        <w:t>为人民币</w:t>
      </w:r>
      <w:r w:rsidR="00B70922" w:rsidRPr="00B70922">
        <w:rPr>
          <w:rFonts w:ascii="宋体" w:hAnsi="宋体"/>
        </w:rPr>
        <w:t>4,431,845.40</w:t>
      </w:r>
      <w:r w:rsidRPr="006F33A4">
        <w:rPr>
          <w:rFonts w:ascii="宋体" w:hAnsi="宋体" w:hint="eastAsia"/>
        </w:rPr>
        <w:t>元</w:t>
      </w:r>
      <w:r>
        <w:rPr>
          <w:rFonts w:ascii="宋体" w:hAnsi="宋体" w:hint="eastAsia"/>
        </w:rPr>
        <w:t>，</w:t>
      </w:r>
      <w:r w:rsidR="004A7DFA">
        <w:rPr>
          <w:rFonts w:ascii="宋体" w:hAnsi="宋体" w:hint="eastAsia"/>
        </w:rPr>
        <w:t>已</w:t>
      </w:r>
      <w:r w:rsidR="0005297F" w:rsidRPr="0005297F">
        <w:rPr>
          <w:rFonts w:ascii="宋体" w:hAnsi="宋体" w:hint="eastAsia"/>
        </w:rPr>
        <w:t>于债券变现后</w:t>
      </w:r>
      <w:r w:rsidRPr="006F33A4">
        <w:rPr>
          <w:rFonts w:ascii="宋体" w:hAnsi="宋体" w:hint="eastAsia"/>
        </w:rPr>
        <w:t>划入托管账户。</w:t>
      </w:r>
    </w:p>
    <w:p w14:paraId="203BB6F5" w14:textId="668B95E8" w:rsidR="006E04CB" w:rsidRDefault="00B90415" w:rsidP="006E04CB">
      <w:pPr>
        <w:rPr>
          <w:rFonts w:ascii="宋体" w:hAnsi="宋体"/>
        </w:rPr>
      </w:pPr>
      <w:r>
        <w:rPr>
          <w:rFonts w:ascii="宋体" w:hAnsi="宋体" w:hint="eastAsia"/>
        </w:rPr>
        <w:t xml:space="preserve">  </w:t>
      </w:r>
      <w:r>
        <w:rPr>
          <w:rFonts w:ascii="宋体" w:hAnsi="宋体"/>
        </w:rPr>
        <w:t xml:space="preserve">  </w:t>
      </w:r>
      <w:r w:rsidR="00DC3906" w:rsidRPr="006F33A4">
        <w:rPr>
          <w:rFonts w:ascii="宋体" w:hAnsi="宋体" w:hint="eastAsia"/>
        </w:rPr>
        <w:t>（</w:t>
      </w:r>
      <w:r w:rsidR="006E04CB">
        <w:rPr>
          <w:rFonts w:ascii="宋体" w:hAnsi="宋体"/>
        </w:rPr>
        <w:t>4</w:t>
      </w:r>
      <w:r w:rsidR="00DC3906" w:rsidRPr="006F33A4">
        <w:rPr>
          <w:rFonts w:ascii="宋体" w:hAnsi="宋体" w:hint="eastAsia"/>
        </w:rPr>
        <w:t>）</w:t>
      </w:r>
      <w:r w:rsidR="00B93EA2" w:rsidRPr="00B93EA2">
        <w:rPr>
          <w:rFonts w:ascii="宋体" w:hAnsi="宋体" w:hint="eastAsia"/>
        </w:rPr>
        <w:t>本基金最后运作日应收申购款为人民币9.99元，该款项</w:t>
      </w:r>
      <w:r w:rsidR="004A7DFA">
        <w:rPr>
          <w:rFonts w:ascii="宋体" w:hAnsi="宋体" w:hint="eastAsia"/>
        </w:rPr>
        <w:t>已</w:t>
      </w:r>
      <w:r w:rsidR="007E0EB7">
        <w:rPr>
          <w:rFonts w:ascii="宋体" w:hAnsi="宋体" w:hint="eastAsia"/>
        </w:rPr>
        <w:t>于</w:t>
      </w:r>
      <w:r w:rsidR="00B93EA2" w:rsidRPr="00B93EA2">
        <w:rPr>
          <w:rFonts w:ascii="宋体" w:hAnsi="宋体" w:hint="eastAsia"/>
        </w:rPr>
        <w:t>20</w:t>
      </w:r>
      <w:r w:rsidR="00B93EA2">
        <w:rPr>
          <w:rFonts w:ascii="宋体" w:hAnsi="宋体"/>
        </w:rPr>
        <w:t>21</w:t>
      </w:r>
      <w:r w:rsidR="00B93EA2" w:rsidRPr="00B93EA2">
        <w:rPr>
          <w:rFonts w:ascii="宋体" w:hAnsi="宋体" w:hint="eastAsia"/>
        </w:rPr>
        <w:t>年12月16日划入托管账户。</w:t>
      </w:r>
    </w:p>
    <w:p w14:paraId="4D840687" w14:textId="1B7986F9" w:rsidR="00DC3906" w:rsidRPr="006F33A4" w:rsidRDefault="00DC3906" w:rsidP="006E04CB">
      <w:pPr>
        <w:rPr>
          <w:rFonts w:ascii="宋体"/>
          <w:b/>
        </w:rPr>
      </w:pPr>
      <w:r w:rsidRPr="006F33A4">
        <w:rPr>
          <w:rFonts w:ascii="宋体" w:hAnsi="宋体"/>
          <w:b/>
        </w:rPr>
        <w:t>3</w:t>
      </w:r>
      <w:r w:rsidRPr="006F33A4">
        <w:rPr>
          <w:rFonts w:ascii="宋体" w:hAnsi="宋体" w:hint="eastAsia"/>
          <w:b/>
        </w:rPr>
        <w:t>、负债清偿情况</w:t>
      </w:r>
    </w:p>
    <w:p w14:paraId="5CFB4341" w14:textId="52580D40" w:rsidR="00D33914" w:rsidRPr="00672A80" w:rsidRDefault="00646E6E" w:rsidP="00391171">
      <w:pPr>
        <w:ind w:firstLine="408"/>
        <w:rPr>
          <w:rFonts w:ascii="宋体" w:hAnsi="宋体"/>
        </w:rPr>
      </w:pPr>
      <w:r w:rsidRPr="00672A80">
        <w:rPr>
          <w:rFonts w:ascii="宋体" w:hAnsi="宋体" w:hint="eastAsia"/>
        </w:rPr>
        <w:t>（1）</w:t>
      </w:r>
      <w:r w:rsidR="00D33914" w:rsidRPr="00672A80">
        <w:rPr>
          <w:rFonts w:ascii="宋体" w:hAnsi="宋体" w:hint="eastAsia"/>
        </w:rPr>
        <w:t>本基金最后运作日应付</w:t>
      </w:r>
      <w:proofErr w:type="gramStart"/>
      <w:r w:rsidR="00D33914" w:rsidRPr="00672A80">
        <w:rPr>
          <w:rFonts w:ascii="宋体" w:hAnsi="宋体" w:hint="eastAsia"/>
        </w:rPr>
        <w:t>赎回款</w:t>
      </w:r>
      <w:proofErr w:type="gramEnd"/>
      <w:r w:rsidR="00D33914" w:rsidRPr="00672A80">
        <w:rPr>
          <w:rFonts w:ascii="宋体" w:hAnsi="宋体" w:hint="eastAsia"/>
        </w:rPr>
        <w:t>为人民币</w:t>
      </w:r>
      <w:r w:rsidR="00BD081A" w:rsidRPr="00672A80">
        <w:rPr>
          <w:rFonts w:ascii="宋体" w:hAnsi="宋体"/>
        </w:rPr>
        <w:t>429,357.95</w:t>
      </w:r>
      <w:r w:rsidR="00D33914" w:rsidRPr="00672A80">
        <w:rPr>
          <w:rFonts w:ascii="宋体" w:hAnsi="宋体" w:hint="eastAsia"/>
        </w:rPr>
        <w:t>元，</w:t>
      </w:r>
      <w:r w:rsidR="00EC4953" w:rsidRPr="00672A80">
        <w:rPr>
          <w:rFonts w:ascii="宋体" w:hAnsi="宋体" w:hint="eastAsia"/>
        </w:rPr>
        <w:t>该款项已于</w:t>
      </w:r>
      <w:r w:rsidR="00654E86" w:rsidRPr="00672A80">
        <w:rPr>
          <w:rFonts w:ascii="宋体" w:hAnsi="宋体" w:hint="eastAsia"/>
        </w:rPr>
        <w:t>2021年12月16</w:t>
      </w:r>
      <w:r w:rsidR="00E16031" w:rsidRPr="00672A80">
        <w:rPr>
          <w:rFonts w:ascii="宋体" w:hAnsi="宋体" w:hint="eastAsia"/>
        </w:rPr>
        <w:t>日</w:t>
      </w:r>
      <w:r w:rsidR="00E16031" w:rsidRPr="00672A80">
        <w:rPr>
          <w:rFonts w:ascii="宋体" w:hAnsi="宋体"/>
        </w:rPr>
        <w:t>支付完毕。</w:t>
      </w:r>
    </w:p>
    <w:p w14:paraId="68ED2863" w14:textId="6F3DFF09" w:rsidR="00672A80" w:rsidRDefault="00DC3906" w:rsidP="00391171">
      <w:pPr>
        <w:ind w:firstLine="408"/>
        <w:rPr>
          <w:rFonts w:ascii="宋体" w:hAnsi="宋体"/>
        </w:rPr>
      </w:pPr>
      <w:r w:rsidRPr="00672A80">
        <w:rPr>
          <w:rFonts w:ascii="宋体" w:hAnsi="宋体" w:hint="eastAsia"/>
        </w:rPr>
        <w:t>（</w:t>
      </w:r>
      <w:r w:rsidR="00D33914" w:rsidRPr="00672A80">
        <w:rPr>
          <w:rFonts w:ascii="宋体" w:hAnsi="宋体"/>
        </w:rPr>
        <w:t>2</w:t>
      </w:r>
      <w:r w:rsidRPr="00672A80">
        <w:rPr>
          <w:rFonts w:ascii="宋体" w:hAnsi="宋体" w:hint="eastAsia"/>
        </w:rPr>
        <w:t>）本基金最后运作日应付管理人报酬为人民币</w:t>
      </w:r>
      <w:r w:rsidR="00E41AC2" w:rsidRPr="00672A80">
        <w:rPr>
          <w:rFonts w:ascii="宋体" w:hAnsi="宋体"/>
        </w:rPr>
        <w:t>1,596.45</w:t>
      </w:r>
      <w:r w:rsidRPr="00672A80">
        <w:rPr>
          <w:rFonts w:ascii="宋体" w:hAnsi="宋体" w:hint="eastAsia"/>
        </w:rPr>
        <w:t>元</w:t>
      </w:r>
      <w:r w:rsidR="00354A64" w:rsidRPr="00672A80">
        <w:rPr>
          <w:rFonts w:ascii="宋体" w:hAnsi="宋体" w:hint="eastAsia"/>
        </w:rPr>
        <w:t>，</w:t>
      </w:r>
      <w:r w:rsidR="00672A80" w:rsidRPr="00672A80">
        <w:rPr>
          <w:rFonts w:ascii="宋体" w:hAnsi="宋体" w:hint="eastAsia"/>
        </w:rPr>
        <w:t>该款项已于2021年12月</w:t>
      </w:r>
      <w:r w:rsidR="00672A80">
        <w:rPr>
          <w:rFonts w:ascii="宋体" w:hAnsi="宋体"/>
        </w:rPr>
        <w:t>30</w:t>
      </w:r>
      <w:r w:rsidR="00672A80" w:rsidRPr="00672A80">
        <w:rPr>
          <w:rFonts w:ascii="宋体" w:hAnsi="宋体" w:hint="eastAsia"/>
        </w:rPr>
        <w:t>日支付完毕。</w:t>
      </w:r>
    </w:p>
    <w:p w14:paraId="7D94A8CE" w14:textId="01410EB6" w:rsidR="00672A80" w:rsidRDefault="00646E6E" w:rsidP="00C14181">
      <w:pPr>
        <w:ind w:firstLine="408"/>
        <w:rPr>
          <w:rFonts w:ascii="宋体"/>
        </w:rPr>
      </w:pPr>
      <w:r w:rsidRPr="00672A80">
        <w:rPr>
          <w:rFonts w:ascii="宋体" w:hint="eastAsia"/>
        </w:rPr>
        <w:t>（</w:t>
      </w:r>
      <w:r w:rsidRPr="00672A80">
        <w:rPr>
          <w:rFonts w:ascii="宋体"/>
        </w:rPr>
        <w:t>3</w:t>
      </w:r>
      <w:r w:rsidRPr="00672A80">
        <w:rPr>
          <w:rFonts w:ascii="宋体" w:hint="eastAsia"/>
        </w:rPr>
        <w:t>）本基金最后运作日应付托管费为人民币456.13元，</w:t>
      </w:r>
      <w:r w:rsidR="00672A80" w:rsidRPr="00672A80">
        <w:rPr>
          <w:rFonts w:ascii="宋体" w:hint="eastAsia"/>
        </w:rPr>
        <w:t>该款项已于2021年12月30日支付完毕。</w:t>
      </w:r>
    </w:p>
    <w:p w14:paraId="601ED8DA" w14:textId="77777777" w:rsidR="006558DE" w:rsidRPr="00206E6C" w:rsidRDefault="00DC3906" w:rsidP="006558DE">
      <w:pPr>
        <w:ind w:firstLine="408"/>
        <w:rPr>
          <w:rFonts w:ascii="宋体" w:hAnsi="宋体"/>
        </w:rPr>
      </w:pPr>
      <w:r w:rsidRPr="006558DE">
        <w:rPr>
          <w:rFonts w:ascii="宋体" w:hAnsi="宋体" w:hint="eastAsia"/>
        </w:rPr>
        <w:t>（</w:t>
      </w:r>
      <w:r w:rsidR="00DF7CFB" w:rsidRPr="006558DE">
        <w:rPr>
          <w:rFonts w:ascii="宋体" w:hAnsi="宋体"/>
        </w:rPr>
        <w:t>4</w:t>
      </w:r>
      <w:r w:rsidRPr="006558DE">
        <w:rPr>
          <w:rFonts w:ascii="宋体" w:hAnsi="宋体" w:hint="eastAsia"/>
        </w:rPr>
        <w:t>）</w:t>
      </w:r>
      <w:r w:rsidR="00D33914" w:rsidRPr="006558DE">
        <w:rPr>
          <w:rFonts w:ascii="宋体" w:hAnsi="宋体" w:hint="eastAsia"/>
        </w:rPr>
        <w:t>本基金最后运作日应付交易费用为人民币</w:t>
      </w:r>
      <w:r w:rsidR="00DF7CFB" w:rsidRPr="006558DE">
        <w:rPr>
          <w:rFonts w:ascii="宋体" w:hAnsi="宋体"/>
        </w:rPr>
        <w:t>1,460.20</w:t>
      </w:r>
      <w:r w:rsidR="00D33914" w:rsidRPr="006558DE">
        <w:rPr>
          <w:rFonts w:ascii="宋体" w:hAnsi="宋体" w:hint="eastAsia"/>
        </w:rPr>
        <w:t>元</w:t>
      </w:r>
      <w:r w:rsidR="00354A64" w:rsidRPr="006558DE">
        <w:rPr>
          <w:rFonts w:ascii="宋体" w:hAnsi="宋体" w:hint="eastAsia"/>
        </w:rPr>
        <w:t>，</w:t>
      </w:r>
      <w:r w:rsidR="006558DE" w:rsidRPr="006558DE">
        <w:rPr>
          <w:rFonts w:ascii="宋体" w:hAnsi="宋体" w:hint="eastAsia"/>
        </w:rPr>
        <w:t>该款项已于2021年12月30</w:t>
      </w:r>
      <w:r w:rsidR="006558DE" w:rsidRPr="00206E6C">
        <w:rPr>
          <w:rFonts w:ascii="宋体" w:hAnsi="宋体" w:hint="eastAsia"/>
        </w:rPr>
        <w:t>日支付完毕。</w:t>
      </w:r>
    </w:p>
    <w:p w14:paraId="04B769D1" w14:textId="583764B2" w:rsidR="00771048" w:rsidRDefault="00DC3906" w:rsidP="00771048">
      <w:pPr>
        <w:ind w:firstLine="408"/>
        <w:rPr>
          <w:rFonts w:ascii="宋体" w:hAnsi="宋体"/>
        </w:rPr>
      </w:pPr>
      <w:r w:rsidRPr="00206E6C">
        <w:rPr>
          <w:rFonts w:ascii="宋体" w:hAnsi="宋体" w:hint="eastAsia"/>
        </w:rPr>
        <w:t>（</w:t>
      </w:r>
      <w:r w:rsidR="0010581F" w:rsidRPr="00206E6C">
        <w:rPr>
          <w:rFonts w:ascii="宋体" w:hAnsi="宋体"/>
        </w:rPr>
        <w:t>5</w:t>
      </w:r>
      <w:r w:rsidRPr="00206E6C">
        <w:rPr>
          <w:rFonts w:ascii="宋体" w:hAnsi="宋体" w:hint="eastAsia"/>
        </w:rPr>
        <w:t>）</w:t>
      </w:r>
      <w:r w:rsidR="00D33914" w:rsidRPr="00206E6C">
        <w:rPr>
          <w:rFonts w:ascii="宋体" w:hAnsi="宋体" w:hint="eastAsia"/>
        </w:rPr>
        <w:t>本基金最后运作</w:t>
      </w:r>
      <w:proofErr w:type="gramStart"/>
      <w:r w:rsidR="00D33914" w:rsidRPr="00206E6C">
        <w:rPr>
          <w:rFonts w:ascii="宋体" w:hAnsi="宋体" w:hint="eastAsia"/>
        </w:rPr>
        <w:t>日其他</w:t>
      </w:r>
      <w:proofErr w:type="gramEnd"/>
      <w:r w:rsidR="00D33914" w:rsidRPr="00206E6C">
        <w:rPr>
          <w:rFonts w:ascii="宋体" w:hAnsi="宋体" w:hint="eastAsia"/>
        </w:rPr>
        <w:t>负债为人民币</w:t>
      </w:r>
      <w:r w:rsidR="002E5ECA" w:rsidRPr="00206E6C">
        <w:rPr>
          <w:rFonts w:ascii="宋体" w:hAnsi="宋体"/>
        </w:rPr>
        <w:t>42,600.00</w:t>
      </w:r>
      <w:r w:rsidR="00D33914" w:rsidRPr="00206E6C">
        <w:rPr>
          <w:rFonts w:ascii="宋体" w:hAnsi="宋体" w:hint="eastAsia"/>
        </w:rPr>
        <w:t>元</w:t>
      </w:r>
      <w:r w:rsidR="00354A64" w:rsidRPr="00206E6C">
        <w:rPr>
          <w:rFonts w:ascii="宋体" w:hAnsi="宋体" w:hint="eastAsia"/>
        </w:rPr>
        <w:t>，</w:t>
      </w:r>
      <w:r w:rsidR="00771048" w:rsidRPr="00206E6C">
        <w:rPr>
          <w:rFonts w:ascii="宋体" w:hAnsi="宋体" w:hint="eastAsia"/>
        </w:rPr>
        <w:t>该款项将于2021年12月31日之后支付。</w:t>
      </w:r>
    </w:p>
    <w:p w14:paraId="2585F117" w14:textId="0F929053" w:rsidR="00DC3906" w:rsidRPr="006F33A4" w:rsidRDefault="001F22F5" w:rsidP="00771048">
      <w:pPr>
        <w:rPr>
          <w:rFonts w:ascii="宋体"/>
          <w:b/>
        </w:rPr>
      </w:pPr>
      <w:r w:rsidRPr="006F33A4">
        <w:rPr>
          <w:rFonts w:ascii="宋体" w:hAnsi="宋体" w:hint="eastAsia"/>
          <w:b/>
        </w:rPr>
        <w:t>4</w:t>
      </w:r>
      <w:r w:rsidR="00DC3906" w:rsidRPr="006F33A4">
        <w:rPr>
          <w:rFonts w:ascii="宋体" w:hAnsi="宋体" w:hint="eastAsia"/>
          <w:b/>
        </w:rPr>
        <w:t>、清算期间的损益情况</w:t>
      </w:r>
    </w:p>
    <w:p w14:paraId="1E7EC890" w14:textId="4A578829" w:rsidR="00DC3906" w:rsidRPr="006F33A4" w:rsidRDefault="00DC3906" w:rsidP="000308F8">
      <w:pPr>
        <w:jc w:val="center"/>
        <w:rPr>
          <w:rFonts w:ascii="宋体" w:hAnsi="宋体"/>
        </w:rPr>
      </w:pPr>
      <w:r w:rsidRPr="006F33A4">
        <w:rPr>
          <w:rFonts w:ascii="宋体" w:hAnsi="宋体" w:hint="eastAsia"/>
        </w:rPr>
        <w:t>自</w:t>
      </w:r>
      <w:r w:rsidR="003B0022" w:rsidRPr="006F33A4">
        <w:rPr>
          <w:rFonts w:ascii="宋体" w:hAnsi="宋体"/>
        </w:rPr>
        <w:t>20</w:t>
      </w:r>
      <w:r w:rsidR="008A01F9">
        <w:rPr>
          <w:rFonts w:ascii="宋体" w:hAnsi="宋体"/>
        </w:rPr>
        <w:t>21</w:t>
      </w:r>
      <w:r w:rsidR="003B0022" w:rsidRPr="006F33A4">
        <w:rPr>
          <w:rFonts w:ascii="宋体" w:hAnsi="宋体" w:hint="eastAsia"/>
        </w:rPr>
        <w:t>年</w:t>
      </w:r>
      <w:r w:rsidR="003B0022">
        <w:rPr>
          <w:rFonts w:ascii="宋体" w:hAnsi="宋体"/>
        </w:rPr>
        <w:t>1</w:t>
      </w:r>
      <w:r w:rsidR="008A01F9">
        <w:rPr>
          <w:rFonts w:ascii="宋体" w:hAnsi="宋体"/>
        </w:rPr>
        <w:t>2</w:t>
      </w:r>
      <w:r w:rsidRPr="006F33A4">
        <w:rPr>
          <w:rFonts w:ascii="宋体" w:hAnsi="宋体" w:hint="eastAsia"/>
        </w:rPr>
        <w:t>月</w:t>
      </w:r>
      <w:r w:rsidR="008A01F9">
        <w:rPr>
          <w:rFonts w:ascii="宋体" w:hAnsi="宋体" w:hint="eastAsia"/>
        </w:rPr>
        <w:t>1</w:t>
      </w:r>
      <w:r w:rsidR="003B0022">
        <w:rPr>
          <w:rFonts w:ascii="宋体" w:hAnsi="宋体"/>
        </w:rPr>
        <w:t>6</w:t>
      </w:r>
      <w:r w:rsidRPr="006F33A4">
        <w:rPr>
          <w:rFonts w:ascii="宋体" w:hAnsi="宋体" w:hint="eastAsia"/>
        </w:rPr>
        <w:t>日至</w:t>
      </w:r>
      <w:r w:rsidR="003B0022" w:rsidRPr="006F33A4">
        <w:rPr>
          <w:rFonts w:ascii="宋体" w:hAnsi="宋体"/>
        </w:rPr>
        <w:t>20</w:t>
      </w:r>
      <w:r w:rsidR="002E2192">
        <w:rPr>
          <w:rFonts w:ascii="宋体" w:hAnsi="宋体"/>
        </w:rPr>
        <w:t>21</w:t>
      </w:r>
      <w:r w:rsidR="003B0022" w:rsidRPr="006F33A4">
        <w:rPr>
          <w:rFonts w:ascii="宋体" w:hAnsi="宋体" w:hint="eastAsia"/>
        </w:rPr>
        <w:t>年</w:t>
      </w:r>
      <w:r w:rsidR="002E2192">
        <w:rPr>
          <w:rFonts w:ascii="宋体" w:hAnsi="宋体"/>
        </w:rPr>
        <w:t>12</w:t>
      </w:r>
      <w:r w:rsidRPr="006F33A4">
        <w:rPr>
          <w:rFonts w:ascii="宋体" w:hAnsi="宋体" w:hint="eastAsia"/>
        </w:rPr>
        <w:t>月</w:t>
      </w:r>
      <w:r w:rsidR="00B70BC2">
        <w:rPr>
          <w:rFonts w:ascii="宋体" w:hAnsi="宋体"/>
        </w:rPr>
        <w:t>31</w:t>
      </w:r>
      <w:r w:rsidRPr="006F33A4">
        <w:rPr>
          <w:rFonts w:ascii="宋体" w:hAnsi="宋体" w:hint="eastAsia"/>
        </w:rPr>
        <w:t>日</w:t>
      </w:r>
      <w:proofErr w:type="gramStart"/>
      <w:r w:rsidRPr="006F33A4">
        <w:rPr>
          <w:rFonts w:ascii="宋体" w:hAnsi="宋体" w:hint="eastAsia"/>
        </w:rPr>
        <w:t>止</w:t>
      </w:r>
      <w:proofErr w:type="gramEnd"/>
      <w:r w:rsidRPr="006F33A4">
        <w:rPr>
          <w:rFonts w:ascii="宋体" w:hAnsi="宋体" w:hint="eastAsia"/>
        </w:rPr>
        <w:t>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0"/>
        <w:gridCol w:w="4146"/>
      </w:tblGrid>
      <w:tr w:rsidR="004932B6" w:rsidRPr="006F33A4" w14:paraId="085EFC91" w14:textId="77777777" w:rsidTr="004932B6">
        <w:tc>
          <w:tcPr>
            <w:tcW w:w="4150" w:type="dxa"/>
            <w:tcBorders>
              <w:top w:val="single" w:sz="4" w:space="0" w:color="auto"/>
              <w:left w:val="single" w:sz="4" w:space="0" w:color="auto"/>
              <w:bottom w:val="single" w:sz="4" w:space="0" w:color="auto"/>
              <w:right w:val="single" w:sz="4" w:space="0" w:color="auto"/>
            </w:tcBorders>
          </w:tcPr>
          <w:p w14:paraId="00E1018D" w14:textId="77777777" w:rsidR="004932B6" w:rsidRPr="006F33A4" w:rsidRDefault="004932B6" w:rsidP="00B43672">
            <w:pPr>
              <w:rPr>
                <w:rFonts w:ascii="宋体" w:hAnsi="宋体"/>
              </w:rPr>
            </w:pPr>
            <w:r w:rsidRPr="006F33A4">
              <w:rPr>
                <w:rFonts w:ascii="宋体" w:hAnsi="宋体" w:hint="eastAsia"/>
              </w:rPr>
              <w:t>项目</w:t>
            </w:r>
          </w:p>
        </w:tc>
        <w:tc>
          <w:tcPr>
            <w:tcW w:w="4146" w:type="dxa"/>
            <w:tcBorders>
              <w:top w:val="single" w:sz="4" w:space="0" w:color="auto"/>
              <w:left w:val="single" w:sz="4" w:space="0" w:color="auto"/>
              <w:bottom w:val="single" w:sz="4" w:space="0" w:color="auto"/>
              <w:right w:val="single" w:sz="4" w:space="0" w:color="auto"/>
            </w:tcBorders>
          </w:tcPr>
          <w:p w14:paraId="53052B67" w14:textId="77777777" w:rsidR="004932B6" w:rsidRPr="006F33A4" w:rsidRDefault="004932B6" w:rsidP="00B43672">
            <w:pPr>
              <w:rPr>
                <w:rFonts w:ascii="宋体" w:hAnsi="宋体"/>
              </w:rPr>
            </w:pPr>
            <w:r w:rsidRPr="006F33A4">
              <w:rPr>
                <w:rFonts w:ascii="宋体" w:hAnsi="宋体" w:hint="eastAsia"/>
              </w:rPr>
              <w:t>金额（单位：人民币元）</w:t>
            </w:r>
          </w:p>
        </w:tc>
      </w:tr>
      <w:tr w:rsidR="004932B6" w:rsidRPr="006F33A4" w14:paraId="11BF851D" w14:textId="77777777" w:rsidTr="004932B6">
        <w:tc>
          <w:tcPr>
            <w:tcW w:w="4150" w:type="dxa"/>
            <w:tcBorders>
              <w:top w:val="single" w:sz="4" w:space="0" w:color="auto"/>
              <w:left w:val="single" w:sz="4" w:space="0" w:color="auto"/>
              <w:bottom w:val="single" w:sz="4" w:space="0" w:color="auto"/>
              <w:right w:val="single" w:sz="4" w:space="0" w:color="auto"/>
            </w:tcBorders>
          </w:tcPr>
          <w:p w14:paraId="3F0C0611" w14:textId="77777777" w:rsidR="004932B6" w:rsidRPr="006F33A4" w:rsidRDefault="004932B6" w:rsidP="00B43672">
            <w:pPr>
              <w:rPr>
                <w:rFonts w:ascii="宋体" w:hAnsi="宋体"/>
              </w:rPr>
            </w:pPr>
            <w:r w:rsidRPr="006F33A4">
              <w:rPr>
                <w:rFonts w:ascii="宋体" w:hAnsi="宋体" w:hint="eastAsia"/>
              </w:rPr>
              <w:t>一、清算收益</w:t>
            </w:r>
          </w:p>
        </w:tc>
        <w:tc>
          <w:tcPr>
            <w:tcW w:w="4146" w:type="dxa"/>
            <w:tcBorders>
              <w:top w:val="single" w:sz="4" w:space="0" w:color="auto"/>
              <w:left w:val="single" w:sz="4" w:space="0" w:color="auto"/>
              <w:bottom w:val="single" w:sz="4" w:space="0" w:color="auto"/>
              <w:right w:val="single" w:sz="4" w:space="0" w:color="auto"/>
            </w:tcBorders>
          </w:tcPr>
          <w:p w14:paraId="4B518747" w14:textId="77777777" w:rsidR="004932B6" w:rsidRPr="006F33A4" w:rsidRDefault="004932B6" w:rsidP="004932B6">
            <w:pPr>
              <w:rPr>
                <w:rFonts w:ascii="宋体" w:hAnsi="宋体"/>
              </w:rPr>
            </w:pPr>
          </w:p>
        </w:tc>
      </w:tr>
      <w:tr w:rsidR="004932B6" w:rsidRPr="006F33A4" w14:paraId="6C2CBD62" w14:textId="77777777" w:rsidTr="004932B6">
        <w:tc>
          <w:tcPr>
            <w:tcW w:w="4150" w:type="dxa"/>
            <w:tcBorders>
              <w:top w:val="single" w:sz="4" w:space="0" w:color="auto"/>
              <w:left w:val="single" w:sz="4" w:space="0" w:color="auto"/>
              <w:bottom w:val="single" w:sz="4" w:space="0" w:color="auto"/>
              <w:right w:val="single" w:sz="4" w:space="0" w:color="auto"/>
            </w:tcBorders>
          </w:tcPr>
          <w:p w14:paraId="7B626699" w14:textId="77777777" w:rsidR="004932B6" w:rsidRPr="006F33A4" w:rsidRDefault="004932B6" w:rsidP="00B43672">
            <w:pPr>
              <w:rPr>
                <w:rFonts w:ascii="宋体" w:hAnsi="宋体"/>
              </w:rPr>
            </w:pPr>
            <w:r w:rsidRPr="006F33A4">
              <w:rPr>
                <w:rFonts w:ascii="宋体" w:hAnsi="宋体" w:hint="eastAsia"/>
              </w:rPr>
              <w:t>利息收入（注</w:t>
            </w:r>
            <w:r w:rsidRPr="006F33A4">
              <w:rPr>
                <w:rFonts w:ascii="宋体" w:hAnsi="宋体"/>
              </w:rPr>
              <w:t>1）</w:t>
            </w:r>
          </w:p>
        </w:tc>
        <w:tc>
          <w:tcPr>
            <w:tcW w:w="4146" w:type="dxa"/>
            <w:tcBorders>
              <w:top w:val="single" w:sz="4" w:space="0" w:color="auto"/>
              <w:left w:val="single" w:sz="4" w:space="0" w:color="auto"/>
              <w:bottom w:val="single" w:sz="4" w:space="0" w:color="auto"/>
              <w:right w:val="single" w:sz="4" w:space="0" w:color="auto"/>
            </w:tcBorders>
          </w:tcPr>
          <w:p w14:paraId="0906FD36" w14:textId="338B9153" w:rsidR="004932B6" w:rsidRPr="006F33A4" w:rsidRDefault="00303A16" w:rsidP="00961826">
            <w:pPr>
              <w:rPr>
                <w:rFonts w:ascii="宋体" w:hAnsi="宋体"/>
              </w:rPr>
            </w:pPr>
            <w:r>
              <w:rPr>
                <w:rFonts w:ascii="宋体" w:hAnsi="宋体"/>
              </w:rPr>
              <w:t>1,043.97</w:t>
            </w:r>
          </w:p>
        </w:tc>
      </w:tr>
      <w:tr w:rsidR="004932B6" w:rsidRPr="006F33A4" w14:paraId="088418F5" w14:textId="77777777" w:rsidTr="004932B6">
        <w:tc>
          <w:tcPr>
            <w:tcW w:w="4150" w:type="dxa"/>
            <w:tcBorders>
              <w:top w:val="single" w:sz="4" w:space="0" w:color="auto"/>
              <w:left w:val="single" w:sz="4" w:space="0" w:color="auto"/>
              <w:bottom w:val="single" w:sz="4" w:space="0" w:color="auto"/>
              <w:right w:val="single" w:sz="4" w:space="0" w:color="auto"/>
            </w:tcBorders>
          </w:tcPr>
          <w:p w14:paraId="0B6A3E5C" w14:textId="77777777" w:rsidR="004932B6" w:rsidRPr="006F33A4" w:rsidRDefault="004932B6" w:rsidP="00B43672">
            <w:pPr>
              <w:rPr>
                <w:rFonts w:ascii="宋体" w:hAnsi="宋体"/>
              </w:rPr>
            </w:pPr>
            <w:r w:rsidRPr="006F33A4">
              <w:rPr>
                <w:rFonts w:ascii="宋体" w:hAnsi="宋体" w:hint="eastAsia"/>
              </w:rPr>
              <w:t>债券利息收入</w:t>
            </w:r>
          </w:p>
        </w:tc>
        <w:tc>
          <w:tcPr>
            <w:tcW w:w="4146" w:type="dxa"/>
            <w:tcBorders>
              <w:top w:val="single" w:sz="4" w:space="0" w:color="auto"/>
              <w:left w:val="single" w:sz="4" w:space="0" w:color="auto"/>
              <w:bottom w:val="single" w:sz="4" w:space="0" w:color="auto"/>
              <w:right w:val="single" w:sz="4" w:space="0" w:color="auto"/>
            </w:tcBorders>
          </w:tcPr>
          <w:p w14:paraId="05E6F650" w14:textId="6AAD56C6" w:rsidR="004932B6" w:rsidRPr="006F33A4" w:rsidRDefault="00303A16" w:rsidP="004932B6">
            <w:pPr>
              <w:rPr>
                <w:rFonts w:ascii="宋体" w:hAnsi="宋体"/>
              </w:rPr>
            </w:pPr>
            <w:r>
              <w:rPr>
                <w:rFonts w:ascii="宋体" w:hAnsi="宋体"/>
              </w:rPr>
              <w:t>331.81</w:t>
            </w:r>
          </w:p>
        </w:tc>
      </w:tr>
      <w:tr w:rsidR="004932B6" w:rsidRPr="006F33A4" w14:paraId="6A4AE07A" w14:textId="77777777" w:rsidTr="004932B6">
        <w:tc>
          <w:tcPr>
            <w:tcW w:w="4150" w:type="dxa"/>
            <w:tcBorders>
              <w:top w:val="single" w:sz="4" w:space="0" w:color="auto"/>
              <w:left w:val="single" w:sz="4" w:space="0" w:color="auto"/>
              <w:bottom w:val="single" w:sz="4" w:space="0" w:color="auto"/>
              <w:right w:val="single" w:sz="4" w:space="0" w:color="auto"/>
            </w:tcBorders>
          </w:tcPr>
          <w:p w14:paraId="4EBE23D4" w14:textId="77777777" w:rsidR="004932B6" w:rsidRPr="006F33A4" w:rsidRDefault="004932B6" w:rsidP="00B43672">
            <w:pPr>
              <w:rPr>
                <w:rFonts w:ascii="宋体" w:hAnsi="宋体"/>
              </w:rPr>
            </w:pPr>
            <w:r w:rsidRPr="006F33A4">
              <w:rPr>
                <w:rFonts w:ascii="宋体" w:hAnsi="宋体" w:hint="eastAsia"/>
              </w:rPr>
              <w:t>债券投资收益（损失以"-"填列）</w:t>
            </w:r>
          </w:p>
        </w:tc>
        <w:tc>
          <w:tcPr>
            <w:tcW w:w="4146" w:type="dxa"/>
            <w:tcBorders>
              <w:top w:val="single" w:sz="4" w:space="0" w:color="auto"/>
              <w:left w:val="single" w:sz="4" w:space="0" w:color="auto"/>
              <w:bottom w:val="single" w:sz="4" w:space="0" w:color="auto"/>
              <w:right w:val="single" w:sz="4" w:space="0" w:color="auto"/>
            </w:tcBorders>
          </w:tcPr>
          <w:p w14:paraId="6F715806" w14:textId="60D5742F" w:rsidR="004932B6" w:rsidRPr="006F33A4" w:rsidRDefault="007E6159" w:rsidP="004932B6">
            <w:pPr>
              <w:rPr>
                <w:rFonts w:ascii="宋体" w:hAnsi="宋体"/>
              </w:rPr>
            </w:pPr>
            <w:r>
              <w:rPr>
                <w:rFonts w:ascii="宋体" w:hAnsi="宋体" w:hint="eastAsia"/>
              </w:rPr>
              <w:t>-</w:t>
            </w:r>
            <w:r w:rsidRPr="007E6159">
              <w:rPr>
                <w:rFonts w:ascii="宋体" w:hAnsi="宋体"/>
              </w:rPr>
              <w:t>24,012.72</w:t>
            </w:r>
          </w:p>
        </w:tc>
      </w:tr>
      <w:tr w:rsidR="00615E0D" w:rsidRPr="006F33A4" w14:paraId="14C55316" w14:textId="77777777" w:rsidTr="004932B6">
        <w:tc>
          <w:tcPr>
            <w:tcW w:w="4150" w:type="dxa"/>
            <w:tcBorders>
              <w:top w:val="single" w:sz="4" w:space="0" w:color="auto"/>
              <w:left w:val="single" w:sz="4" w:space="0" w:color="auto"/>
              <w:bottom w:val="single" w:sz="4" w:space="0" w:color="auto"/>
              <w:right w:val="single" w:sz="4" w:space="0" w:color="auto"/>
            </w:tcBorders>
          </w:tcPr>
          <w:p w14:paraId="5592A3BA" w14:textId="77777777" w:rsidR="00615E0D" w:rsidRPr="006F33A4" w:rsidRDefault="00615E0D" w:rsidP="00B43672">
            <w:pPr>
              <w:rPr>
                <w:rFonts w:ascii="宋体" w:hAnsi="宋体"/>
              </w:rPr>
            </w:pPr>
            <w:r w:rsidRPr="006F33A4">
              <w:rPr>
                <w:rFonts w:ascii="宋体" w:hAnsi="宋体" w:hint="eastAsia"/>
              </w:rPr>
              <w:t>股票投资收益（损失以"-"填列）</w:t>
            </w:r>
          </w:p>
        </w:tc>
        <w:tc>
          <w:tcPr>
            <w:tcW w:w="4146" w:type="dxa"/>
            <w:tcBorders>
              <w:top w:val="single" w:sz="4" w:space="0" w:color="auto"/>
              <w:left w:val="single" w:sz="4" w:space="0" w:color="auto"/>
              <w:bottom w:val="single" w:sz="4" w:space="0" w:color="auto"/>
              <w:right w:val="single" w:sz="4" w:space="0" w:color="auto"/>
            </w:tcBorders>
          </w:tcPr>
          <w:p w14:paraId="759FF6A0" w14:textId="294AFA97" w:rsidR="00615E0D" w:rsidRPr="006F33A4" w:rsidRDefault="007E6159" w:rsidP="002373EE">
            <w:pPr>
              <w:rPr>
                <w:rFonts w:ascii="宋体" w:hAnsi="宋体"/>
              </w:rPr>
            </w:pPr>
            <w:r>
              <w:rPr>
                <w:rFonts w:ascii="宋体" w:hAnsi="宋体" w:hint="eastAsia"/>
              </w:rPr>
              <w:t>-</w:t>
            </w:r>
          </w:p>
        </w:tc>
      </w:tr>
      <w:tr w:rsidR="004932B6" w:rsidRPr="006F33A4" w14:paraId="2FAE10F0" w14:textId="77777777" w:rsidTr="004932B6">
        <w:tc>
          <w:tcPr>
            <w:tcW w:w="4150" w:type="dxa"/>
            <w:tcBorders>
              <w:top w:val="single" w:sz="4" w:space="0" w:color="auto"/>
              <w:left w:val="single" w:sz="4" w:space="0" w:color="auto"/>
              <w:bottom w:val="single" w:sz="4" w:space="0" w:color="auto"/>
              <w:right w:val="single" w:sz="4" w:space="0" w:color="auto"/>
            </w:tcBorders>
          </w:tcPr>
          <w:p w14:paraId="71112950" w14:textId="77777777" w:rsidR="004932B6" w:rsidRPr="006F33A4" w:rsidRDefault="004932B6" w:rsidP="00B43672">
            <w:pPr>
              <w:rPr>
                <w:rFonts w:ascii="宋体" w:hAnsi="宋体"/>
              </w:rPr>
            </w:pPr>
            <w:r w:rsidRPr="006F33A4">
              <w:rPr>
                <w:rFonts w:ascii="宋体" w:hAnsi="宋体" w:hint="eastAsia"/>
              </w:rPr>
              <w:t>公允价值变动损益（损失以"-"填列）</w:t>
            </w:r>
          </w:p>
        </w:tc>
        <w:tc>
          <w:tcPr>
            <w:tcW w:w="4146" w:type="dxa"/>
            <w:tcBorders>
              <w:top w:val="single" w:sz="4" w:space="0" w:color="auto"/>
              <w:left w:val="single" w:sz="4" w:space="0" w:color="auto"/>
              <w:bottom w:val="single" w:sz="4" w:space="0" w:color="auto"/>
              <w:right w:val="single" w:sz="4" w:space="0" w:color="auto"/>
            </w:tcBorders>
          </w:tcPr>
          <w:p w14:paraId="3A6AD65A" w14:textId="329C688A" w:rsidR="004932B6" w:rsidRPr="006F33A4" w:rsidRDefault="00303A16" w:rsidP="00961826">
            <w:pPr>
              <w:rPr>
                <w:rFonts w:ascii="宋体" w:hAnsi="宋体"/>
              </w:rPr>
            </w:pPr>
            <w:r>
              <w:rPr>
                <w:rFonts w:ascii="宋体" w:hAnsi="宋体"/>
              </w:rPr>
              <w:t>24,013.69</w:t>
            </w:r>
          </w:p>
        </w:tc>
      </w:tr>
      <w:tr w:rsidR="004932B6" w:rsidRPr="006F33A4" w14:paraId="7F3AA08A" w14:textId="77777777" w:rsidTr="004932B6">
        <w:tc>
          <w:tcPr>
            <w:tcW w:w="4150" w:type="dxa"/>
            <w:tcBorders>
              <w:top w:val="single" w:sz="4" w:space="0" w:color="auto"/>
              <w:left w:val="single" w:sz="4" w:space="0" w:color="auto"/>
              <w:bottom w:val="single" w:sz="4" w:space="0" w:color="auto"/>
              <w:right w:val="single" w:sz="4" w:space="0" w:color="auto"/>
            </w:tcBorders>
          </w:tcPr>
          <w:p w14:paraId="43CCA3A6" w14:textId="77777777" w:rsidR="004932B6" w:rsidRPr="006F33A4" w:rsidRDefault="004932B6" w:rsidP="00B43672">
            <w:pPr>
              <w:rPr>
                <w:rFonts w:ascii="宋体" w:hAnsi="宋体"/>
              </w:rPr>
            </w:pPr>
            <w:r w:rsidRPr="006F33A4">
              <w:rPr>
                <w:rFonts w:ascii="宋体" w:hAnsi="宋体" w:hint="eastAsia"/>
              </w:rPr>
              <w:t>其他收入（损失以"-"填列）</w:t>
            </w:r>
          </w:p>
        </w:tc>
        <w:tc>
          <w:tcPr>
            <w:tcW w:w="4146" w:type="dxa"/>
            <w:tcBorders>
              <w:top w:val="single" w:sz="4" w:space="0" w:color="auto"/>
              <w:left w:val="single" w:sz="4" w:space="0" w:color="auto"/>
              <w:bottom w:val="single" w:sz="4" w:space="0" w:color="auto"/>
              <w:right w:val="single" w:sz="4" w:space="0" w:color="auto"/>
            </w:tcBorders>
          </w:tcPr>
          <w:p w14:paraId="1CAEF6B1" w14:textId="3DC144A0" w:rsidR="004932B6" w:rsidRPr="006F33A4" w:rsidRDefault="00303A16" w:rsidP="004932B6">
            <w:pPr>
              <w:rPr>
                <w:rFonts w:ascii="宋体" w:hAnsi="宋体"/>
              </w:rPr>
            </w:pPr>
            <w:r>
              <w:rPr>
                <w:rFonts w:ascii="宋体" w:hAnsi="宋体"/>
              </w:rPr>
              <w:t>2.58</w:t>
            </w:r>
          </w:p>
        </w:tc>
      </w:tr>
      <w:tr w:rsidR="004932B6" w:rsidRPr="006F33A4" w14:paraId="07CE3216" w14:textId="77777777" w:rsidTr="004932B6">
        <w:tc>
          <w:tcPr>
            <w:tcW w:w="4150" w:type="dxa"/>
            <w:tcBorders>
              <w:top w:val="single" w:sz="4" w:space="0" w:color="auto"/>
              <w:left w:val="single" w:sz="4" w:space="0" w:color="auto"/>
              <w:bottom w:val="single" w:sz="4" w:space="0" w:color="auto"/>
              <w:right w:val="single" w:sz="4" w:space="0" w:color="auto"/>
            </w:tcBorders>
          </w:tcPr>
          <w:p w14:paraId="072DCFD6" w14:textId="77777777" w:rsidR="004932B6" w:rsidRPr="006F33A4" w:rsidRDefault="004932B6" w:rsidP="00B43672">
            <w:pPr>
              <w:rPr>
                <w:rFonts w:ascii="宋体" w:hAnsi="宋体"/>
              </w:rPr>
            </w:pPr>
            <w:r w:rsidRPr="006F33A4">
              <w:rPr>
                <w:rFonts w:ascii="宋体" w:hAnsi="宋体" w:hint="eastAsia"/>
              </w:rPr>
              <w:t>清算收入小计（</w:t>
            </w:r>
            <w:r w:rsidRPr="006F33A4">
              <w:rPr>
                <w:rFonts w:ascii="宋体" w:hAnsi="宋体"/>
              </w:rPr>
              <w:t>1</w:t>
            </w:r>
            <w:r w:rsidRPr="006F33A4">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038B0868" w14:textId="3F1B9FC4" w:rsidR="004932B6" w:rsidRPr="006F33A4" w:rsidRDefault="00EC0605" w:rsidP="004932B6">
            <w:pPr>
              <w:rPr>
                <w:rFonts w:ascii="宋体" w:hAnsi="宋体"/>
              </w:rPr>
            </w:pPr>
            <w:r>
              <w:rPr>
                <w:rFonts w:ascii="宋体" w:hAnsi="宋体"/>
              </w:rPr>
              <w:t>1,047.52</w:t>
            </w:r>
          </w:p>
        </w:tc>
      </w:tr>
      <w:tr w:rsidR="004932B6" w:rsidRPr="006F33A4" w14:paraId="695D341E" w14:textId="77777777" w:rsidTr="004932B6">
        <w:tc>
          <w:tcPr>
            <w:tcW w:w="4150" w:type="dxa"/>
            <w:tcBorders>
              <w:top w:val="single" w:sz="4" w:space="0" w:color="auto"/>
              <w:left w:val="single" w:sz="4" w:space="0" w:color="auto"/>
              <w:bottom w:val="single" w:sz="4" w:space="0" w:color="auto"/>
              <w:right w:val="single" w:sz="4" w:space="0" w:color="auto"/>
            </w:tcBorders>
          </w:tcPr>
          <w:p w14:paraId="0C64213B" w14:textId="77777777" w:rsidR="004932B6" w:rsidRPr="006F33A4" w:rsidRDefault="004932B6" w:rsidP="00B43672">
            <w:pPr>
              <w:rPr>
                <w:rFonts w:ascii="宋体" w:hAnsi="宋体"/>
              </w:rPr>
            </w:pPr>
          </w:p>
        </w:tc>
        <w:tc>
          <w:tcPr>
            <w:tcW w:w="4146" w:type="dxa"/>
            <w:tcBorders>
              <w:top w:val="single" w:sz="4" w:space="0" w:color="auto"/>
              <w:left w:val="single" w:sz="4" w:space="0" w:color="auto"/>
              <w:bottom w:val="single" w:sz="4" w:space="0" w:color="auto"/>
              <w:right w:val="single" w:sz="4" w:space="0" w:color="auto"/>
            </w:tcBorders>
          </w:tcPr>
          <w:p w14:paraId="785B807D" w14:textId="77777777" w:rsidR="004932B6" w:rsidRPr="006F33A4" w:rsidRDefault="004932B6" w:rsidP="004932B6">
            <w:pPr>
              <w:rPr>
                <w:rFonts w:ascii="宋体" w:hAnsi="宋体"/>
              </w:rPr>
            </w:pPr>
          </w:p>
        </w:tc>
      </w:tr>
      <w:tr w:rsidR="004932B6" w:rsidRPr="006F33A4" w14:paraId="5E702347" w14:textId="77777777" w:rsidTr="004932B6">
        <w:tc>
          <w:tcPr>
            <w:tcW w:w="4150" w:type="dxa"/>
            <w:tcBorders>
              <w:top w:val="single" w:sz="4" w:space="0" w:color="auto"/>
              <w:left w:val="single" w:sz="4" w:space="0" w:color="auto"/>
              <w:bottom w:val="single" w:sz="4" w:space="0" w:color="auto"/>
              <w:right w:val="single" w:sz="4" w:space="0" w:color="auto"/>
            </w:tcBorders>
          </w:tcPr>
          <w:p w14:paraId="37A554B7" w14:textId="77777777" w:rsidR="004932B6" w:rsidRPr="006F33A4" w:rsidRDefault="004932B6" w:rsidP="00B43672">
            <w:pPr>
              <w:rPr>
                <w:rFonts w:ascii="宋体" w:hAnsi="宋体"/>
              </w:rPr>
            </w:pPr>
            <w:r w:rsidRPr="006F33A4">
              <w:rPr>
                <w:rFonts w:ascii="宋体" w:hAnsi="宋体" w:hint="eastAsia"/>
              </w:rPr>
              <w:t>二、清算费用</w:t>
            </w:r>
          </w:p>
        </w:tc>
        <w:tc>
          <w:tcPr>
            <w:tcW w:w="4146" w:type="dxa"/>
            <w:tcBorders>
              <w:top w:val="single" w:sz="4" w:space="0" w:color="auto"/>
              <w:left w:val="single" w:sz="4" w:space="0" w:color="auto"/>
              <w:bottom w:val="single" w:sz="4" w:space="0" w:color="auto"/>
              <w:right w:val="single" w:sz="4" w:space="0" w:color="auto"/>
            </w:tcBorders>
          </w:tcPr>
          <w:p w14:paraId="5CAFC6F2" w14:textId="77777777" w:rsidR="004932B6" w:rsidRPr="006F33A4" w:rsidRDefault="004932B6" w:rsidP="004932B6">
            <w:pPr>
              <w:rPr>
                <w:rFonts w:ascii="宋体" w:hAnsi="宋体"/>
              </w:rPr>
            </w:pPr>
          </w:p>
        </w:tc>
      </w:tr>
      <w:tr w:rsidR="004932B6" w:rsidRPr="006F33A4" w14:paraId="7F399E09" w14:textId="77777777" w:rsidTr="004932B6">
        <w:tc>
          <w:tcPr>
            <w:tcW w:w="4150" w:type="dxa"/>
            <w:tcBorders>
              <w:top w:val="single" w:sz="4" w:space="0" w:color="auto"/>
              <w:left w:val="single" w:sz="4" w:space="0" w:color="auto"/>
              <w:bottom w:val="single" w:sz="4" w:space="0" w:color="auto"/>
              <w:right w:val="single" w:sz="4" w:space="0" w:color="auto"/>
            </w:tcBorders>
          </w:tcPr>
          <w:p w14:paraId="0F06542E" w14:textId="77777777" w:rsidR="004932B6" w:rsidRPr="006F33A4" w:rsidRDefault="004932B6" w:rsidP="00B43672">
            <w:pPr>
              <w:rPr>
                <w:rFonts w:ascii="宋体" w:hAnsi="宋体"/>
              </w:rPr>
            </w:pPr>
            <w:r w:rsidRPr="006F33A4">
              <w:rPr>
                <w:rFonts w:ascii="宋体" w:hAnsi="宋体" w:hint="eastAsia"/>
              </w:rPr>
              <w:t>银行划款手续费</w:t>
            </w:r>
          </w:p>
        </w:tc>
        <w:tc>
          <w:tcPr>
            <w:tcW w:w="4146" w:type="dxa"/>
            <w:tcBorders>
              <w:top w:val="single" w:sz="4" w:space="0" w:color="auto"/>
              <w:left w:val="single" w:sz="4" w:space="0" w:color="auto"/>
              <w:bottom w:val="single" w:sz="4" w:space="0" w:color="auto"/>
              <w:right w:val="single" w:sz="4" w:space="0" w:color="auto"/>
            </w:tcBorders>
          </w:tcPr>
          <w:p w14:paraId="00D82615" w14:textId="1FBC280D" w:rsidR="004932B6" w:rsidRPr="006F33A4" w:rsidRDefault="00B65886" w:rsidP="004932B6">
            <w:pPr>
              <w:rPr>
                <w:rFonts w:ascii="宋体" w:hAnsi="宋体"/>
              </w:rPr>
            </w:pPr>
            <w:r>
              <w:rPr>
                <w:rFonts w:ascii="宋体" w:hAnsi="宋体"/>
              </w:rPr>
              <w:t>-240.62</w:t>
            </w:r>
          </w:p>
        </w:tc>
      </w:tr>
      <w:tr w:rsidR="004932B6" w:rsidRPr="006F33A4" w14:paraId="4EC73A8C" w14:textId="77777777" w:rsidTr="004932B6">
        <w:tc>
          <w:tcPr>
            <w:tcW w:w="4150" w:type="dxa"/>
            <w:tcBorders>
              <w:top w:val="single" w:sz="4" w:space="0" w:color="auto"/>
              <w:left w:val="single" w:sz="4" w:space="0" w:color="auto"/>
              <w:bottom w:val="single" w:sz="4" w:space="0" w:color="auto"/>
              <w:right w:val="single" w:sz="4" w:space="0" w:color="auto"/>
            </w:tcBorders>
          </w:tcPr>
          <w:p w14:paraId="6070B821" w14:textId="77777777" w:rsidR="004932B6" w:rsidRPr="006F33A4" w:rsidRDefault="004932B6" w:rsidP="00B43672">
            <w:pPr>
              <w:rPr>
                <w:rFonts w:ascii="宋体" w:hAnsi="宋体"/>
              </w:rPr>
            </w:pPr>
            <w:r w:rsidRPr="006F33A4">
              <w:rPr>
                <w:rFonts w:ascii="宋体" w:hAnsi="宋体" w:hint="eastAsia"/>
              </w:rPr>
              <w:t>交易费用</w:t>
            </w:r>
          </w:p>
        </w:tc>
        <w:tc>
          <w:tcPr>
            <w:tcW w:w="4146" w:type="dxa"/>
            <w:tcBorders>
              <w:top w:val="single" w:sz="4" w:space="0" w:color="auto"/>
              <w:left w:val="single" w:sz="4" w:space="0" w:color="auto"/>
              <w:bottom w:val="single" w:sz="4" w:space="0" w:color="auto"/>
              <w:right w:val="single" w:sz="4" w:space="0" w:color="auto"/>
            </w:tcBorders>
          </w:tcPr>
          <w:p w14:paraId="5F54AEEA" w14:textId="76493420" w:rsidR="004932B6" w:rsidRPr="006F33A4" w:rsidRDefault="00B65886" w:rsidP="004932B6">
            <w:pPr>
              <w:rPr>
                <w:rFonts w:ascii="宋体" w:hAnsi="宋体"/>
              </w:rPr>
            </w:pPr>
            <w:r>
              <w:rPr>
                <w:rFonts w:ascii="宋体" w:hAnsi="宋体"/>
              </w:rPr>
              <w:t>4.58</w:t>
            </w:r>
          </w:p>
        </w:tc>
      </w:tr>
      <w:tr w:rsidR="004932B6" w:rsidRPr="006F33A4" w14:paraId="1BD4DD64" w14:textId="77777777" w:rsidTr="004932B6">
        <w:tc>
          <w:tcPr>
            <w:tcW w:w="4150" w:type="dxa"/>
            <w:tcBorders>
              <w:top w:val="single" w:sz="4" w:space="0" w:color="auto"/>
              <w:left w:val="single" w:sz="4" w:space="0" w:color="auto"/>
              <w:bottom w:val="single" w:sz="4" w:space="0" w:color="auto"/>
              <w:right w:val="single" w:sz="4" w:space="0" w:color="auto"/>
            </w:tcBorders>
          </w:tcPr>
          <w:p w14:paraId="4C1DEA25" w14:textId="77777777" w:rsidR="004932B6" w:rsidRPr="006F33A4" w:rsidRDefault="004932B6" w:rsidP="00B43672">
            <w:pPr>
              <w:rPr>
                <w:rFonts w:ascii="宋体" w:hAnsi="宋体"/>
              </w:rPr>
            </w:pPr>
            <w:r w:rsidRPr="006F33A4">
              <w:rPr>
                <w:rFonts w:ascii="宋体" w:hAnsi="宋体" w:hint="eastAsia"/>
              </w:rPr>
              <w:lastRenderedPageBreak/>
              <w:t>其他费用</w:t>
            </w:r>
          </w:p>
        </w:tc>
        <w:tc>
          <w:tcPr>
            <w:tcW w:w="4146" w:type="dxa"/>
            <w:tcBorders>
              <w:top w:val="single" w:sz="4" w:space="0" w:color="auto"/>
              <w:left w:val="single" w:sz="4" w:space="0" w:color="auto"/>
              <w:bottom w:val="single" w:sz="4" w:space="0" w:color="auto"/>
              <w:right w:val="single" w:sz="4" w:space="0" w:color="auto"/>
            </w:tcBorders>
          </w:tcPr>
          <w:p w14:paraId="32AC6CC0" w14:textId="40567AFF" w:rsidR="004932B6" w:rsidRPr="006F33A4" w:rsidRDefault="00B31785">
            <w:pPr>
              <w:rPr>
                <w:rFonts w:ascii="宋体" w:hAnsi="宋体"/>
              </w:rPr>
            </w:pPr>
            <w:r w:rsidRPr="006F33A4">
              <w:rPr>
                <w:rFonts w:ascii="宋体" w:hAnsi="宋体"/>
              </w:rPr>
              <w:t>-</w:t>
            </w:r>
          </w:p>
        </w:tc>
      </w:tr>
      <w:tr w:rsidR="004932B6" w:rsidRPr="006F33A4" w14:paraId="0D80026B" w14:textId="77777777" w:rsidTr="004932B6">
        <w:tc>
          <w:tcPr>
            <w:tcW w:w="4150" w:type="dxa"/>
            <w:tcBorders>
              <w:top w:val="single" w:sz="4" w:space="0" w:color="auto"/>
              <w:left w:val="single" w:sz="4" w:space="0" w:color="auto"/>
              <w:bottom w:val="single" w:sz="4" w:space="0" w:color="auto"/>
              <w:right w:val="single" w:sz="4" w:space="0" w:color="auto"/>
            </w:tcBorders>
          </w:tcPr>
          <w:p w14:paraId="503DFE6C" w14:textId="77777777" w:rsidR="004932B6" w:rsidRPr="006F33A4" w:rsidRDefault="004932B6" w:rsidP="00B43672">
            <w:pPr>
              <w:rPr>
                <w:rFonts w:ascii="宋体" w:hAnsi="宋体"/>
              </w:rPr>
            </w:pPr>
            <w:r w:rsidRPr="006F33A4">
              <w:rPr>
                <w:rFonts w:ascii="宋体" w:hAnsi="宋体" w:hint="eastAsia"/>
              </w:rPr>
              <w:t>清算费用小计（</w:t>
            </w:r>
            <w:r w:rsidRPr="006F33A4">
              <w:rPr>
                <w:rFonts w:ascii="宋体" w:hAnsi="宋体"/>
              </w:rPr>
              <w:t>2</w:t>
            </w:r>
            <w:r w:rsidRPr="006F33A4">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75565ECE" w14:textId="6D472C70" w:rsidR="004932B6" w:rsidRPr="006F33A4" w:rsidRDefault="001063F3" w:rsidP="004932B6">
            <w:pPr>
              <w:rPr>
                <w:rFonts w:ascii="宋体" w:hAnsi="宋体"/>
              </w:rPr>
            </w:pPr>
            <w:r>
              <w:rPr>
                <w:rFonts w:ascii="宋体" w:hAnsi="宋体"/>
              </w:rPr>
              <w:t>-236.04</w:t>
            </w:r>
          </w:p>
        </w:tc>
      </w:tr>
      <w:tr w:rsidR="004932B6" w:rsidRPr="006F33A4" w14:paraId="496C2DB3" w14:textId="77777777" w:rsidTr="00092A2A">
        <w:trPr>
          <w:trHeight w:val="257"/>
        </w:trPr>
        <w:tc>
          <w:tcPr>
            <w:tcW w:w="4150" w:type="dxa"/>
            <w:tcBorders>
              <w:top w:val="single" w:sz="4" w:space="0" w:color="auto"/>
              <w:left w:val="single" w:sz="4" w:space="0" w:color="auto"/>
              <w:bottom w:val="single" w:sz="4" w:space="0" w:color="auto"/>
              <w:right w:val="single" w:sz="4" w:space="0" w:color="auto"/>
            </w:tcBorders>
          </w:tcPr>
          <w:p w14:paraId="02E986D6" w14:textId="77777777" w:rsidR="004932B6" w:rsidRPr="006F33A4" w:rsidRDefault="004932B6" w:rsidP="00B43672">
            <w:pPr>
              <w:rPr>
                <w:rFonts w:ascii="宋体" w:hAnsi="宋体"/>
              </w:rPr>
            </w:pPr>
            <w:r w:rsidRPr="006F33A4">
              <w:rPr>
                <w:rFonts w:ascii="宋体" w:hAnsi="宋体" w:hint="eastAsia"/>
              </w:rPr>
              <w:t>三、清算净收益（</w:t>
            </w:r>
            <w:r w:rsidRPr="006F33A4">
              <w:rPr>
                <w:rFonts w:ascii="宋体" w:hAnsi="宋体"/>
              </w:rPr>
              <w:t>1</w:t>
            </w:r>
            <w:r w:rsidRPr="006F33A4">
              <w:rPr>
                <w:rFonts w:ascii="宋体" w:hAnsi="宋体" w:hint="eastAsia"/>
              </w:rPr>
              <w:t>）</w:t>
            </w:r>
            <w:r w:rsidRPr="006F33A4">
              <w:rPr>
                <w:rFonts w:ascii="宋体" w:hAnsi="宋体"/>
              </w:rPr>
              <w:t>-</w:t>
            </w:r>
            <w:r w:rsidRPr="006F33A4">
              <w:rPr>
                <w:rFonts w:ascii="宋体" w:hAnsi="宋体" w:hint="eastAsia"/>
              </w:rPr>
              <w:t>（</w:t>
            </w:r>
            <w:r w:rsidRPr="006F33A4">
              <w:rPr>
                <w:rFonts w:ascii="宋体" w:hAnsi="宋体"/>
              </w:rPr>
              <w:t>2</w:t>
            </w:r>
            <w:r w:rsidRPr="006F33A4">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53E6698D" w14:textId="0198C237" w:rsidR="004932B6" w:rsidRPr="006F33A4" w:rsidRDefault="001063F3" w:rsidP="004932B6">
            <w:pPr>
              <w:rPr>
                <w:rFonts w:ascii="宋体" w:hAnsi="宋体"/>
              </w:rPr>
            </w:pPr>
            <w:r w:rsidRPr="001063F3">
              <w:rPr>
                <w:rFonts w:ascii="宋体" w:hAnsi="宋体"/>
              </w:rPr>
              <w:t>1,283.56</w:t>
            </w:r>
          </w:p>
        </w:tc>
      </w:tr>
    </w:tbl>
    <w:p w14:paraId="6B7A577A" w14:textId="7808CA20" w:rsidR="00BF751A" w:rsidRPr="006F33A4" w:rsidRDefault="00D33914" w:rsidP="00D33914">
      <w:pPr>
        <w:rPr>
          <w:rFonts w:ascii="宋体"/>
        </w:rPr>
      </w:pPr>
      <w:r w:rsidRPr="006F33A4">
        <w:rPr>
          <w:rFonts w:ascii="宋体" w:hint="eastAsia"/>
        </w:rPr>
        <w:t>注</w:t>
      </w:r>
      <w:r w:rsidR="00BF751A" w:rsidRPr="006F33A4">
        <w:rPr>
          <w:rFonts w:ascii="宋体" w:hint="eastAsia"/>
        </w:rPr>
        <w:t>:</w:t>
      </w:r>
      <w:r w:rsidR="00BF751A" w:rsidRPr="006F33A4">
        <w:rPr>
          <w:rFonts w:hint="eastAsia"/>
        </w:rPr>
        <w:t xml:space="preserve"> </w:t>
      </w:r>
      <w:r w:rsidR="00BF751A" w:rsidRPr="006F33A4">
        <w:rPr>
          <w:rFonts w:ascii="宋体" w:hint="eastAsia"/>
        </w:rPr>
        <w:t>上表所有的收入金额数据为包含了</w:t>
      </w:r>
      <w:r w:rsidR="00EF115F" w:rsidRPr="00EF115F">
        <w:rPr>
          <w:rFonts w:ascii="宋体" w:hint="eastAsia"/>
        </w:rPr>
        <w:t>2021年12月16日至2021年12月</w:t>
      </w:r>
      <w:r w:rsidR="003479B5">
        <w:rPr>
          <w:rFonts w:ascii="宋体"/>
        </w:rPr>
        <w:t>31</w:t>
      </w:r>
      <w:r w:rsidR="00EF115F" w:rsidRPr="00EF115F">
        <w:rPr>
          <w:rFonts w:ascii="宋体" w:hint="eastAsia"/>
        </w:rPr>
        <w:t>日</w:t>
      </w:r>
      <w:r w:rsidR="00BF751A" w:rsidRPr="006F33A4">
        <w:rPr>
          <w:rFonts w:ascii="宋体" w:hint="eastAsia"/>
        </w:rPr>
        <w:t>的数据</w:t>
      </w:r>
      <w:r w:rsidR="00B7536D" w:rsidRPr="006F33A4">
        <w:rPr>
          <w:rFonts w:ascii="宋体" w:hint="eastAsia"/>
        </w:rPr>
        <w:t>。</w:t>
      </w:r>
    </w:p>
    <w:p w14:paraId="562216F3" w14:textId="4FE03947" w:rsidR="00D33914" w:rsidRPr="006F33A4" w:rsidRDefault="00D33914" w:rsidP="00D33914">
      <w:pPr>
        <w:rPr>
          <w:rFonts w:ascii="宋体"/>
        </w:rPr>
      </w:pPr>
      <w:r w:rsidRPr="006F33A4">
        <w:rPr>
          <w:rFonts w:ascii="宋体" w:hint="eastAsia"/>
        </w:rPr>
        <w:t>1：利息收入系计提的自</w:t>
      </w:r>
      <w:r w:rsidR="00C20DB8" w:rsidRPr="006F33A4">
        <w:rPr>
          <w:rFonts w:ascii="宋体"/>
        </w:rPr>
        <w:t>20</w:t>
      </w:r>
      <w:r w:rsidR="003479B5">
        <w:rPr>
          <w:rFonts w:ascii="宋体"/>
        </w:rPr>
        <w:t>21</w:t>
      </w:r>
      <w:r w:rsidR="00C20DB8" w:rsidRPr="006F33A4">
        <w:rPr>
          <w:rFonts w:ascii="宋体" w:hint="eastAsia"/>
        </w:rPr>
        <w:t>年</w:t>
      </w:r>
      <w:r w:rsidR="00C20DB8">
        <w:rPr>
          <w:rFonts w:ascii="宋体"/>
        </w:rPr>
        <w:t>1</w:t>
      </w:r>
      <w:r w:rsidR="003479B5">
        <w:rPr>
          <w:rFonts w:ascii="宋体"/>
        </w:rPr>
        <w:t>2</w:t>
      </w:r>
      <w:r w:rsidR="00485816" w:rsidRPr="006F33A4">
        <w:rPr>
          <w:rFonts w:ascii="宋体" w:hint="eastAsia"/>
        </w:rPr>
        <w:t>月</w:t>
      </w:r>
      <w:r w:rsidR="003479B5">
        <w:rPr>
          <w:rFonts w:ascii="宋体" w:hint="eastAsia"/>
        </w:rPr>
        <w:t>1</w:t>
      </w:r>
      <w:r w:rsidR="00C20DB8">
        <w:rPr>
          <w:rFonts w:ascii="宋体"/>
        </w:rPr>
        <w:t>6</w:t>
      </w:r>
      <w:r w:rsidR="00485816" w:rsidRPr="006F33A4">
        <w:rPr>
          <w:rFonts w:ascii="宋体" w:hint="eastAsia"/>
        </w:rPr>
        <w:t>日至</w:t>
      </w:r>
      <w:r w:rsidR="00AD0105" w:rsidRPr="006F33A4">
        <w:rPr>
          <w:rFonts w:ascii="宋体"/>
        </w:rPr>
        <w:t>20</w:t>
      </w:r>
      <w:r w:rsidR="003479B5">
        <w:rPr>
          <w:rFonts w:ascii="宋体"/>
        </w:rPr>
        <w:t>21</w:t>
      </w:r>
      <w:r w:rsidR="00AD0105" w:rsidRPr="006F33A4">
        <w:rPr>
          <w:rFonts w:ascii="宋体" w:hint="eastAsia"/>
        </w:rPr>
        <w:t>年</w:t>
      </w:r>
      <w:r w:rsidR="003479B5">
        <w:rPr>
          <w:rFonts w:ascii="宋体"/>
        </w:rPr>
        <w:t>12</w:t>
      </w:r>
      <w:r w:rsidR="00485816" w:rsidRPr="006F33A4">
        <w:rPr>
          <w:rFonts w:ascii="宋体" w:hint="eastAsia"/>
        </w:rPr>
        <w:t>月</w:t>
      </w:r>
      <w:r w:rsidR="003479B5">
        <w:rPr>
          <w:rFonts w:ascii="宋体"/>
        </w:rPr>
        <w:t>31</w:t>
      </w:r>
      <w:r w:rsidR="00485816" w:rsidRPr="006F33A4">
        <w:rPr>
          <w:rFonts w:ascii="宋体" w:hint="eastAsia"/>
        </w:rPr>
        <w:t>日</w:t>
      </w:r>
      <w:proofErr w:type="gramStart"/>
      <w:r w:rsidRPr="006F33A4">
        <w:rPr>
          <w:rFonts w:ascii="宋体" w:hint="eastAsia"/>
        </w:rPr>
        <w:t>止</w:t>
      </w:r>
      <w:proofErr w:type="gramEnd"/>
      <w:r w:rsidRPr="006F33A4">
        <w:rPr>
          <w:rFonts w:ascii="宋体" w:hint="eastAsia"/>
        </w:rPr>
        <w:t>清算期间的银行存款利息</w:t>
      </w:r>
      <w:r w:rsidR="00322DB3" w:rsidRPr="006F33A4">
        <w:rPr>
          <w:rFonts w:ascii="宋体" w:hint="eastAsia"/>
        </w:rPr>
        <w:t>收入</w:t>
      </w:r>
      <w:r w:rsidR="004B0EB0" w:rsidRPr="006F33A4">
        <w:rPr>
          <w:rFonts w:ascii="宋体" w:hint="eastAsia"/>
        </w:rPr>
        <w:t>、</w:t>
      </w:r>
      <w:r w:rsidR="004B0EB0" w:rsidRPr="006F33A4">
        <w:rPr>
          <w:rFonts w:hint="eastAsia"/>
        </w:rPr>
        <w:t>清算备付金</w:t>
      </w:r>
      <w:r w:rsidR="004B0EB0" w:rsidRPr="006F33A4">
        <w:t>利息收入</w:t>
      </w:r>
      <w:r w:rsidR="002602F7">
        <w:rPr>
          <w:rFonts w:hint="eastAsia"/>
        </w:rPr>
        <w:t>和</w:t>
      </w:r>
      <w:r w:rsidRPr="006F33A4">
        <w:rPr>
          <w:rFonts w:ascii="宋体" w:hint="eastAsia"/>
        </w:rPr>
        <w:t>存出保证金利息</w:t>
      </w:r>
      <w:r w:rsidR="00322DB3" w:rsidRPr="006F33A4">
        <w:rPr>
          <w:rFonts w:ascii="宋体" w:hint="eastAsia"/>
        </w:rPr>
        <w:t>收入</w:t>
      </w:r>
      <w:r w:rsidRPr="006F33A4">
        <w:rPr>
          <w:rFonts w:ascii="宋体" w:hint="eastAsia"/>
        </w:rPr>
        <w:t>。</w:t>
      </w:r>
    </w:p>
    <w:p w14:paraId="74D749D5" w14:textId="7B960AC9" w:rsidR="00DC3906" w:rsidRPr="006F33A4" w:rsidRDefault="00C16F1F" w:rsidP="00D90A0F">
      <w:pPr>
        <w:tabs>
          <w:tab w:val="left" w:pos="5060"/>
        </w:tabs>
        <w:rPr>
          <w:rFonts w:ascii="宋体"/>
        </w:rPr>
      </w:pPr>
      <w:r w:rsidRPr="006F33A4">
        <w:rPr>
          <w:rFonts w:ascii="宋体"/>
        </w:rPr>
        <w:t>2</w:t>
      </w:r>
      <w:r w:rsidR="00D33914" w:rsidRPr="006F33A4">
        <w:rPr>
          <w:rFonts w:ascii="宋体" w:hint="eastAsia"/>
        </w:rPr>
        <w:t>：本基金清算期间</w:t>
      </w:r>
      <w:r w:rsidR="007029B0">
        <w:rPr>
          <w:rFonts w:ascii="宋体" w:hint="eastAsia"/>
        </w:rPr>
        <w:t>律师费由基金管理人承担；</w:t>
      </w:r>
      <w:r w:rsidR="00E34CF0">
        <w:rPr>
          <w:rFonts w:ascii="宋体" w:hint="eastAsia"/>
        </w:rPr>
        <w:t>清算期间有银行划款手续费退</w:t>
      </w:r>
      <w:r w:rsidR="005C0B96">
        <w:rPr>
          <w:rFonts w:ascii="宋体" w:hint="eastAsia"/>
        </w:rPr>
        <w:t>费</w:t>
      </w:r>
      <w:r w:rsidR="00E34CF0">
        <w:rPr>
          <w:rFonts w:ascii="宋体" w:hint="eastAsia"/>
        </w:rPr>
        <w:t>。</w:t>
      </w:r>
      <w:r w:rsidR="00D90A0F">
        <w:rPr>
          <w:rFonts w:ascii="宋体"/>
        </w:rPr>
        <w:tab/>
      </w:r>
    </w:p>
    <w:p w14:paraId="02385D41" w14:textId="77777777" w:rsidR="00DC3906" w:rsidRPr="006F33A4" w:rsidRDefault="001F22F5" w:rsidP="00CA7C64">
      <w:pPr>
        <w:spacing w:beforeLines="50" w:before="156" w:afterLines="50" w:after="156"/>
        <w:rPr>
          <w:rFonts w:ascii="宋体"/>
          <w:b/>
        </w:rPr>
      </w:pPr>
      <w:r w:rsidRPr="006F33A4">
        <w:rPr>
          <w:rFonts w:ascii="宋体" w:hAnsi="宋体" w:hint="eastAsia"/>
          <w:b/>
        </w:rPr>
        <w:t>5</w:t>
      </w:r>
      <w:r w:rsidR="00DC3906" w:rsidRPr="006F33A4">
        <w:rPr>
          <w:rFonts w:ascii="宋体" w:hAnsi="宋体" w:hint="eastAsia"/>
          <w:b/>
        </w:rPr>
        <w:t>、资产处置及负债清偿后的剩余资产分配情况</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0"/>
        <w:gridCol w:w="4192"/>
      </w:tblGrid>
      <w:tr w:rsidR="00DC3906" w:rsidRPr="006F33A4" w14:paraId="5B688317" w14:textId="77777777" w:rsidTr="002373EE">
        <w:tc>
          <w:tcPr>
            <w:tcW w:w="4340" w:type="dxa"/>
          </w:tcPr>
          <w:p w14:paraId="475E373E" w14:textId="77777777" w:rsidR="00DC3906" w:rsidRPr="006F33A4" w:rsidRDefault="00DC3906" w:rsidP="00380EB5">
            <w:pPr>
              <w:rPr>
                <w:rFonts w:ascii="宋体"/>
              </w:rPr>
            </w:pPr>
            <w:r w:rsidRPr="006F33A4">
              <w:rPr>
                <w:rFonts w:ascii="宋体" w:hAnsi="宋体" w:hint="eastAsia"/>
              </w:rPr>
              <w:t>项目</w:t>
            </w:r>
          </w:p>
        </w:tc>
        <w:tc>
          <w:tcPr>
            <w:tcW w:w="4192" w:type="dxa"/>
          </w:tcPr>
          <w:p w14:paraId="047A1AF3" w14:textId="77777777" w:rsidR="00DC3906" w:rsidRPr="006F33A4" w:rsidRDefault="00DC3906" w:rsidP="00380EB5">
            <w:pPr>
              <w:rPr>
                <w:rFonts w:ascii="宋体"/>
              </w:rPr>
            </w:pPr>
            <w:r w:rsidRPr="006F33A4">
              <w:rPr>
                <w:rFonts w:ascii="宋体" w:hAnsi="宋体" w:hint="eastAsia"/>
              </w:rPr>
              <w:t>金额（单位：人民币元）</w:t>
            </w:r>
          </w:p>
        </w:tc>
      </w:tr>
      <w:tr w:rsidR="00DC3906" w:rsidRPr="006F33A4" w14:paraId="2A38E01B" w14:textId="77777777" w:rsidTr="002373EE">
        <w:tc>
          <w:tcPr>
            <w:tcW w:w="4340" w:type="dxa"/>
          </w:tcPr>
          <w:p w14:paraId="5379E6A4" w14:textId="1ACADCB7" w:rsidR="00DC3906" w:rsidRPr="006F33A4" w:rsidRDefault="00DC3906" w:rsidP="00B1487A">
            <w:pPr>
              <w:rPr>
                <w:rFonts w:ascii="宋体"/>
              </w:rPr>
            </w:pPr>
            <w:r w:rsidRPr="006F33A4">
              <w:rPr>
                <w:rFonts w:ascii="宋体" w:hAnsi="宋体" w:hint="eastAsia"/>
              </w:rPr>
              <w:t>一、最后运作日</w:t>
            </w:r>
            <w:r w:rsidR="00C20DB8" w:rsidRPr="006F33A4">
              <w:rPr>
                <w:rFonts w:ascii="宋体" w:hAnsi="宋体"/>
              </w:rPr>
              <w:t>20</w:t>
            </w:r>
            <w:r w:rsidR="00B1487A">
              <w:rPr>
                <w:rFonts w:ascii="宋体" w:hAnsi="宋体"/>
              </w:rPr>
              <w:t>21</w:t>
            </w:r>
            <w:r w:rsidR="00C20DB8" w:rsidRPr="006F33A4">
              <w:rPr>
                <w:rFonts w:ascii="宋体" w:hAnsi="宋体" w:hint="eastAsia"/>
              </w:rPr>
              <w:t>年</w:t>
            </w:r>
            <w:r w:rsidR="00B1487A">
              <w:rPr>
                <w:rFonts w:ascii="宋体" w:hAnsi="宋体"/>
              </w:rPr>
              <w:t>12</w:t>
            </w:r>
            <w:r w:rsidRPr="006F33A4">
              <w:rPr>
                <w:rFonts w:ascii="宋体" w:hAnsi="宋体" w:hint="eastAsia"/>
              </w:rPr>
              <w:t>月</w:t>
            </w:r>
            <w:r w:rsidR="00B1487A">
              <w:rPr>
                <w:rFonts w:ascii="宋体" w:hAnsi="宋体" w:hint="eastAsia"/>
              </w:rPr>
              <w:t>1</w:t>
            </w:r>
            <w:r w:rsidR="00C20DB8">
              <w:rPr>
                <w:rFonts w:ascii="宋体" w:hAnsi="宋体"/>
              </w:rPr>
              <w:t>5</w:t>
            </w:r>
            <w:r w:rsidRPr="006F33A4">
              <w:rPr>
                <w:rFonts w:ascii="宋体" w:hAnsi="宋体" w:hint="eastAsia"/>
              </w:rPr>
              <w:t>日基金净资产</w:t>
            </w:r>
          </w:p>
        </w:tc>
        <w:tc>
          <w:tcPr>
            <w:tcW w:w="4192" w:type="dxa"/>
          </w:tcPr>
          <w:p w14:paraId="069200E4" w14:textId="02937FDD" w:rsidR="00DC3906" w:rsidRPr="00B46327" w:rsidRDefault="006D46D7" w:rsidP="00E55BB9">
            <w:pPr>
              <w:jc w:val="right"/>
              <w:rPr>
                <w:rFonts w:ascii="宋体" w:hAnsi="宋体"/>
              </w:rPr>
            </w:pPr>
            <w:r w:rsidRPr="00B46327">
              <w:rPr>
                <w:rFonts w:ascii="宋体" w:hAnsi="宋体"/>
              </w:rPr>
              <w:t>4,845,644.</w:t>
            </w:r>
            <w:r w:rsidR="00E55BB9" w:rsidRPr="00B46327">
              <w:rPr>
                <w:rFonts w:ascii="宋体" w:hAnsi="宋体"/>
              </w:rPr>
              <w:t>4</w:t>
            </w:r>
            <w:r w:rsidRPr="00B46327">
              <w:rPr>
                <w:rFonts w:ascii="宋体" w:hAnsi="宋体"/>
              </w:rPr>
              <w:t>9</w:t>
            </w:r>
          </w:p>
        </w:tc>
      </w:tr>
      <w:tr w:rsidR="00DC3906" w:rsidRPr="006F33A4" w14:paraId="486807FD" w14:textId="77777777" w:rsidTr="002373EE">
        <w:tc>
          <w:tcPr>
            <w:tcW w:w="4340" w:type="dxa"/>
          </w:tcPr>
          <w:p w14:paraId="62FA24E7" w14:textId="77777777" w:rsidR="00DC3906" w:rsidRPr="006F33A4" w:rsidRDefault="00DC3906" w:rsidP="00380EB5">
            <w:pPr>
              <w:rPr>
                <w:rFonts w:ascii="宋体"/>
              </w:rPr>
            </w:pPr>
            <w:r w:rsidRPr="006F33A4">
              <w:rPr>
                <w:rFonts w:ascii="宋体" w:hAnsi="宋体" w:hint="eastAsia"/>
              </w:rPr>
              <w:t>加：清算期间净收益</w:t>
            </w:r>
          </w:p>
        </w:tc>
        <w:tc>
          <w:tcPr>
            <w:tcW w:w="4192" w:type="dxa"/>
          </w:tcPr>
          <w:p w14:paraId="31669B7E" w14:textId="759C498F" w:rsidR="00DC3906" w:rsidRPr="00B46327" w:rsidRDefault="006D46D7" w:rsidP="003F3765">
            <w:pPr>
              <w:jc w:val="right"/>
              <w:rPr>
                <w:rFonts w:ascii="宋体" w:hAnsi="宋体"/>
              </w:rPr>
            </w:pPr>
            <w:r w:rsidRPr="00B46327">
              <w:rPr>
                <w:rFonts w:ascii="宋体" w:hAnsi="宋体"/>
              </w:rPr>
              <w:t>1,283.56</w:t>
            </w:r>
          </w:p>
        </w:tc>
      </w:tr>
      <w:tr w:rsidR="00CD6CF4" w:rsidRPr="00CD6CF4" w14:paraId="30782192" w14:textId="77777777" w:rsidTr="002373EE">
        <w:tc>
          <w:tcPr>
            <w:tcW w:w="4340" w:type="dxa"/>
          </w:tcPr>
          <w:p w14:paraId="5A075F3B" w14:textId="17E2F98D" w:rsidR="0006571A" w:rsidRPr="006F33A4" w:rsidRDefault="0006571A" w:rsidP="00E32605">
            <w:pPr>
              <w:rPr>
                <w:rFonts w:ascii="宋体" w:hAnsi="宋体"/>
                <w:color w:val="FF0000"/>
              </w:rPr>
            </w:pPr>
            <w:r w:rsidRPr="006F33A4">
              <w:rPr>
                <w:rFonts w:ascii="宋体" w:hAnsi="宋体" w:hint="eastAsia"/>
              </w:rPr>
              <w:t>减：</w:t>
            </w:r>
            <w:r w:rsidR="00AD0105" w:rsidRPr="006F33A4">
              <w:rPr>
                <w:rFonts w:ascii="宋体" w:hAnsi="宋体" w:hint="eastAsia"/>
              </w:rPr>
              <w:t>202</w:t>
            </w:r>
            <w:r w:rsidR="00E32605">
              <w:rPr>
                <w:rFonts w:ascii="宋体" w:hAnsi="宋体"/>
              </w:rPr>
              <w:t>1</w:t>
            </w:r>
            <w:r w:rsidR="00AD0105" w:rsidRPr="006F33A4">
              <w:rPr>
                <w:rFonts w:ascii="宋体" w:hAnsi="宋体" w:hint="eastAsia"/>
              </w:rPr>
              <w:t>年</w:t>
            </w:r>
            <w:r w:rsidR="00AD0105">
              <w:rPr>
                <w:rFonts w:ascii="宋体" w:hAnsi="宋体"/>
              </w:rPr>
              <w:t>1</w:t>
            </w:r>
            <w:r w:rsidR="00E32605">
              <w:rPr>
                <w:rFonts w:ascii="宋体" w:hAnsi="宋体"/>
              </w:rPr>
              <w:t>2</w:t>
            </w:r>
            <w:r w:rsidR="00A64EE8" w:rsidRPr="006F33A4">
              <w:rPr>
                <w:rFonts w:ascii="宋体" w:hAnsi="宋体" w:hint="eastAsia"/>
              </w:rPr>
              <w:t>月</w:t>
            </w:r>
            <w:r w:rsidR="00E32605">
              <w:rPr>
                <w:rFonts w:ascii="宋体" w:hAnsi="宋体"/>
              </w:rPr>
              <w:t>16</w:t>
            </w:r>
            <w:r w:rsidR="00A64EE8" w:rsidRPr="006F33A4">
              <w:rPr>
                <w:rFonts w:ascii="宋体" w:hAnsi="宋体" w:hint="eastAsia"/>
              </w:rPr>
              <w:t>日确认的净</w:t>
            </w:r>
            <w:proofErr w:type="gramStart"/>
            <w:r w:rsidR="00A64EE8" w:rsidRPr="006F33A4">
              <w:rPr>
                <w:rFonts w:ascii="宋体" w:hAnsi="宋体" w:hint="eastAsia"/>
              </w:rPr>
              <w:t>赎回款</w:t>
            </w:r>
            <w:proofErr w:type="gramEnd"/>
          </w:p>
        </w:tc>
        <w:tc>
          <w:tcPr>
            <w:tcW w:w="4192" w:type="dxa"/>
          </w:tcPr>
          <w:p w14:paraId="67DD50F8" w14:textId="41C8B6E5" w:rsidR="0006571A" w:rsidRPr="00B46327" w:rsidRDefault="00B46327" w:rsidP="0006571A">
            <w:pPr>
              <w:jc w:val="right"/>
              <w:rPr>
                <w:rFonts w:ascii="宋体" w:hAnsi="宋体"/>
              </w:rPr>
            </w:pPr>
            <w:r w:rsidRPr="00B46327">
              <w:rPr>
                <w:rFonts w:ascii="宋体" w:hAnsi="宋体"/>
              </w:rPr>
              <w:t>146,820.93</w:t>
            </w:r>
          </w:p>
        </w:tc>
      </w:tr>
      <w:tr w:rsidR="00DC3906" w:rsidRPr="006F33A4" w14:paraId="12565C2D" w14:textId="77777777" w:rsidTr="002373EE">
        <w:tc>
          <w:tcPr>
            <w:tcW w:w="4340" w:type="dxa"/>
          </w:tcPr>
          <w:p w14:paraId="0BACB1F6" w14:textId="252632C7" w:rsidR="00DC3906" w:rsidRPr="006F33A4" w:rsidRDefault="00DC3906" w:rsidP="002020C4">
            <w:pPr>
              <w:rPr>
                <w:rFonts w:ascii="宋体"/>
              </w:rPr>
            </w:pPr>
            <w:r w:rsidRPr="006F33A4">
              <w:rPr>
                <w:rFonts w:ascii="宋体" w:hAnsi="宋体" w:hint="eastAsia"/>
              </w:rPr>
              <w:t>二、</w:t>
            </w:r>
            <w:r w:rsidR="00DB44A4" w:rsidRPr="006F33A4">
              <w:rPr>
                <w:rFonts w:ascii="宋体" w:hAnsi="宋体"/>
              </w:rPr>
              <w:t>20</w:t>
            </w:r>
            <w:r w:rsidR="00DB44A4" w:rsidRPr="006F33A4">
              <w:rPr>
                <w:rFonts w:ascii="宋体" w:hAnsi="宋体" w:hint="eastAsia"/>
              </w:rPr>
              <w:t>2</w:t>
            </w:r>
            <w:r w:rsidR="002020C4">
              <w:rPr>
                <w:rFonts w:ascii="宋体" w:hAnsi="宋体"/>
              </w:rPr>
              <w:t>1</w:t>
            </w:r>
            <w:r w:rsidR="00DB44A4" w:rsidRPr="006F33A4">
              <w:rPr>
                <w:rFonts w:ascii="宋体" w:hAnsi="宋体" w:hint="eastAsia"/>
              </w:rPr>
              <w:t>年</w:t>
            </w:r>
            <w:r w:rsidR="002020C4">
              <w:rPr>
                <w:rFonts w:ascii="宋体" w:hAnsi="宋体"/>
              </w:rPr>
              <w:t>12</w:t>
            </w:r>
            <w:r w:rsidRPr="006F33A4">
              <w:rPr>
                <w:rFonts w:ascii="宋体" w:hAnsi="宋体" w:hint="eastAsia"/>
              </w:rPr>
              <w:t>月</w:t>
            </w:r>
            <w:r w:rsidR="002020C4">
              <w:rPr>
                <w:rFonts w:ascii="宋体" w:hAnsi="宋体"/>
              </w:rPr>
              <w:t>31</w:t>
            </w:r>
            <w:r w:rsidRPr="006F33A4">
              <w:rPr>
                <w:rFonts w:ascii="宋体" w:hAnsi="宋体" w:hint="eastAsia"/>
              </w:rPr>
              <w:t>日基金净资产</w:t>
            </w:r>
          </w:p>
        </w:tc>
        <w:tc>
          <w:tcPr>
            <w:tcW w:w="4192" w:type="dxa"/>
          </w:tcPr>
          <w:p w14:paraId="7B33EEA0" w14:textId="6845C094" w:rsidR="00DC3906" w:rsidRPr="00B46327" w:rsidRDefault="00E32605" w:rsidP="0006571A">
            <w:pPr>
              <w:jc w:val="right"/>
              <w:rPr>
                <w:rFonts w:ascii="宋体"/>
              </w:rPr>
            </w:pPr>
            <w:r w:rsidRPr="00B46327">
              <w:rPr>
                <w:rFonts w:ascii="宋体"/>
              </w:rPr>
              <w:t>4,700,107.12</w:t>
            </w:r>
          </w:p>
        </w:tc>
      </w:tr>
    </w:tbl>
    <w:p w14:paraId="161ADB21" w14:textId="59204FD2" w:rsidR="009961D2" w:rsidRPr="006F33A4" w:rsidRDefault="00DC3906" w:rsidP="00F530F3">
      <w:pPr>
        <w:ind w:firstLineChars="200" w:firstLine="400"/>
        <w:rPr>
          <w:rFonts w:ascii="宋体"/>
        </w:rPr>
      </w:pPr>
      <w:r w:rsidRPr="006F33A4">
        <w:rPr>
          <w:rFonts w:ascii="宋体" w:hAnsi="宋体" w:hint="eastAsia"/>
        </w:rPr>
        <w:t>资产处置及负债清偿后，</w:t>
      </w:r>
      <w:r w:rsidR="00AD0105" w:rsidRPr="006F33A4">
        <w:rPr>
          <w:rFonts w:ascii="宋体" w:hAnsi="宋体"/>
        </w:rPr>
        <w:t>20</w:t>
      </w:r>
      <w:r w:rsidR="002020C4">
        <w:rPr>
          <w:rFonts w:ascii="宋体" w:hAnsi="宋体"/>
        </w:rPr>
        <w:t>21</w:t>
      </w:r>
      <w:r w:rsidR="00AD0105" w:rsidRPr="006F33A4">
        <w:rPr>
          <w:rFonts w:ascii="宋体" w:hAnsi="宋体" w:hint="eastAsia"/>
        </w:rPr>
        <w:t>年</w:t>
      </w:r>
      <w:r w:rsidR="002020C4">
        <w:rPr>
          <w:rFonts w:ascii="宋体" w:hAnsi="宋体"/>
        </w:rPr>
        <w:t>12</w:t>
      </w:r>
      <w:r w:rsidRPr="006F33A4">
        <w:rPr>
          <w:rFonts w:ascii="宋体" w:hAnsi="宋体" w:hint="eastAsia"/>
        </w:rPr>
        <w:t>月</w:t>
      </w:r>
      <w:r w:rsidR="002020C4">
        <w:rPr>
          <w:rFonts w:ascii="宋体" w:hAnsi="宋体" w:hint="eastAsia"/>
        </w:rPr>
        <w:t>3</w:t>
      </w:r>
      <w:r w:rsidR="002020C4">
        <w:rPr>
          <w:rFonts w:ascii="宋体" w:hAnsi="宋体"/>
        </w:rPr>
        <w:t>1</w:t>
      </w:r>
      <w:r w:rsidRPr="006F33A4">
        <w:rPr>
          <w:rFonts w:ascii="宋体" w:hAnsi="宋体" w:hint="eastAsia"/>
        </w:rPr>
        <w:t>日本基金剩余财产为人民币</w:t>
      </w:r>
      <w:r w:rsidR="00A33882" w:rsidRPr="00A33882">
        <w:rPr>
          <w:rFonts w:ascii="宋体"/>
        </w:rPr>
        <w:t>4,700,107.12</w:t>
      </w:r>
      <w:r w:rsidRPr="006F33A4">
        <w:rPr>
          <w:rFonts w:ascii="宋体" w:hAnsi="宋体" w:hint="eastAsia"/>
        </w:rPr>
        <w:t>元，根据本基金的基金合同约定，依据基金从财产清算的分配方案，将基金财产清算后的全部剩余资产扣除基金财产清算费用、缴纳所欠税款并清偿基金债务后，按基金份额持有人持有的基金份额比例进行分配。</w:t>
      </w:r>
      <w:r w:rsidR="0096721B" w:rsidRPr="006F33A4">
        <w:rPr>
          <w:rFonts w:ascii="宋体" w:hAnsi="宋体" w:hint="eastAsia"/>
        </w:rPr>
        <w:t>若后续清算中出现资产不足以支付债务的</w:t>
      </w:r>
      <w:r w:rsidR="0096721B" w:rsidRPr="006F33A4">
        <w:rPr>
          <w:rFonts w:ascii="宋体" w:hAnsi="宋体"/>
        </w:rPr>
        <w:t>情况，</w:t>
      </w:r>
      <w:r w:rsidR="0096721B" w:rsidRPr="006F33A4">
        <w:rPr>
          <w:rFonts w:ascii="宋体" w:hAnsi="宋体" w:hint="eastAsia"/>
        </w:rPr>
        <w:t>以持有人利益考虑，由管理人承担。</w:t>
      </w:r>
    </w:p>
    <w:p w14:paraId="1F553DFB" w14:textId="788ED2FF" w:rsidR="001D2408" w:rsidRPr="006F33A4" w:rsidRDefault="00A64EE8" w:rsidP="00CA7C64">
      <w:pPr>
        <w:spacing w:beforeLines="50" w:before="156" w:afterLines="50" w:after="156"/>
        <w:ind w:firstLineChars="200" w:firstLine="400"/>
        <w:rPr>
          <w:rFonts w:ascii="宋体" w:hAnsi="宋体"/>
        </w:rPr>
      </w:pPr>
      <w:r w:rsidRPr="006F33A4">
        <w:rPr>
          <w:rFonts w:ascii="宋体" w:hAnsi="宋体" w:hint="eastAsia"/>
        </w:rPr>
        <w:t>清算起始日</w:t>
      </w:r>
      <w:r w:rsidR="00AD0105" w:rsidRPr="006F33A4">
        <w:rPr>
          <w:rFonts w:ascii="宋体" w:hAnsi="宋体" w:hint="eastAsia"/>
        </w:rPr>
        <w:t>20</w:t>
      </w:r>
      <w:r w:rsidR="00DC27BA">
        <w:rPr>
          <w:rFonts w:ascii="宋体" w:hAnsi="宋体"/>
        </w:rPr>
        <w:t>21</w:t>
      </w:r>
      <w:r w:rsidR="00AD0105" w:rsidRPr="006F33A4">
        <w:rPr>
          <w:rFonts w:ascii="宋体" w:hAnsi="宋体" w:hint="eastAsia"/>
        </w:rPr>
        <w:t>年</w:t>
      </w:r>
      <w:r w:rsidR="00DC27BA">
        <w:rPr>
          <w:rFonts w:ascii="宋体" w:hAnsi="宋体"/>
        </w:rPr>
        <w:t>12</w:t>
      </w:r>
      <w:r w:rsidRPr="006F33A4">
        <w:rPr>
          <w:rFonts w:ascii="宋体" w:hAnsi="宋体" w:hint="eastAsia"/>
        </w:rPr>
        <w:t>月</w:t>
      </w:r>
      <w:r w:rsidR="00DC27BA">
        <w:rPr>
          <w:rFonts w:ascii="宋体" w:hAnsi="宋体" w:hint="eastAsia"/>
        </w:rPr>
        <w:t>1</w:t>
      </w:r>
      <w:r w:rsidR="00AD0105">
        <w:rPr>
          <w:rFonts w:ascii="宋体" w:hAnsi="宋体"/>
        </w:rPr>
        <w:t>6</w:t>
      </w:r>
      <w:r w:rsidRPr="006F33A4">
        <w:rPr>
          <w:rFonts w:ascii="宋体" w:hAnsi="宋体" w:hint="eastAsia"/>
        </w:rPr>
        <w:t>日至</w:t>
      </w:r>
      <w:proofErr w:type="gramStart"/>
      <w:r w:rsidRPr="006F33A4">
        <w:rPr>
          <w:rFonts w:ascii="宋体" w:hAnsi="宋体" w:hint="eastAsia"/>
        </w:rPr>
        <w:t>清算款</w:t>
      </w:r>
      <w:proofErr w:type="gramEnd"/>
      <w:r w:rsidRPr="006F33A4">
        <w:rPr>
          <w:rFonts w:ascii="宋体" w:hAnsi="宋体" w:hint="eastAsia"/>
        </w:rPr>
        <w:t>划出日前一日的银行存款产生的利息亦属份额持有人所有。截至</w:t>
      </w:r>
      <w:r w:rsidR="00AD0105" w:rsidRPr="006F33A4">
        <w:rPr>
          <w:rFonts w:ascii="宋体" w:hAnsi="宋体" w:hint="eastAsia"/>
        </w:rPr>
        <w:t>20</w:t>
      </w:r>
      <w:r w:rsidR="00DC27BA">
        <w:rPr>
          <w:rFonts w:ascii="宋体" w:hAnsi="宋体"/>
        </w:rPr>
        <w:t>21</w:t>
      </w:r>
      <w:r w:rsidR="00AD0105" w:rsidRPr="006F33A4">
        <w:rPr>
          <w:rFonts w:ascii="宋体" w:hAnsi="宋体" w:hint="eastAsia"/>
        </w:rPr>
        <w:t>年</w:t>
      </w:r>
      <w:r w:rsidR="00DC27BA">
        <w:rPr>
          <w:rFonts w:ascii="宋体" w:hAnsi="宋体"/>
        </w:rPr>
        <w:t>12</w:t>
      </w:r>
      <w:r w:rsidRPr="006F33A4">
        <w:rPr>
          <w:rFonts w:ascii="宋体" w:hAnsi="宋体" w:hint="eastAsia"/>
        </w:rPr>
        <w:t>月</w:t>
      </w:r>
      <w:r w:rsidR="00937908">
        <w:rPr>
          <w:rFonts w:ascii="宋体" w:hAnsi="宋体"/>
        </w:rPr>
        <w:t>31</w:t>
      </w:r>
      <w:r w:rsidRPr="006F33A4">
        <w:rPr>
          <w:rFonts w:ascii="宋体" w:hAnsi="宋体" w:hint="eastAsia"/>
        </w:rPr>
        <w:t>日止的应收利息共计人</w:t>
      </w:r>
      <w:r w:rsidRPr="00C021C2">
        <w:rPr>
          <w:rFonts w:ascii="宋体" w:hAnsi="宋体" w:hint="eastAsia"/>
        </w:rPr>
        <w:t>民币</w:t>
      </w:r>
      <w:r w:rsidR="00937908" w:rsidRPr="00C021C2">
        <w:rPr>
          <w:rFonts w:ascii="宋体" w:hAnsi="宋体"/>
        </w:rPr>
        <w:t>1,043.</w:t>
      </w:r>
      <w:r w:rsidR="00C021C2" w:rsidRPr="00C021C2">
        <w:rPr>
          <w:rFonts w:ascii="宋体" w:hAnsi="宋体"/>
        </w:rPr>
        <w:t>5</w:t>
      </w:r>
      <w:r w:rsidR="00937908" w:rsidRPr="00C021C2">
        <w:rPr>
          <w:rFonts w:ascii="宋体" w:hAnsi="宋体"/>
        </w:rPr>
        <w:t>7</w:t>
      </w:r>
      <w:r w:rsidRPr="00C021C2">
        <w:rPr>
          <w:rFonts w:ascii="宋体" w:hAnsi="宋体" w:hint="eastAsia"/>
        </w:rPr>
        <w:t>元（以</w:t>
      </w:r>
      <w:r w:rsidRPr="00162F5F">
        <w:rPr>
          <w:rFonts w:ascii="宋体" w:hAnsi="宋体" w:hint="eastAsia"/>
        </w:rPr>
        <w:t>当前适用的利</w:t>
      </w:r>
      <w:r w:rsidRPr="006F33A4">
        <w:rPr>
          <w:rFonts w:ascii="宋体" w:hAnsi="宋体" w:hint="eastAsia"/>
        </w:rPr>
        <w:t>率预估），将由基金管理人以自有资金垫付，于</w:t>
      </w:r>
      <w:proofErr w:type="gramStart"/>
      <w:r w:rsidRPr="006F33A4">
        <w:rPr>
          <w:rFonts w:ascii="宋体" w:hAnsi="宋体" w:hint="eastAsia"/>
        </w:rPr>
        <w:t>清算款</w:t>
      </w:r>
      <w:proofErr w:type="gramEnd"/>
      <w:r w:rsidRPr="006F33A4">
        <w:rPr>
          <w:rFonts w:ascii="宋体" w:hAnsi="宋体" w:hint="eastAsia"/>
        </w:rPr>
        <w:t>划出日前划入托管账户。</w:t>
      </w:r>
      <w:r w:rsidR="00AD0105" w:rsidRPr="006F33A4">
        <w:rPr>
          <w:rFonts w:ascii="宋体" w:hAnsi="宋体" w:hint="eastAsia"/>
        </w:rPr>
        <w:t>20</w:t>
      </w:r>
      <w:r w:rsidR="00162F5F">
        <w:rPr>
          <w:rFonts w:ascii="宋体" w:hAnsi="宋体"/>
        </w:rPr>
        <w:t>22</w:t>
      </w:r>
      <w:r w:rsidR="00AD0105" w:rsidRPr="006F33A4">
        <w:rPr>
          <w:rFonts w:ascii="宋体" w:hAnsi="宋体" w:hint="eastAsia"/>
        </w:rPr>
        <w:t>年</w:t>
      </w:r>
      <w:r w:rsidR="00162F5F">
        <w:rPr>
          <w:rFonts w:ascii="宋体" w:hAnsi="宋体"/>
        </w:rPr>
        <w:t>1</w:t>
      </w:r>
      <w:r w:rsidRPr="006F33A4">
        <w:rPr>
          <w:rFonts w:ascii="宋体" w:hAnsi="宋体" w:hint="eastAsia"/>
        </w:rPr>
        <w:t>月</w:t>
      </w:r>
      <w:r w:rsidR="00162F5F">
        <w:rPr>
          <w:rFonts w:ascii="宋体" w:hAnsi="宋体"/>
        </w:rPr>
        <w:t>1</w:t>
      </w:r>
      <w:r w:rsidRPr="006F33A4">
        <w:rPr>
          <w:rFonts w:ascii="宋体" w:hAnsi="宋体" w:hint="eastAsia"/>
        </w:rPr>
        <w:t>日至</w:t>
      </w:r>
      <w:proofErr w:type="gramStart"/>
      <w:r w:rsidRPr="006F33A4">
        <w:rPr>
          <w:rFonts w:ascii="宋体" w:hAnsi="宋体" w:hint="eastAsia"/>
        </w:rPr>
        <w:t>清算款</w:t>
      </w:r>
      <w:proofErr w:type="gramEnd"/>
      <w:r w:rsidRPr="006F33A4">
        <w:rPr>
          <w:rFonts w:ascii="宋体" w:hAnsi="宋体" w:hint="eastAsia"/>
        </w:rPr>
        <w:t>划出日前一日的银行存款产生的利息亦由基金管理人以自有资金垫付。实际结息金额与垫付金额的尾差由基金管理人承担。</w:t>
      </w:r>
    </w:p>
    <w:p w14:paraId="24379A7B" w14:textId="77777777" w:rsidR="00DC3906" w:rsidRPr="006F33A4" w:rsidRDefault="00A64EE8" w:rsidP="00CA7C64">
      <w:pPr>
        <w:spacing w:beforeLines="50" w:before="156" w:afterLines="50" w:after="156"/>
        <w:rPr>
          <w:rFonts w:ascii="宋体"/>
          <w:b/>
        </w:rPr>
      </w:pPr>
      <w:r w:rsidRPr="006F33A4">
        <w:rPr>
          <w:rFonts w:ascii="宋体" w:hAnsi="宋体"/>
          <w:b/>
        </w:rPr>
        <w:t>6</w:t>
      </w:r>
      <w:r w:rsidR="00DC3906" w:rsidRPr="006F33A4">
        <w:rPr>
          <w:rFonts w:ascii="宋体" w:hAnsi="宋体" w:hint="eastAsia"/>
          <w:b/>
        </w:rPr>
        <w:t>、基金财产清算报告的告知安排</w:t>
      </w:r>
    </w:p>
    <w:p w14:paraId="042E216D" w14:textId="77777777" w:rsidR="00DC3906" w:rsidRPr="006F33A4" w:rsidRDefault="00DC3906" w:rsidP="00C95394">
      <w:pPr>
        <w:ind w:firstLine="408"/>
        <w:rPr>
          <w:rFonts w:ascii="宋体"/>
        </w:rPr>
      </w:pPr>
      <w:r w:rsidRPr="006F33A4">
        <w:rPr>
          <w:rFonts w:ascii="宋体" w:hAnsi="宋体" w:hint="eastAsia"/>
        </w:rPr>
        <w:t>清算报告已经基金托管人复核，在经会计师事务所审计、律师事务所出具法律意见书后，报中国证监会备案后向基金份额持有人公告。</w:t>
      </w:r>
    </w:p>
    <w:p w14:paraId="78C503AC" w14:textId="77777777" w:rsidR="00DC3906" w:rsidRPr="006F33A4" w:rsidRDefault="00DC3906" w:rsidP="00C95394">
      <w:pPr>
        <w:rPr>
          <w:rFonts w:ascii="宋体"/>
        </w:rPr>
      </w:pPr>
    </w:p>
    <w:p w14:paraId="392ADCB7" w14:textId="77777777" w:rsidR="00DC3906" w:rsidRPr="006F33A4" w:rsidRDefault="00DC3906" w:rsidP="00CA7C64">
      <w:pPr>
        <w:spacing w:afterLines="100" w:after="312"/>
        <w:rPr>
          <w:rStyle w:val="ab"/>
        </w:rPr>
      </w:pPr>
      <w:r w:rsidRPr="006F33A4">
        <w:rPr>
          <w:rStyle w:val="ab"/>
          <w:rFonts w:hint="eastAsia"/>
        </w:rPr>
        <w:t>六、备查文件目录</w:t>
      </w:r>
    </w:p>
    <w:p w14:paraId="3C621C71" w14:textId="77777777" w:rsidR="00BA0F3F" w:rsidRPr="006F33A4" w:rsidRDefault="00DC3906" w:rsidP="00CA7C64">
      <w:pPr>
        <w:spacing w:afterLines="50" w:after="156"/>
        <w:rPr>
          <w:rFonts w:ascii="宋体"/>
          <w:b/>
        </w:rPr>
      </w:pPr>
      <w:r w:rsidRPr="006F33A4">
        <w:rPr>
          <w:rFonts w:ascii="宋体" w:hAnsi="宋体"/>
          <w:b/>
        </w:rPr>
        <w:t>1</w:t>
      </w:r>
      <w:r w:rsidRPr="006F33A4">
        <w:rPr>
          <w:rFonts w:ascii="宋体" w:hAnsi="宋体" w:hint="eastAsia"/>
          <w:b/>
        </w:rPr>
        <w:t>、备查文件目录</w:t>
      </w:r>
    </w:p>
    <w:p w14:paraId="1AE9EB3A" w14:textId="3F4DF1CF" w:rsidR="00DC3906" w:rsidRPr="006F33A4" w:rsidRDefault="00DC3906" w:rsidP="00C14181">
      <w:pPr>
        <w:ind w:firstLine="396"/>
        <w:rPr>
          <w:rFonts w:ascii="宋体"/>
        </w:rPr>
      </w:pPr>
      <w:r w:rsidRPr="006F33A4">
        <w:rPr>
          <w:rFonts w:ascii="宋体" w:hAnsi="宋体" w:hint="eastAsia"/>
        </w:rPr>
        <w:t>（</w:t>
      </w:r>
      <w:r w:rsidRPr="006F33A4">
        <w:rPr>
          <w:rFonts w:ascii="宋体" w:hAnsi="宋体"/>
        </w:rPr>
        <w:t>1</w:t>
      </w:r>
      <w:r w:rsidRPr="006F33A4">
        <w:rPr>
          <w:rFonts w:ascii="宋体" w:hAnsi="宋体" w:hint="eastAsia"/>
        </w:rPr>
        <w:t>）《</w:t>
      </w:r>
      <w:r w:rsidR="0044641F" w:rsidRPr="0044641F">
        <w:rPr>
          <w:rFonts w:ascii="宋体" w:hAnsi="宋体" w:hint="eastAsia"/>
        </w:rPr>
        <w:t>交银施罗德增强收益债券型证券投资基金</w:t>
      </w:r>
      <w:r w:rsidRPr="006F33A4">
        <w:rPr>
          <w:rFonts w:ascii="宋体" w:hAnsi="宋体" w:hint="eastAsia"/>
        </w:rPr>
        <w:t>清算审计报告》；</w:t>
      </w:r>
    </w:p>
    <w:p w14:paraId="1AF1D130" w14:textId="267A2407" w:rsidR="00DC3906" w:rsidRPr="006F33A4" w:rsidRDefault="005614BC" w:rsidP="00C95394">
      <w:pPr>
        <w:ind w:firstLine="396"/>
        <w:rPr>
          <w:rFonts w:ascii="宋体" w:hAnsi="宋体"/>
        </w:rPr>
      </w:pPr>
      <w:r w:rsidRPr="006F33A4">
        <w:rPr>
          <w:rFonts w:ascii="宋体" w:hAnsi="宋体" w:hint="eastAsia"/>
        </w:rPr>
        <w:t>（2）</w:t>
      </w:r>
      <w:r w:rsidR="00371AAD" w:rsidRPr="006F33A4">
        <w:rPr>
          <w:rFonts w:ascii="宋体" w:hAnsi="宋体" w:hint="eastAsia"/>
        </w:rPr>
        <w:t>《</w:t>
      </w:r>
      <w:r w:rsidR="0044641F" w:rsidRPr="0044641F">
        <w:rPr>
          <w:rFonts w:ascii="宋体" w:hAnsi="宋体" w:hint="eastAsia"/>
        </w:rPr>
        <w:t>交银施罗德增强收益债券型证券投资基金</w:t>
      </w:r>
      <w:r w:rsidR="00DC3906" w:rsidRPr="006F33A4">
        <w:rPr>
          <w:rFonts w:ascii="宋体" w:hAnsi="宋体" w:hint="eastAsia"/>
        </w:rPr>
        <w:t>清算报告》的法律意见。</w:t>
      </w:r>
    </w:p>
    <w:p w14:paraId="49F2CBFE" w14:textId="77777777" w:rsidR="00DC3906" w:rsidRPr="006F33A4" w:rsidRDefault="00DC3906" w:rsidP="00CA7C64">
      <w:pPr>
        <w:spacing w:beforeLines="50" w:before="156" w:afterLines="50" w:after="156"/>
        <w:rPr>
          <w:rFonts w:ascii="宋体"/>
          <w:b/>
        </w:rPr>
      </w:pPr>
      <w:r w:rsidRPr="006F33A4">
        <w:rPr>
          <w:rFonts w:ascii="宋体" w:hAnsi="宋体"/>
          <w:b/>
        </w:rPr>
        <w:t>2</w:t>
      </w:r>
      <w:r w:rsidRPr="006F33A4">
        <w:rPr>
          <w:rFonts w:ascii="宋体" w:hAnsi="宋体" w:hint="eastAsia"/>
          <w:b/>
        </w:rPr>
        <w:t>、存放地点</w:t>
      </w:r>
    </w:p>
    <w:p w14:paraId="0288B9E7" w14:textId="77777777" w:rsidR="00DC3906" w:rsidRPr="006F33A4" w:rsidRDefault="00DC3906" w:rsidP="00C95394">
      <w:pPr>
        <w:ind w:firstLine="408"/>
        <w:rPr>
          <w:rFonts w:ascii="宋体"/>
        </w:rPr>
      </w:pPr>
      <w:r w:rsidRPr="006F33A4">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w:t>
      </w:r>
      <w:r w:rsidRPr="006F33A4">
        <w:rPr>
          <w:rFonts w:ascii="宋体" w:hAnsi="宋体" w:hint="eastAsia"/>
        </w:rPr>
        <w:lastRenderedPageBreak/>
        <w:t>人网站（</w:t>
      </w:r>
      <w:r w:rsidR="00EF397F" w:rsidRPr="006F33A4">
        <w:t>http://www.fund001.com</w:t>
      </w:r>
      <w:r w:rsidRPr="006F33A4">
        <w:rPr>
          <w:rFonts w:ascii="宋体" w:hAnsi="宋体" w:hint="eastAsia"/>
        </w:rPr>
        <w:t>）查阅。</w:t>
      </w:r>
    </w:p>
    <w:p w14:paraId="5250723D" w14:textId="77777777" w:rsidR="00DC3906" w:rsidRPr="006F33A4" w:rsidRDefault="00DC3906" w:rsidP="00CA7C64">
      <w:pPr>
        <w:spacing w:beforeLines="50" w:before="156" w:afterLines="50" w:after="156"/>
        <w:rPr>
          <w:rFonts w:ascii="宋体"/>
          <w:b/>
        </w:rPr>
      </w:pPr>
      <w:r w:rsidRPr="006F33A4">
        <w:rPr>
          <w:rFonts w:ascii="宋体" w:hAnsi="宋体"/>
          <w:b/>
        </w:rPr>
        <w:t>3</w:t>
      </w:r>
      <w:r w:rsidRPr="006F33A4">
        <w:rPr>
          <w:rFonts w:ascii="宋体" w:hAnsi="宋体" w:hint="eastAsia"/>
          <w:b/>
        </w:rPr>
        <w:t>、查阅方式</w:t>
      </w:r>
    </w:p>
    <w:p w14:paraId="733B6527" w14:textId="77777777" w:rsidR="00DC3906" w:rsidRPr="006F33A4" w:rsidRDefault="00DC3906" w:rsidP="00C95394">
      <w:pPr>
        <w:ind w:firstLine="396"/>
        <w:rPr>
          <w:rFonts w:ascii="宋体"/>
        </w:rPr>
      </w:pPr>
      <w:r w:rsidRPr="006F33A4">
        <w:rPr>
          <w:rFonts w:ascii="宋体" w:hAnsi="宋体" w:hint="eastAsia"/>
        </w:rPr>
        <w:t>本报告存放在本基金管理人及托管人住所，供公众查阅、复制。</w:t>
      </w:r>
    </w:p>
    <w:p w14:paraId="48A47597" w14:textId="77777777" w:rsidR="00DC3906" w:rsidRPr="006F33A4" w:rsidRDefault="00DC3906" w:rsidP="00C95394">
      <w:pPr>
        <w:ind w:firstLine="396"/>
        <w:rPr>
          <w:rFonts w:ascii="宋体"/>
        </w:rPr>
      </w:pPr>
    </w:p>
    <w:p w14:paraId="683FF566" w14:textId="77777777" w:rsidR="00DC3906" w:rsidRPr="006F33A4" w:rsidRDefault="00DC3906" w:rsidP="00C95394">
      <w:pPr>
        <w:ind w:firstLine="396"/>
        <w:rPr>
          <w:rFonts w:ascii="宋体"/>
        </w:rPr>
      </w:pPr>
    </w:p>
    <w:p w14:paraId="69768284" w14:textId="3768511D" w:rsidR="00304027" w:rsidRDefault="00304027" w:rsidP="00C95394">
      <w:pPr>
        <w:ind w:firstLine="396"/>
        <w:jc w:val="right"/>
        <w:rPr>
          <w:rFonts w:ascii="宋体" w:hAnsi="宋体"/>
        </w:rPr>
      </w:pPr>
      <w:r w:rsidRPr="00304027">
        <w:rPr>
          <w:rFonts w:ascii="宋体" w:hAnsi="宋体" w:hint="eastAsia"/>
        </w:rPr>
        <w:t>交银施罗德增强收益债券型证券投资基金</w:t>
      </w:r>
    </w:p>
    <w:p w14:paraId="0196D6D2" w14:textId="6F77FECA" w:rsidR="00DC3906" w:rsidRPr="006F33A4" w:rsidRDefault="00DC3906" w:rsidP="00C95394">
      <w:pPr>
        <w:ind w:firstLine="396"/>
        <w:jc w:val="right"/>
        <w:rPr>
          <w:rFonts w:ascii="宋体"/>
        </w:rPr>
      </w:pPr>
      <w:r w:rsidRPr="006F33A4">
        <w:rPr>
          <w:rFonts w:ascii="宋体" w:hAnsi="宋体" w:hint="eastAsia"/>
        </w:rPr>
        <w:t>基金财产清算小组</w:t>
      </w:r>
    </w:p>
    <w:p w14:paraId="4D519DE5" w14:textId="4197958F" w:rsidR="00DC3906" w:rsidRPr="00E00B8E" w:rsidRDefault="00530F60" w:rsidP="00530F60">
      <w:pPr>
        <w:ind w:firstLine="312"/>
        <w:jc w:val="right"/>
        <w:rPr>
          <w:rFonts w:ascii="宋体"/>
        </w:rPr>
      </w:pPr>
      <w:r w:rsidRPr="00530F60">
        <w:rPr>
          <w:rFonts w:ascii="宋体" w:hAnsi="宋体" w:hint="eastAsia"/>
        </w:rPr>
        <w:t>202</w:t>
      </w:r>
      <w:r w:rsidR="00811819">
        <w:rPr>
          <w:rFonts w:ascii="宋体" w:hAnsi="宋体"/>
        </w:rPr>
        <w:t>2</w:t>
      </w:r>
      <w:r w:rsidRPr="00530F60">
        <w:rPr>
          <w:rFonts w:ascii="宋体" w:hAnsi="宋体" w:hint="eastAsia"/>
        </w:rPr>
        <w:t>年</w:t>
      </w:r>
      <w:r w:rsidR="00811819">
        <w:rPr>
          <w:rFonts w:ascii="宋体" w:hAnsi="宋体"/>
        </w:rPr>
        <w:t>1</w:t>
      </w:r>
      <w:r w:rsidRPr="00530F60">
        <w:rPr>
          <w:rFonts w:ascii="宋体" w:hAnsi="宋体" w:hint="eastAsia"/>
        </w:rPr>
        <w:t>月</w:t>
      </w:r>
      <w:r w:rsidR="00811819">
        <w:rPr>
          <w:rFonts w:ascii="宋体" w:hAnsi="宋体"/>
        </w:rPr>
        <w:t>19</w:t>
      </w:r>
      <w:r w:rsidRPr="00530F60">
        <w:rPr>
          <w:rFonts w:ascii="宋体" w:hAnsi="宋体" w:hint="eastAsia"/>
        </w:rPr>
        <w:t>日</w:t>
      </w:r>
    </w:p>
    <w:p w14:paraId="4F23320B" w14:textId="77777777" w:rsidR="00DC3906" w:rsidRPr="000667F3" w:rsidRDefault="00DC3906" w:rsidP="000667F3">
      <w:pPr>
        <w:ind w:firstLine="312"/>
        <w:rPr>
          <w:rFonts w:ascii="宋体"/>
        </w:rPr>
      </w:pPr>
    </w:p>
    <w:sectPr w:rsidR="00DC3906" w:rsidRPr="000667F3" w:rsidSect="00B74E1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82AC3" w14:textId="77777777" w:rsidR="007C6F19" w:rsidRDefault="007C6F19" w:rsidP="00D53D73">
      <w:r>
        <w:separator/>
      </w:r>
    </w:p>
  </w:endnote>
  <w:endnote w:type="continuationSeparator" w:id="0">
    <w:p w14:paraId="0E9AAF3D" w14:textId="77777777" w:rsidR="007C6F19" w:rsidRDefault="007C6F19" w:rsidP="00D5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7065B" w14:textId="5A81D2B6" w:rsidR="00B43672" w:rsidRDefault="00B43672">
    <w:pPr>
      <w:pStyle w:val="a5"/>
      <w:jc w:val="center"/>
    </w:pPr>
    <w:r>
      <w:rPr>
        <w:lang w:val="zh-CN"/>
      </w:rPr>
      <w:t xml:space="preserve"> </w:t>
    </w:r>
    <w:r>
      <w:rPr>
        <w:b/>
      </w:rPr>
      <w:fldChar w:fldCharType="begin"/>
    </w:r>
    <w:r>
      <w:rPr>
        <w:b/>
      </w:rPr>
      <w:instrText>PAGE</w:instrText>
    </w:r>
    <w:r>
      <w:rPr>
        <w:b/>
      </w:rPr>
      <w:fldChar w:fldCharType="separate"/>
    </w:r>
    <w:r w:rsidR="00F55640">
      <w:rPr>
        <w:b/>
        <w:noProof/>
      </w:rPr>
      <w:t>1</w:t>
    </w:r>
    <w:r>
      <w:rPr>
        <w:b/>
      </w:rPr>
      <w:fldChar w:fldCharType="end"/>
    </w:r>
    <w:r>
      <w:rPr>
        <w:lang w:val="zh-CN"/>
      </w:rPr>
      <w:t xml:space="preserve"> / </w:t>
    </w:r>
    <w:r>
      <w:rPr>
        <w:b/>
      </w:rPr>
      <w:fldChar w:fldCharType="begin"/>
    </w:r>
    <w:r>
      <w:rPr>
        <w:b/>
      </w:rPr>
      <w:instrText>NUMPAGES</w:instrText>
    </w:r>
    <w:r>
      <w:rPr>
        <w:b/>
      </w:rPr>
      <w:fldChar w:fldCharType="separate"/>
    </w:r>
    <w:r w:rsidR="00F55640">
      <w:rPr>
        <w:b/>
        <w:noProof/>
      </w:rPr>
      <w:t>8</w:t>
    </w:r>
    <w:r>
      <w:rPr>
        <w:b/>
      </w:rPr>
      <w:fldChar w:fldCharType="end"/>
    </w:r>
  </w:p>
  <w:p w14:paraId="1F3B9027" w14:textId="77777777" w:rsidR="00B43672" w:rsidRDefault="00B4367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85BA2" w14:textId="77777777" w:rsidR="007C6F19" w:rsidRDefault="007C6F19" w:rsidP="00D53D73">
      <w:r>
        <w:separator/>
      </w:r>
    </w:p>
  </w:footnote>
  <w:footnote w:type="continuationSeparator" w:id="0">
    <w:p w14:paraId="58EAEFA1" w14:textId="77777777" w:rsidR="007C6F19" w:rsidRDefault="007C6F19" w:rsidP="00D53D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71D1" w14:textId="4F9D3E37" w:rsidR="00B43672" w:rsidRPr="00E41B00" w:rsidRDefault="00E41B00" w:rsidP="00E41B00">
    <w:pPr>
      <w:pStyle w:val="a3"/>
    </w:pPr>
    <w:r w:rsidRPr="00E41B00">
      <w:rPr>
        <w:rFonts w:ascii="宋体" w:hAnsi="宋体" w:hint="eastAsia"/>
      </w:rPr>
      <w:t>交银施罗德增强收益债券型证券投资基金清算报告</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10BAE"/>
    <w:multiLevelType w:val="hybridMultilevel"/>
    <w:tmpl w:val="9E023226"/>
    <w:lvl w:ilvl="0" w:tplc="EF400EA8">
      <w:start w:val="1"/>
      <w:numFmt w:val="decimal"/>
      <w:lvlText w:val="%1&gt;"/>
      <w:lvlJc w:val="left"/>
      <w:pPr>
        <w:ind w:left="360" w:hanging="360"/>
      </w:pPr>
      <w:rPr>
        <w:rFonts w:ascii="Times New Roman" w:hAnsi="Times New Roman" w:cs="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73"/>
    <w:rsid w:val="000015FD"/>
    <w:rsid w:val="00003342"/>
    <w:rsid w:val="00003397"/>
    <w:rsid w:val="00004C87"/>
    <w:rsid w:val="00010E67"/>
    <w:rsid w:val="000165AB"/>
    <w:rsid w:val="000227CD"/>
    <w:rsid w:val="00024F9F"/>
    <w:rsid w:val="000308F8"/>
    <w:rsid w:val="00036817"/>
    <w:rsid w:val="00041179"/>
    <w:rsid w:val="0004187B"/>
    <w:rsid w:val="00041EE7"/>
    <w:rsid w:val="00047577"/>
    <w:rsid w:val="0005297F"/>
    <w:rsid w:val="00054B1D"/>
    <w:rsid w:val="0006105C"/>
    <w:rsid w:val="000635AB"/>
    <w:rsid w:val="0006571A"/>
    <w:rsid w:val="000667F3"/>
    <w:rsid w:val="00070872"/>
    <w:rsid w:val="00073D7A"/>
    <w:rsid w:val="0008092D"/>
    <w:rsid w:val="00081056"/>
    <w:rsid w:val="00083B02"/>
    <w:rsid w:val="00085632"/>
    <w:rsid w:val="00086426"/>
    <w:rsid w:val="00086FBB"/>
    <w:rsid w:val="00087A25"/>
    <w:rsid w:val="00092758"/>
    <w:rsid w:val="00092A2A"/>
    <w:rsid w:val="000A13D6"/>
    <w:rsid w:val="000A27EC"/>
    <w:rsid w:val="000A540F"/>
    <w:rsid w:val="000A605D"/>
    <w:rsid w:val="000A6784"/>
    <w:rsid w:val="000B1A05"/>
    <w:rsid w:val="000B253B"/>
    <w:rsid w:val="000B2AC1"/>
    <w:rsid w:val="000B52B1"/>
    <w:rsid w:val="000B6430"/>
    <w:rsid w:val="000B6D18"/>
    <w:rsid w:val="000B6DEC"/>
    <w:rsid w:val="000C0FBB"/>
    <w:rsid w:val="000D2092"/>
    <w:rsid w:val="000D4429"/>
    <w:rsid w:val="000D5DE1"/>
    <w:rsid w:val="000D74A7"/>
    <w:rsid w:val="000E1C02"/>
    <w:rsid w:val="000F03F2"/>
    <w:rsid w:val="000F1491"/>
    <w:rsid w:val="000F1B21"/>
    <w:rsid w:val="000F62B1"/>
    <w:rsid w:val="000F6D2E"/>
    <w:rsid w:val="00103333"/>
    <w:rsid w:val="0010427A"/>
    <w:rsid w:val="00104B6C"/>
    <w:rsid w:val="00104D0B"/>
    <w:rsid w:val="0010581F"/>
    <w:rsid w:val="001063F3"/>
    <w:rsid w:val="0011628A"/>
    <w:rsid w:val="00116696"/>
    <w:rsid w:val="001225AA"/>
    <w:rsid w:val="001328C0"/>
    <w:rsid w:val="0014090E"/>
    <w:rsid w:val="00142365"/>
    <w:rsid w:val="001430B9"/>
    <w:rsid w:val="0014522D"/>
    <w:rsid w:val="00145EDE"/>
    <w:rsid w:val="001514BA"/>
    <w:rsid w:val="001519D7"/>
    <w:rsid w:val="00152371"/>
    <w:rsid w:val="00152C07"/>
    <w:rsid w:val="00153EE7"/>
    <w:rsid w:val="00154637"/>
    <w:rsid w:val="00155DF3"/>
    <w:rsid w:val="001579F3"/>
    <w:rsid w:val="0016262F"/>
    <w:rsid w:val="00162F5F"/>
    <w:rsid w:val="00165A82"/>
    <w:rsid w:val="0016665F"/>
    <w:rsid w:val="00175BCD"/>
    <w:rsid w:val="00177BE2"/>
    <w:rsid w:val="00181A1F"/>
    <w:rsid w:val="0018253F"/>
    <w:rsid w:val="001839B2"/>
    <w:rsid w:val="00184204"/>
    <w:rsid w:val="001A48E6"/>
    <w:rsid w:val="001A5D12"/>
    <w:rsid w:val="001A6512"/>
    <w:rsid w:val="001B761C"/>
    <w:rsid w:val="001C008B"/>
    <w:rsid w:val="001C7ACD"/>
    <w:rsid w:val="001D0BB8"/>
    <w:rsid w:val="001D1EDB"/>
    <w:rsid w:val="001D2408"/>
    <w:rsid w:val="001D35CF"/>
    <w:rsid w:val="001D4BD2"/>
    <w:rsid w:val="001D663B"/>
    <w:rsid w:val="001D7770"/>
    <w:rsid w:val="001D7BA8"/>
    <w:rsid w:val="001E2E67"/>
    <w:rsid w:val="001F0B55"/>
    <w:rsid w:val="001F1CB8"/>
    <w:rsid w:val="001F22F5"/>
    <w:rsid w:val="001F4883"/>
    <w:rsid w:val="002020C4"/>
    <w:rsid w:val="00206E6C"/>
    <w:rsid w:val="00215F4F"/>
    <w:rsid w:val="00216357"/>
    <w:rsid w:val="00217302"/>
    <w:rsid w:val="00220935"/>
    <w:rsid w:val="00221DA0"/>
    <w:rsid w:val="00226B57"/>
    <w:rsid w:val="0023130F"/>
    <w:rsid w:val="00232D71"/>
    <w:rsid w:val="002373EE"/>
    <w:rsid w:val="002458A7"/>
    <w:rsid w:val="00246755"/>
    <w:rsid w:val="00247C52"/>
    <w:rsid w:val="0025249A"/>
    <w:rsid w:val="002602F7"/>
    <w:rsid w:val="0026281F"/>
    <w:rsid w:val="00265721"/>
    <w:rsid w:val="00272D47"/>
    <w:rsid w:val="002747E2"/>
    <w:rsid w:val="00274A89"/>
    <w:rsid w:val="002776B0"/>
    <w:rsid w:val="002819E4"/>
    <w:rsid w:val="00281CCF"/>
    <w:rsid w:val="00282A7D"/>
    <w:rsid w:val="00282BA0"/>
    <w:rsid w:val="00287357"/>
    <w:rsid w:val="00290253"/>
    <w:rsid w:val="00294F6C"/>
    <w:rsid w:val="002A1625"/>
    <w:rsid w:val="002A3955"/>
    <w:rsid w:val="002B2418"/>
    <w:rsid w:val="002B6A75"/>
    <w:rsid w:val="002B75F0"/>
    <w:rsid w:val="002B7ACE"/>
    <w:rsid w:val="002C0BA3"/>
    <w:rsid w:val="002C2CAE"/>
    <w:rsid w:val="002C4383"/>
    <w:rsid w:val="002D60B9"/>
    <w:rsid w:val="002D79AC"/>
    <w:rsid w:val="002D7D4E"/>
    <w:rsid w:val="002E2192"/>
    <w:rsid w:val="002E2255"/>
    <w:rsid w:val="002E27AC"/>
    <w:rsid w:val="002E5288"/>
    <w:rsid w:val="002E5ECA"/>
    <w:rsid w:val="002F08D1"/>
    <w:rsid w:val="002F14AC"/>
    <w:rsid w:val="002F423D"/>
    <w:rsid w:val="002F6065"/>
    <w:rsid w:val="00300BC3"/>
    <w:rsid w:val="00302882"/>
    <w:rsid w:val="00303A16"/>
    <w:rsid w:val="00304027"/>
    <w:rsid w:val="00306300"/>
    <w:rsid w:val="00310D02"/>
    <w:rsid w:val="00312942"/>
    <w:rsid w:val="0031513A"/>
    <w:rsid w:val="00317D04"/>
    <w:rsid w:val="00322DB3"/>
    <w:rsid w:val="00324E38"/>
    <w:rsid w:val="003252FD"/>
    <w:rsid w:val="00326102"/>
    <w:rsid w:val="00326DDB"/>
    <w:rsid w:val="0033615C"/>
    <w:rsid w:val="003479B5"/>
    <w:rsid w:val="00350AC2"/>
    <w:rsid w:val="003514C4"/>
    <w:rsid w:val="00354A64"/>
    <w:rsid w:val="003602B3"/>
    <w:rsid w:val="00361006"/>
    <w:rsid w:val="00363514"/>
    <w:rsid w:val="00366DEF"/>
    <w:rsid w:val="00371075"/>
    <w:rsid w:val="003717BE"/>
    <w:rsid w:val="00371AAD"/>
    <w:rsid w:val="003759E5"/>
    <w:rsid w:val="00380EB5"/>
    <w:rsid w:val="00382059"/>
    <w:rsid w:val="00387A8C"/>
    <w:rsid w:val="00387CFF"/>
    <w:rsid w:val="00391171"/>
    <w:rsid w:val="00392A0C"/>
    <w:rsid w:val="00396009"/>
    <w:rsid w:val="00396AD2"/>
    <w:rsid w:val="00396BFD"/>
    <w:rsid w:val="003B0022"/>
    <w:rsid w:val="003B2660"/>
    <w:rsid w:val="003B4BF4"/>
    <w:rsid w:val="003B5599"/>
    <w:rsid w:val="003B68C1"/>
    <w:rsid w:val="003B70BC"/>
    <w:rsid w:val="003C2978"/>
    <w:rsid w:val="003C4958"/>
    <w:rsid w:val="003C630A"/>
    <w:rsid w:val="003C7775"/>
    <w:rsid w:val="003C7EB5"/>
    <w:rsid w:val="003D4FD7"/>
    <w:rsid w:val="003D54AA"/>
    <w:rsid w:val="003D668D"/>
    <w:rsid w:val="003D704A"/>
    <w:rsid w:val="003E15CF"/>
    <w:rsid w:val="003E47B7"/>
    <w:rsid w:val="003E5D6F"/>
    <w:rsid w:val="003F2589"/>
    <w:rsid w:val="003F3486"/>
    <w:rsid w:val="003F3765"/>
    <w:rsid w:val="003F3D45"/>
    <w:rsid w:val="003F5981"/>
    <w:rsid w:val="00403F97"/>
    <w:rsid w:val="004103B7"/>
    <w:rsid w:val="00412A57"/>
    <w:rsid w:val="00413595"/>
    <w:rsid w:val="004177FA"/>
    <w:rsid w:val="00421462"/>
    <w:rsid w:val="00422E31"/>
    <w:rsid w:val="004269F1"/>
    <w:rsid w:val="004278B1"/>
    <w:rsid w:val="00430374"/>
    <w:rsid w:val="00432DB3"/>
    <w:rsid w:val="00434F5A"/>
    <w:rsid w:val="00437CE9"/>
    <w:rsid w:val="0044641F"/>
    <w:rsid w:val="0044741A"/>
    <w:rsid w:val="00452316"/>
    <w:rsid w:val="004542B7"/>
    <w:rsid w:val="00462BB7"/>
    <w:rsid w:val="00463517"/>
    <w:rsid w:val="00463719"/>
    <w:rsid w:val="004653A6"/>
    <w:rsid w:val="0046689D"/>
    <w:rsid w:val="00466ADB"/>
    <w:rsid w:val="00467F40"/>
    <w:rsid w:val="00474694"/>
    <w:rsid w:val="00477040"/>
    <w:rsid w:val="00477105"/>
    <w:rsid w:val="00477D58"/>
    <w:rsid w:val="004803BF"/>
    <w:rsid w:val="00484900"/>
    <w:rsid w:val="00485816"/>
    <w:rsid w:val="00486B53"/>
    <w:rsid w:val="00487020"/>
    <w:rsid w:val="0049073C"/>
    <w:rsid w:val="004932B6"/>
    <w:rsid w:val="004972F4"/>
    <w:rsid w:val="00497A3D"/>
    <w:rsid w:val="004A0214"/>
    <w:rsid w:val="004A04BE"/>
    <w:rsid w:val="004A398B"/>
    <w:rsid w:val="004A418D"/>
    <w:rsid w:val="004A66F7"/>
    <w:rsid w:val="004A7DFA"/>
    <w:rsid w:val="004B0EB0"/>
    <w:rsid w:val="004B285A"/>
    <w:rsid w:val="004C2EC7"/>
    <w:rsid w:val="004D1107"/>
    <w:rsid w:val="004E43FD"/>
    <w:rsid w:val="004E6043"/>
    <w:rsid w:val="004E7413"/>
    <w:rsid w:val="004F2570"/>
    <w:rsid w:val="004F2D3C"/>
    <w:rsid w:val="004F7582"/>
    <w:rsid w:val="004F7C7F"/>
    <w:rsid w:val="00501855"/>
    <w:rsid w:val="00502320"/>
    <w:rsid w:val="00502DE8"/>
    <w:rsid w:val="00504085"/>
    <w:rsid w:val="005051EE"/>
    <w:rsid w:val="00506498"/>
    <w:rsid w:val="00511B2D"/>
    <w:rsid w:val="005126D9"/>
    <w:rsid w:val="00513347"/>
    <w:rsid w:val="00517426"/>
    <w:rsid w:val="00523C14"/>
    <w:rsid w:val="00530F60"/>
    <w:rsid w:val="00536B53"/>
    <w:rsid w:val="00546E3D"/>
    <w:rsid w:val="00547363"/>
    <w:rsid w:val="0054736A"/>
    <w:rsid w:val="00553182"/>
    <w:rsid w:val="00555724"/>
    <w:rsid w:val="00556CBC"/>
    <w:rsid w:val="005603F0"/>
    <w:rsid w:val="005614BC"/>
    <w:rsid w:val="00566A05"/>
    <w:rsid w:val="00566C04"/>
    <w:rsid w:val="00570062"/>
    <w:rsid w:val="00570FD4"/>
    <w:rsid w:val="00574F3E"/>
    <w:rsid w:val="005828DE"/>
    <w:rsid w:val="00582A85"/>
    <w:rsid w:val="00585B4B"/>
    <w:rsid w:val="00590E15"/>
    <w:rsid w:val="00596CD9"/>
    <w:rsid w:val="00597A41"/>
    <w:rsid w:val="005A7B87"/>
    <w:rsid w:val="005B35D5"/>
    <w:rsid w:val="005B4CDB"/>
    <w:rsid w:val="005C0B96"/>
    <w:rsid w:val="005D2737"/>
    <w:rsid w:val="005E30B4"/>
    <w:rsid w:val="005E648B"/>
    <w:rsid w:val="005F2103"/>
    <w:rsid w:val="005F67AB"/>
    <w:rsid w:val="005F7130"/>
    <w:rsid w:val="005F76E5"/>
    <w:rsid w:val="00603458"/>
    <w:rsid w:val="00606889"/>
    <w:rsid w:val="006078B2"/>
    <w:rsid w:val="00610688"/>
    <w:rsid w:val="0061274F"/>
    <w:rsid w:val="006131B3"/>
    <w:rsid w:val="00615E0D"/>
    <w:rsid w:val="0061744A"/>
    <w:rsid w:val="00625043"/>
    <w:rsid w:val="00625F3A"/>
    <w:rsid w:val="00630A4F"/>
    <w:rsid w:val="0063163F"/>
    <w:rsid w:val="006336AB"/>
    <w:rsid w:val="006413C9"/>
    <w:rsid w:val="006425EB"/>
    <w:rsid w:val="00645DC0"/>
    <w:rsid w:val="00646E6E"/>
    <w:rsid w:val="00647415"/>
    <w:rsid w:val="00647B6B"/>
    <w:rsid w:val="00653258"/>
    <w:rsid w:val="006537C5"/>
    <w:rsid w:val="00654599"/>
    <w:rsid w:val="00654D15"/>
    <w:rsid w:val="00654E86"/>
    <w:rsid w:val="00655438"/>
    <w:rsid w:val="006558DE"/>
    <w:rsid w:val="00655BD7"/>
    <w:rsid w:val="006614BE"/>
    <w:rsid w:val="00670242"/>
    <w:rsid w:val="00671BD0"/>
    <w:rsid w:val="00672A80"/>
    <w:rsid w:val="00685493"/>
    <w:rsid w:val="00686E18"/>
    <w:rsid w:val="0068791E"/>
    <w:rsid w:val="00690772"/>
    <w:rsid w:val="00695C80"/>
    <w:rsid w:val="00695EC6"/>
    <w:rsid w:val="006966C4"/>
    <w:rsid w:val="006A1DAA"/>
    <w:rsid w:val="006A55E8"/>
    <w:rsid w:val="006A6031"/>
    <w:rsid w:val="006B3C81"/>
    <w:rsid w:val="006B4DEA"/>
    <w:rsid w:val="006B69EA"/>
    <w:rsid w:val="006D1534"/>
    <w:rsid w:val="006D46D7"/>
    <w:rsid w:val="006D495A"/>
    <w:rsid w:val="006D6381"/>
    <w:rsid w:val="006E04CB"/>
    <w:rsid w:val="006E2426"/>
    <w:rsid w:val="006E3863"/>
    <w:rsid w:val="006F33A4"/>
    <w:rsid w:val="006F53D8"/>
    <w:rsid w:val="007029B0"/>
    <w:rsid w:val="00702CFC"/>
    <w:rsid w:val="00704551"/>
    <w:rsid w:val="007078C1"/>
    <w:rsid w:val="00707986"/>
    <w:rsid w:val="00711DD2"/>
    <w:rsid w:val="007127A7"/>
    <w:rsid w:val="00713338"/>
    <w:rsid w:val="00722674"/>
    <w:rsid w:val="007257C3"/>
    <w:rsid w:val="007265C1"/>
    <w:rsid w:val="007306D2"/>
    <w:rsid w:val="0073411A"/>
    <w:rsid w:val="007345AB"/>
    <w:rsid w:val="0073471B"/>
    <w:rsid w:val="007348E3"/>
    <w:rsid w:val="0073573A"/>
    <w:rsid w:val="00737CBA"/>
    <w:rsid w:val="00741E94"/>
    <w:rsid w:val="00742A8C"/>
    <w:rsid w:val="00756B63"/>
    <w:rsid w:val="00761418"/>
    <w:rsid w:val="00771048"/>
    <w:rsid w:val="00775661"/>
    <w:rsid w:val="00776CC3"/>
    <w:rsid w:val="00780927"/>
    <w:rsid w:val="007839C4"/>
    <w:rsid w:val="00787642"/>
    <w:rsid w:val="00787C37"/>
    <w:rsid w:val="00795524"/>
    <w:rsid w:val="007A0445"/>
    <w:rsid w:val="007A3162"/>
    <w:rsid w:val="007B530C"/>
    <w:rsid w:val="007B6201"/>
    <w:rsid w:val="007C03B7"/>
    <w:rsid w:val="007C05AF"/>
    <w:rsid w:val="007C3A50"/>
    <w:rsid w:val="007C6F19"/>
    <w:rsid w:val="007D506C"/>
    <w:rsid w:val="007E0EB7"/>
    <w:rsid w:val="007E300F"/>
    <w:rsid w:val="007E6159"/>
    <w:rsid w:val="007E62E9"/>
    <w:rsid w:val="007F1C7B"/>
    <w:rsid w:val="007F2FDD"/>
    <w:rsid w:val="00801893"/>
    <w:rsid w:val="00802145"/>
    <w:rsid w:val="00802944"/>
    <w:rsid w:val="008035C1"/>
    <w:rsid w:val="008052B2"/>
    <w:rsid w:val="0080674B"/>
    <w:rsid w:val="00807A5F"/>
    <w:rsid w:val="00811819"/>
    <w:rsid w:val="008228F0"/>
    <w:rsid w:val="00822B78"/>
    <w:rsid w:val="00823DF7"/>
    <w:rsid w:val="0082481D"/>
    <w:rsid w:val="008258B6"/>
    <w:rsid w:val="00830473"/>
    <w:rsid w:val="00835DEE"/>
    <w:rsid w:val="00843A50"/>
    <w:rsid w:val="00843A79"/>
    <w:rsid w:val="0084520F"/>
    <w:rsid w:val="008505E8"/>
    <w:rsid w:val="008537A7"/>
    <w:rsid w:val="00853F23"/>
    <w:rsid w:val="0085735E"/>
    <w:rsid w:val="00860A0D"/>
    <w:rsid w:val="00863901"/>
    <w:rsid w:val="00880E4F"/>
    <w:rsid w:val="00882548"/>
    <w:rsid w:val="00891550"/>
    <w:rsid w:val="00891EB1"/>
    <w:rsid w:val="008954BE"/>
    <w:rsid w:val="008A01F9"/>
    <w:rsid w:val="008A1D7A"/>
    <w:rsid w:val="008A44A3"/>
    <w:rsid w:val="008A7521"/>
    <w:rsid w:val="008B12E9"/>
    <w:rsid w:val="008B50EB"/>
    <w:rsid w:val="008C1ECA"/>
    <w:rsid w:val="008C204D"/>
    <w:rsid w:val="008C25BA"/>
    <w:rsid w:val="008C47D0"/>
    <w:rsid w:val="008D6ED7"/>
    <w:rsid w:val="008E0C63"/>
    <w:rsid w:val="008E1FEA"/>
    <w:rsid w:val="008E2893"/>
    <w:rsid w:val="008E2D42"/>
    <w:rsid w:val="008F262E"/>
    <w:rsid w:val="008F2A1B"/>
    <w:rsid w:val="008F4720"/>
    <w:rsid w:val="008F5E06"/>
    <w:rsid w:val="008F78A0"/>
    <w:rsid w:val="00903958"/>
    <w:rsid w:val="009159A0"/>
    <w:rsid w:val="0092057B"/>
    <w:rsid w:val="009207C8"/>
    <w:rsid w:val="00932214"/>
    <w:rsid w:val="0093361B"/>
    <w:rsid w:val="009344B6"/>
    <w:rsid w:val="00934E68"/>
    <w:rsid w:val="009361B1"/>
    <w:rsid w:val="00936C10"/>
    <w:rsid w:val="00937908"/>
    <w:rsid w:val="00941525"/>
    <w:rsid w:val="009454D6"/>
    <w:rsid w:val="00961826"/>
    <w:rsid w:val="009619AA"/>
    <w:rsid w:val="00965548"/>
    <w:rsid w:val="0096721B"/>
    <w:rsid w:val="009674B2"/>
    <w:rsid w:val="0097431C"/>
    <w:rsid w:val="00980731"/>
    <w:rsid w:val="00983311"/>
    <w:rsid w:val="00983722"/>
    <w:rsid w:val="009862CC"/>
    <w:rsid w:val="00995547"/>
    <w:rsid w:val="009961D2"/>
    <w:rsid w:val="00997ECE"/>
    <w:rsid w:val="009A4303"/>
    <w:rsid w:val="009A4C6F"/>
    <w:rsid w:val="009A644C"/>
    <w:rsid w:val="009B0CBA"/>
    <w:rsid w:val="009B1679"/>
    <w:rsid w:val="009B75F3"/>
    <w:rsid w:val="009B77A7"/>
    <w:rsid w:val="009D2707"/>
    <w:rsid w:val="009D3291"/>
    <w:rsid w:val="009D6E94"/>
    <w:rsid w:val="009D71A7"/>
    <w:rsid w:val="009D75E5"/>
    <w:rsid w:val="009D79CD"/>
    <w:rsid w:val="009E01A9"/>
    <w:rsid w:val="009E6C68"/>
    <w:rsid w:val="009F2F09"/>
    <w:rsid w:val="009F31D1"/>
    <w:rsid w:val="009F46CB"/>
    <w:rsid w:val="009F5AE2"/>
    <w:rsid w:val="009F6E9F"/>
    <w:rsid w:val="00A013F0"/>
    <w:rsid w:val="00A01864"/>
    <w:rsid w:val="00A020E6"/>
    <w:rsid w:val="00A04BBE"/>
    <w:rsid w:val="00A05099"/>
    <w:rsid w:val="00A06A93"/>
    <w:rsid w:val="00A07889"/>
    <w:rsid w:val="00A12110"/>
    <w:rsid w:val="00A15D9E"/>
    <w:rsid w:val="00A211A2"/>
    <w:rsid w:val="00A23736"/>
    <w:rsid w:val="00A24D0E"/>
    <w:rsid w:val="00A25BB8"/>
    <w:rsid w:val="00A31D9C"/>
    <w:rsid w:val="00A33882"/>
    <w:rsid w:val="00A33D06"/>
    <w:rsid w:val="00A340DF"/>
    <w:rsid w:val="00A361FF"/>
    <w:rsid w:val="00A3706A"/>
    <w:rsid w:val="00A47669"/>
    <w:rsid w:val="00A50782"/>
    <w:rsid w:val="00A51928"/>
    <w:rsid w:val="00A5263A"/>
    <w:rsid w:val="00A534AC"/>
    <w:rsid w:val="00A6058B"/>
    <w:rsid w:val="00A63346"/>
    <w:rsid w:val="00A633EC"/>
    <w:rsid w:val="00A63D58"/>
    <w:rsid w:val="00A64EE8"/>
    <w:rsid w:val="00A71C4F"/>
    <w:rsid w:val="00A77BBA"/>
    <w:rsid w:val="00A84108"/>
    <w:rsid w:val="00A86BA6"/>
    <w:rsid w:val="00A9079B"/>
    <w:rsid w:val="00A90D9B"/>
    <w:rsid w:val="00A92200"/>
    <w:rsid w:val="00A952DA"/>
    <w:rsid w:val="00AA0E2C"/>
    <w:rsid w:val="00AA19E6"/>
    <w:rsid w:val="00AA55E5"/>
    <w:rsid w:val="00AB14E2"/>
    <w:rsid w:val="00AB32EB"/>
    <w:rsid w:val="00AB33BA"/>
    <w:rsid w:val="00AB39C1"/>
    <w:rsid w:val="00AB51B2"/>
    <w:rsid w:val="00AC04BC"/>
    <w:rsid w:val="00AC182C"/>
    <w:rsid w:val="00AC637A"/>
    <w:rsid w:val="00AD0105"/>
    <w:rsid w:val="00AD1582"/>
    <w:rsid w:val="00AD1F0E"/>
    <w:rsid w:val="00AD4781"/>
    <w:rsid w:val="00AE1CF6"/>
    <w:rsid w:val="00AE2FD8"/>
    <w:rsid w:val="00AE3A1C"/>
    <w:rsid w:val="00AE3B5A"/>
    <w:rsid w:val="00AF19BB"/>
    <w:rsid w:val="00AF487E"/>
    <w:rsid w:val="00AF7F44"/>
    <w:rsid w:val="00B02396"/>
    <w:rsid w:val="00B0276F"/>
    <w:rsid w:val="00B04E44"/>
    <w:rsid w:val="00B12CDD"/>
    <w:rsid w:val="00B1487A"/>
    <w:rsid w:val="00B176F3"/>
    <w:rsid w:val="00B212DC"/>
    <w:rsid w:val="00B21790"/>
    <w:rsid w:val="00B21E1D"/>
    <w:rsid w:val="00B22D2C"/>
    <w:rsid w:val="00B24FFA"/>
    <w:rsid w:val="00B31785"/>
    <w:rsid w:val="00B31A0B"/>
    <w:rsid w:val="00B34AE0"/>
    <w:rsid w:val="00B43672"/>
    <w:rsid w:val="00B46327"/>
    <w:rsid w:val="00B50304"/>
    <w:rsid w:val="00B505B6"/>
    <w:rsid w:val="00B5448D"/>
    <w:rsid w:val="00B6494C"/>
    <w:rsid w:val="00B64CA4"/>
    <w:rsid w:val="00B65886"/>
    <w:rsid w:val="00B70922"/>
    <w:rsid w:val="00B70BC2"/>
    <w:rsid w:val="00B734E1"/>
    <w:rsid w:val="00B73D67"/>
    <w:rsid w:val="00B74D3F"/>
    <w:rsid w:val="00B74E18"/>
    <w:rsid w:val="00B7536D"/>
    <w:rsid w:val="00B76168"/>
    <w:rsid w:val="00B76A3D"/>
    <w:rsid w:val="00B8080C"/>
    <w:rsid w:val="00B85BAA"/>
    <w:rsid w:val="00B87C77"/>
    <w:rsid w:val="00B90415"/>
    <w:rsid w:val="00B93C2C"/>
    <w:rsid w:val="00B93EA2"/>
    <w:rsid w:val="00BA0D17"/>
    <w:rsid w:val="00BA0F3F"/>
    <w:rsid w:val="00BA1039"/>
    <w:rsid w:val="00BA7891"/>
    <w:rsid w:val="00BA79C3"/>
    <w:rsid w:val="00BB15B5"/>
    <w:rsid w:val="00BB5C21"/>
    <w:rsid w:val="00BB7735"/>
    <w:rsid w:val="00BB7ED5"/>
    <w:rsid w:val="00BD081A"/>
    <w:rsid w:val="00BD49DA"/>
    <w:rsid w:val="00BD76E1"/>
    <w:rsid w:val="00BF0602"/>
    <w:rsid w:val="00BF4DAE"/>
    <w:rsid w:val="00BF5740"/>
    <w:rsid w:val="00BF74ED"/>
    <w:rsid w:val="00BF751A"/>
    <w:rsid w:val="00BF7DF8"/>
    <w:rsid w:val="00C021C2"/>
    <w:rsid w:val="00C04892"/>
    <w:rsid w:val="00C05A92"/>
    <w:rsid w:val="00C067DD"/>
    <w:rsid w:val="00C123CF"/>
    <w:rsid w:val="00C13F53"/>
    <w:rsid w:val="00C14181"/>
    <w:rsid w:val="00C16F1F"/>
    <w:rsid w:val="00C17285"/>
    <w:rsid w:val="00C17D83"/>
    <w:rsid w:val="00C20DB8"/>
    <w:rsid w:val="00C21563"/>
    <w:rsid w:val="00C21B3C"/>
    <w:rsid w:val="00C23F2F"/>
    <w:rsid w:val="00C32F86"/>
    <w:rsid w:val="00C36E1C"/>
    <w:rsid w:val="00C43916"/>
    <w:rsid w:val="00C446D2"/>
    <w:rsid w:val="00C476C3"/>
    <w:rsid w:val="00C50AAF"/>
    <w:rsid w:val="00C57C74"/>
    <w:rsid w:val="00C62550"/>
    <w:rsid w:val="00C93386"/>
    <w:rsid w:val="00C95394"/>
    <w:rsid w:val="00CA1A21"/>
    <w:rsid w:val="00CA4D26"/>
    <w:rsid w:val="00CA7BCB"/>
    <w:rsid w:val="00CA7C3E"/>
    <w:rsid w:val="00CA7C64"/>
    <w:rsid w:val="00CB1A0B"/>
    <w:rsid w:val="00CC1E85"/>
    <w:rsid w:val="00CD0941"/>
    <w:rsid w:val="00CD6CF4"/>
    <w:rsid w:val="00CD6E0D"/>
    <w:rsid w:val="00CD6F74"/>
    <w:rsid w:val="00CD7142"/>
    <w:rsid w:val="00CD7C86"/>
    <w:rsid w:val="00CE5FDA"/>
    <w:rsid w:val="00CF036E"/>
    <w:rsid w:val="00CF1DEA"/>
    <w:rsid w:val="00CF2E17"/>
    <w:rsid w:val="00CF4CE9"/>
    <w:rsid w:val="00CF606E"/>
    <w:rsid w:val="00CF69E3"/>
    <w:rsid w:val="00D0743F"/>
    <w:rsid w:val="00D104EA"/>
    <w:rsid w:val="00D13F25"/>
    <w:rsid w:val="00D16C1D"/>
    <w:rsid w:val="00D16F27"/>
    <w:rsid w:val="00D20864"/>
    <w:rsid w:val="00D216F5"/>
    <w:rsid w:val="00D21D62"/>
    <w:rsid w:val="00D257D3"/>
    <w:rsid w:val="00D2690D"/>
    <w:rsid w:val="00D27BE5"/>
    <w:rsid w:val="00D3013B"/>
    <w:rsid w:val="00D32548"/>
    <w:rsid w:val="00D32A8D"/>
    <w:rsid w:val="00D3312A"/>
    <w:rsid w:val="00D33914"/>
    <w:rsid w:val="00D351A6"/>
    <w:rsid w:val="00D47C78"/>
    <w:rsid w:val="00D520CE"/>
    <w:rsid w:val="00D52ADA"/>
    <w:rsid w:val="00D53D73"/>
    <w:rsid w:val="00D5681C"/>
    <w:rsid w:val="00D570C5"/>
    <w:rsid w:val="00D62916"/>
    <w:rsid w:val="00D71231"/>
    <w:rsid w:val="00D72CB6"/>
    <w:rsid w:val="00D73110"/>
    <w:rsid w:val="00D801D9"/>
    <w:rsid w:val="00D878D7"/>
    <w:rsid w:val="00D90A0F"/>
    <w:rsid w:val="00D9205F"/>
    <w:rsid w:val="00D92FE1"/>
    <w:rsid w:val="00D9609A"/>
    <w:rsid w:val="00DA091C"/>
    <w:rsid w:val="00DA0B39"/>
    <w:rsid w:val="00DA2331"/>
    <w:rsid w:val="00DA7826"/>
    <w:rsid w:val="00DB44A4"/>
    <w:rsid w:val="00DB7642"/>
    <w:rsid w:val="00DC27BA"/>
    <w:rsid w:val="00DC31DF"/>
    <w:rsid w:val="00DC3906"/>
    <w:rsid w:val="00DC4B78"/>
    <w:rsid w:val="00DC7D1E"/>
    <w:rsid w:val="00DD077F"/>
    <w:rsid w:val="00DD0D39"/>
    <w:rsid w:val="00DD0DFA"/>
    <w:rsid w:val="00DD10A4"/>
    <w:rsid w:val="00DE0186"/>
    <w:rsid w:val="00DE0689"/>
    <w:rsid w:val="00DE2B2E"/>
    <w:rsid w:val="00DE3307"/>
    <w:rsid w:val="00DE58C7"/>
    <w:rsid w:val="00DE61A5"/>
    <w:rsid w:val="00DE63BF"/>
    <w:rsid w:val="00DE7F36"/>
    <w:rsid w:val="00DF382F"/>
    <w:rsid w:val="00DF3837"/>
    <w:rsid w:val="00DF3CE9"/>
    <w:rsid w:val="00DF5C7F"/>
    <w:rsid w:val="00DF7CFB"/>
    <w:rsid w:val="00E00B8E"/>
    <w:rsid w:val="00E00E81"/>
    <w:rsid w:val="00E03656"/>
    <w:rsid w:val="00E03A07"/>
    <w:rsid w:val="00E04E32"/>
    <w:rsid w:val="00E06C0D"/>
    <w:rsid w:val="00E07013"/>
    <w:rsid w:val="00E126B8"/>
    <w:rsid w:val="00E131B7"/>
    <w:rsid w:val="00E16031"/>
    <w:rsid w:val="00E17FF7"/>
    <w:rsid w:val="00E21BF1"/>
    <w:rsid w:val="00E303FB"/>
    <w:rsid w:val="00E3113E"/>
    <w:rsid w:val="00E32605"/>
    <w:rsid w:val="00E32FC2"/>
    <w:rsid w:val="00E34CF0"/>
    <w:rsid w:val="00E35A5C"/>
    <w:rsid w:val="00E37A4C"/>
    <w:rsid w:val="00E37B15"/>
    <w:rsid w:val="00E41AC2"/>
    <w:rsid w:val="00E41B00"/>
    <w:rsid w:val="00E47375"/>
    <w:rsid w:val="00E55BB9"/>
    <w:rsid w:val="00E5623B"/>
    <w:rsid w:val="00E620BB"/>
    <w:rsid w:val="00E7003B"/>
    <w:rsid w:val="00E7065F"/>
    <w:rsid w:val="00E707EA"/>
    <w:rsid w:val="00E7692E"/>
    <w:rsid w:val="00E82751"/>
    <w:rsid w:val="00E84A89"/>
    <w:rsid w:val="00E876B1"/>
    <w:rsid w:val="00E903DF"/>
    <w:rsid w:val="00E907E3"/>
    <w:rsid w:val="00EA06D5"/>
    <w:rsid w:val="00EA50E9"/>
    <w:rsid w:val="00EB0BF5"/>
    <w:rsid w:val="00EB204A"/>
    <w:rsid w:val="00EB2CB3"/>
    <w:rsid w:val="00EC0605"/>
    <w:rsid w:val="00EC1CCC"/>
    <w:rsid w:val="00EC4866"/>
    <w:rsid w:val="00EC4953"/>
    <w:rsid w:val="00ED04D8"/>
    <w:rsid w:val="00ED1FAE"/>
    <w:rsid w:val="00ED2EA3"/>
    <w:rsid w:val="00ED3524"/>
    <w:rsid w:val="00ED4016"/>
    <w:rsid w:val="00ED425C"/>
    <w:rsid w:val="00ED54CA"/>
    <w:rsid w:val="00ED5971"/>
    <w:rsid w:val="00EE143F"/>
    <w:rsid w:val="00EE3FD2"/>
    <w:rsid w:val="00EE4A9E"/>
    <w:rsid w:val="00EF115F"/>
    <w:rsid w:val="00EF2ECD"/>
    <w:rsid w:val="00EF397F"/>
    <w:rsid w:val="00EF40F0"/>
    <w:rsid w:val="00EF4435"/>
    <w:rsid w:val="00EF5114"/>
    <w:rsid w:val="00EF6970"/>
    <w:rsid w:val="00F021DE"/>
    <w:rsid w:val="00F05A09"/>
    <w:rsid w:val="00F127E3"/>
    <w:rsid w:val="00F129DB"/>
    <w:rsid w:val="00F165B0"/>
    <w:rsid w:val="00F25405"/>
    <w:rsid w:val="00F341D4"/>
    <w:rsid w:val="00F40C76"/>
    <w:rsid w:val="00F42C09"/>
    <w:rsid w:val="00F46268"/>
    <w:rsid w:val="00F46754"/>
    <w:rsid w:val="00F5016E"/>
    <w:rsid w:val="00F530F3"/>
    <w:rsid w:val="00F55640"/>
    <w:rsid w:val="00F57828"/>
    <w:rsid w:val="00F654F3"/>
    <w:rsid w:val="00F74C4D"/>
    <w:rsid w:val="00F81C73"/>
    <w:rsid w:val="00F84553"/>
    <w:rsid w:val="00F867ED"/>
    <w:rsid w:val="00F94699"/>
    <w:rsid w:val="00FA1505"/>
    <w:rsid w:val="00FA1BF2"/>
    <w:rsid w:val="00FA4863"/>
    <w:rsid w:val="00FB1CCA"/>
    <w:rsid w:val="00FB6290"/>
    <w:rsid w:val="00FC3B02"/>
    <w:rsid w:val="00FD498F"/>
    <w:rsid w:val="00FE5A05"/>
    <w:rsid w:val="00FF72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F65DD"/>
  <w15:docId w15:val="{794A636C-2596-41FF-8DDC-46B00BBF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18"/>
    <w:pPr>
      <w:widowControl w:val="0"/>
      <w:adjustRightInd w:val="0"/>
      <w:spacing w:line="360" w:lineRule="atLeast"/>
      <w:jc w:val="both"/>
      <w:textAlignment w:val="baseline"/>
    </w:pPr>
    <w:rPr>
      <w:rFonts w:ascii="Times New Roman" w:hAnsi="Times New Roman"/>
    </w:rPr>
  </w:style>
  <w:style w:type="paragraph" w:styleId="1">
    <w:name w:val="heading 1"/>
    <w:basedOn w:val="a"/>
    <w:next w:val="a"/>
    <w:link w:val="10"/>
    <w:qFormat/>
    <w:locked/>
    <w:rsid w:val="00D92FE1"/>
    <w:pPr>
      <w:keepNext/>
      <w:keepLines/>
      <w:spacing w:before="340" w:after="330" w:line="578" w:lineRule="atLeast"/>
      <w:outlineLvl w:val="0"/>
    </w:pPr>
    <w:rPr>
      <w:b/>
      <w:bCs/>
      <w:kern w:val="44"/>
      <w:sz w:val="44"/>
      <w:szCs w:val="44"/>
    </w:rPr>
  </w:style>
  <w:style w:type="paragraph" w:styleId="2">
    <w:name w:val="heading 2"/>
    <w:basedOn w:val="a"/>
    <w:next w:val="a"/>
    <w:link w:val="20"/>
    <w:uiPriority w:val="99"/>
    <w:qFormat/>
    <w:rsid w:val="00D53D7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locked/>
    <w:rsid w:val="00D53D73"/>
    <w:rPr>
      <w:rFonts w:ascii="Cambria" w:eastAsia="宋体" w:hAnsi="Cambria" w:cs="Times New Roman"/>
      <w:b/>
      <w:bCs/>
      <w:sz w:val="32"/>
      <w:szCs w:val="32"/>
    </w:rPr>
  </w:style>
  <w:style w:type="paragraph" w:styleId="a3">
    <w:name w:val="header"/>
    <w:basedOn w:val="a"/>
    <w:link w:val="a4"/>
    <w:uiPriority w:val="99"/>
    <w:rsid w:val="00D53D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D53D73"/>
    <w:rPr>
      <w:rFonts w:cs="Times New Roman"/>
      <w:sz w:val="18"/>
      <w:szCs w:val="18"/>
    </w:rPr>
  </w:style>
  <w:style w:type="paragraph" w:styleId="a5">
    <w:name w:val="footer"/>
    <w:basedOn w:val="a"/>
    <w:link w:val="a6"/>
    <w:uiPriority w:val="99"/>
    <w:rsid w:val="00D53D73"/>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D53D73"/>
    <w:rPr>
      <w:rFonts w:cs="Times New Roman"/>
      <w:sz w:val="18"/>
      <w:szCs w:val="18"/>
    </w:rPr>
  </w:style>
  <w:style w:type="paragraph" w:styleId="a7">
    <w:name w:val="Balloon Text"/>
    <w:basedOn w:val="a"/>
    <w:link w:val="a8"/>
    <w:uiPriority w:val="99"/>
    <w:semiHidden/>
    <w:rsid w:val="003D668D"/>
    <w:rPr>
      <w:sz w:val="18"/>
      <w:szCs w:val="18"/>
    </w:rPr>
  </w:style>
  <w:style w:type="character" w:customStyle="1" w:styleId="a8">
    <w:name w:val="批注框文本 字符"/>
    <w:basedOn w:val="a0"/>
    <w:link w:val="a7"/>
    <w:uiPriority w:val="99"/>
    <w:semiHidden/>
    <w:locked/>
    <w:rsid w:val="003D668D"/>
    <w:rPr>
      <w:rFonts w:cs="Times New Roman"/>
      <w:sz w:val="18"/>
      <w:szCs w:val="18"/>
    </w:rPr>
  </w:style>
  <w:style w:type="table" w:styleId="a9">
    <w:name w:val="Table Grid"/>
    <w:basedOn w:val="a1"/>
    <w:uiPriority w:val="99"/>
    <w:rsid w:val="00C4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C95394"/>
    <w:rPr>
      <w:rFonts w:cs="Times New Roman"/>
      <w:color w:val="0000FF"/>
      <w:u w:val="single"/>
    </w:rPr>
  </w:style>
  <w:style w:type="character" w:styleId="ab">
    <w:name w:val="Strong"/>
    <w:basedOn w:val="a0"/>
    <w:uiPriority w:val="99"/>
    <w:qFormat/>
    <w:rsid w:val="00C95394"/>
    <w:rPr>
      <w:rFonts w:cs="Times New Roman"/>
      <w:b/>
      <w:bCs/>
    </w:rPr>
  </w:style>
  <w:style w:type="character" w:styleId="ac">
    <w:name w:val="annotation reference"/>
    <w:basedOn w:val="a0"/>
    <w:uiPriority w:val="99"/>
    <w:semiHidden/>
    <w:rsid w:val="0031513A"/>
    <w:rPr>
      <w:rFonts w:cs="Times New Roman"/>
      <w:sz w:val="21"/>
      <w:szCs w:val="21"/>
    </w:rPr>
  </w:style>
  <w:style w:type="paragraph" w:styleId="ad">
    <w:name w:val="annotation text"/>
    <w:basedOn w:val="a"/>
    <w:link w:val="ae"/>
    <w:uiPriority w:val="99"/>
    <w:semiHidden/>
    <w:rsid w:val="0031513A"/>
    <w:pPr>
      <w:jc w:val="left"/>
    </w:pPr>
  </w:style>
  <w:style w:type="character" w:customStyle="1" w:styleId="ae">
    <w:name w:val="批注文字 字符"/>
    <w:basedOn w:val="a0"/>
    <w:link w:val="ad"/>
    <w:uiPriority w:val="99"/>
    <w:semiHidden/>
    <w:locked/>
    <w:rsid w:val="0031513A"/>
    <w:rPr>
      <w:rFonts w:ascii="Times New Roman" w:hAnsi="Times New Roman" w:cs="Times New Roman"/>
      <w:kern w:val="0"/>
      <w:sz w:val="20"/>
      <w:szCs w:val="20"/>
    </w:rPr>
  </w:style>
  <w:style w:type="paragraph" w:styleId="af">
    <w:name w:val="annotation subject"/>
    <w:basedOn w:val="ad"/>
    <w:next w:val="ad"/>
    <w:link w:val="af0"/>
    <w:uiPriority w:val="99"/>
    <w:semiHidden/>
    <w:rsid w:val="0031513A"/>
    <w:rPr>
      <w:b/>
      <w:bCs/>
    </w:rPr>
  </w:style>
  <w:style w:type="character" w:customStyle="1" w:styleId="af0">
    <w:name w:val="批注主题 字符"/>
    <w:basedOn w:val="ae"/>
    <w:link w:val="af"/>
    <w:uiPriority w:val="99"/>
    <w:semiHidden/>
    <w:locked/>
    <w:rsid w:val="0031513A"/>
    <w:rPr>
      <w:rFonts w:ascii="Times New Roman" w:hAnsi="Times New Roman" w:cs="Times New Roman"/>
      <w:b/>
      <w:bCs/>
      <w:kern w:val="0"/>
      <w:sz w:val="20"/>
      <w:szCs w:val="20"/>
    </w:rPr>
  </w:style>
  <w:style w:type="paragraph" w:styleId="af1">
    <w:name w:val="Revision"/>
    <w:hidden/>
    <w:uiPriority w:val="99"/>
    <w:semiHidden/>
    <w:rsid w:val="00ED1FAE"/>
    <w:rPr>
      <w:rFonts w:ascii="Times New Roman" w:hAnsi="Times New Roman"/>
    </w:rPr>
  </w:style>
  <w:style w:type="character" w:customStyle="1" w:styleId="10">
    <w:name w:val="标题 1 字符"/>
    <w:basedOn w:val="a0"/>
    <w:link w:val="1"/>
    <w:rsid w:val="00D92FE1"/>
    <w:rPr>
      <w:rFonts w:ascii="Times New Roman" w:hAnsi="Times New Roman"/>
      <w:b/>
      <w:bCs/>
      <w:kern w:val="44"/>
      <w:sz w:val="44"/>
      <w:szCs w:val="44"/>
    </w:rPr>
  </w:style>
  <w:style w:type="paragraph" w:styleId="af2">
    <w:name w:val="List Paragraph"/>
    <w:basedOn w:val="a"/>
    <w:uiPriority w:val="34"/>
    <w:qFormat/>
    <w:rsid w:val="00B31A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6640">
      <w:bodyDiv w:val="1"/>
      <w:marLeft w:val="0"/>
      <w:marRight w:val="0"/>
      <w:marTop w:val="0"/>
      <w:marBottom w:val="0"/>
      <w:divBdr>
        <w:top w:val="none" w:sz="0" w:space="0" w:color="auto"/>
        <w:left w:val="none" w:sz="0" w:space="0" w:color="auto"/>
        <w:bottom w:val="none" w:sz="0" w:space="0" w:color="auto"/>
        <w:right w:val="none" w:sz="0" w:space="0" w:color="auto"/>
      </w:divBdr>
    </w:div>
    <w:div w:id="82149340">
      <w:bodyDiv w:val="1"/>
      <w:marLeft w:val="0"/>
      <w:marRight w:val="0"/>
      <w:marTop w:val="0"/>
      <w:marBottom w:val="0"/>
      <w:divBdr>
        <w:top w:val="none" w:sz="0" w:space="0" w:color="auto"/>
        <w:left w:val="none" w:sz="0" w:space="0" w:color="auto"/>
        <w:bottom w:val="none" w:sz="0" w:space="0" w:color="auto"/>
        <w:right w:val="none" w:sz="0" w:space="0" w:color="auto"/>
      </w:divBdr>
    </w:div>
    <w:div w:id="90471740">
      <w:bodyDiv w:val="1"/>
      <w:marLeft w:val="0"/>
      <w:marRight w:val="0"/>
      <w:marTop w:val="0"/>
      <w:marBottom w:val="0"/>
      <w:divBdr>
        <w:top w:val="none" w:sz="0" w:space="0" w:color="auto"/>
        <w:left w:val="none" w:sz="0" w:space="0" w:color="auto"/>
        <w:bottom w:val="none" w:sz="0" w:space="0" w:color="auto"/>
        <w:right w:val="none" w:sz="0" w:space="0" w:color="auto"/>
      </w:divBdr>
    </w:div>
    <w:div w:id="117377579">
      <w:bodyDiv w:val="1"/>
      <w:marLeft w:val="0"/>
      <w:marRight w:val="0"/>
      <w:marTop w:val="0"/>
      <w:marBottom w:val="0"/>
      <w:divBdr>
        <w:top w:val="none" w:sz="0" w:space="0" w:color="auto"/>
        <w:left w:val="none" w:sz="0" w:space="0" w:color="auto"/>
        <w:bottom w:val="none" w:sz="0" w:space="0" w:color="auto"/>
        <w:right w:val="none" w:sz="0" w:space="0" w:color="auto"/>
      </w:divBdr>
    </w:div>
    <w:div w:id="134103109">
      <w:bodyDiv w:val="1"/>
      <w:marLeft w:val="0"/>
      <w:marRight w:val="0"/>
      <w:marTop w:val="0"/>
      <w:marBottom w:val="0"/>
      <w:divBdr>
        <w:top w:val="none" w:sz="0" w:space="0" w:color="auto"/>
        <w:left w:val="none" w:sz="0" w:space="0" w:color="auto"/>
        <w:bottom w:val="none" w:sz="0" w:space="0" w:color="auto"/>
        <w:right w:val="none" w:sz="0" w:space="0" w:color="auto"/>
      </w:divBdr>
    </w:div>
    <w:div w:id="148064321">
      <w:bodyDiv w:val="1"/>
      <w:marLeft w:val="0"/>
      <w:marRight w:val="0"/>
      <w:marTop w:val="0"/>
      <w:marBottom w:val="0"/>
      <w:divBdr>
        <w:top w:val="none" w:sz="0" w:space="0" w:color="auto"/>
        <w:left w:val="none" w:sz="0" w:space="0" w:color="auto"/>
        <w:bottom w:val="none" w:sz="0" w:space="0" w:color="auto"/>
        <w:right w:val="none" w:sz="0" w:space="0" w:color="auto"/>
      </w:divBdr>
    </w:div>
    <w:div w:id="166673293">
      <w:bodyDiv w:val="1"/>
      <w:marLeft w:val="0"/>
      <w:marRight w:val="0"/>
      <w:marTop w:val="0"/>
      <w:marBottom w:val="0"/>
      <w:divBdr>
        <w:top w:val="none" w:sz="0" w:space="0" w:color="auto"/>
        <w:left w:val="none" w:sz="0" w:space="0" w:color="auto"/>
        <w:bottom w:val="none" w:sz="0" w:space="0" w:color="auto"/>
        <w:right w:val="none" w:sz="0" w:space="0" w:color="auto"/>
      </w:divBdr>
    </w:div>
    <w:div w:id="203834799">
      <w:bodyDiv w:val="1"/>
      <w:marLeft w:val="0"/>
      <w:marRight w:val="0"/>
      <w:marTop w:val="0"/>
      <w:marBottom w:val="0"/>
      <w:divBdr>
        <w:top w:val="none" w:sz="0" w:space="0" w:color="auto"/>
        <w:left w:val="none" w:sz="0" w:space="0" w:color="auto"/>
        <w:bottom w:val="none" w:sz="0" w:space="0" w:color="auto"/>
        <w:right w:val="none" w:sz="0" w:space="0" w:color="auto"/>
      </w:divBdr>
    </w:div>
    <w:div w:id="205340479">
      <w:bodyDiv w:val="1"/>
      <w:marLeft w:val="0"/>
      <w:marRight w:val="0"/>
      <w:marTop w:val="0"/>
      <w:marBottom w:val="0"/>
      <w:divBdr>
        <w:top w:val="none" w:sz="0" w:space="0" w:color="auto"/>
        <w:left w:val="none" w:sz="0" w:space="0" w:color="auto"/>
        <w:bottom w:val="none" w:sz="0" w:space="0" w:color="auto"/>
        <w:right w:val="none" w:sz="0" w:space="0" w:color="auto"/>
      </w:divBdr>
    </w:div>
    <w:div w:id="215548180">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
    <w:div w:id="239339180">
      <w:bodyDiv w:val="1"/>
      <w:marLeft w:val="0"/>
      <w:marRight w:val="0"/>
      <w:marTop w:val="0"/>
      <w:marBottom w:val="0"/>
      <w:divBdr>
        <w:top w:val="none" w:sz="0" w:space="0" w:color="auto"/>
        <w:left w:val="none" w:sz="0" w:space="0" w:color="auto"/>
        <w:bottom w:val="none" w:sz="0" w:space="0" w:color="auto"/>
        <w:right w:val="none" w:sz="0" w:space="0" w:color="auto"/>
      </w:divBdr>
    </w:div>
    <w:div w:id="258952332">
      <w:bodyDiv w:val="1"/>
      <w:marLeft w:val="0"/>
      <w:marRight w:val="0"/>
      <w:marTop w:val="0"/>
      <w:marBottom w:val="0"/>
      <w:divBdr>
        <w:top w:val="none" w:sz="0" w:space="0" w:color="auto"/>
        <w:left w:val="none" w:sz="0" w:space="0" w:color="auto"/>
        <w:bottom w:val="none" w:sz="0" w:space="0" w:color="auto"/>
        <w:right w:val="none" w:sz="0" w:space="0" w:color="auto"/>
      </w:divBdr>
    </w:div>
    <w:div w:id="267397432">
      <w:bodyDiv w:val="1"/>
      <w:marLeft w:val="0"/>
      <w:marRight w:val="0"/>
      <w:marTop w:val="0"/>
      <w:marBottom w:val="0"/>
      <w:divBdr>
        <w:top w:val="none" w:sz="0" w:space="0" w:color="auto"/>
        <w:left w:val="none" w:sz="0" w:space="0" w:color="auto"/>
        <w:bottom w:val="none" w:sz="0" w:space="0" w:color="auto"/>
        <w:right w:val="none" w:sz="0" w:space="0" w:color="auto"/>
      </w:divBdr>
    </w:div>
    <w:div w:id="278415861">
      <w:bodyDiv w:val="1"/>
      <w:marLeft w:val="0"/>
      <w:marRight w:val="0"/>
      <w:marTop w:val="0"/>
      <w:marBottom w:val="0"/>
      <w:divBdr>
        <w:top w:val="none" w:sz="0" w:space="0" w:color="auto"/>
        <w:left w:val="none" w:sz="0" w:space="0" w:color="auto"/>
        <w:bottom w:val="none" w:sz="0" w:space="0" w:color="auto"/>
        <w:right w:val="none" w:sz="0" w:space="0" w:color="auto"/>
      </w:divBdr>
    </w:div>
    <w:div w:id="290981798">
      <w:bodyDiv w:val="1"/>
      <w:marLeft w:val="0"/>
      <w:marRight w:val="0"/>
      <w:marTop w:val="0"/>
      <w:marBottom w:val="0"/>
      <w:divBdr>
        <w:top w:val="none" w:sz="0" w:space="0" w:color="auto"/>
        <w:left w:val="none" w:sz="0" w:space="0" w:color="auto"/>
        <w:bottom w:val="none" w:sz="0" w:space="0" w:color="auto"/>
        <w:right w:val="none" w:sz="0" w:space="0" w:color="auto"/>
      </w:divBdr>
    </w:div>
    <w:div w:id="298844622">
      <w:bodyDiv w:val="1"/>
      <w:marLeft w:val="0"/>
      <w:marRight w:val="0"/>
      <w:marTop w:val="0"/>
      <w:marBottom w:val="0"/>
      <w:divBdr>
        <w:top w:val="none" w:sz="0" w:space="0" w:color="auto"/>
        <w:left w:val="none" w:sz="0" w:space="0" w:color="auto"/>
        <w:bottom w:val="none" w:sz="0" w:space="0" w:color="auto"/>
        <w:right w:val="none" w:sz="0" w:space="0" w:color="auto"/>
      </w:divBdr>
    </w:div>
    <w:div w:id="381832794">
      <w:bodyDiv w:val="1"/>
      <w:marLeft w:val="0"/>
      <w:marRight w:val="0"/>
      <w:marTop w:val="0"/>
      <w:marBottom w:val="0"/>
      <w:divBdr>
        <w:top w:val="none" w:sz="0" w:space="0" w:color="auto"/>
        <w:left w:val="none" w:sz="0" w:space="0" w:color="auto"/>
        <w:bottom w:val="none" w:sz="0" w:space="0" w:color="auto"/>
        <w:right w:val="none" w:sz="0" w:space="0" w:color="auto"/>
      </w:divBdr>
    </w:div>
    <w:div w:id="395468351">
      <w:bodyDiv w:val="1"/>
      <w:marLeft w:val="0"/>
      <w:marRight w:val="0"/>
      <w:marTop w:val="0"/>
      <w:marBottom w:val="0"/>
      <w:divBdr>
        <w:top w:val="none" w:sz="0" w:space="0" w:color="auto"/>
        <w:left w:val="none" w:sz="0" w:space="0" w:color="auto"/>
        <w:bottom w:val="none" w:sz="0" w:space="0" w:color="auto"/>
        <w:right w:val="none" w:sz="0" w:space="0" w:color="auto"/>
      </w:divBdr>
    </w:div>
    <w:div w:id="412046577">
      <w:bodyDiv w:val="1"/>
      <w:marLeft w:val="0"/>
      <w:marRight w:val="0"/>
      <w:marTop w:val="0"/>
      <w:marBottom w:val="0"/>
      <w:divBdr>
        <w:top w:val="none" w:sz="0" w:space="0" w:color="auto"/>
        <w:left w:val="none" w:sz="0" w:space="0" w:color="auto"/>
        <w:bottom w:val="none" w:sz="0" w:space="0" w:color="auto"/>
        <w:right w:val="none" w:sz="0" w:space="0" w:color="auto"/>
      </w:divBdr>
    </w:div>
    <w:div w:id="458112334">
      <w:bodyDiv w:val="1"/>
      <w:marLeft w:val="0"/>
      <w:marRight w:val="0"/>
      <w:marTop w:val="0"/>
      <w:marBottom w:val="0"/>
      <w:divBdr>
        <w:top w:val="none" w:sz="0" w:space="0" w:color="auto"/>
        <w:left w:val="none" w:sz="0" w:space="0" w:color="auto"/>
        <w:bottom w:val="none" w:sz="0" w:space="0" w:color="auto"/>
        <w:right w:val="none" w:sz="0" w:space="0" w:color="auto"/>
      </w:divBdr>
    </w:div>
    <w:div w:id="515728098">
      <w:bodyDiv w:val="1"/>
      <w:marLeft w:val="0"/>
      <w:marRight w:val="0"/>
      <w:marTop w:val="0"/>
      <w:marBottom w:val="0"/>
      <w:divBdr>
        <w:top w:val="none" w:sz="0" w:space="0" w:color="auto"/>
        <w:left w:val="none" w:sz="0" w:space="0" w:color="auto"/>
        <w:bottom w:val="none" w:sz="0" w:space="0" w:color="auto"/>
        <w:right w:val="none" w:sz="0" w:space="0" w:color="auto"/>
      </w:divBdr>
    </w:div>
    <w:div w:id="525364047">
      <w:bodyDiv w:val="1"/>
      <w:marLeft w:val="0"/>
      <w:marRight w:val="0"/>
      <w:marTop w:val="0"/>
      <w:marBottom w:val="0"/>
      <w:divBdr>
        <w:top w:val="none" w:sz="0" w:space="0" w:color="auto"/>
        <w:left w:val="none" w:sz="0" w:space="0" w:color="auto"/>
        <w:bottom w:val="none" w:sz="0" w:space="0" w:color="auto"/>
        <w:right w:val="none" w:sz="0" w:space="0" w:color="auto"/>
      </w:divBdr>
    </w:div>
    <w:div w:id="547381633">
      <w:bodyDiv w:val="1"/>
      <w:marLeft w:val="0"/>
      <w:marRight w:val="0"/>
      <w:marTop w:val="0"/>
      <w:marBottom w:val="0"/>
      <w:divBdr>
        <w:top w:val="none" w:sz="0" w:space="0" w:color="auto"/>
        <w:left w:val="none" w:sz="0" w:space="0" w:color="auto"/>
        <w:bottom w:val="none" w:sz="0" w:space="0" w:color="auto"/>
        <w:right w:val="none" w:sz="0" w:space="0" w:color="auto"/>
      </w:divBdr>
    </w:div>
    <w:div w:id="562060732">
      <w:bodyDiv w:val="1"/>
      <w:marLeft w:val="0"/>
      <w:marRight w:val="0"/>
      <w:marTop w:val="0"/>
      <w:marBottom w:val="0"/>
      <w:divBdr>
        <w:top w:val="none" w:sz="0" w:space="0" w:color="auto"/>
        <w:left w:val="none" w:sz="0" w:space="0" w:color="auto"/>
        <w:bottom w:val="none" w:sz="0" w:space="0" w:color="auto"/>
        <w:right w:val="none" w:sz="0" w:space="0" w:color="auto"/>
      </w:divBdr>
    </w:div>
    <w:div w:id="571550516">
      <w:bodyDiv w:val="1"/>
      <w:marLeft w:val="0"/>
      <w:marRight w:val="0"/>
      <w:marTop w:val="0"/>
      <w:marBottom w:val="0"/>
      <w:divBdr>
        <w:top w:val="none" w:sz="0" w:space="0" w:color="auto"/>
        <w:left w:val="none" w:sz="0" w:space="0" w:color="auto"/>
        <w:bottom w:val="none" w:sz="0" w:space="0" w:color="auto"/>
        <w:right w:val="none" w:sz="0" w:space="0" w:color="auto"/>
      </w:divBdr>
      <w:divsChild>
        <w:div w:id="87115348">
          <w:marLeft w:val="0"/>
          <w:marRight w:val="0"/>
          <w:marTop w:val="0"/>
          <w:marBottom w:val="0"/>
          <w:divBdr>
            <w:top w:val="none" w:sz="0" w:space="0" w:color="auto"/>
            <w:left w:val="single" w:sz="6" w:space="0" w:color="BCBCBC"/>
            <w:bottom w:val="none" w:sz="0" w:space="0" w:color="auto"/>
            <w:right w:val="single" w:sz="6" w:space="0" w:color="BCBCBC"/>
          </w:divBdr>
          <w:divsChild>
            <w:div w:id="15405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098">
      <w:bodyDiv w:val="1"/>
      <w:marLeft w:val="0"/>
      <w:marRight w:val="0"/>
      <w:marTop w:val="0"/>
      <w:marBottom w:val="0"/>
      <w:divBdr>
        <w:top w:val="none" w:sz="0" w:space="0" w:color="auto"/>
        <w:left w:val="none" w:sz="0" w:space="0" w:color="auto"/>
        <w:bottom w:val="none" w:sz="0" w:space="0" w:color="auto"/>
        <w:right w:val="none" w:sz="0" w:space="0" w:color="auto"/>
      </w:divBdr>
    </w:div>
    <w:div w:id="610861870">
      <w:bodyDiv w:val="1"/>
      <w:marLeft w:val="0"/>
      <w:marRight w:val="0"/>
      <w:marTop w:val="0"/>
      <w:marBottom w:val="0"/>
      <w:divBdr>
        <w:top w:val="none" w:sz="0" w:space="0" w:color="auto"/>
        <w:left w:val="none" w:sz="0" w:space="0" w:color="auto"/>
        <w:bottom w:val="none" w:sz="0" w:space="0" w:color="auto"/>
        <w:right w:val="none" w:sz="0" w:space="0" w:color="auto"/>
      </w:divBdr>
    </w:div>
    <w:div w:id="633413688">
      <w:bodyDiv w:val="1"/>
      <w:marLeft w:val="0"/>
      <w:marRight w:val="0"/>
      <w:marTop w:val="0"/>
      <w:marBottom w:val="0"/>
      <w:divBdr>
        <w:top w:val="none" w:sz="0" w:space="0" w:color="auto"/>
        <w:left w:val="none" w:sz="0" w:space="0" w:color="auto"/>
        <w:bottom w:val="none" w:sz="0" w:space="0" w:color="auto"/>
        <w:right w:val="none" w:sz="0" w:space="0" w:color="auto"/>
      </w:divBdr>
    </w:div>
    <w:div w:id="645165441">
      <w:bodyDiv w:val="1"/>
      <w:marLeft w:val="0"/>
      <w:marRight w:val="0"/>
      <w:marTop w:val="0"/>
      <w:marBottom w:val="0"/>
      <w:divBdr>
        <w:top w:val="none" w:sz="0" w:space="0" w:color="auto"/>
        <w:left w:val="none" w:sz="0" w:space="0" w:color="auto"/>
        <w:bottom w:val="none" w:sz="0" w:space="0" w:color="auto"/>
        <w:right w:val="none" w:sz="0" w:space="0" w:color="auto"/>
      </w:divBdr>
    </w:div>
    <w:div w:id="649407213">
      <w:bodyDiv w:val="1"/>
      <w:marLeft w:val="0"/>
      <w:marRight w:val="0"/>
      <w:marTop w:val="0"/>
      <w:marBottom w:val="0"/>
      <w:divBdr>
        <w:top w:val="none" w:sz="0" w:space="0" w:color="auto"/>
        <w:left w:val="none" w:sz="0" w:space="0" w:color="auto"/>
        <w:bottom w:val="none" w:sz="0" w:space="0" w:color="auto"/>
        <w:right w:val="none" w:sz="0" w:space="0" w:color="auto"/>
      </w:divBdr>
    </w:div>
    <w:div w:id="744062726">
      <w:bodyDiv w:val="1"/>
      <w:marLeft w:val="0"/>
      <w:marRight w:val="0"/>
      <w:marTop w:val="0"/>
      <w:marBottom w:val="0"/>
      <w:divBdr>
        <w:top w:val="none" w:sz="0" w:space="0" w:color="auto"/>
        <w:left w:val="none" w:sz="0" w:space="0" w:color="auto"/>
        <w:bottom w:val="none" w:sz="0" w:space="0" w:color="auto"/>
        <w:right w:val="none" w:sz="0" w:space="0" w:color="auto"/>
      </w:divBdr>
    </w:div>
    <w:div w:id="756292006">
      <w:bodyDiv w:val="1"/>
      <w:marLeft w:val="0"/>
      <w:marRight w:val="0"/>
      <w:marTop w:val="0"/>
      <w:marBottom w:val="0"/>
      <w:divBdr>
        <w:top w:val="none" w:sz="0" w:space="0" w:color="auto"/>
        <w:left w:val="none" w:sz="0" w:space="0" w:color="auto"/>
        <w:bottom w:val="none" w:sz="0" w:space="0" w:color="auto"/>
        <w:right w:val="none" w:sz="0" w:space="0" w:color="auto"/>
      </w:divBdr>
    </w:div>
    <w:div w:id="766728964">
      <w:bodyDiv w:val="1"/>
      <w:marLeft w:val="0"/>
      <w:marRight w:val="0"/>
      <w:marTop w:val="0"/>
      <w:marBottom w:val="0"/>
      <w:divBdr>
        <w:top w:val="none" w:sz="0" w:space="0" w:color="auto"/>
        <w:left w:val="none" w:sz="0" w:space="0" w:color="auto"/>
        <w:bottom w:val="none" w:sz="0" w:space="0" w:color="auto"/>
        <w:right w:val="none" w:sz="0" w:space="0" w:color="auto"/>
      </w:divBdr>
    </w:div>
    <w:div w:id="777259191">
      <w:bodyDiv w:val="1"/>
      <w:marLeft w:val="0"/>
      <w:marRight w:val="0"/>
      <w:marTop w:val="0"/>
      <w:marBottom w:val="0"/>
      <w:divBdr>
        <w:top w:val="none" w:sz="0" w:space="0" w:color="auto"/>
        <w:left w:val="none" w:sz="0" w:space="0" w:color="auto"/>
        <w:bottom w:val="none" w:sz="0" w:space="0" w:color="auto"/>
        <w:right w:val="none" w:sz="0" w:space="0" w:color="auto"/>
      </w:divBdr>
    </w:div>
    <w:div w:id="782652630">
      <w:bodyDiv w:val="1"/>
      <w:marLeft w:val="0"/>
      <w:marRight w:val="0"/>
      <w:marTop w:val="0"/>
      <w:marBottom w:val="0"/>
      <w:divBdr>
        <w:top w:val="none" w:sz="0" w:space="0" w:color="auto"/>
        <w:left w:val="none" w:sz="0" w:space="0" w:color="auto"/>
        <w:bottom w:val="none" w:sz="0" w:space="0" w:color="auto"/>
        <w:right w:val="none" w:sz="0" w:space="0" w:color="auto"/>
      </w:divBdr>
    </w:div>
    <w:div w:id="801730346">
      <w:bodyDiv w:val="1"/>
      <w:marLeft w:val="0"/>
      <w:marRight w:val="0"/>
      <w:marTop w:val="0"/>
      <w:marBottom w:val="0"/>
      <w:divBdr>
        <w:top w:val="none" w:sz="0" w:space="0" w:color="auto"/>
        <w:left w:val="none" w:sz="0" w:space="0" w:color="auto"/>
        <w:bottom w:val="none" w:sz="0" w:space="0" w:color="auto"/>
        <w:right w:val="none" w:sz="0" w:space="0" w:color="auto"/>
      </w:divBdr>
    </w:div>
    <w:div w:id="811605069">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823552135">
      <w:bodyDiv w:val="1"/>
      <w:marLeft w:val="0"/>
      <w:marRight w:val="0"/>
      <w:marTop w:val="0"/>
      <w:marBottom w:val="0"/>
      <w:divBdr>
        <w:top w:val="none" w:sz="0" w:space="0" w:color="auto"/>
        <w:left w:val="none" w:sz="0" w:space="0" w:color="auto"/>
        <w:bottom w:val="none" w:sz="0" w:space="0" w:color="auto"/>
        <w:right w:val="none" w:sz="0" w:space="0" w:color="auto"/>
      </w:divBdr>
    </w:div>
    <w:div w:id="854340175">
      <w:bodyDiv w:val="1"/>
      <w:marLeft w:val="0"/>
      <w:marRight w:val="0"/>
      <w:marTop w:val="0"/>
      <w:marBottom w:val="0"/>
      <w:divBdr>
        <w:top w:val="none" w:sz="0" w:space="0" w:color="auto"/>
        <w:left w:val="none" w:sz="0" w:space="0" w:color="auto"/>
        <w:bottom w:val="none" w:sz="0" w:space="0" w:color="auto"/>
        <w:right w:val="none" w:sz="0" w:space="0" w:color="auto"/>
      </w:divBdr>
    </w:div>
    <w:div w:id="864515928">
      <w:bodyDiv w:val="1"/>
      <w:marLeft w:val="0"/>
      <w:marRight w:val="0"/>
      <w:marTop w:val="0"/>
      <w:marBottom w:val="0"/>
      <w:divBdr>
        <w:top w:val="none" w:sz="0" w:space="0" w:color="auto"/>
        <w:left w:val="none" w:sz="0" w:space="0" w:color="auto"/>
        <w:bottom w:val="none" w:sz="0" w:space="0" w:color="auto"/>
        <w:right w:val="none" w:sz="0" w:space="0" w:color="auto"/>
      </w:divBdr>
    </w:div>
    <w:div w:id="869151056">
      <w:bodyDiv w:val="1"/>
      <w:marLeft w:val="0"/>
      <w:marRight w:val="0"/>
      <w:marTop w:val="0"/>
      <w:marBottom w:val="0"/>
      <w:divBdr>
        <w:top w:val="none" w:sz="0" w:space="0" w:color="auto"/>
        <w:left w:val="none" w:sz="0" w:space="0" w:color="auto"/>
        <w:bottom w:val="none" w:sz="0" w:space="0" w:color="auto"/>
        <w:right w:val="none" w:sz="0" w:space="0" w:color="auto"/>
      </w:divBdr>
    </w:div>
    <w:div w:id="909778754">
      <w:bodyDiv w:val="1"/>
      <w:marLeft w:val="0"/>
      <w:marRight w:val="0"/>
      <w:marTop w:val="0"/>
      <w:marBottom w:val="0"/>
      <w:divBdr>
        <w:top w:val="none" w:sz="0" w:space="0" w:color="auto"/>
        <w:left w:val="none" w:sz="0" w:space="0" w:color="auto"/>
        <w:bottom w:val="none" w:sz="0" w:space="0" w:color="auto"/>
        <w:right w:val="none" w:sz="0" w:space="0" w:color="auto"/>
      </w:divBdr>
    </w:div>
    <w:div w:id="921177661">
      <w:bodyDiv w:val="1"/>
      <w:marLeft w:val="0"/>
      <w:marRight w:val="0"/>
      <w:marTop w:val="0"/>
      <w:marBottom w:val="0"/>
      <w:divBdr>
        <w:top w:val="none" w:sz="0" w:space="0" w:color="auto"/>
        <w:left w:val="none" w:sz="0" w:space="0" w:color="auto"/>
        <w:bottom w:val="none" w:sz="0" w:space="0" w:color="auto"/>
        <w:right w:val="none" w:sz="0" w:space="0" w:color="auto"/>
      </w:divBdr>
    </w:div>
    <w:div w:id="924072756">
      <w:bodyDiv w:val="1"/>
      <w:marLeft w:val="0"/>
      <w:marRight w:val="0"/>
      <w:marTop w:val="0"/>
      <w:marBottom w:val="0"/>
      <w:divBdr>
        <w:top w:val="none" w:sz="0" w:space="0" w:color="auto"/>
        <w:left w:val="none" w:sz="0" w:space="0" w:color="auto"/>
        <w:bottom w:val="none" w:sz="0" w:space="0" w:color="auto"/>
        <w:right w:val="none" w:sz="0" w:space="0" w:color="auto"/>
      </w:divBdr>
    </w:div>
    <w:div w:id="935020412">
      <w:bodyDiv w:val="1"/>
      <w:marLeft w:val="0"/>
      <w:marRight w:val="0"/>
      <w:marTop w:val="0"/>
      <w:marBottom w:val="0"/>
      <w:divBdr>
        <w:top w:val="none" w:sz="0" w:space="0" w:color="auto"/>
        <w:left w:val="none" w:sz="0" w:space="0" w:color="auto"/>
        <w:bottom w:val="none" w:sz="0" w:space="0" w:color="auto"/>
        <w:right w:val="none" w:sz="0" w:space="0" w:color="auto"/>
      </w:divBdr>
    </w:div>
    <w:div w:id="986275518">
      <w:bodyDiv w:val="1"/>
      <w:marLeft w:val="0"/>
      <w:marRight w:val="0"/>
      <w:marTop w:val="0"/>
      <w:marBottom w:val="0"/>
      <w:divBdr>
        <w:top w:val="none" w:sz="0" w:space="0" w:color="auto"/>
        <w:left w:val="none" w:sz="0" w:space="0" w:color="auto"/>
        <w:bottom w:val="none" w:sz="0" w:space="0" w:color="auto"/>
        <w:right w:val="none" w:sz="0" w:space="0" w:color="auto"/>
      </w:divBdr>
    </w:div>
    <w:div w:id="1036276262">
      <w:bodyDiv w:val="1"/>
      <w:marLeft w:val="0"/>
      <w:marRight w:val="0"/>
      <w:marTop w:val="0"/>
      <w:marBottom w:val="0"/>
      <w:divBdr>
        <w:top w:val="none" w:sz="0" w:space="0" w:color="auto"/>
        <w:left w:val="none" w:sz="0" w:space="0" w:color="auto"/>
        <w:bottom w:val="none" w:sz="0" w:space="0" w:color="auto"/>
        <w:right w:val="none" w:sz="0" w:space="0" w:color="auto"/>
      </w:divBdr>
    </w:div>
    <w:div w:id="1052342982">
      <w:bodyDiv w:val="1"/>
      <w:marLeft w:val="0"/>
      <w:marRight w:val="0"/>
      <w:marTop w:val="0"/>
      <w:marBottom w:val="0"/>
      <w:divBdr>
        <w:top w:val="none" w:sz="0" w:space="0" w:color="auto"/>
        <w:left w:val="none" w:sz="0" w:space="0" w:color="auto"/>
        <w:bottom w:val="none" w:sz="0" w:space="0" w:color="auto"/>
        <w:right w:val="none" w:sz="0" w:space="0" w:color="auto"/>
      </w:divBdr>
    </w:div>
    <w:div w:id="1063604758">
      <w:bodyDiv w:val="1"/>
      <w:marLeft w:val="0"/>
      <w:marRight w:val="0"/>
      <w:marTop w:val="0"/>
      <w:marBottom w:val="0"/>
      <w:divBdr>
        <w:top w:val="none" w:sz="0" w:space="0" w:color="auto"/>
        <w:left w:val="none" w:sz="0" w:space="0" w:color="auto"/>
        <w:bottom w:val="none" w:sz="0" w:space="0" w:color="auto"/>
        <w:right w:val="none" w:sz="0" w:space="0" w:color="auto"/>
      </w:divBdr>
    </w:div>
    <w:div w:id="1108894653">
      <w:bodyDiv w:val="1"/>
      <w:marLeft w:val="0"/>
      <w:marRight w:val="0"/>
      <w:marTop w:val="0"/>
      <w:marBottom w:val="0"/>
      <w:divBdr>
        <w:top w:val="none" w:sz="0" w:space="0" w:color="auto"/>
        <w:left w:val="none" w:sz="0" w:space="0" w:color="auto"/>
        <w:bottom w:val="none" w:sz="0" w:space="0" w:color="auto"/>
        <w:right w:val="none" w:sz="0" w:space="0" w:color="auto"/>
      </w:divBdr>
    </w:div>
    <w:div w:id="1189291448">
      <w:bodyDiv w:val="1"/>
      <w:marLeft w:val="0"/>
      <w:marRight w:val="0"/>
      <w:marTop w:val="0"/>
      <w:marBottom w:val="0"/>
      <w:divBdr>
        <w:top w:val="none" w:sz="0" w:space="0" w:color="auto"/>
        <w:left w:val="none" w:sz="0" w:space="0" w:color="auto"/>
        <w:bottom w:val="none" w:sz="0" w:space="0" w:color="auto"/>
        <w:right w:val="none" w:sz="0" w:space="0" w:color="auto"/>
      </w:divBdr>
    </w:div>
    <w:div w:id="1253857525">
      <w:bodyDiv w:val="1"/>
      <w:marLeft w:val="0"/>
      <w:marRight w:val="0"/>
      <w:marTop w:val="0"/>
      <w:marBottom w:val="0"/>
      <w:divBdr>
        <w:top w:val="none" w:sz="0" w:space="0" w:color="auto"/>
        <w:left w:val="none" w:sz="0" w:space="0" w:color="auto"/>
        <w:bottom w:val="none" w:sz="0" w:space="0" w:color="auto"/>
        <w:right w:val="none" w:sz="0" w:space="0" w:color="auto"/>
      </w:divBdr>
    </w:div>
    <w:div w:id="1254512263">
      <w:bodyDiv w:val="1"/>
      <w:marLeft w:val="0"/>
      <w:marRight w:val="0"/>
      <w:marTop w:val="0"/>
      <w:marBottom w:val="0"/>
      <w:divBdr>
        <w:top w:val="none" w:sz="0" w:space="0" w:color="auto"/>
        <w:left w:val="none" w:sz="0" w:space="0" w:color="auto"/>
        <w:bottom w:val="none" w:sz="0" w:space="0" w:color="auto"/>
        <w:right w:val="none" w:sz="0" w:space="0" w:color="auto"/>
      </w:divBdr>
    </w:div>
    <w:div w:id="1258756509">
      <w:bodyDiv w:val="1"/>
      <w:marLeft w:val="0"/>
      <w:marRight w:val="0"/>
      <w:marTop w:val="0"/>
      <w:marBottom w:val="0"/>
      <w:divBdr>
        <w:top w:val="none" w:sz="0" w:space="0" w:color="auto"/>
        <w:left w:val="none" w:sz="0" w:space="0" w:color="auto"/>
        <w:bottom w:val="none" w:sz="0" w:space="0" w:color="auto"/>
        <w:right w:val="none" w:sz="0" w:space="0" w:color="auto"/>
      </w:divBdr>
    </w:div>
    <w:div w:id="1297838633">
      <w:bodyDiv w:val="1"/>
      <w:marLeft w:val="0"/>
      <w:marRight w:val="0"/>
      <w:marTop w:val="0"/>
      <w:marBottom w:val="0"/>
      <w:divBdr>
        <w:top w:val="none" w:sz="0" w:space="0" w:color="auto"/>
        <w:left w:val="none" w:sz="0" w:space="0" w:color="auto"/>
        <w:bottom w:val="none" w:sz="0" w:space="0" w:color="auto"/>
        <w:right w:val="none" w:sz="0" w:space="0" w:color="auto"/>
      </w:divBdr>
    </w:div>
    <w:div w:id="1322389181">
      <w:bodyDiv w:val="1"/>
      <w:marLeft w:val="0"/>
      <w:marRight w:val="0"/>
      <w:marTop w:val="0"/>
      <w:marBottom w:val="0"/>
      <w:divBdr>
        <w:top w:val="none" w:sz="0" w:space="0" w:color="auto"/>
        <w:left w:val="none" w:sz="0" w:space="0" w:color="auto"/>
        <w:bottom w:val="none" w:sz="0" w:space="0" w:color="auto"/>
        <w:right w:val="none" w:sz="0" w:space="0" w:color="auto"/>
      </w:divBdr>
    </w:div>
    <w:div w:id="1332568091">
      <w:bodyDiv w:val="1"/>
      <w:marLeft w:val="0"/>
      <w:marRight w:val="0"/>
      <w:marTop w:val="0"/>
      <w:marBottom w:val="0"/>
      <w:divBdr>
        <w:top w:val="none" w:sz="0" w:space="0" w:color="auto"/>
        <w:left w:val="none" w:sz="0" w:space="0" w:color="auto"/>
        <w:bottom w:val="none" w:sz="0" w:space="0" w:color="auto"/>
        <w:right w:val="none" w:sz="0" w:space="0" w:color="auto"/>
      </w:divBdr>
    </w:div>
    <w:div w:id="1345202317">
      <w:bodyDiv w:val="1"/>
      <w:marLeft w:val="0"/>
      <w:marRight w:val="0"/>
      <w:marTop w:val="0"/>
      <w:marBottom w:val="0"/>
      <w:divBdr>
        <w:top w:val="none" w:sz="0" w:space="0" w:color="auto"/>
        <w:left w:val="none" w:sz="0" w:space="0" w:color="auto"/>
        <w:bottom w:val="none" w:sz="0" w:space="0" w:color="auto"/>
        <w:right w:val="none" w:sz="0" w:space="0" w:color="auto"/>
      </w:divBdr>
    </w:div>
    <w:div w:id="1364746936">
      <w:bodyDiv w:val="1"/>
      <w:marLeft w:val="0"/>
      <w:marRight w:val="0"/>
      <w:marTop w:val="0"/>
      <w:marBottom w:val="0"/>
      <w:divBdr>
        <w:top w:val="none" w:sz="0" w:space="0" w:color="auto"/>
        <w:left w:val="none" w:sz="0" w:space="0" w:color="auto"/>
        <w:bottom w:val="none" w:sz="0" w:space="0" w:color="auto"/>
        <w:right w:val="none" w:sz="0" w:space="0" w:color="auto"/>
      </w:divBdr>
    </w:div>
    <w:div w:id="1390808708">
      <w:bodyDiv w:val="1"/>
      <w:marLeft w:val="0"/>
      <w:marRight w:val="0"/>
      <w:marTop w:val="0"/>
      <w:marBottom w:val="0"/>
      <w:divBdr>
        <w:top w:val="none" w:sz="0" w:space="0" w:color="auto"/>
        <w:left w:val="none" w:sz="0" w:space="0" w:color="auto"/>
        <w:bottom w:val="none" w:sz="0" w:space="0" w:color="auto"/>
        <w:right w:val="none" w:sz="0" w:space="0" w:color="auto"/>
      </w:divBdr>
    </w:div>
    <w:div w:id="1495607501">
      <w:bodyDiv w:val="1"/>
      <w:marLeft w:val="0"/>
      <w:marRight w:val="0"/>
      <w:marTop w:val="0"/>
      <w:marBottom w:val="0"/>
      <w:divBdr>
        <w:top w:val="none" w:sz="0" w:space="0" w:color="auto"/>
        <w:left w:val="none" w:sz="0" w:space="0" w:color="auto"/>
        <w:bottom w:val="none" w:sz="0" w:space="0" w:color="auto"/>
        <w:right w:val="none" w:sz="0" w:space="0" w:color="auto"/>
      </w:divBdr>
    </w:div>
    <w:div w:id="1527404914">
      <w:bodyDiv w:val="1"/>
      <w:marLeft w:val="0"/>
      <w:marRight w:val="0"/>
      <w:marTop w:val="0"/>
      <w:marBottom w:val="0"/>
      <w:divBdr>
        <w:top w:val="none" w:sz="0" w:space="0" w:color="auto"/>
        <w:left w:val="none" w:sz="0" w:space="0" w:color="auto"/>
        <w:bottom w:val="none" w:sz="0" w:space="0" w:color="auto"/>
        <w:right w:val="none" w:sz="0" w:space="0" w:color="auto"/>
      </w:divBdr>
    </w:div>
    <w:div w:id="1572882440">
      <w:bodyDiv w:val="1"/>
      <w:marLeft w:val="0"/>
      <w:marRight w:val="0"/>
      <w:marTop w:val="0"/>
      <w:marBottom w:val="0"/>
      <w:divBdr>
        <w:top w:val="none" w:sz="0" w:space="0" w:color="auto"/>
        <w:left w:val="none" w:sz="0" w:space="0" w:color="auto"/>
        <w:bottom w:val="none" w:sz="0" w:space="0" w:color="auto"/>
        <w:right w:val="none" w:sz="0" w:space="0" w:color="auto"/>
      </w:divBdr>
    </w:div>
    <w:div w:id="1609197951">
      <w:bodyDiv w:val="1"/>
      <w:marLeft w:val="0"/>
      <w:marRight w:val="0"/>
      <w:marTop w:val="0"/>
      <w:marBottom w:val="0"/>
      <w:divBdr>
        <w:top w:val="none" w:sz="0" w:space="0" w:color="auto"/>
        <w:left w:val="none" w:sz="0" w:space="0" w:color="auto"/>
        <w:bottom w:val="none" w:sz="0" w:space="0" w:color="auto"/>
        <w:right w:val="none" w:sz="0" w:space="0" w:color="auto"/>
      </w:divBdr>
    </w:div>
    <w:div w:id="1656763705">
      <w:bodyDiv w:val="1"/>
      <w:marLeft w:val="0"/>
      <w:marRight w:val="0"/>
      <w:marTop w:val="0"/>
      <w:marBottom w:val="0"/>
      <w:divBdr>
        <w:top w:val="none" w:sz="0" w:space="0" w:color="auto"/>
        <w:left w:val="none" w:sz="0" w:space="0" w:color="auto"/>
        <w:bottom w:val="none" w:sz="0" w:space="0" w:color="auto"/>
        <w:right w:val="none" w:sz="0" w:space="0" w:color="auto"/>
      </w:divBdr>
    </w:div>
    <w:div w:id="1672100017">
      <w:bodyDiv w:val="1"/>
      <w:marLeft w:val="0"/>
      <w:marRight w:val="0"/>
      <w:marTop w:val="0"/>
      <w:marBottom w:val="0"/>
      <w:divBdr>
        <w:top w:val="none" w:sz="0" w:space="0" w:color="auto"/>
        <w:left w:val="none" w:sz="0" w:space="0" w:color="auto"/>
        <w:bottom w:val="none" w:sz="0" w:space="0" w:color="auto"/>
        <w:right w:val="none" w:sz="0" w:space="0" w:color="auto"/>
      </w:divBdr>
    </w:div>
    <w:div w:id="1675918404">
      <w:bodyDiv w:val="1"/>
      <w:marLeft w:val="0"/>
      <w:marRight w:val="0"/>
      <w:marTop w:val="0"/>
      <w:marBottom w:val="0"/>
      <w:divBdr>
        <w:top w:val="none" w:sz="0" w:space="0" w:color="auto"/>
        <w:left w:val="none" w:sz="0" w:space="0" w:color="auto"/>
        <w:bottom w:val="none" w:sz="0" w:space="0" w:color="auto"/>
        <w:right w:val="none" w:sz="0" w:space="0" w:color="auto"/>
      </w:divBdr>
    </w:div>
    <w:div w:id="1692301265">
      <w:bodyDiv w:val="1"/>
      <w:marLeft w:val="0"/>
      <w:marRight w:val="0"/>
      <w:marTop w:val="0"/>
      <w:marBottom w:val="0"/>
      <w:divBdr>
        <w:top w:val="none" w:sz="0" w:space="0" w:color="auto"/>
        <w:left w:val="none" w:sz="0" w:space="0" w:color="auto"/>
        <w:bottom w:val="none" w:sz="0" w:space="0" w:color="auto"/>
        <w:right w:val="none" w:sz="0" w:space="0" w:color="auto"/>
      </w:divBdr>
    </w:div>
    <w:div w:id="1779056524">
      <w:bodyDiv w:val="1"/>
      <w:marLeft w:val="0"/>
      <w:marRight w:val="0"/>
      <w:marTop w:val="0"/>
      <w:marBottom w:val="0"/>
      <w:divBdr>
        <w:top w:val="none" w:sz="0" w:space="0" w:color="auto"/>
        <w:left w:val="none" w:sz="0" w:space="0" w:color="auto"/>
        <w:bottom w:val="none" w:sz="0" w:space="0" w:color="auto"/>
        <w:right w:val="none" w:sz="0" w:space="0" w:color="auto"/>
      </w:divBdr>
    </w:div>
    <w:div w:id="1806896570">
      <w:bodyDiv w:val="1"/>
      <w:marLeft w:val="0"/>
      <w:marRight w:val="0"/>
      <w:marTop w:val="0"/>
      <w:marBottom w:val="0"/>
      <w:divBdr>
        <w:top w:val="none" w:sz="0" w:space="0" w:color="auto"/>
        <w:left w:val="none" w:sz="0" w:space="0" w:color="auto"/>
        <w:bottom w:val="none" w:sz="0" w:space="0" w:color="auto"/>
        <w:right w:val="none" w:sz="0" w:space="0" w:color="auto"/>
      </w:divBdr>
    </w:div>
    <w:div w:id="1811361853">
      <w:bodyDiv w:val="1"/>
      <w:marLeft w:val="0"/>
      <w:marRight w:val="0"/>
      <w:marTop w:val="0"/>
      <w:marBottom w:val="0"/>
      <w:divBdr>
        <w:top w:val="none" w:sz="0" w:space="0" w:color="auto"/>
        <w:left w:val="none" w:sz="0" w:space="0" w:color="auto"/>
        <w:bottom w:val="none" w:sz="0" w:space="0" w:color="auto"/>
        <w:right w:val="none" w:sz="0" w:space="0" w:color="auto"/>
      </w:divBdr>
    </w:div>
    <w:div w:id="1823426240">
      <w:bodyDiv w:val="1"/>
      <w:marLeft w:val="0"/>
      <w:marRight w:val="0"/>
      <w:marTop w:val="0"/>
      <w:marBottom w:val="0"/>
      <w:divBdr>
        <w:top w:val="none" w:sz="0" w:space="0" w:color="auto"/>
        <w:left w:val="none" w:sz="0" w:space="0" w:color="auto"/>
        <w:bottom w:val="none" w:sz="0" w:space="0" w:color="auto"/>
        <w:right w:val="none" w:sz="0" w:space="0" w:color="auto"/>
      </w:divBdr>
    </w:div>
    <w:div w:id="1844276185">
      <w:bodyDiv w:val="1"/>
      <w:marLeft w:val="0"/>
      <w:marRight w:val="0"/>
      <w:marTop w:val="0"/>
      <w:marBottom w:val="0"/>
      <w:divBdr>
        <w:top w:val="none" w:sz="0" w:space="0" w:color="auto"/>
        <w:left w:val="none" w:sz="0" w:space="0" w:color="auto"/>
        <w:bottom w:val="none" w:sz="0" w:space="0" w:color="auto"/>
        <w:right w:val="none" w:sz="0" w:space="0" w:color="auto"/>
      </w:divBdr>
    </w:div>
    <w:div w:id="1868446170">
      <w:bodyDiv w:val="1"/>
      <w:marLeft w:val="0"/>
      <w:marRight w:val="0"/>
      <w:marTop w:val="0"/>
      <w:marBottom w:val="0"/>
      <w:divBdr>
        <w:top w:val="none" w:sz="0" w:space="0" w:color="auto"/>
        <w:left w:val="none" w:sz="0" w:space="0" w:color="auto"/>
        <w:bottom w:val="none" w:sz="0" w:space="0" w:color="auto"/>
        <w:right w:val="none" w:sz="0" w:space="0" w:color="auto"/>
      </w:divBdr>
    </w:div>
    <w:div w:id="1870678443">
      <w:bodyDiv w:val="1"/>
      <w:marLeft w:val="0"/>
      <w:marRight w:val="0"/>
      <w:marTop w:val="0"/>
      <w:marBottom w:val="0"/>
      <w:divBdr>
        <w:top w:val="none" w:sz="0" w:space="0" w:color="auto"/>
        <w:left w:val="none" w:sz="0" w:space="0" w:color="auto"/>
        <w:bottom w:val="none" w:sz="0" w:space="0" w:color="auto"/>
        <w:right w:val="none" w:sz="0" w:space="0" w:color="auto"/>
      </w:divBdr>
    </w:div>
    <w:div w:id="1877352808">
      <w:bodyDiv w:val="1"/>
      <w:marLeft w:val="0"/>
      <w:marRight w:val="0"/>
      <w:marTop w:val="0"/>
      <w:marBottom w:val="0"/>
      <w:divBdr>
        <w:top w:val="none" w:sz="0" w:space="0" w:color="auto"/>
        <w:left w:val="none" w:sz="0" w:space="0" w:color="auto"/>
        <w:bottom w:val="none" w:sz="0" w:space="0" w:color="auto"/>
        <w:right w:val="none" w:sz="0" w:space="0" w:color="auto"/>
      </w:divBdr>
    </w:div>
    <w:div w:id="1881936393">
      <w:bodyDiv w:val="1"/>
      <w:marLeft w:val="0"/>
      <w:marRight w:val="0"/>
      <w:marTop w:val="0"/>
      <w:marBottom w:val="0"/>
      <w:divBdr>
        <w:top w:val="none" w:sz="0" w:space="0" w:color="auto"/>
        <w:left w:val="none" w:sz="0" w:space="0" w:color="auto"/>
        <w:bottom w:val="none" w:sz="0" w:space="0" w:color="auto"/>
        <w:right w:val="none" w:sz="0" w:space="0" w:color="auto"/>
      </w:divBdr>
    </w:div>
    <w:div w:id="1895118452">
      <w:marLeft w:val="0"/>
      <w:marRight w:val="0"/>
      <w:marTop w:val="0"/>
      <w:marBottom w:val="0"/>
      <w:divBdr>
        <w:top w:val="none" w:sz="0" w:space="0" w:color="auto"/>
        <w:left w:val="none" w:sz="0" w:space="0" w:color="auto"/>
        <w:bottom w:val="none" w:sz="0" w:space="0" w:color="auto"/>
        <w:right w:val="none" w:sz="0" w:space="0" w:color="auto"/>
      </w:divBdr>
    </w:div>
    <w:div w:id="1895118453">
      <w:marLeft w:val="0"/>
      <w:marRight w:val="0"/>
      <w:marTop w:val="0"/>
      <w:marBottom w:val="0"/>
      <w:divBdr>
        <w:top w:val="none" w:sz="0" w:space="0" w:color="auto"/>
        <w:left w:val="none" w:sz="0" w:space="0" w:color="auto"/>
        <w:bottom w:val="none" w:sz="0" w:space="0" w:color="auto"/>
        <w:right w:val="none" w:sz="0" w:space="0" w:color="auto"/>
      </w:divBdr>
    </w:div>
    <w:div w:id="1895118454">
      <w:marLeft w:val="0"/>
      <w:marRight w:val="0"/>
      <w:marTop w:val="0"/>
      <w:marBottom w:val="0"/>
      <w:divBdr>
        <w:top w:val="none" w:sz="0" w:space="0" w:color="auto"/>
        <w:left w:val="none" w:sz="0" w:space="0" w:color="auto"/>
        <w:bottom w:val="none" w:sz="0" w:space="0" w:color="auto"/>
        <w:right w:val="none" w:sz="0" w:space="0" w:color="auto"/>
      </w:divBdr>
    </w:div>
    <w:div w:id="1895118455">
      <w:marLeft w:val="0"/>
      <w:marRight w:val="0"/>
      <w:marTop w:val="0"/>
      <w:marBottom w:val="0"/>
      <w:divBdr>
        <w:top w:val="none" w:sz="0" w:space="0" w:color="auto"/>
        <w:left w:val="none" w:sz="0" w:space="0" w:color="auto"/>
        <w:bottom w:val="none" w:sz="0" w:space="0" w:color="auto"/>
        <w:right w:val="none" w:sz="0" w:space="0" w:color="auto"/>
      </w:divBdr>
    </w:div>
    <w:div w:id="1932620906">
      <w:bodyDiv w:val="1"/>
      <w:marLeft w:val="0"/>
      <w:marRight w:val="0"/>
      <w:marTop w:val="0"/>
      <w:marBottom w:val="0"/>
      <w:divBdr>
        <w:top w:val="none" w:sz="0" w:space="0" w:color="auto"/>
        <w:left w:val="none" w:sz="0" w:space="0" w:color="auto"/>
        <w:bottom w:val="none" w:sz="0" w:space="0" w:color="auto"/>
        <w:right w:val="none" w:sz="0" w:space="0" w:color="auto"/>
      </w:divBdr>
    </w:div>
    <w:div w:id="2034375956">
      <w:bodyDiv w:val="1"/>
      <w:marLeft w:val="0"/>
      <w:marRight w:val="0"/>
      <w:marTop w:val="0"/>
      <w:marBottom w:val="0"/>
      <w:divBdr>
        <w:top w:val="none" w:sz="0" w:space="0" w:color="auto"/>
        <w:left w:val="none" w:sz="0" w:space="0" w:color="auto"/>
        <w:bottom w:val="none" w:sz="0" w:space="0" w:color="auto"/>
        <w:right w:val="none" w:sz="0" w:space="0" w:color="auto"/>
      </w:divBdr>
    </w:div>
    <w:div w:id="2043675715">
      <w:bodyDiv w:val="1"/>
      <w:marLeft w:val="0"/>
      <w:marRight w:val="0"/>
      <w:marTop w:val="0"/>
      <w:marBottom w:val="0"/>
      <w:divBdr>
        <w:top w:val="none" w:sz="0" w:space="0" w:color="auto"/>
        <w:left w:val="none" w:sz="0" w:space="0" w:color="auto"/>
        <w:bottom w:val="none" w:sz="0" w:space="0" w:color="auto"/>
        <w:right w:val="none" w:sz="0" w:space="0" w:color="auto"/>
      </w:divBdr>
    </w:div>
    <w:div w:id="2048094524">
      <w:bodyDiv w:val="1"/>
      <w:marLeft w:val="0"/>
      <w:marRight w:val="0"/>
      <w:marTop w:val="0"/>
      <w:marBottom w:val="0"/>
      <w:divBdr>
        <w:top w:val="none" w:sz="0" w:space="0" w:color="auto"/>
        <w:left w:val="none" w:sz="0" w:space="0" w:color="auto"/>
        <w:bottom w:val="none" w:sz="0" w:space="0" w:color="auto"/>
        <w:right w:val="none" w:sz="0" w:space="0" w:color="auto"/>
      </w:divBdr>
    </w:div>
    <w:div w:id="2074962042">
      <w:bodyDiv w:val="1"/>
      <w:marLeft w:val="0"/>
      <w:marRight w:val="0"/>
      <w:marTop w:val="0"/>
      <w:marBottom w:val="0"/>
      <w:divBdr>
        <w:top w:val="none" w:sz="0" w:space="0" w:color="auto"/>
        <w:left w:val="none" w:sz="0" w:space="0" w:color="auto"/>
        <w:bottom w:val="none" w:sz="0" w:space="0" w:color="auto"/>
        <w:right w:val="none" w:sz="0" w:space="0" w:color="auto"/>
      </w:divBdr>
    </w:div>
    <w:div w:id="2110469023">
      <w:bodyDiv w:val="1"/>
      <w:marLeft w:val="0"/>
      <w:marRight w:val="0"/>
      <w:marTop w:val="0"/>
      <w:marBottom w:val="0"/>
      <w:divBdr>
        <w:top w:val="none" w:sz="0" w:space="0" w:color="auto"/>
        <w:left w:val="none" w:sz="0" w:space="0" w:color="auto"/>
        <w:bottom w:val="none" w:sz="0" w:space="0" w:color="auto"/>
        <w:right w:val="none" w:sz="0" w:space="0" w:color="auto"/>
      </w:divBdr>
    </w:div>
    <w:div w:id="21330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A019-AB9B-4CD4-AF4A-817D6E435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3544</TotalTime>
  <Pages>8</Pages>
  <Words>968</Words>
  <Characters>5518</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交银施罗德瑞安定期开放</vt:lpstr>
      <vt:lpstr>    灵活配置混合型</vt:lpstr>
      <vt:lpstr>    证券投资基金清算报告</vt:lpstr>
    </vt:vector>
  </TitlesOfParts>
  <Company>Lenovo</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zhangfe</dc:creator>
  <cp:lastModifiedBy>许琦欣</cp:lastModifiedBy>
  <cp:revision>784</cp:revision>
  <cp:lastPrinted>2018-10-12T05:32:00Z</cp:lastPrinted>
  <dcterms:created xsi:type="dcterms:W3CDTF">2020-06-22T12:44:00Z</dcterms:created>
  <dcterms:modified xsi:type="dcterms:W3CDTF">2022-01-18T03:18:00Z</dcterms:modified>
</cp:coreProperties>
</file>