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5F307" w14:textId="4DF2587C" w:rsidR="00562298" w:rsidRDefault="004636A8">
      <w:pPr>
        <w:spacing w:line="360" w:lineRule="auto"/>
        <w:jc w:val="left"/>
        <w:rPr>
          <w:rFonts w:ascii="仿宋" w:eastAsia="仿宋" w:hAnsi="仿宋"/>
          <w:b/>
          <w:color w:val="000000"/>
          <w:sz w:val="24"/>
          <w:szCs w:val="24"/>
        </w:rPr>
      </w:pPr>
      <w:r>
        <w:rPr>
          <w:rFonts w:ascii="宋体" w:hAnsi="宋体" w:hint="eastAsia"/>
          <w:sz w:val="24"/>
          <w:szCs w:val="24"/>
        </w:rPr>
        <w:t>合同编码:光银托管</w:t>
      </w:r>
      <w:r w:rsidR="00437C0B">
        <w:rPr>
          <w:rFonts w:ascii="宋体" w:hAnsi="宋体"/>
          <w:sz w:val="24"/>
          <w:szCs w:val="24"/>
        </w:rPr>
        <w:t xml:space="preserve"> </w:t>
      </w:r>
    </w:p>
    <w:p w14:paraId="1B09291D" w14:textId="77777777" w:rsidR="00562298" w:rsidRDefault="00562298">
      <w:pPr>
        <w:spacing w:line="360" w:lineRule="auto"/>
        <w:jc w:val="center"/>
        <w:rPr>
          <w:rFonts w:ascii="仿宋" w:eastAsia="仿宋" w:hAnsi="仿宋"/>
          <w:b/>
          <w:color w:val="000000"/>
          <w:sz w:val="32"/>
        </w:rPr>
      </w:pPr>
    </w:p>
    <w:p w14:paraId="497B01A5" w14:textId="77777777" w:rsidR="00562298" w:rsidRDefault="00562298">
      <w:pPr>
        <w:spacing w:line="360" w:lineRule="auto"/>
        <w:rPr>
          <w:rFonts w:ascii="仿宋" w:eastAsia="仿宋" w:hAnsi="仿宋"/>
          <w:b/>
          <w:color w:val="000000"/>
          <w:sz w:val="32"/>
        </w:rPr>
      </w:pPr>
    </w:p>
    <w:p w14:paraId="0EFAF50E" w14:textId="77777777" w:rsidR="00562298" w:rsidRDefault="004636A8">
      <w:pPr>
        <w:spacing w:line="360" w:lineRule="auto"/>
        <w:jc w:val="center"/>
        <w:rPr>
          <w:rFonts w:ascii="宋体" w:hAnsi="宋体" w:cs="宋体"/>
          <w:b/>
          <w:color w:val="000000"/>
          <w:sz w:val="44"/>
          <w:szCs w:val="44"/>
        </w:rPr>
      </w:pPr>
      <w:proofErr w:type="gramStart"/>
      <w:r>
        <w:rPr>
          <w:rFonts w:ascii="宋体" w:hAnsi="宋体" w:cs="宋体" w:hint="eastAsia"/>
          <w:b/>
          <w:color w:val="000000"/>
          <w:sz w:val="44"/>
          <w:szCs w:val="44"/>
        </w:rPr>
        <w:t>交银施罗</w:t>
      </w:r>
      <w:proofErr w:type="gramEnd"/>
      <w:r>
        <w:rPr>
          <w:rFonts w:ascii="宋体" w:hAnsi="宋体" w:cs="宋体" w:hint="eastAsia"/>
          <w:b/>
          <w:color w:val="000000"/>
          <w:sz w:val="44"/>
          <w:szCs w:val="44"/>
        </w:rPr>
        <w:t>德智选星光一年封闭运作</w:t>
      </w:r>
    </w:p>
    <w:p w14:paraId="4C97D2F5" w14:textId="77777777" w:rsidR="00562298" w:rsidRDefault="004636A8">
      <w:pPr>
        <w:spacing w:line="360" w:lineRule="auto"/>
        <w:jc w:val="center"/>
        <w:rPr>
          <w:rFonts w:ascii="宋体" w:hAnsi="宋体" w:cs="宋体"/>
          <w:b/>
          <w:color w:val="000000"/>
          <w:sz w:val="44"/>
          <w:szCs w:val="44"/>
        </w:rPr>
      </w:pPr>
      <w:r>
        <w:rPr>
          <w:rFonts w:ascii="宋体" w:hAnsi="宋体" w:cs="宋体" w:hint="eastAsia"/>
          <w:b/>
          <w:color w:val="000000"/>
          <w:sz w:val="44"/>
          <w:szCs w:val="44"/>
        </w:rPr>
        <w:t>混合型基金中基金（FOF-LOF）</w:t>
      </w:r>
    </w:p>
    <w:p w14:paraId="3E060B11" w14:textId="68718A03" w:rsidR="00562298" w:rsidRDefault="004636A8">
      <w:pPr>
        <w:spacing w:line="360" w:lineRule="auto"/>
        <w:jc w:val="center"/>
        <w:rPr>
          <w:rFonts w:ascii="宋体" w:hAnsi="宋体" w:cs="宋体"/>
          <w:b/>
          <w:color w:val="000000"/>
          <w:sz w:val="44"/>
          <w:szCs w:val="44"/>
        </w:rPr>
      </w:pPr>
      <w:r>
        <w:rPr>
          <w:rFonts w:ascii="宋体" w:hAnsi="宋体" w:cs="宋体" w:hint="eastAsia"/>
          <w:b/>
          <w:color w:val="000000"/>
          <w:sz w:val="44"/>
          <w:szCs w:val="44"/>
        </w:rPr>
        <w:t>托管协议</w:t>
      </w:r>
    </w:p>
    <w:p w14:paraId="08E34E17" w14:textId="77777777" w:rsidR="00562298" w:rsidRDefault="00562298">
      <w:pPr>
        <w:spacing w:line="360" w:lineRule="auto"/>
        <w:jc w:val="center"/>
        <w:rPr>
          <w:rFonts w:ascii="仿宋" w:eastAsia="仿宋" w:hAnsi="仿宋"/>
          <w:color w:val="000000"/>
          <w:sz w:val="30"/>
        </w:rPr>
      </w:pPr>
    </w:p>
    <w:p w14:paraId="133783B4" w14:textId="77777777" w:rsidR="00562298" w:rsidRDefault="00562298">
      <w:pPr>
        <w:spacing w:line="360" w:lineRule="auto"/>
        <w:jc w:val="center"/>
        <w:rPr>
          <w:rFonts w:ascii="仿宋" w:eastAsia="仿宋" w:hAnsi="仿宋"/>
          <w:color w:val="000000"/>
          <w:sz w:val="30"/>
        </w:rPr>
      </w:pPr>
    </w:p>
    <w:p w14:paraId="53C43E78" w14:textId="77777777" w:rsidR="00562298" w:rsidRDefault="00562298">
      <w:pPr>
        <w:spacing w:line="360" w:lineRule="auto"/>
        <w:jc w:val="center"/>
        <w:rPr>
          <w:rFonts w:ascii="仿宋" w:eastAsia="仿宋" w:hAnsi="仿宋"/>
          <w:color w:val="000000"/>
          <w:sz w:val="30"/>
        </w:rPr>
      </w:pPr>
    </w:p>
    <w:p w14:paraId="2A9D76A2" w14:textId="77777777" w:rsidR="00562298" w:rsidRDefault="00562298">
      <w:pPr>
        <w:spacing w:line="360" w:lineRule="auto"/>
        <w:jc w:val="center"/>
        <w:rPr>
          <w:rFonts w:ascii="仿宋" w:eastAsia="仿宋" w:hAnsi="仿宋"/>
          <w:color w:val="000000"/>
          <w:sz w:val="30"/>
        </w:rPr>
      </w:pPr>
    </w:p>
    <w:p w14:paraId="75DCF40C" w14:textId="77777777" w:rsidR="00562298" w:rsidRDefault="00562298">
      <w:pPr>
        <w:spacing w:line="360" w:lineRule="auto"/>
        <w:jc w:val="center"/>
        <w:rPr>
          <w:rFonts w:ascii="仿宋" w:eastAsia="仿宋" w:hAnsi="仿宋"/>
          <w:color w:val="000000"/>
          <w:sz w:val="30"/>
        </w:rPr>
      </w:pPr>
    </w:p>
    <w:p w14:paraId="388B7056" w14:textId="77777777" w:rsidR="00562298" w:rsidRDefault="00562298">
      <w:pPr>
        <w:spacing w:line="360" w:lineRule="auto"/>
        <w:jc w:val="center"/>
        <w:rPr>
          <w:rFonts w:ascii="仿宋" w:eastAsia="仿宋" w:hAnsi="仿宋"/>
          <w:color w:val="000000"/>
          <w:sz w:val="30"/>
        </w:rPr>
      </w:pPr>
    </w:p>
    <w:p w14:paraId="5861765F" w14:textId="77777777" w:rsidR="00562298" w:rsidRDefault="00562298">
      <w:pPr>
        <w:spacing w:line="360" w:lineRule="auto"/>
        <w:jc w:val="center"/>
        <w:rPr>
          <w:rFonts w:ascii="仿宋" w:eastAsia="仿宋" w:hAnsi="仿宋"/>
          <w:color w:val="000000"/>
          <w:sz w:val="30"/>
        </w:rPr>
      </w:pPr>
    </w:p>
    <w:p w14:paraId="2E070044" w14:textId="77777777" w:rsidR="00562298" w:rsidRDefault="00562298">
      <w:pPr>
        <w:spacing w:line="360" w:lineRule="auto"/>
        <w:jc w:val="center"/>
        <w:rPr>
          <w:rFonts w:ascii="仿宋" w:eastAsia="仿宋" w:hAnsi="仿宋"/>
          <w:color w:val="000000"/>
          <w:sz w:val="30"/>
        </w:rPr>
      </w:pPr>
    </w:p>
    <w:p w14:paraId="5DA1FDCE" w14:textId="77777777" w:rsidR="00562298" w:rsidRDefault="00562298">
      <w:pPr>
        <w:spacing w:line="360" w:lineRule="auto"/>
        <w:jc w:val="center"/>
        <w:rPr>
          <w:rFonts w:ascii="仿宋" w:eastAsia="仿宋" w:hAnsi="仿宋"/>
          <w:color w:val="000000"/>
          <w:sz w:val="30"/>
        </w:rPr>
      </w:pPr>
    </w:p>
    <w:p w14:paraId="2A929E28" w14:textId="77777777" w:rsidR="00562298" w:rsidRDefault="004636A8">
      <w:pPr>
        <w:spacing w:line="360" w:lineRule="auto"/>
        <w:jc w:val="center"/>
        <w:rPr>
          <w:rFonts w:ascii="宋体" w:hAnsi="宋体"/>
          <w:b/>
          <w:sz w:val="28"/>
          <w:szCs w:val="28"/>
        </w:rPr>
      </w:pPr>
      <w:bookmarkStart w:id="0" w:name="_Toc322632716"/>
      <w:r>
        <w:rPr>
          <w:rFonts w:ascii="宋体" w:hAnsi="宋体" w:hint="eastAsia"/>
          <w:b/>
          <w:sz w:val="28"/>
          <w:szCs w:val="28"/>
        </w:rPr>
        <w:t>基金管理人：</w:t>
      </w:r>
      <w:bookmarkStart w:id="1" w:name="_Toc322632717"/>
      <w:bookmarkEnd w:id="0"/>
      <w:r>
        <w:rPr>
          <w:rFonts w:ascii="宋体" w:hAnsi="宋体" w:hint="eastAsia"/>
          <w:b/>
          <w:sz w:val="28"/>
          <w:szCs w:val="28"/>
        </w:rPr>
        <w:t>交银施罗德基金管理有限公司</w:t>
      </w:r>
    </w:p>
    <w:p w14:paraId="55CA2199" w14:textId="77777777" w:rsidR="00562298" w:rsidRDefault="004636A8">
      <w:pPr>
        <w:spacing w:line="360" w:lineRule="auto"/>
        <w:jc w:val="center"/>
        <w:rPr>
          <w:rFonts w:ascii="宋体" w:hAnsi="宋体"/>
          <w:b/>
          <w:sz w:val="28"/>
          <w:szCs w:val="28"/>
        </w:rPr>
      </w:pPr>
      <w:r>
        <w:rPr>
          <w:rFonts w:ascii="宋体" w:hAnsi="宋体" w:hint="eastAsia"/>
          <w:b/>
          <w:sz w:val="28"/>
          <w:szCs w:val="28"/>
        </w:rPr>
        <w:t xml:space="preserve">   基金托管人：中国光大银行股份有限公司</w:t>
      </w:r>
      <w:bookmarkEnd w:id="1"/>
    </w:p>
    <w:p w14:paraId="4677C5D8" w14:textId="77777777" w:rsidR="00562298" w:rsidRDefault="00562298">
      <w:pPr>
        <w:spacing w:line="360" w:lineRule="auto"/>
        <w:ind w:left="2698" w:hanging="2698"/>
        <w:outlineLvl w:val="0"/>
        <w:rPr>
          <w:rFonts w:ascii="宋体" w:hAnsi="宋体"/>
          <w:b/>
          <w:color w:val="000000"/>
          <w:sz w:val="28"/>
          <w:szCs w:val="28"/>
        </w:rPr>
      </w:pPr>
    </w:p>
    <w:p w14:paraId="7BEDD272" w14:textId="66C87A04" w:rsidR="00562298" w:rsidRDefault="00437C0B">
      <w:pPr>
        <w:spacing w:line="360" w:lineRule="auto"/>
        <w:jc w:val="center"/>
        <w:rPr>
          <w:rFonts w:ascii="宋体" w:hAnsi="宋体"/>
          <w:b/>
          <w:sz w:val="30"/>
          <w:szCs w:val="30"/>
        </w:rPr>
        <w:sectPr w:rsidR="00562298">
          <w:pgSz w:w="11906" w:h="16838"/>
          <w:pgMar w:top="1440" w:right="1800" w:bottom="1440" w:left="1800" w:header="851" w:footer="992" w:gutter="0"/>
          <w:cols w:space="425"/>
          <w:titlePg/>
          <w:docGrid w:type="lines" w:linePitch="312"/>
        </w:sectPr>
      </w:pPr>
      <w:r>
        <w:rPr>
          <w:rFonts w:ascii="宋体" w:hAnsi="宋体" w:hint="eastAsia"/>
          <w:b/>
          <w:sz w:val="28"/>
          <w:szCs w:val="28"/>
        </w:rPr>
        <w:t>二〇二一年九月</w:t>
      </w:r>
    </w:p>
    <w:p w14:paraId="6DAF5D97" w14:textId="77777777" w:rsidR="00562298" w:rsidRDefault="004636A8">
      <w:pPr>
        <w:spacing w:line="360" w:lineRule="auto"/>
        <w:jc w:val="center"/>
        <w:rPr>
          <w:rFonts w:ascii="宋体" w:hAnsi="宋体"/>
          <w:b/>
          <w:sz w:val="30"/>
          <w:szCs w:val="30"/>
        </w:rPr>
      </w:pPr>
      <w:r>
        <w:rPr>
          <w:rFonts w:ascii="宋体" w:hAnsi="宋体" w:hint="eastAsia"/>
          <w:b/>
          <w:sz w:val="30"/>
          <w:szCs w:val="30"/>
        </w:rPr>
        <w:lastRenderedPageBreak/>
        <w:t>目  录</w:t>
      </w:r>
    </w:p>
    <w:p w14:paraId="5B7DF428" w14:textId="77777777" w:rsidR="00562298" w:rsidRDefault="00562298">
      <w:pPr>
        <w:spacing w:line="360" w:lineRule="auto"/>
        <w:jc w:val="center"/>
        <w:rPr>
          <w:rFonts w:ascii="仿宋" w:eastAsia="仿宋" w:hAnsi="仿宋"/>
          <w:b/>
          <w:color w:val="000000"/>
          <w:sz w:val="28"/>
          <w:szCs w:val="28"/>
        </w:rPr>
      </w:pPr>
    </w:p>
    <w:p w14:paraId="0A0C837E" w14:textId="77777777" w:rsidR="00562298" w:rsidRDefault="004636A8">
      <w:pPr>
        <w:pStyle w:val="10"/>
        <w:tabs>
          <w:tab w:val="right" w:leader="hyphen" w:pos="8296"/>
        </w:tabs>
        <w:spacing w:line="360" w:lineRule="auto"/>
        <w:rPr>
          <w:rFonts w:ascii="宋体" w:hAnsi="宋体"/>
          <w:noProof/>
          <w:sz w:val="24"/>
          <w:szCs w:val="24"/>
        </w:rPr>
      </w:pPr>
      <w:r>
        <w:rPr>
          <w:rFonts w:ascii="宋体" w:hAnsi="宋体" w:cs="宋体" w:hint="eastAsia"/>
          <w:color w:val="000000"/>
          <w:sz w:val="24"/>
          <w:szCs w:val="24"/>
        </w:rPr>
        <w:fldChar w:fldCharType="begin"/>
      </w:r>
      <w:r>
        <w:rPr>
          <w:rFonts w:ascii="宋体" w:hAnsi="宋体" w:cs="宋体" w:hint="eastAsia"/>
          <w:color w:val="000000"/>
          <w:sz w:val="24"/>
          <w:szCs w:val="24"/>
        </w:rPr>
        <w:instrText xml:space="preserve"> TOC \o "1-1" \h \z \u </w:instrText>
      </w:r>
      <w:r>
        <w:rPr>
          <w:rFonts w:ascii="宋体" w:hAnsi="宋体" w:cs="宋体" w:hint="eastAsia"/>
          <w:color w:val="000000"/>
          <w:sz w:val="24"/>
          <w:szCs w:val="24"/>
        </w:rPr>
        <w:fldChar w:fldCharType="separate"/>
      </w:r>
      <w:hyperlink r:id="rId9" w:anchor="_Toc264617141" w:history="1">
        <w:r>
          <w:rPr>
            <w:rFonts w:ascii="宋体" w:hAnsi="宋体"/>
            <w:noProof/>
            <w:sz w:val="24"/>
            <w:szCs w:val="24"/>
          </w:rPr>
          <w:t>一、基金托管协议当事人</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_Toc264617141 \h </w:instrText>
        </w:r>
        <w:r>
          <w:rPr>
            <w:rFonts w:ascii="宋体" w:hAnsi="宋体"/>
            <w:noProof/>
            <w:sz w:val="24"/>
            <w:szCs w:val="24"/>
          </w:rPr>
        </w:r>
        <w:r>
          <w:rPr>
            <w:rFonts w:ascii="宋体" w:hAnsi="宋体"/>
            <w:noProof/>
            <w:sz w:val="24"/>
            <w:szCs w:val="24"/>
          </w:rPr>
          <w:fldChar w:fldCharType="separate"/>
        </w:r>
        <w:r w:rsidR="00A977F1">
          <w:rPr>
            <w:rFonts w:ascii="宋体" w:hAnsi="宋体"/>
            <w:noProof/>
            <w:sz w:val="24"/>
            <w:szCs w:val="24"/>
          </w:rPr>
          <w:t>1</w:t>
        </w:r>
        <w:r>
          <w:rPr>
            <w:rFonts w:ascii="宋体" w:hAnsi="宋体"/>
            <w:noProof/>
            <w:sz w:val="24"/>
            <w:szCs w:val="24"/>
          </w:rPr>
          <w:fldChar w:fldCharType="end"/>
        </w:r>
      </w:hyperlink>
    </w:p>
    <w:p w14:paraId="1D1D2DE6" w14:textId="77777777" w:rsidR="00562298" w:rsidRDefault="00437C0B">
      <w:pPr>
        <w:pStyle w:val="10"/>
        <w:tabs>
          <w:tab w:val="right" w:leader="hyphen" w:pos="8296"/>
        </w:tabs>
        <w:spacing w:line="360" w:lineRule="auto"/>
        <w:rPr>
          <w:rFonts w:ascii="宋体" w:hAnsi="宋体"/>
          <w:noProof/>
          <w:sz w:val="24"/>
          <w:szCs w:val="24"/>
        </w:rPr>
      </w:pPr>
      <w:hyperlink r:id="rId10" w:anchor="_Toc264617142" w:history="1">
        <w:r w:rsidR="004636A8">
          <w:rPr>
            <w:rFonts w:ascii="宋体" w:hAnsi="宋体"/>
            <w:noProof/>
            <w:sz w:val="24"/>
            <w:szCs w:val="24"/>
          </w:rPr>
          <w:t>二、基金托管协议的依据、目的、原则和解释</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_Toc264617142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2</w:t>
        </w:r>
        <w:r w:rsidR="004636A8">
          <w:rPr>
            <w:rFonts w:ascii="宋体" w:hAnsi="宋体"/>
            <w:noProof/>
            <w:sz w:val="24"/>
            <w:szCs w:val="24"/>
          </w:rPr>
          <w:fldChar w:fldCharType="end"/>
        </w:r>
      </w:hyperlink>
    </w:p>
    <w:p w14:paraId="0376A215" w14:textId="77777777" w:rsidR="00562298" w:rsidRDefault="00437C0B">
      <w:pPr>
        <w:pStyle w:val="10"/>
        <w:tabs>
          <w:tab w:val="right" w:leader="hyphen" w:pos="8296"/>
        </w:tabs>
        <w:spacing w:line="360" w:lineRule="auto"/>
        <w:rPr>
          <w:rFonts w:ascii="宋体" w:hAnsi="宋体"/>
          <w:noProof/>
          <w:sz w:val="24"/>
          <w:szCs w:val="24"/>
        </w:rPr>
      </w:pPr>
      <w:hyperlink r:id="rId11" w:anchor="_Toc264617143" w:history="1">
        <w:r w:rsidR="004636A8">
          <w:rPr>
            <w:rFonts w:ascii="宋体" w:hAnsi="宋体"/>
            <w:noProof/>
            <w:sz w:val="24"/>
            <w:szCs w:val="24"/>
          </w:rPr>
          <w:t>三、基金托管人对基金管理人的业务监督和核查</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_Toc264617143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3</w:t>
        </w:r>
        <w:r w:rsidR="004636A8">
          <w:rPr>
            <w:rFonts w:ascii="宋体" w:hAnsi="宋体"/>
            <w:noProof/>
            <w:sz w:val="24"/>
            <w:szCs w:val="24"/>
          </w:rPr>
          <w:fldChar w:fldCharType="end"/>
        </w:r>
      </w:hyperlink>
    </w:p>
    <w:p w14:paraId="7934A4B7" w14:textId="77777777" w:rsidR="00562298" w:rsidRDefault="00437C0B">
      <w:pPr>
        <w:pStyle w:val="10"/>
        <w:tabs>
          <w:tab w:val="right" w:leader="hyphen" w:pos="8296"/>
        </w:tabs>
        <w:spacing w:line="360" w:lineRule="auto"/>
        <w:rPr>
          <w:rFonts w:ascii="宋体" w:hAnsi="宋体"/>
          <w:noProof/>
          <w:sz w:val="24"/>
          <w:szCs w:val="24"/>
        </w:rPr>
      </w:pPr>
      <w:hyperlink r:id="rId12" w:anchor="_Toc264617144" w:history="1">
        <w:r w:rsidR="004636A8">
          <w:rPr>
            <w:rFonts w:ascii="宋体" w:hAnsi="宋体"/>
            <w:noProof/>
            <w:sz w:val="24"/>
            <w:szCs w:val="24"/>
          </w:rPr>
          <w:t>四、基金管理人对基金托管人的业务核查</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_Toc264617144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11</w:t>
        </w:r>
        <w:r w:rsidR="004636A8">
          <w:rPr>
            <w:rFonts w:ascii="宋体" w:hAnsi="宋体"/>
            <w:noProof/>
            <w:sz w:val="24"/>
            <w:szCs w:val="24"/>
          </w:rPr>
          <w:fldChar w:fldCharType="end"/>
        </w:r>
      </w:hyperlink>
    </w:p>
    <w:p w14:paraId="739FFD4F" w14:textId="77777777" w:rsidR="00562298" w:rsidRDefault="00437C0B">
      <w:pPr>
        <w:pStyle w:val="10"/>
        <w:tabs>
          <w:tab w:val="right" w:leader="hyphen" w:pos="8296"/>
        </w:tabs>
        <w:spacing w:line="360" w:lineRule="auto"/>
        <w:rPr>
          <w:rFonts w:ascii="宋体" w:hAnsi="宋体"/>
          <w:noProof/>
          <w:sz w:val="24"/>
          <w:szCs w:val="24"/>
        </w:rPr>
      </w:pPr>
      <w:hyperlink r:id="rId13" w:anchor="_Toc264617145" w:history="1">
        <w:r w:rsidR="004636A8">
          <w:rPr>
            <w:rFonts w:ascii="宋体" w:hAnsi="宋体"/>
            <w:noProof/>
            <w:sz w:val="24"/>
            <w:szCs w:val="24"/>
          </w:rPr>
          <w:t>五、基金财产的保管</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_Toc264617145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12</w:t>
        </w:r>
        <w:r w:rsidR="004636A8">
          <w:rPr>
            <w:rFonts w:ascii="宋体" w:hAnsi="宋体"/>
            <w:noProof/>
            <w:sz w:val="24"/>
            <w:szCs w:val="24"/>
          </w:rPr>
          <w:fldChar w:fldCharType="end"/>
        </w:r>
      </w:hyperlink>
    </w:p>
    <w:p w14:paraId="5BC5B137" w14:textId="61E691A8" w:rsidR="00562298" w:rsidRDefault="00437C0B">
      <w:pPr>
        <w:pStyle w:val="10"/>
        <w:tabs>
          <w:tab w:val="right" w:leader="hyphen" w:pos="8296"/>
        </w:tabs>
        <w:spacing w:line="360" w:lineRule="auto"/>
        <w:rPr>
          <w:rFonts w:ascii="宋体" w:hAnsi="宋体"/>
          <w:noProof/>
          <w:sz w:val="24"/>
          <w:szCs w:val="24"/>
        </w:rPr>
      </w:pPr>
      <w:hyperlink r:id="rId14" w:anchor="_Toc264617146" w:history="1">
        <w:r w:rsidR="004636A8">
          <w:rPr>
            <w:rFonts w:ascii="宋体" w:hAnsi="宋体"/>
            <w:noProof/>
            <w:sz w:val="24"/>
            <w:szCs w:val="24"/>
          </w:rPr>
          <w:t>六、指令的发送、确认及执行</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_Toc264617146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15</w:t>
        </w:r>
        <w:r w:rsidR="004636A8">
          <w:rPr>
            <w:rFonts w:ascii="宋体" w:hAnsi="宋体"/>
            <w:noProof/>
            <w:sz w:val="24"/>
            <w:szCs w:val="24"/>
          </w:rPr>
          <w:fldChar w:fldCharType="end"/>
        </w:r>
      </w:hyperlink>
    </w:p>
    <w:p w14:paraId="4A2C6C03" w14:textId="656ED789" w:rsidR="00562298" w:rsidRDefault="00437C0B">
      <w:pPr>
        <w:pStyle w:val="10"/>
        <w:tabs>
          <w:tab w:val="right" w:leader="hyphen" w:pos="8296"/>
        </w:tabs>
        <w:spacing w:line="360" w:lineRule="auto"/>
        <w:rPr>
          <w:rFonts w:ascii="宋体" w:hAnsi="宋体"/>
          <w:noProof/>
          <w:sz w:val="24"/>
          <w:szCs w:val="24"/>
        </w:rPr>
      </w:pPr>
      <w:hyperlink r:id="rId15" w:anchor="_Toc264617147" w:history="1">
        <w:r w:rsidR="004636A8">
          <w:rPr>
            <w:rFonts w:ascii="宋体" w:hAnsi="宋体"/>
            <w:noProof/>
            <w:sz w:val="24"/>
            <w:szCs w:val="24"/>
          </w:rPr>
          <w:t>七、交易及清算交收安排</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_Toc264617147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18</w:t>
        </w:r>
        <w:r w:rsidR="004636A8">
          <w:rPr>
            <w:rFonts w:ascii="宋体" w:hAnsi="宋体"/>
            <w:noProof/>
            <w:sz w:val="24"/>
            <w:szCs w:val="24"/>
          </w:rPr>
          <w:fldChar w:fldCharType="end"/>
        </w:r>
      </w:hyperlink>
    </w:p>
    <w:p w14:paraId="2538918C" w14:textId="684F861F" w:rsidR="00562298" w:rsidRDefault="00437C0B">
      <w:pPr>
        <w:pStyle w:val="10"/>
        <w:tabs>
          <w:tab w:val="right" w:leader="hyphen" w:pos="8296"/>
        </w:tabs>
        <w:spacing w:line="360" w:lineRule="auto"/>
        <w:rPr>
          <w:rFonts w:ascii="宋体" w:hAnsi="宋体"/>
          <w:noProof/>
          <w:sz w:val="24"/>
          <w:szCs w:val="24"/>
        </w:rPr>
      </w:pPr>
      <w:hyperlink r:id="rId16" w:anchor="_Toc264617148" w:history="1">
        <w:r w:rsidR="004636A8">
          <w:rPr>
            <w:rFonts w:ascii="宋体" w:hAnsi="宋体"/>
            <w:noProof/>
            <w:sz w:val="24"/>
            <w:szCs w:val="24"/>
          </w:rPr>
          <w:t>八、基金资产净值计算和会计核算</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_Toc264617148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23</w:t>
        </w:r>
        <w:r w:rsidR="004636A8">
          <w:rPr>
            <w:rFonts w:ascii="宋体" w:hAnsi="宋体"/>
            <w:noProof/>
            <w:sz w:val="24"/>
            <w:szCs w:val="24"/>
          </w:rPr>
          <w:fldChar w:fldCharType="end"/>
        </w:r>
      </w:hyperlink>
    </w:p>
    <w:p w14:paraId="06347544" w14:textId="4DD94DEB" w:rsidR="00562298" w:rsidRDefault="00437C0B">
      <w:pPr>
        <w:pStyle w:val="10"/>
        <w:tabs>
          <w:tab w:val="right" w:leader="hyphen" w:pos="8296"/>
        </w:tabs>
        <w:spacing w:line="360" w:lineRule="auto"/>
        <w:rPr>
          <w:rFonts w:ascii="宋体" w:hAnsi="宋体"/>
          <w:noProof/>
          <w:sz w:val="24"/>
          <w:szCs w:val="24"/>
        </w:rPr>
      </w:pPr>
      <w:hyperlink r:id="rId17" w:anchor="_Toc264617149" w:history="1">
        <w:r w:rsidR="004636A8">
          <w:rPr>
            <w:rFonts w:ascii="宋体" w:hAnsi="宋体"/>
            <w:noProof/>
            <w:sz w:val="24"/>
            <w:szCs w:val="24"/>
          </w:rPr>
          <w:t>九、基金收益分配</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_Toc264617149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31</w:t>
        </w:r>
        <w:r w:rsidR="004636A8">
          <w:rPr>
            <w:rFonts w:ascii="宋体" w:hAnsi="宋体"/>
            <w:noProof/>
            <w:sz w:val="24"/>
            <w:szCs w:val="24"/>
          </w:rPr>
          <w:fldChar w:fldCharType="end"/>
        </w:r>
      </w:hyperlink>
    </w:p>
    <w:p w14:paraId="2583572B" w14:textId="248F1779" w:rsidR="00562298" w:rsidRDefault="00437C0B">
      <w:pPr>
        <w:pStyle w:val="10"/>
        <w:tabs>
          <w:tab w:val="right" w:leader="hyphen" w:pos="8296"/>
        </w:tabs>
        <w:spacing w:line="360" w:lineRule="auto"/>
        <w:rPr>
          <w:rFonts w:ascii="宋体" w:hAnsi="宋体"/>
          <w:noProof/>
          <w:sz w:val="24"/>
          <w:szCs w:val="24"/>
        </w:rPr>
      </w:pPr>
      <w:hyperlink r:id="rId18" w:anchor="_Toc264617150" w:history="1">
        <w:r w:rsidR="004636A8">
          <w:rPr>
            <w:rFonts w:ascii="宋体" w:hAnsi="宋体"/>
            <w:noProof/>
            <w:sz w:val="24"/>
            <w:szCs w:val="24"/>
          </w:rPr>
          <w:t>十、基金信息披露</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_Toc264617150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32</w:t>
        </w:r>
        <w:r w:rsidR="004636A8">
          <w:rPr>
            <w:rFonts w:ascii="宋体" w:hAnsi="宋体"/>
            <w:noProof/>
            <w:sz w:val="24"/>
            <w:szCs w:val="24"/>
          </w:rPr>
          <w:fldChar w:fldCharType="end"/>
        </w:r>
      </w:hyperlink>
    </w:p>
    <w:p w14:paraId="3AB3DF91" w14:textId="20845467" w:rsidR="00562298" w:rsidRDefault="00437C0B">
      <w:pPr>
        <w:pStyle w:val="10"/>
        <w:tabs>
          <w:tab w:val="right" w:leader="hyphen" w:pos="8296"/>
        </w:tabs>
        <w:spacing w:line="360" w:lineRule="auto"/>
        <w:rPr>
          <w:rFonts w:ascii="宋体" w:hAnsi="宋体"/>
          <w:noProof/>
          <w:sz w:val="24"/>
          <w:szCs w:val="24"/>
        </w:rPr>
      </w:pPr>
      <w:hyperlink r:id="rId19" w:anchor="_Toc264617151" w:history="1">
        <w:r w:rsidR="004636A8">
          <w:rPr>
            <w:rFonts w:ascii="宋体" w:hAnsi="宋体"/>
            <w:noProof/>
            <w:sz w:val="24"/>
            <w:szCs w:val="24"/>
          </w:rPr>
          <w:t>十一、基金费用</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_Toc264617151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34</w:t>
        </w:r>
        <w:r w:rsidR="004636A8">
          <w:rPr>
            <w:rFonts w:ascii="宋体" w:hAnsi="宋体"/>
            <w:noProof/>
            <w:sz w:val="24"/>
            <w:szCs w:val="24"/>
          </w:rPr>
          <w:fldChar w:fldCharType="end"/>
        </w:r>
      </w:hyperlink>
    </w:p>
    <w:p w14:paraId="21949A70" w14:textId="0FA6A5EC" w:rsidR="00562298" w:rsidRDefault="00437C0B">
      <w:pPr>
        <w:pStyle w:val="10"/>
        <w:tabs>
          <w:tab w:val="right" w:leader="hyphen" w:pos="8296"/>
        </w:tabs>
        <w:spacing w:line="360" w:lineRule="auto"/>
        <w:rPr>
          <w:rFonts w:ascii="宋体" w:hAnsi="宋体"/>
          <w:noProof/>
          <w:sz w:val="24"/>
          <w:szCs w:val="24"/>
        </w:rPr>
      </w:pPr>
      <w:hyperlink r:id="rId20" w:anchor="_Toc264617152" w:history="1">
        <w:r w:rsidR="004636A8">
          <w:rPr>
            <w:rFonts w:ascii="宋体" w:hAnsi="宋体"/>
            <w:noProof/>
            <w:sz w:val="24"/>
            <w:szCs w:val="24"/>
          </w:rPr>
          <w:t>十二、基金份额持有人名册的保管</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_Toc264617152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37</w:t>
        </w:r>
        <w:r w:rsidR="004636A8">
          <w:rPr>
            <w:rFonts w:ascii="宋体" w:hAnsi="宋体"/>
            <w:noProof/>
            <w:sz w:val="24"/>
            <w:szCs w:val="24"/>
          </w:rPr>
          <w:fldChar w:fldCharType="end"/>
        </w:r>
      </w:hyperlink>
    </w:p>
    <w:p w14:paraId="5CF58F94" w14:textId="0738128C" w:rsidR="00562298" w:rsidRDefault="00437C0B">
      <w:pPr>
        <w:pStyle w:val="10"/>
        <w:tabs>
          <w:tab w:val="right" w:leader="hyphen" w:pos="8296"/>
        </w:tabs>
        <w:spacing w:line="360" w:lineRule="auto"/>
        <w:rPr>
          <w:rFonts w:ascii="宋体" w:hAnsi="宋体"/>
          <w:noProof/>
          <w:sz w:val="24"/>
          <w:szCs w:val="24"/>
        </w:rPr>
      </w:pPr>
      <w:hyperlink r:id="rId21" w:anchor="_Toc264617153" w:history="1">
        <w:r w:rsidR="004636A8">
          <w:rPr>
            <w:rFonts w:ascii="宋体" w:hAnsi="宋体"/>
            <w:noProof/>
            <w:sz w:val="24"/>
            <w:szCs w:val="24"/>
          </w:rPr>
          <w:t>十三、基金有关文件档案的保存</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_Toc264617153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38</w:t>
        </w:r>
        <w:r w:rsidR="004636A8">
          <w:rPr>
            <w:rFonts w:ascii="宋体" w:hAnsi="宋体"/>
            <w:noProof/>
            <w:sz w:val="24"/>
            <w:szCs w:val="24"/>
          </w:rPr>
          <w:fldChar w:fldCharType="end"/>
        </w:r>
      </w:hyperlink>
    </w:p>
    <w:p w14:paraId="53921940" w14:textId="0D2C4719" w:rsidR="00562298" w:rsidRDefault="00437C0B">
      <w:pPr>
        <w:pStyle w:val="10"/>
        <w:tabs>
          <w:tab w:val="right" w:leader="hyphen" w:pos="8296"/>
        </w:tabs>
        <w:spacing w:line="360" w:lineRule="auto"/>
        <w:rPr>
          <w:rFonts w:ascii="宋体" w:hAnsi="宋体"/>
          <w:noProof/>
          <w:sz w:val="24"/>
          <w:szCs w:val="24"/>
        </w:rPr>
      </w:pPr>
      <w:hyperlink r:id="rId22" w:anchor="_Toc264617154" w:history="1">
        <w:r w:rsidR="004636A8">
          <w:rPr>
            <w:rFonts w:ascii="宋体" w:hAnsi="宋体"/>
            <w:noProof/>
            <w:sz w:val="24"/>
            <w:szCs w:val="24"/>
          </w:rPr>
          <w:t>十四、基金管理人和基金托管人的更换</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_Toc264617154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39</w:t>
        </w:r>
        <w:r w:rsidR="004636A8">
          <w:rPr>
            <w:rFonts w:ascii="宋体" w:hAnsi="宋体"/>
            <w:noProof/>
            <w:sz w:val="24"/>
            <w:szCs w:val="24"/>
          </w:rPr>
          <w:fldChar w:fldCharType="end"/>
        </w:r>
      </w:hyperlink>
    </w:p>
    <w:p w14:paraId="26DF8917" w14:textId="76B0536F" w:rsidR="00562298" w:rsidRDefault="00437C0B">
      <w:pPr>
        <w:pStyle w:val="10"/>
        <w:tabs>
          <w:tab w:val="right" w:leader="hyphen" w:pos="8296"/>
        </w:tabs>
        <w:spacing w:line="360" w:lineRule="auto"/>
        <w:rPr>
          <w:rFonts w:ascii="宋体" w:hAnsi="宋体"/>
          <w:noProof/>
          <w:sz w:val="24"/>
          <w:szCs w:val="24"/>
        </w:rPr>
      </w:pPr>
      <w:hyperlink r:id="rId23" w:anchor="_Toc264617155" w:history="1">
        <w:r w:rsidR="004636A8">
          <w:rPr>
            <w:rFonts w:ascii="宋体" w:hAnsi="宋体"/>
            <w:noProof/>
            <w:sz w:val="24"/>
            <w:szCs w:val="24"/>
          </w:rPr>
          <w:t>十五、禁止行为</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_Toc264617155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42</w:t>
        </w:r>
        <w:r w:rsidR="004636A8">
          <w:rPr>
            <w:rFonts w:ascii="宋体" w:hAnsi="宋体"/>
            <w:noProof/>
            <w:sz w:val="24"/>
            <w:szCs w:val="24"/>
          </w:rPr>
          <w:fldChar w:fldCharType="end"/>
        </w:r>
      </w:hyperlink>
    </w:p>
    <w:p w14:paraId="689AECDA" w14:textId="657DC2DB" w:rsidR="00562298" w:rsidRDefault="00437C0B">
      <w:pPr>
        <w:pStyle w:val="10"/>
        <w:tabs>
          <w:tab w:val="right" w:leader="hyphen" w:pos="8296"/>
        </w:tabs>
        <w:spacing w:line="360" w:lineRule="auto"/>
        <w:rPr>
          <w:rFonts w:ascii="宋体" w:hAnsi="宋体"/>
          <w:noProof/>
          <w:sz w:val="24"/>
          <w:szCs w:val="24"/>
        </w:rPr>
      </w:pPr>
      <w:hyperlink r:id="rId24" w:anchor="_Toc264617156" w:history="1">
        <w:r w:rsidR="004636A8">
          <w:rPr>
            <w:rFonts w:ascii="宋体" w:hAnsi="宋体"/>
            <w:noProof/>
            <w:sz w:val="24"/>
            <w:szCs w:val="24"/>
          </w:rPr>
          <w:t>十六、托管协议的变更、终止与基金财产的清算</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_Toc264617156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44</w:t>
        </w:r>
        <w:r w:rsidR="004636A8">
          <w:rPr>
            <w:rFonts w:ascii="宋体" w:hAnsi="宋体"/>
            <w:noProof/>
            <w:sz w:val="24"/>
            <w:szCs w:val="24"/>
          </w:rPr>
          <w:fldChar w:fldCharType="end"/>
        </w:r>
      </w:hyperlink>
    </w:p>
    <w:p w14:paraId="1A7D5B90" w14:textId="24A93D60" w:rsidR="00562298" w:rsidRDefault="00437C0B">
      <w:pPr>
        <w:pStyle w:val="10"/>
        <w:tabs>
          <w:tab w:val="right" w:leader="hyphen" w:pos="8296"/>
        </w:tabs>
        <w:spacing w:line="360" w:lineRule="auto"/>
        <w:rPr>
          <w:rFonts w:ascii="宋体" w:hAnsi="宋体"/>
          <w:noProof/>
          <w:sz w:val="24"/>
          <w:szCs w:val="24"/>
        </w:rPr>
      </w:pPr>
      <w:hyperlink r:id="rId25" w:anchor="_Toc264617157" w:history="1">
        <w:r w:rsidR="004636A8">
          <w:rPr>
            <w:rFonts w:ascii="宋体" w:hAnsi="宋体"/>
            <w:noProof/>
            <w:sz w:val="24"/>
            <w:szCs w:val="24"/>
          </w:rPr>
          <w:t>十七、违约责任</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_Toc264617157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46</w:t>
        </w:r>
        <w:r w:rsidR="004636A8">
          <w:rPr>
            <w:rFonts w:ascii="宋体" w:hAnsi="宋体"/>
            <w:noProof/>
            <w:sz w:val="24"/>
            <w:szCs w:val="24"/>
          </w:rPr>
          <w:fldChar w:fldCharType="end"/>
        </w:r>
      </w:hyperlink>
    </w:p>
    <w:p w14:paraId="562E5A29" w14:textId="0BA46259" w:rsidR="00562298" w:rsidRDefault="00437C0B">
      <w:pPr>
        <w:pStyle w:val="10"/>
        <w:tabs>
          <w:tab w:val="right" w:leader="hyphen" w:pos="8296"/>
        </w:tabs>
        <w:spacing w:line="360" w:lineRule="auto"/>
        <w:rPr>
          <w:rFonts w:ascii="宋体" w:hAnsi="宋体"/>
          <w:noProof/>
          <w:sz w:val="24"/>
          <w:szCs w:val="24"/>
        </w:rPr>
      </w:pPr>
      <w:hyperlink r:id="rId26" w:anchor="_Toc264617158" w:history="1">
        <w:r w:rsidR="004636A8">
          <w:rPr>
            <w:rFonts w:ascii="宋体" w:hAnsi="宋体"/>
            <w:noProof/>
            <w:sz w:val="24"/>
            <w:szCs w:val="24"/>
          </w:rPr>
          <w:t>十八、争议解决方式</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_Toc264617158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47</w:t>
        </w:r>
        <w:r w:rsidR="004636A8">
          <w:rPr>
            <w:rFonts w:ascii="宋体" w:hAnsi="宋体"/>
            <w:noProof/>
            <w:sz w:val="24"/>
            <w:szCs w:val="24"/>
          </w:rPr>
          <w:fldChar w:fldCharType="end"/>
        </w:r>
      </w:hyperlink>
    </w:p>
    <w:p w14:paraId="4B45AF3C" w14:textId="3C5D94F9" w:rsidR="00562298" w:rsidRDefault="00437C0B">
      <w:pPr>
        <w:pStyle w:val="10"/>
        <w:tabs>
          <w:tab w:val="right" w:leader="hyphen" w:pos="8296"/>
        </w:tabs>
        <w:spacing w:line="360" w:lineRule="auto"/>
        <w:rPr>
          <w:rFonts w:ascii="宋体" w:hAnsi="宋体"/>
          <w:noProof/>
          <w:sz w:val="24"/>
          <w:szCs w:val="24"/>
        </w:rPr>
      </w:pPr>
      <w:hyperlink r:id="rId27" w:anchor="_Toc264617159" w:history="1">
        <w:r w:rsidR="004636A8">
          <w:rPr>
            <w:rFonts w:ascii="宋体" w:hAnsi="宋体"/>
            <w:noProof/>
            <w:sz w:val="24"/>
            <w:szCs w:val="24"/>
          </w:rPr>
          <w:t>十九、托管协议的效力</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_Toc264617159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48</w:t>
        </w:r>
        <w:r w:rsidR="004636A8">
          <w:rPr>
            <w:rFonts w:ascii="宋体" w:hAnsi="宋体"/>
            <w:noProof/>
            <w:sz w:val="24"/>
            <w:szCs w:val="24"/>
          </w:rPr>
          <w:fldChar w:fldCharType="end"/>
        </w:r>
      </w:hyperlink>
    </w:p>
    <w:p w14:paraId="4B60708E" w14:textId="6D28E77A" w:rsidR="00562298" w:rsidRDefault="00437C0B">
      <w:pPr>
        <w:pStyle w:val="10"/>
        <w:tabs>
          <w:tab w:val="right" w:leader="hyphen" w:pos="8296"/>
        </w:tabs>
        <w:spacing w:line="360" w:lineRule="auto"/>
        <w:rPr>
          <w:rFonts w:ascii="宋体" w:hAnsi="宋体"/>
          <w:noProof/>
          <w:sz w:val="24"/>
          <w:szCs w:val="24"/>
        </w:rPr>
      </w:pPr>
      <w:hyperlink r:id="rId28" w:anchor="_Toc264617160" w:history="1">
        <w:r w:rsidR="004636A8">
          <w:rPr>
            <w:rFonts w:ascii="宋体" w:hAnsi="宋体"/>
            <w:noProof/>
            <w:sz w:val="24"/>
            <w:szCs w:val="24"/>
          </w:rPr>
          <w:t>二十、其他事项</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_Toc264617160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49</w:t>
        </w:r>
        <w:r w:rsidR="004636A8">
          <w:rPr>
            <w:rFonts w:ascii="宋体" w:hAnsi="宋体"/>
            <w:noProof/>
            <w:sz w:val="24"/>
            <w:szCs w:val="24"/>
          </w:rPr>
          <w:fldChar w:fldCharType="end"/>
        </w:r>
      </w:hyperlink>
    </w:p>
    <w:p w14:paraId="4DCAD6AB" w14:textId="5545170D" w:rsidR="00562298" w:rsidRDefault="00437C0B">
      <w:pPr>
        <w:pStyle w:val="10"/>
        <w:tabs>
          <w:tab w:val="right" w:leader="hyphen" w:pos="8296"/>
        </w:tabs>
        <w:spacing w:line="360" w:lineRule="auto"/>
        <w:rPr>
          <w:rFonts w:ascii="宋体" w:hAnsi="宋体" w:cs="宋体"/>
          <w:noProof/>
          <w:color w:val="000000"/>
          <w:kern w:val="2"/>
          <w:sz w:val="24"/>
          <w:szCs w:val="24"/>
        </w:rPr>
      </w:pPr>
      <w:hyperlink r:id="rId29" w:anchor="_Toc264617161" w:history="1">
        <w:r w:rsidR="004636A8">
          <w:rPr>
            <w:rFonts w:ascii="宋体" w:hAnsi="宋体"/>
            <w:noProof/>
            <w:sz w:val="24"/>
            <w:szCs w:val="24"/>
          </w:rPr>
          <w:t>二十一、托管协议</w:t>
        </w:r>
        <w:bookmarkStart w:id="2" w:name="_Hlt322636245"/>
        <w:bookmarkStart w:id="3" w:name="_Hlt322636246"/>
        <w:r w:rsidR="004636A8">
          <w:rPr>
            <w:rFonts w:ascii="宋体" w:hAnsi="宋体"/>
            <w:noProof/>
            <w:sz w:val="24"/>
            <w:szCs w:val="24"/>
          </w:rPr>
          <w:t>的</w:t>
        </w:r>
        <w:bookmarkEnd w:id="2"/>
        <w:bookmarkEnd w:id="3"/>
        <w:r w:rsidR="004636A8">
          <w:rPr>
            <w:rFonts w:ascii="宋体" w:hAnsi="宋体"/>
            <w:noProof/>
            <w:sz w:val="24"/>
            <w:szCs w:val="24"/>
          </w:rPr>
          <w:t>签订</w:t>
        </w:r>
        <w:r w:rsidR="004636A8">
          <w:rPr>
            <w:rFonts w:ascii="宋体" w:hAnsi="宋体"/>
            <w:noProof/>
            <w:sz w:val="24"/>
            <w:szCs w:val="24"/>
          </w:rPr>
          <w:tab/>
        </w:r>
        <w:r w:rsidR="004636A8">
          <w:rPr>
            <w:rFonts w:ascii="宋体" w:hAnsi="宋体"/>
            <w:noProof/>
            <w:sz w:val="24"/>
            <w:szCs w:val="24"/>
          </w:rPr>
          <w:fldChar w:fldCharType="begin"/>
        </w:r>
        <w:r w:rsidR="004636A8">
          <w:rPr>
            <w:rFonts w:ascii="宋体" w:hAnsi="宋体"/>
            <w:noProof/>
            <w:sz w:val="24"/>
            <w:szCs w:val="24"/>
          </w:rPr>
          <w:instrText xml:space="preserve"> PAGEREF _Toc264617161 \h </w:instrText>
        </w:r>
        <w:r w:rsidR="004636A8">
          <w:rPr>
            <w:rFonts w:ascii="宋体" w:hAnsi="宋体"/>
            <w:noProof/>
            <w:sz w:val="24"/>
            <w:szCs w:val="24"/>
          </w:rPr>
        </w:r>
        <w:r w:rsidR="004636A8">
          <w:rPr>
            <w:rFonts w:ascii="宋体" w:hAnsi="宋体"/>
            <w:noProof/>
            <w:sz w:val="24"/>
            <w:szCs w:val="24"/>
          </w:rPr>
          <w:fldChar w:fldCharType="separate"/>
        </w:r>
        <w:r w:rsidR="00A977F1">
          <w:rPr>
            <w:rFonts w:ascii="宋体" w:hAnsi="宋体"/>
            <w:noProof/>
            <w:sz w:val="24"/>
            <w:szCs w:val="24"/>
          </w:rPr>
          <w:t>50</w:t>
        </w:r>
        <w:r w:rsidR="004636A8">
          <w:rPr>
            <w:rFonts w:ascii="宋体" w:hAnsi="宋体"/>
            <w:noProof/>
            <w:sz w:val="24"/>
            <w:szCs w:val="24"/>
          </w:rPr>
          <w:fldChar w:fldCharType="end"/>
        </w:r>
      </w:hyperlink>
    </w:p>
    <w:p w14:paraId="799A4B37" w14:textId="77777777" w:rsidR="00562298" w:rsidRDefault="004636A8">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fldChar w:fldCharType="end"/>
      </w:r>
    </w:p>
    <w:p w14:paraId="2F4468CE" w14:textId="77777777" w:rsidR="00562298" w:rsidRDefault="00562298">
      <w:pPr>
        <w:spacing w:line="360" w:lineRule="auto"/>
        <w:ind w:firstLineChars="200" w:firstLine="480"/>
        <w:rPr>
          <w:rFonts w:ascii="仿宋" w:eastAsia="仿宋" w:hAnsi="仿宋"/>
          <w:color w:val="000000"/>
          <w:sz w:val="24"/>
          <w:szCs w:val="24"/>
        </w:rPr>
        <w:sectPr w:rsidR="00562298">
          <w:pgSz w:w="11906" w:h="16838"/>
          <w:pgMar w:top="1440" w:right="1800" w:bottom="1440" w:left="1800" w:header="851" w:footer="992" w:gutter="0"/>
          <w:cols w:space="425"/>
          <w:docGrid w:type="lines" w:linePitch="312"/>
        </w:sectPr>
      </w:pPr>
    </w:p>
    <w:p w14:paraId="6E7568FF"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lastRenderedPageBreak/>
        <w:t>鉴于交银施罗德基金管理有限公司系一家依照中国法律合法成立并有效存续的有限责任公司，按照相关法律法规的规定具备担任基金管理人的资格和能力；</w:t>
      </w:r>
    </w:p>
    <w:p w14:paraId="2949E763"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鉴于中国光大银行股份有限公司系一家依照中国法律合法成立并有效存续的银行，按照相关法律法规的规定具备担任基金托管人的资格和能力；</w:t>
      </w:r>
    </w:p>
    <w:p w14:paraId="133E9869" w14:textId="3EABA081" w:rsidR="00562298" w:rsidRDefault="004636A8">
      <w:pPr>
        <w:spacing w:line="360" w:lineRule="auto"/>
        <w:ind w:firstLineChars="200" w:firstLine="480"/>
        <w:rPr>
          <w:rFonts w:ascii="宋体" w:hAnsi="宋体"/>
          <w:sz w:val="24"/>
          <w:szCs w:val="24"/>
        </w:rPr>
      </w:pPr>
      <w:r>
        <w:rPr>
          <w:rFonts w:ascii="宋体" w:hAnsi="宋体" w:hint="eastAsia"/>
          <w:sz w:val="24"/>
          <w:szCs w:val="24"/>
        </w:rPr>
        <w:t>鉴于交银施罗德基金管理有限公司拟担任交银施罗德智选星光一年封闭运作混合型基金中基金（FOF-LOF）的基金管理人，中国光大银行股份有限公司拟担任交银施罗德智选星光一年封闭运作混合型基金中基金（FOF-LOF）的基金托管人；</w:t>
      </w:r>
    </w:p>
    <w:p w14:paraId="6369A6A5" w14:textId="59394A0E" w:rsidR="00562298" w:rsidRDefault="004636A8">
      <w:pPr>
        <w:spacing w:line="360" w:lineRule="auto"/>
        <w:ind w:firstLineChars="200" w:firstLine="480"/>
        <w:rPr>
          <w:rFonts w:ascii="宋体" w:hAnsi="宋体"/>
          <w:sz w:val="24"/>
          <w:szCs w:val="24"/>
        </w:rPr>
      </w:pPr>
      <w:r>
        <w:rPr>
          <w:rFonts w:ascii="宋体" w:hAnsi="宋体" w:hint="eastAsia"/>
          <w:sz w:val="24"/>
          <w:szCs w:val="24"/>
        </w:rPr>
        <w:t>为</w:t>
      </w:r>
      <w:proofErr w:type="gramStart"/>
      <w:r>
        <w:rPr>
          <w:rFonts w:ascii="宋体" w:hAnsi="宋体" w:hint="eastAsia"/>
          <w:sz w:val="24"/>
          <w:szCs w:val="24"/>
        </w:rPr>
        <w:t>明确交银施</w:t>
      </w:r>
      <w:proofErr w:type="gramEnd"/>
      <w:r>
        <w:rPr>
          <w:rFonts w:ascii="宋体" w:hAnsi="宋体" w:hint="eastAsia"/>
          <w:sz w:val="24"/>
          <w:szCs w:val="24"/>
        </w:rPr>
        <w:t>罗德智选星光一年封闭运作混合型基金中基金（FOF-LOF）的基金管理人和基金托管人之间的权利义务关系，特制订本托管协议；</w:t>
      </w:r>
    </w:p>
    <w:p w14:paraId="672AF21D" w14:textId="05DAE916" w:rsidR="00562298" w:rsidRDefault="004636A8">
      <w:pPr>
        <w:spacing w:line="360" w:lineRule="auto"/>
        <w:ind w:firstLineChars="200" w:firstLine="480"/>
        <w:rPr>
          <w:rFonts w:ascii="宋体" w:hAnsi="宋体"/>
          <w:sz w:val="24"/>
          <w:szCs w:val="24"/>
        </w:rPr>
      </w:pPr>
      <w:r>
        <w:rPr>
          <w:rFonts w:ascii="宋体" w:hAnsi="宋体" w:hint="eastAsia"/>
          <w:sz w:val="24"/>
          <w:szCs w:val="24"/>
        </w:rPr>
        <w:t>除非另有约定，《交银施罗德智选星光一年封闭运作混合型基金中基金（FOF-LOF）基金合同》(以下简称“基金合同”)中定义的术语在用于本托管协议时应具有相同的含义；若有抵触应以基金合同为准，并依其条款解释。</w:t>
      </w:r>
    </w:p>
    <w:p w14:paraId="75972B22"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若本基金实施</w:t>
      </w:r>
      <w:proofErr w:type="gramStart"/>
      <w:r>
        <w:rPr>
          <w:rFonts w:ascii="宋体" w:hAnsi="宋体" w:hint="eastAsia"/>
          <w:sz w:val="24"/>
          <w:szCs w:val="24"/>
        </w:rPr>
        <w:t>侧袋机制</w:t>
      </w:r>
      <w:proofErr w:type="gramEnd"/>
      <w:r>
        <w:rPr>
          <w:rFonts w:ascii="宋体" w:hAnsi="宋体" w:hint="eastAsia"/>
          <w:sz w:val="24"/>
          <w:szCs w:val="24"/>
        </w:rPr>
        <w:t>的，</w:t>
      </w:r>
      <w:proofErr w:type="gramStart"/>
      <w:r>
        <w:rPr>
          <w:rFonts w:ascii="宋体" w:hAnsi="宋体" w:hint="eastAsia"/>
          <w:sz w:val="24"/>
          <w:szCs w:val="24"/>
        </w:rPr>
        <w:t>侧袋机制</w:t>
      </w:r>
      <w:proofErr w:type="gramEnd"/>
      <w:r>
        <w:rPr>
          <w:rFonts w:ascii="宋体" w:hAnsi="宋体" w:hint="eastAsia"/>
          <w:sz w:val="24"/>
          <w:szCs w:val="24"/>
        </w:rPr>
        <w:t>实施期间的相关安排</w:t>
      </w:r>
      <w:proofErr w:type="gramStart"/>
      <w:r>
        <w:rPr>
          <w:rFonts w:ascii="宋体" w:hAnsi="宋体" w:hint="eastAsia"/>
          <w:sz w:val="24"/>
          <w:szCs w:val="24"/>
        </w:rPr>
        <w:t>见基金</w:t>
      </w:r>
      <w:proofErr w:type="gramEnd"/>
      <w:r>
        <w:rPr>
          <w:rFonts w:ascii="宋体" w:hAnsi="宋体" w:hint="eastAsia"/>
          <w:sz w:val="24"/>
          <w:szCs w:val="24"/>
        </w:rPr>
        <w:t>合同和招募说明书的规定。</w:t>
      </w:r>
    </w:p>
    <w:p w14:paraId="435EA712" w14:textId="77777777" w:rsidR="00562298" w:rsidRDefault="00562298">
      <w:pPr>
        <w:pStyle w:val="a9"/>
        <w:jc w:val="both"/>
        <w:rPr>
          <w:b w:val="0"/>
          <w:bCs w:val="0"/>
          <w:sz w:val="24"/>
          <w:szCs w:val="24"/>
        </w:rPr>
        <w:sectPr w:rsidR="00562298">
          <w:pgSz w:w="11906" w:h="16838"/>
          <w:pgMar w:top="1440" w:right="1800" w:bottom="1440" w:left="1800" w:header="851" w:footer="992" w:gutter="0"/>
          <w:cols w:space="425"/>
          <w:titlePg/>
          <w:docGrid w:type="lines" w:linePitch="312"/>
        </w:sectPr>
      </w:pPr>
      <w:bookmarkStart w:id="4" w:name="_Toc264617141"/>
    </w:p>
    <w:p w14:paraId="213C30C9" w14:textId="77777777" w:rsidR="00562298" w:rsidRDefault="004636A8">
      <w:pPr>
        <w:pStyle w:val="a9"/>
        <w:rPr>
          <w:rFonts w:ascii="宋体" w:hAnsi="宋体" w:cs="宋体"/>
          <w:sz w:val="30"/>
          <w:szCs w:val="30"/>
        </w:rPr>
      </w:pPr>
      <w:r>
        <w:rPr>
          <w:rFonts w:ascii="宋体" w:hAnsi="宋体" w:cs="宋体" w:hint="eastAsia"/>
          <w:sz w:val="30"/>
          <w:szCs w:val="30"/>
        </w:rPr>
        <w:lastRenderedPageBreak/>
        <w:t>一、基金托管协议当事人</w:t>
      </w:r>
      <w:bookmarkEnd w:id="4"/>
    </w:p>
    <w:p w14:paraId="1D28614B" w14:textId="77777777" w:rsidR="00562298" w:rsidRDefault="004636A8">
      <w:pPr>
        <w:spacing w:line="360" w:lineRule="auto"/>
        <w:ind w:firstLineChars="200" w:firstLine="480"/>
        <w:rPr>
          <w:rFonts w:ascii="宋体" w:hAnsi="宋体"/>
          <w:sz w:val="24"/>
          <w:szCs w:val="24"/>
          <w:highlight w:val="yellow"/>
        </w:rPr>
      </w:pPr>
      <w:r>
        <w:rPr>
          <w:rFonts w:ascii="宋体" w:hAnsi="宋体" w:hint="eastAsia"/>
          <w:sz w:val="24"/>
          <w:szCs w:val="24"/>
        </w:rPr>
        <w:t>（一）基金管理人</w:t>
      </w:r>
    </w:p>
    <w:p w14:paraId="31293EA8"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名称：交银施罗德基金管理有限公司</w:t>
      </w:r>
    </w:p>
    <w:p w14:paraId="165586A7"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住所：中国（上海）自由贸易试验区银城中路188号交通银行大楼二层（裙）</w:t>
      </w:r>
    </w:p>
    <w:p w14:paraId="6A1B836A"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办公地址：上海市浦东</w:t>
      </w:r>
      <w:proofErr w:type="gramStart"/>
      <w:r>
        <w:rPr>
          <w:rFonts w:ascii="宋体" w:hAnsi="宋体" w:hint="eastAsia"/>
          <w:sz w:val="24"/>
          <w:szCs w:val="24"/>
        </w:rPr>
        <w:t>新区世纪</w:t>
      </w:r>
      <w:proofErr w:type="gramEnd"/>
      <w:r>
        <w:rPr>
          <w:rFonts w:ascii="宋体" w:hAnsi="宋体" w:hint="eastAsia"/>
          <w:sz w:val="24"/>
          <w:szCs w:val="24"/>
        </w:rPr>
        <w:t>大道8号国</w:t>
      </w:r>
      <w:proofErr w:type="gramStart"/>
      <w:r>
        <w:rPr>
          <w:rFonts w:ascii="宋体" w:hAnsi="宋体" w:hint="eastAsia"/>
          <w:sz w:val="24"/>
          <w:szCs w:val="24"/>
        </w:rPr>
        <w:t>金中心</w:t>
      </w:r>
      <w:proofErr w:type="gramEnd"/>
      <w:r>
        <w:rPr>
          <w:rFonts w:ascii="宋体" w:hAnsi="宋体" w:hint="eastAsia"/>
          <w:sz w:val="24"/>
          <w:szCs w:val="24"/>
        </w:rPr>
        <w:t>二期21-22楼</w:t>
      </w:r>
    </w:p>
    <w:p w14:paraId="3C8D760A"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邮政编码：</w:t>
      </w:r>
      <w:r>
        <w:rPr>
          <w:rFonts w:ascii="宋体" w:hAnsi="宋体"/>
          <w:sz w:val="24"/>
          <w:szCs w:val="24"/>
        </w:rPr>
        <w:t>200120</w:t>
      </w:r>
    </w:p>
    <w:p w14:paraId="19F63321"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法定代表人：阮红</w:t>
      </w:r>
    </w:p>
    <w:p w14:paraId="15143622"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成立日期：2005年8月4日</w:t>
      </w:r>
    </w:p>
    <w:p w14:paraId="436D7238"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批准设立机关及批准设立文号：中国证监会证</w:t>
      </w:r>
      <w:proofErr w:type="gramStart"/>
      <w:r>
        <w:rPr>
          <w:rFonts w:ascii="宋体" w:hAnsi="宋体" w:hint="eastAsia"/>
          <w:sz w:val="24"/>
          <w:szCs w:val="24"/>
        </w:rPr>
        <w:t>监基金字</w:t>
      </w:r>
      <w:proofErr w:type="gramEnd"/>
      <w:r>
        <w:rPr>
          <w:rFonts w:ascii="宋体" w:hAnsi="宋体"/>
          <w:sz w:val="24"/>
          <w:szCs w:val="24"/>
        </w:rPr>
        <w:t>[2005]128</w:t>
      </w:r>
      <w:r>
        <w:rPr>
          <w:rFonts w:ascii="宋体" w:hAnsi="宋体" w:hint="eastAsia"/>
          <w:sz w:val="24"/>
          <w:szCs w:val="24"/>
        </w:rPr>
        <w:t>号</w:t>
      </w:r>
    </w:p>
    <w:p w14:paraId="58C3AD34"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组织形式：有限责任公司</w:t>
      </w:r>
    </w:p>
    <w:p w14:paraId="65D87C14"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注册资本：2亿元人民币</w:t>
      </w:r>
    </w:p>
    <w:p w14:paraId="3D1D0373"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存续期间：持续经营</w:t>
      </w:r>
    </w:p>
    <w:p w14:paraId="1D1A3A1B" w14:textId="77777777" w:rsidR="00562298" w:rsidRDefault="00562298">
      <w:pPr>
        <w:spacing w:line="360" w:lineRule="auto"/>
        <w:ind w:firstLineChars="200" w:firstLine="480"/>
        <w:rPr>
          <w:rFonts w:ascii="宋体" w:hAnsi="宋体"/>
          <w:sz w:val="24"/>
          <w:szCs w:val="24"/>
        </w:rPr>
      </w:pPr>
    </w:p>
    <w:p w14:paraId="1233E3CB"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（二）基金托管人</w:t>
      </w:r>
    </w:p>
    <w:p w14:paraId="6BB6AF3F"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名称：中国光大银行股份有限公司</w:t>
      </w:r>
    </w:p>
    <w:p w14:paraId="5A6DEF2F" w14:textId="5BA8F88B" w:rsidR="00562298" w:rsidRDefault="004636A8">
      <w:pPr>
        <w:spacing w:line="360" w:lineRule="auto"/>
        <w:ind w:firstLineChars="200" w:firstLine="480"/>
        <w:rPr>
          <w:rFonts w:ascii="宋体" w:hAnsi="宋体"/>
          <w:sz w:val="24"/>
          <w:szCs w:val="24"/>
        </w:rPr>
      </w:pPr>
      <w:r>
        <w:rPr>
          <w:rFonts w:ascii="宋体" w:hAnsi="宋体" w:hint="eastAsia"/>
          <w:sz w:val="24"/>
          <w:szCs w:val="24"/>
        </w:rPr>
        <w:t>住所：北京市西城区太平桥大街25号、甲25号中国光大中心</w:t>
      </w:r>
    </w:p>
    <w:p w14:paraId="467DBC1C"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邮政编码：100033</w:t>
      </w:r>
    </w:p>
    <w:p w14:paraId="60A65670"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法定代表人：李晓鹏</w:t>
      </w:r>
    </w:p>
    <w:p w14:paraId="684EDF7A"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成立日期：1992年6月18日</w:t>
      </w:r>
    </w:p>
    <w:p w14:paraId="34E02E87"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批准设立机关和批准设立文号：国务院、国函[1992]7号</w:t>
      </w:r>
    </w:p>
    <w:p w14:paraId="1765B767"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组织形式：股份有限公司</w:t>
      </w:r>
    </w:p>
    <w:p w14:paraId="3439B366"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注册资本：466.79095亿元人民币</w:t>
      </w:r>
    </w:p>
    <w:p w14:paraId="24A426C0" w14:textId="77777777" w:rsidR="00562298" w:rsidRDefault="004636A8">
      <w:pPr>
        <w:spacing w:line="360" w:lineRule="auto"/>
        <w:ind w:firstLineChars="200" w:firstLine="480"/>
        <w:rPr>
          <w:rFonts w:ascii="宋体" w:hAnsi="宋体"/>
          <w:sz w:val="24"/>
          <w:szCs w:val="24"/>
        </w:rPr>
      </w:pPr>
      <w:r>
        <w:rPr>
          <w:rFonts w:ascii="宋体" w:hAnsi="宋体" w:hint="eastAsia"/>
          <w:sz w:val="24"/>
          <w:szCs w:val="24"/>
        </w:rPr>
        <w:t>存续期间：持续经营</w:t>
      </w:r>
    </w:p>
    <w:p w14:paraId="486F4D4B" w14:textId="77777777" w:rsidR="00562298" w:rsidRDefault="004636A8">
      <w:pPr>
        <w:spacing w:line="360" w:lineRule="auto"/>
        <w:ind w:firstLineChars="200" w:firstLine="480"/>
        <w:rPr>
          <w:rFonts w:ascii="宋体" w:hAnsi="宋体"/>
          <w:sz w:val="24"/>
          <w:szCs w:val="24"/>
        </w:rPr>
      </w:pPr>
      <w:r>
        <w:rPr>
          <w:rFonts w:ascii="宋体" w:hAnsi="宋体" w:hint="eastAsia"/>
          <w:color w:val="000000"/>
          <w:sz w:val="24"/>
        </w:rPr>
        <w:t>基金托管资格批文及文号：中国证监会证</w:t>
      </w:r>
      <w:proofErr w:type="gramStart"/>
      <w:r>
        <w:rPr>
          <w:rFonts w:ascii="宋体" w:hAnsi="宋体" w:hint="eastAsia"/>
          <w:color w:val="000000"/>
          <w:sz w:val="24"/>
        </w:rPr>
        <w:t>监基金字</w:t>
      </w:r>
      <w:proofErr w:type="gramEnd"/>
      <w:r>
        <w:rPr>
          <w:rFonts w:ascii="宋体" w:hAnsi="宋体" w:hint="eastAsia"/>
          <w:color w:val="000000"/>
          <w:sz w:val="24"/>
        </w:rPr>
        <w:t>[2002]75号</w:t>
      </w:r>
    </w:p>
    <w:p w14:paraId="70F52344" w14:textId="77777777" w:rsidR="00562298" w:rsidRDefault="004636A8">
      <w:pPr>
        <w:spacing w:line="360" w:lineRule="auto"/>
        <w:ind w:firstLineChars="200" w:firstLine="480"/>
        <w:jc w:val="center"/>
        <w:rPr>
          <w:rFonts w:ascii="宋体" w:hAnsi="宋体" w:cs="宋体"/>
          <w:bCs/>
          <w:color w:val="000000"/>
          <w:sz w:val="30"/>
          <w:szCs w:val="30"/>
        </w:rPr>
      </w:pPr>
      <w:r>
        <w:rPr>
          <w:rFonts w:ascii="仿宋" w:eastAsia="仿宋" w:hAnsi="仿宋" w:hint="eastAsia"/>
          <w:color w:val="000000"/>
          <w:sz w:val="24"/>
          <w:szCs w:val="24"/>
        </w:rPr>
        <w:br w:type="page"/>
      </w:r>
      <w:bookmarkStart w:id="5" w:name="_Toc264617142"/>
      <w:r>
        <w:rPr>
          <w:rFonts w:ascii="宋体" w:hAnsi="宋体" w:cs="宋体" w:hint="eastAsia"/>
          <w:b/>
          <w:bCs/>
          <w:sz w:val="30"/>
          <w:szCs w:val="30"/>
        </w:rPr>
        <w:lastRenderedPageBreak/>
        <w:t>二、基金托管协议的依据、目的、原则和解释</w:t>
      </w:r>
      <w:bookmarkEnd w:id="5"/>
    </w:p>
    <w:p w14:paraId="0756CC8F" w14:textId="77777777" w:rsidR="00562298" w:rsidRDefault="00562298">
      <w:pPr>
        <w:spacing w:line="360" w:lineRule="auto"/>
        <w:ind w:firstLineChars="200" w:firstLine="480"/>
        <w:rPr>
          <w:rFonts w:ascii="仿宋" w:eastAsia="仿宋" w:hAnsi="仿宋"/>
          <w:color w:val="000000"/>
          <w:sz w:val="24"/>
          <w:szCs w:val="24"/>
        </w:rPr>
      </w:pPr>
    </w:p>
    <w:p w14:paraId="27F2504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（一）订立托管协议的依据</w:t>
      </w:r>
    </w:p>
    <w:p w14:paraId="15FFAFAF" w14:textId="36C9CD72" w:rsidR="00562298" w:rsidRDefault="004636A8">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本协议依据《中华人民共和国证券投资基金法》(以下简称“《基金法》”) 《公开募集证券投资基金运作管理办法》（以下称“《运作办法》”）、《公开募集证券投资基金销售机构监督管理办法》、《公开募集证券投资基金信息披露管理办法》（以下称“《信息披露办法》”）、《公开募集证券投资基金运作指引第2号——基金中基金指引》、《公开募集开放式证券投资基金流动性风险管理规定》（以下称“《流动性风险管理规定》”）等有关法律法规、《交银施罗德智选星光一年封闭运作混合型基金中基金（FOF-LOF）基金合同》（ 以下称“基金合同”）及其他有关规定制订。</w:t>
      </w:r>
    </w:p>
    <w:p w14:paraId="0D037CE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（二）订立托管协议的目的</w:t>
      </w:r>
    </w:p>
    <w:p w14:paraId="59DB89D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64350A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（三）订立托管协议的原则</w:t>
      </w:r>
    </w:p>
    <w:p w14:paraId="6F7ABB5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基金管理人和基金托管人本着平等自愿、诚实信用、充分保护基金份额持有人合法权益的原则，经协商一致，签订本协议。</w:t>
      </w:r>
    </w:p>
    <w:p w14:paraId="5271BED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（四）解释</w:t>
      </w:r>
    </w:p>
    <w:p w14:paraId="70B2130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除非文义另有所指，本托管协议的所有术语与基金合同的相应术语具有相同含义；若有抵触应以基金合同为准，并依其条款解释。</w:t>
      </w:r>
    </w:p>
    <w:p w14:paraId="7A9172E5" w14:textId="77777777" w:rsidR="00562298" w:rsidRDefault="00562298">
      <w:pPr>
        <w:spacing w:line="360" w:lineRule="auto"/>
        <w:ind w:firstLineChars="200" w:firstLine="480"/>
        <w:rPr>
          <w:rFonts w:ascii="仿宋" w:eastAsia="仿宋" w:hAnsi="仿宋"/>
          <w:color w:val="000000"/>
          <w:sz w:val="24"/>
          <w:szCs w:val="24"/>
        </w:rPr>
      </w:pPr>
    </w:p>
    <w:p w14:paraId="38F1BC98" w14:textId="77777777" w:rsidR="00562298" w:rsidRDefault="004636A8">
      <w:pPr>
        <w:pStyle w:val="2"/>
        <w:spacing w:line="360" w:lineRule="auto"/>
        <w:jc w:val="center"/>
        <w:rPr>
          <w:rFonts w:ascii="宋体" w:hAnsi="宋体"/>
          <w:color w:val="000000"/>
        </w:rPr>
      </w:pPr>
      <w:r>
        <w:rPr>
          <w:rFonts w:ascii="仿宋" w:eastAsia="仿宋" w:hAnsi="仿宋" w:hint="eastAsia"/>
          <w:b w:val="0"/>
          <w:bCs w:val="0"/>
          <w:color w:val="000000"/>
        </w:rPr>
        <w:br w:type="page"/>
      </w:r>
      <w:bookmarkStart w:id="6" w:name="_Toc264617143"/>
      <w:r>
        <w:rPr>
          <w:rFonts w:ascii="宋体" w:hAnsi="宋体" w:hint="eastAsia"/>
          <w:sz w:val="30"/>
          <w:szCs w:val="30"/>
        </w:rPr>
        <w:lastRenderedPageBreak/>
        <w:t>三、基金托管人对基金管理人的业务监督和核查</w:t>
      </w:r>
      <w:bookmarkEnd w:id="6"/>
    </w:p>
    <w:p w14:paraId="2CDCE15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（一）基金托管人根据有关法律法规的规定及基金合同的约定，对基金投资范围、投资比例进行监督。</w:t>
      </w:r>
    </w:p>
    <w:p w14:paraId="30BEBE4C" w14:textId="0577C1B1"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本基金的投资范围为具有良好流动性的金融工具，包括经中国证监会依法核准或注册的公开募集证券投资基金（含ETF和LOF、香港互认基金，不含QDII基金）、国内依法发行上市的股票（</w:t>
      </w:r>
      <w:proofErr w:type="gramStart"/>
      <w:r>
        <w:rPr>
          <w:rFonts w:ascii="宋体" w:hAnsi="宋体" w:cs="宋体" w:hint="eastAsia"/>
          <w:color w:val="000000"/>
          <w:sz w:val="24"/>
          <w:szCs w:val="24"/>
        </w:rPr>
        <w:t>含创业</w:t>
      </w:r>
      <w:proofErr w:type="gramEnd"/>
      <w:r>
        <w:rPr>
          <w:rFonts w:ascii="宋体" w:hAnsi="宋体" w:cs="宋体" w:hint="eastAsia"/>
          <w:color w:val="000000"/>
          <w:sz w:val="24"/>
          <w:szCs w:val="24"/>
        </w:rPr>
        <w:t>板及其他经中国证监会核准或注册上市的股票、存托凭证）、港股通标的股票、债券（含国债、央行票据、金融债券、政府支持债券、政府支持机构债券、地方政府债券、企业债券、公司债券、可转换债券（</w:t>
      </w:r>
      <w:proofErr w:type="gramStart"/>
      <w:r>
        <w:rPr>
          <w:rFonts w:ascii="宋体" w:hAnsi="宋体" w:cs="宋体" w:hint="eastAsia"/>
          <w:color w:val="000000"/>
          <w:sz w:val="24"/>
          <w:szCs w:val="24"/>
        </w:rPr>
        <w:t>含可分离</w:t>
      </w:r>
      <w:proofErr w:type="gramEnd"/>
      <w:r>
        <w:rPr>
          <w:rFonts w:ascii="宋体" w:hAnsi="宋体" w:cs="宋体" w:hint="eastAsia"/>
          <w:color w:val="000000"/>
          <w:sz w:val="24"/>
          <w:szCs w:val="24"/>
        </w:rPr>
        <w:t>交易可转换债券）、可交换债券、次级债券、中期票据、短期融资</w:t>
      </w:r>
      <w:proofErr w:type="gramStart"/>
      <w:r>
        <w:rPr>
          <w:rFonts w:ascii="宋体" w:hAnsi="宋体" w:cs="宋体" w:hint="eastAsia"/>
          <w:color w:val="000000"/>
          <w:sz w:val="24"/>
          <w:szCs w:val="24"/>
        </w:rPr>
        <w:t>券</w:t>
      </w:r>
      <w:proofErr w:type="gramEnd"/>
      <w:r>
        <w:rPr>
          <w:rFonts w:ascii="宋体" w:hAnsi="宋体" w:cs="宋体" w:hint="eastAsia"/>
          <w:color w:val="000000"/>
          <w:sz w:val="24"/>
          <w:szCs w:val="24"/>
        </w:rPr>
        <w:t>、超短期融资</w:t>
      </w:r>
      <w:proofErr w:type="gramStart"/>
      <w:r>
        <w:rPr>
          <w:rFonts w:ascii="宋体" w:hAnsi="宋体" w:cs="宋体" w:hint="eastAsia"/>
          <w:color w:val="000000"/>
          <w:sz w:val="24"/>
          <w:szCs w:val="24"/>
        </w:rPr>
        <w:t>券</w:t>
      </w:r>
      <w:proofErr w:type="gramEnd"/>
      <w:r>
        <w:rPr>
          <w:rFonts w:ascii="宋体" w:hAnsi="宋体" w:cs="宋体" w:hint="eastAsia"/>
          <w:color w:val="000000"/>
          <w:sz w:val="24"/>
          <w:szCs w:val="24"/>
        </w:rPr>
        <w:t>等）、资产支持证券、货币市场工具、债券回购、同业存单、银行存款（</w:t>
      </w:r>
      <w:proofErr w:type="gramStart"/>
      <w:r>
        <w:rPr>
          <w:rFonts w:ascii="宋体" w:hAnsi="宋体" w:cs="宋体" w:hint="eastAsia"/>
          <w:color w:val="000000"/>
          <w:sz w:val="24"/>
          <w:szCs w:val="24"/>
        </w:rPr>
        <w:t>含协议</w:t>
      </w:r>
      <w:proofErr w:type="gramEnd"/>
      <w:r>
        <w:rPr>
          <w:rFonts w:ascii="宋体" w:hAnsi="宋体" w:cs="宋体" w:hint="eastAsia"/>
          <w:color w:val="000000"/>
          <w:sz w:val="24"/>
          <w:szCs w:val="24"/>
        </w:rPr>
        <w:t>存款、定期存款及其他银行存款）以及法律法规或中国证监会允许基金投资的其他金融工具。</w:t>
      </w:r>
    </w:p>
    <w:p w14:paraId="55C94782" w14:textId="6708E5D3" w:rsidR="00550908" w:rsidRDefault="0055090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管理人在首次投资港股通前，需通知托管人相关投资事宜。</w:t>
      </w:r>
    </w:p>
    <w:p w14:paraId="209739B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如法律法规或监管机构以后允许基金投资其他品种，基金管理人在履行适当程序后，可以将其纳入投资范围。</w:t>
      </w:r>
    </w:p>
    <w:p w14:paraId="648DB542" w14:textId="01004851" w:rsidR="00562298" w:rsidRDefault="004636A8">
      <w:pPr>
        <w:spacing w:line="360" w:lineRule="auto"/>
        <w:ind w:firstLine="480"/>
        <w:rPr>
          <w:bCs/>
          <w:sz w:val="24"/>
        </w:rPr>
      </w:pPr>
      <w:r>
        <w:rPr>
          <w:rFonts w:hint="eastAsia"/>
          <w:bCs/>
          <w:sz w:val="24"/>
        </w:rPr>
        <w:t>本基金投资于经中国证监会依法核准或注册的公开募集证券投资基金的基金份额的资产不低于本基金资产的</w:t>
      </w:r>
      <w:r>
        <w:rPr>
          <w:rFonts w:ascii="宋体" w:hAnsi="宋体" w:cs="宋体" w:hint="eastAsia"/>
          <w:bCs/>
          <w:sz w:val="24"/>
        </w:rPr>
        <w:t>80%</w:t>
      </w:r>
      <w:r w:rsidR="00F0278E">
        <w:rPr>
          <w:rFonts w:ascii="宋体" w:hAnsi="宋体" w:cs="宋体" w:hint="eastAsia"/>
          <w:bCs/>
          <w:sz w:val="24"/>
        </w:rPr>
        <w:t>；</w:t>
      </w:r>
      <w:r>
        <w:rPr>
          <w:rFonts w:ascii="宋体" w:hAnsi="宋体" w:cs="宋体" w:hint="eastAsia"/>
          <w:bCs/>
          <w:sz w:val="24"/>
        </w:rPr>
        <w:t>本基金封闭期结束转为开放式运作后，投资于股票（</w:t>
      </w:r>
      <w:proofErr w:type="gramStart"/>
      <w:r>
        <w:rPr>
          <w:rFonts w:ascii="宋体" w:hAnsi="宋体" w:cs="宋体" w:hint="eastAsia"/>
          <w:bCs/>
          <w:sz w:val="24"/>
        </w:rPr>
        <w:t>含存托</w:t>
      </w:r>
      <w:proofErr w:type="gramEnd"/>
      <w:r>
        <w:rPr>
          <w:rFonts w:ascii="宋体" w:hAnsi="宋体" w:cs="宋体" w:hint="eastAsia"/>
          <w:bCs/>
          <w:sz w:val="24"/>
        </w:rPr>
        <w:t>凭证）、股票型基金（包括股票指数基金）和混合型基金的资产合计占基金资产的比例为60%-95%（其中投资于港股通标的股票的比例占股票资产的0%-50%）；封闭期内，投资于股票（</w:t>
      </w:r>
      <w:proofErr w:type="gramStart"/>
      <w:r>
        <w:rPr>
          <w:rFonts w:ascii="宋体" w:hAnsi="宋体" w:cs="宋体" w:hint="eastAsia"/>
          <w:bCs/>
          <w:sz w:val="24"/>
        </w:rPr>
        <w:t>含存托</w:t>
      </w:r>
      <w:proofErr w:type="gramEnd"/>
      <w:r>
        <w:rPr>
          <w:rFonts w:ascii="宋体" w:hAnsi="宋体" w:cs="宋体" w:hint="eastAsia"/>
          <w:bCs/>
          <w:sz w:val="24"/>
        </w:rPr>
        <w:t>凭证）、股票型基金（包括股票指数基金）和混合型基金的资产合计占基金资产的比例为60%-100%（其中投资于港股通标的股票的比例占股票资产的0%-50%）；本</w:t>
      </w:r>
      <w:r>
        <w:rPr>
          <w:rFonts w:hint="eastAsia"/>
          <w:bCs/>
          <w:sz w:val="24"/>
        </w:rPr>
        <w:t>基金封闭期结束转为开放式运作的前后各一个月内，基金投资不受前述下限比例限制。</w:t>
      </w:r>
    </w:p>
    <w:p w14:paraId="74DBAA7C" w14:textId="1314F680" w:rsidR="00562298" w:rsidRDefault="004636A8">
      <w:pPr>
        <w:spacing w:line="360" w:lineRule="auto"/>
        <w:ind w:firstLineChars="200" w:firstLine="480"/>
        <w:rPr>
          <w:rFonts w:ascii="宋体" w:hAnsi="宋体" w:cs="宋体"/>
          <w:color w:val="000000"/>
          <w:sz w:val="24"/>
          <w:szCs w:val="24"/>
        </w:rPr>
      </w:pPr>
      <w:r>
        <w:rPr>
          <w:rFonts w:hint="eastAsia"/>
          <w:bCs/>
          <w:sz w:val="24"/>
        </w:rPr>
        <w:t>本基金</w:t>
      </w:r>
      <w:r>
        <w:rPr>
          <w:rFonts w:ascii="宋体" w:hAnsi="宋体" w:hint="eastAsia"/>
          <w:sz w:val="24"/>
        </w:rPr>
        <w:t>封闭期结束转为开放式运作后</w:t>
      </w:r>
      <w:r>
        <w:rPr>
          <w:rFonts w:hint="eastAsia"/>
          <w:bCs/>
          <w:sz w:val="24"/>
        </w:rPr>
        <w:t>，本基金</w:t>
      </w:r>
      <w:r>
        <w:rPr>
          <w:bCs/>
          <w:sz w:val="24"/>
        </w:rPr>
        <w:t>持有</w:t>
      </w:r>
      <w:r>
        <w:rPr>
          <w:rFonts w:hint="eastAsia"/>
          <w:bCs/>
          <w:sz w:val="24"/>
        </w:rPr>
        <w:t>的现金或者到期日在一年以内的政府债券的比例合计不低于基金资</w:t>
      </w:r>
      <w:r>
        <w:rPr>
          <w:rFonts w:ascii="宋体" w:hAnsi="宋体" w:cs="宋体" w:hint="eastAsia"/>
          <w:bCs/>
          <w:sz w:val="24"/>
        </w:rPr>
        <w:t>产净值的5%；</w:t>
      </w:r>
      <w:r>
        <w:rPr>
          <w:rFonts w:hint="eastAsia"/>
          <w:bCs/>
          <w:sz w:val="24"/>
        </w:rPr>
        <w:t>在封闭期内，本基金不受前</w:t>
      </w:r>
      <w:r>
        <w:rPr>
          <w:rFonts w:ascii="宋体" w:hAnsi="宋体" w:cs="宋体" w:hint="eastAsia"/>
          <w:bCs/>
          <w:sz w:val="24"/>
        </w:rPr>
        <w:t>述5%的限制</w:t>
      </w:r>
      <w:r>
        <w:rPr>
          <w:rFonts w:hint="eastAsia"/>
          <w:bCs/>
          <w:sz w:val="24"/>
        </w:rPr>
        <w:t>；其中现金不包括结算备付金、存出保证金、应收申购款等。</w:t>
      </w:r>
    </w:p>
    <w:p w14:paraId="2A28469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如果法律法规或中国证监会变更投资品种的投资比例限制，基金管理人在履行适当程序后，可以调整上述投资品种的投资比例。</w:t>
      </w:r>
    </w:p>
    <w:p w14:paraId="6629E0B5"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（二）基金托管人根据有关法律法规的规定及基金合同的约定，对基金投资</w:t>
      </w:r>
      <w:r>
        <w:rPr>
          <w:rFonts w:ascii="宋体" w:hAnsi="宋体" w:cs="宋体" w:hint="eastAsia"/>
          <w:bCs/>
          <w:sz w:val="24"/>
        </w:rPr>
        <w:lastRenderedPageBreak/>
        <w:t>比例进行监督。基金托管人按下述比例和调整期限进行监督：</w:t>
      </w:r>
    </w:p>
    <w:p w14:paraId="28F9CCBA" w14:textId="58E6BAC3" w:rsidR="00562298" w:rsidRDefault="004636A8">
      <w:pPr>
        <w:spacing w:line="360" w:lineRule="auto"/>
        <w:ind w:firstLineChars="200" w:firstLine="480"/>
        <w:rPr>
          <w:rFonts w:ascii="宋体" w:hAnsi="宋体" w:cs="宋体"/>
          <w:bCs/>
          <w:sz w:val="24"/>
        </w:rPr>
      </w:pPr>
      <w:r>
        <w:rPr>
          <w:rFonts w:ascii="宋体" w:hAnsi="宋体" w:cs="宋体" w:hint="eastAsia"/>
          <w:bCs/>
          <w:sz w:val="24"/>
        </w:rPr>
        <w:t>1、本基金投资于经中国证监会依法核准或注册的公开募集证券投资基金的基金份额的资产不低于本基金资产的80%</w:t>
      </w:r>
      <w:r w:rsidR="00F0278E">
        <w:rPr>
          <w:rFonts w:ascii="宋体" w:hAnsi="宋体" w:cs="宋体" w:hint="eastAsia"/>
          <w:bCs/>
          <w:sz w:val="24"/>
        </w:rPr>
        <w:t>；</w:t>
      </w:r>
      <w:r>
        <w:rPr>
          <w:rFonts w:ascii="宋体" w:hAnsi="宋体" w:cs="宋体" w:hint="eastAsia"/>
          <w:bCs/>
          <w:sz w:val="24"/>
        </w:rPr>
        <w:t>本基金封闭期结束转为开放式运作后，投资于股票（含存托凭证）、股票型基金（包括股票指数基金）和混合型基金的资产合计占基金资产的比例为60%-95%（其中投资于港股通标的股票的比例占股票资产的0%-50%）；封闭期内，投资于股票（含存托凭证）、股票型基金（包括股票指数基金）和混合型基金的资产合计占基金资产的比例为60%-100%（其中投资于港股通标的股票的比例占股票资产的0%-50%）；本基金封闭期结束转为开放式运作的前后各一个月内，基金投资不受前述下限比例限制；</w:t>
      </w:r>
    </w:p>
    <w:p w14:paraId="122FD650" w14:textId="2FB351D5" w:rsidR="00562298" w:rsidRDefault="004636A8">
      <w:pPr>
        <w:spacing w:line="360" w:lineRule="auto"/>
        <w:ind w:firstLineChars="200" w:firstLine="480"/>
        <w:rPr>
          <w:rFonts w:ascii="宋体" w:hAnsi="宋体" w:cs="宋体"/>
          <w:bCs/>
          <w:sz w:val="24"/>
        </w:rPr>
      </w:pPr>
      <w:r>
        <w:rPr>
          <w:rFonts w:ascii="宋体" w:hAnsi="宋体" w:cs="宋体" w:hint="eastAsia"/>
          <w:bCs/>
          <w:sz w:val="24"/>
        </w:rPr>
        <w:t>2、本基金封闭期结束转为开放式运作后，本基金持有的现金或者到期日在一年以内的政府债券的比例合计不低于基金资产净值的5%；在封闭期内，本基金不受前述5%的限制；其中现金不包括结算备付金、存出保证金、应收申购款等；</w:t>
      </w:r>
    </w:p>
    <w:p w14:paraId="503D6D44"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3、本基金持有单只基金的市值，不得高于本基金资产净值的20%，且不得持有其他基金中基金；</w:t>
      </w:r>
    </w:p>
    <w:p w14:paraId="5F959800" w14:textId="1A243E65" w:rsidR="00562298" w:rsidRDefault="004636A8">
      <w:pPr>
        <w:spacing w:line="360" w:lineRule="auto"/>
        <w:ind w:firstLineChars="200" w:firstLine="480"/>
        <w:rPr>
          <w:rFonts w:ascii="宋体" w:hAnsi="宋体" w:cs="宋体"/>
          <w:bCs/>
          <w:sz w:val="24"/>
        </w:rPr>
      </w:pPr>
      <w:r>
        <w:rPr>
          <w:rFonts w:ascii="宋体" w:hAnsi="宋体" w:cs="宋体" w:hint="eastAsia"/>
          <w:bCs/>
          <w:sz w:val="24"/>
        </w:rPr>
        <w:t>4、本基金管理人管理的全部</w:t>
      </w:r>
      <w:r w:rsidR="00E34EF3">
        <w:rPr>
          <w:rFonts w:ascii="宋体" w:hAnsi="宋体" w:cs="宋体" w:hint="eastAsia"/>
          <w:bCs/>
          <w:sz w:val="24"/>
        </w:rPr>
        <w:t>基金</w:t>
      </w:r>
      <w:r>
        <w:rPr>
          <w:rFonts w:ascii="宋体" w:hAnsi="宋体" w:cs="宋体" w:hint="eastAsia"/>
          <w:bCs/>
          <w:sz w:val="24"/>
        </w:rPr>
        <w:t>（除ETF联接基金外）持有单只基金不得超过被投资基金净资产的20%，被投资基金净资产规模以最近定期报告披露的规模为准；</w:t>
      </w:r>
    </w:p>
    <w:p w14:paraId="08F53116"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5、本基金不得持有具有复杂、衍生品性质的基金份额，包括分级基金和中国证监会认定的其他基金份额；</w:t>
      </w:r>
    </w:p>
    <w:p w14:paraId="4168E0D9"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6、本基金投资其他基金时，被投资基金的运作期限不少于1年、最近定期报告披露的基金净资产应当不低于1亿元；</w:t>
      </w:r>
    </w:p>
    <w:p w14:paraId="6F86C616"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7、本基金封闭期结束转为开放式运作后，投资于封闭运作基金、定期开放基金等流通受限基金的，其公允价值不得超过本基金资产净值的10%；</w:t>
      </w:r>
    </w:p>
    <w:p w14:paraId="206A315B"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8、基金管理人运用本基金财产投资于股票、债券等金融工具的，投资品种和比例应当符合本基金的投资目标和投资策略；</w:t>
      </w:r>
    </w:p>
    <w:p w14:paraId="24F4312C"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9、本基金持有一家公司发行的证券（同一家公司在内地和香港同时上市的A+H股合并计算，不含本基金所投资的基金份额），其市值不超过基金资产净值的10%；</w:t>
      </w:r>
    </w:p>
    <w:p w14:paraId="470F38E7"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lastRenderedPageBreak/>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14:paraId="2E06E08B"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8E0FA2E"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12、本基金封闭期结束转为开放式运作后，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9EA8DB4"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13、本基金与私募类</w:t>
      </w:r>
      <w:proofErr w:type="gramStart"/>
      <w:r>
        <w:rPr>
          <w:rFonts w:ascii="宋体" w:hAnsi="宋体" w:cs="宋体" w:hint="eastAsia"/>
          <w:bCs/>
          <w:sz w:val="24"/>
        </w:rPr>
        <w:t>证券资管产品</w:t>
      </w:r>
      <w:proofErr w:type="gramEnd"/>
      <w:r>
        <w:rPr>
          <w:rFonts w:ascii="宋体" w:hAnsi="宋体" w:cs="宋体" w:hint="eastAsia"/>
          <w:bCs/>
          <w:sz w:val="24"/>
        </w:rPr>
        <w:t>及中国证监会认定的其他主体为交易对手开展逆回购交易的，可接受质押品的资质要求应当与基金合同约定的投资范围保持一致；</w:t>
      </w:r>
    </w:p>
    <w:p w14:paraId="464B07CF"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14、本基金投资于同一原始权益人的各类资产支持证券的比例，不得超过基金资产净值的10%；</w:t>
      </w:r>
    </w:p>
    <w:p w14:paraId="47776CBC"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15、本基金持有的全部资产支持证券，其市值不得超过基金资产净值的20%；</w:t>
      </w:r>
    </w:p>
    <w:p w14:paraId="4B934EA6"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16、本基金持有的同一（指同一信用级别）资产支持证券的比例，不得超过该资产支持证券规模的10%；</w:t>
      </w:r>
    </w:p>
    <w:p w14:paraId="6D3D14C9"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17、本基金管理人管理的全部基金投资于同一原始权益人的各类资产支持证券，不得超过其各类资产支持证券合计规模的10%；</w:t>
      </w:r>
    </w:p>
    <w:p w14:paraId="5B536518"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18、本基金应投资于信用级别评级为BBB以上（含BBB）的资产支持证券。基金持有资产支持证券期间，如果其信用等级下降、不再符合投资标准，应在评级报告发布之日起3个月内予以全部卖出；</w:t>
      </w:r>
    </w:p>
    <w:p w14:paraId="295A3026"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19、基金财产参与股票发行申购，本基金所申报的金额不超过本基金的总资产，本基金所申报的股票数量不超过拟发行股票公司本次发行股票的总量；</w:t>
      </w:r>
    </w:p>
    <w:p w14:paraId="03F5E0E6"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lastRenderedPageBreak/>
        <w:t>20、封闭期内，本基金债券正回购资金余额或逆回购资金余额不得超过其上一日基金资产净值的100%；本基金封闭期结束转为开放式运作后，本基金债券正回购资金余额或逆回购资金余额不得超过其上一日基金资产净值的 40%。本基金进入全国银行间同业市场进行债券回购的最长期限为1年，债券回购到期后不得展期；</w:t>
      </w:r>
    </w:p>
    <w:p w14:paraId="0AC188C9"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21、封闭期内，本基金资产总值不得超过基金资产净值的200%；本基金封闭期结束转为开放式运作后，基金资产总值不得超过基金资产净值的140%；</w:t>
      </w:r>
    </w:p>
    <w:p w14:paraId="3DA94775"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22、本基金投资存托凭证的比例限制依照境内上市交易的股票执行；</w:t>
      </w:r>
    </w:p>
    <w:p w14:paraId="22273570"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23、本基金投资于货币市场基金的比例不得超过基金资产的15%；</w:t>
      </w:r>
    </w:p>
    <w:p w14:paraId="02D5E579" w14:textId="1E5665B6" w:rsidR="00562298" w:rsidRDefault="004636A8">
      <w:pPr>
        <w:spacing w:line="360" w:lineRule="auto"/>
        <w:ind w:firstLineChars="200" w:firstLine="480"/>
        <w:rPr>
          <w:rFonts w:ascii="宋体" w:hAnsi="宋体" w:cs="宋体"/>
          <w:bCs/>
          <w:sz w:val="24"/>
        </w:rPr>
      </w:pPr>
      <w:r>
        <w:rPr>
          <w:rFonts w:ascii="宋体" w:hAnsi="宋体" w:cs="宋体" w:hint="eastAsia"/>
          <w:bCs/>
          <w:sz w:val="24"/>
        </w:rPr>
        <w:t>24、法律法规及中国证监会规定的和《基金合同》约定的其他投资限制。</w:t>
      </w:r>
    </w:p>
    <w:p w14:paraId="6EF4FA78" w14:textId="0C4BED37" w:rsidR="00562298" w:rsidRDefault="004636A8">
      <w:pPr>
        <w:spacing w:line="360" w:lineRule="auto"/>
        <w:ind w:firstLineChars="200" w:firstLine="480"/>
        <w:rPr>
          <w:rFonts w:ascii="宋体" w:hAnsi="宋体" w:cs="宋体"/>
          <w:bCs/>
          <w:sz w:val="24"/>
        </w:rPr>
      </w:pPr>
      <w:r>
        <w:rPr>
          <w:rFonts w:ascii="宋体" w:hAnsi="宋体" w:cs="宋体" w:hint="eastAsia"/>
          <w:bCs/>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12项、第13项及第18项以外的其他情形，基金管理人应当在10个交易日内进行调整，但中国证监会规定的特殊情形除外。法律法规另有规定的，从其规定。</w:t>
      </w:r>
    </w:p>
    <w:p w14:paraId="4739BD89"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D291900"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7CB0BB8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（三）基金托管人根据有关法律法规的规定及基金合同的约定，对本托管协议第十五条第（十二）</w:t>
      </w:r>
      <w:proofErr w:type="gramStart"/>
      <w:r>
        <w:rPr>
          <w:rFonts w:ascii="宋体" w:hAnsi="宋体" w:cs="宋体" w:hint="eastAsia"/>
          <w:color w:val="000000"/>
          <w:sz w:val="24"/>
          <w:szCs w:val="24"/>
        </w:rPr>
        <w:t>款基金</w:t>
      </w:r>
      <w:proofErr w:type="gramEnd"/>
      <w:r>
        <w:rPr>
          <w:rFonts w:ascii="宋体" w:hAnsi="宋体" w:cs="宋体" w:hint="eastAsia"/>
          <w:color w:val="000000"/>
          <w:sz w:val="24"/>
          <w:szCs w:val="24"/>
        </w:rPr>
        <w:t>投资禁止行为进行监督。</w:t>
      </w:r>
    </w:p>
    <w:p w14:paraId="2316785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w:t>
      </w:r>
      <w:r>
        <w:rPr>
          <w:rFonts w:ascii="宋体" w:hAnsi="宋体" w:cs="宋体" w:hint="eastAsia"/>
          <w:color w:val="000000"/>
          <w:sz w:val="24"/>
          <w:szCs w:val="24"/>
        </w:rPr>
        <w:lastRenderedPageBreak/>
        <w:t>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301477A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如法律、行政法规或监管部门取消上述规定，如适用于本基金，基金管理人在履行适当程序后，本基金可不受上述规定的限制。</w:t>
      </w:r>
    </w:p>
    <w:p w14:paraId="1C3F22C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（四）基金托管人根据有关法律法规的规定及基金合同的约定，对基金管理人参与银行间债券市场进行监督。</w:t>
      </w:r>
    </w:p>
    <w:p w14:paraId="3D25EF5B" w14:textId="5C9E5944"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735C3F5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34F6B8C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（五）基金托管人根据有关法律法规的规定及基金合同的约定，对基金投资流通受限证券进行监督。</w:t>
      </w:r>
    </w:p>
    <w:p w14:paraId="781CACB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1．基金投资流通受限证券，应遵守《关于基金投资非公开发行股票等流通受限证券有关问题的通知》等有关法律法规规定。</w:t>
      </w:r>
    </w:p>
    <w:p w14:paraId="7F1A1E2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宋体" w:hint="eastAsia"/>
          <w:color w:val="000000"/>
          <w:sz w:val="24"/>
          <w:szCs w:val="24"/>
        </w:rPr>
        <w:t>券</w:t>
      </w:r>
      <w:proofErr w:type="gramEnd"/>
      <w:r>
        <w:rPr>
          <w:rFonts w:ascii="宋体" w:hAnsi="宋体" w:cs="宋体" w:hint="eastAsia"/>
          <w:color w:val="000000"/>
          <w:sz w:val="24"/>
          <w:szCs w:val="24"/>
        </w:rPr>
        <w:t>等流通受限证券。</w:t>
      </w:r>
    </w:p>
    <w:p w14:paraId="280390D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2BD762E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上述规章制度须经基金管理人董事会批准。上述规章制度经董事会通过之后，基金管理人应至少</w:t>
      </w:r>
      <w:proofErr w:type="gramStart"/>
      <w:r>
        <w:rPr>
          <w:rFonts w:ascii="宋体" w:hAnsi="宋体" w:cs="宋体" w:hint="eastAsia"/>
          <w:color w:val="000000"/>
          <w:sz w:val="24"/>
          <w:szCs w:val="24"/>
        </w:rPr>
        <w:t>于首次</w:t>
      </w:r>
      <w:proofErr w:type="gramEnd"/>
      <w:r>
        <w:rPr>
          <w:rFonts w:ascii="宋体" w:hAnsi="宋体" w:cs="宋体" w:hint="eastAsia"/>
          <w:color w:val="000000"/>
          <w:sz w:val="24"/>
          <w:szCs w:val="24"/>
        </w:rPr>
        <w:t>投资流通受限证券之前两个工作日将上述资料书面发至基金托管人，保证基金托管人有足够的时间进行审核。</w:t>
      </w:r>
    </w:p>
    <w:p w14:paraId="00F98AD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004F1A1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 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75A7C31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基金管理人应在基金投资非公开发行股票后两个交易日内，在中国证监会规定媒介披露所投资非公开发行股票的名称、数量、总成本、账面价值，以及总成本和账面价值占基金资产净值的比例、锁定期等信息。</w:t>
      </w:r>
    </w:p>
    <w:p w14:paraId="3FF4F2B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7．基金托管人</w:t>
      </w:r>
      <w:r>
        <w:rPr>
          <w:rFonts w:ascii="宋体" w:hAnsi="宋体" w:hint="eastAsia"/>
          <w:sz w:val="24"/>
          <w:szCs w:val="24"/>
        </w:rPr>
        <w:t>在力所能及的范围内</w:t>
      </w:r>
      <w:r>
        <w:rPr>
          <w:rFonts w:ascii="宋体" w:hAnsi="宋体" w:cs="宋体" w:hint="eastAsia"/>
          <w:color w:val="000000"/>
          <w:sz w:val="24"/>
          <w:szCs w:val="24"/>
        </w:rPr>
        <w:t>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330FDC8D" w14:textId="77777777" w:rsidR="00562298" w:rsidRDefault="004636A8">
      <w:pPr>
        <w:spacing w:line="360" w:lineRule="auto"/>
        <w:ind w:firstLineChars="200" w:firstLine="480"/>
        <w:rPr>
          <w:rFonts w:ascii="宋体" w:hAnsi="宋体"/>
          <w:sz w:val="24"/>
          <w:szCs w:val="24"/>
        </w:rPr>
      </w:pPr>
      <w:r>
        <w:rPr>
          <w:rFonts w:ascii="宋体" w:hAnsi="宋体" w:cs="宋体" w:hint="eastAsia"/>
          <w:color w:val="000000"/>
          <w:sz w:val="24"/>
          <w:szCs w:val="24"/>
        </w:rPr>
        <w:lastRenderedPageBreak/>
        <w:t>（六）</w:t>
      </w:r>
      <w:r>
        <w:rPr>
          <w:rFonts w:ascii="宋体" w:hAnsi="宋体" w:hint="eastAsia"/>
          <w:sz w:val="24"/>
          <w:szCs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028CDC0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0E2957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如果基金管理人未经基金托管人的审核擅自将不实的业绩表现数据印制在宣传推介材料上，</w:t>
      </w:r>
      <w:proofErr w:type="gramStart"/>
      <w:r>
        <w:rPr>
          <w:rFonts w:ascii="宋体" w:hAnsi="宋体" w:cs="宋体" w:hint="eastAsia"/>
          <w:color w:val="000000"/>
          <w:sz w:val="24"/>
          <w:szCs w:val="24"/>
        </w:rPr>
        <w:t>则基金</w:t>
      </w:r>
      <w:proofErr w:type="gramEnd"/>
      <w:r>
        <w:rPr>
          <w:rFonts w:ascii="宋体" w:hAnsi="宋体" w:cs="宋体" w:hint="eastAsia"/>
          <w:color w:val="000000"/>
          <w:sz w:val="24"/>
          <w:szCs w:val="24"/>
        </w:rPr>
        <w:t>托管人对此不承担任何责任，并将在发现后立即报告中国证监会。</w:t>
      </w:r>
    </w:p>
    <w:p w14:paraId="3F8DFA8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（八）基金托管人发现基金管理人的上述事项及投资指令或实际投资运作违反法律法规、基金合同和本托管协议的规定，应及时以电话提醒或书面提示等方式通知基金管理人限期纠正。</w:t>
      </w:r>
    </w:p>
    <w:p w14:paraId="44D0482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基金管理人应积极配合和协助基金托管人的监督和核查。基金管理人收到书面通知后应在下一工作日前及时核对并以书面形式给基金托管人发出回函，就基</w:t>
      </w:r>
      <w:r>
        <w:rPr>
          <w:rFonts w:ascii="宋体" w:hAnsi="宋体" w:cs="宋体" w:hint="eastAsia"/>
          <w:color w:val="000000"/>
          <w:sz w:val="24"/>
          <w:szCs w:val="24"/>
        </w:rPr>
        <w:lastRenderedPageBreak/>
        <w:t>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056E0FB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（九）基金管理人有义务配合和协助基金托管人依照法律法规、基金合同和本托管协议对基金业务执行核查。</w:t>
      </w:r>
    </w:p>
    <w:p w14:paraId="6A5C99E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7D88C08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w:t>
      </w: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托管人发现基金管理人依据交易程序已经生效的指令违反法律、行政法规和其他有关规定，或者违反基金合同约定的，应当立即通知基金管理人。</w:t>
      </w:r>
    </w:p>
    <w:p w14:paraId="024FE3A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（十一）基金托管人发现基金管理人有重大违规行为，应及时报告中国证监会，同时通知基金管理人限期纠正，并将纠正结果报告中国证监会。</w:t>
      </w:r>
    </w:p>
    <w:p w14:paraId="4DDE207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5D904D0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（十二）</w:t>
      </w:r>
      <w:proofErr w:type="gramStart"/>
      <w:r>
        <w:rPr>
          <w:rFonts w:ascii="宋体" w:hAnsi="宋体" w:cs="宋体" w:hint="eastAsia"/>
          <w:color w:val="000000"/>
          <w:sz w:val="24"/>
          <w:szCs w:val="24"/>
        </w:rPr>
        <w:t>侧袋机制</w:t>
      </w:r>
      <w:proofErr w:type="gramEnd"/>
      <w:r>
        <w:rPr>
          <w:rFonts w:ascii="宋体" w:hAnsi="宋体" w:cs="宋体" w:hint="eastAsia"/>
          <w:color w:val="000000"/>
          <w:sz w:val="24"/>
          <w:szCs w:val="24"/>
        </w:rPr>
        <w:t>的实施和投资运作安排</w:t>
      </w:r>
    </w:p>
    <w:p w14:paraId="03E8B1B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cs="宋体" w:hint="eastAsia"/>
          <w:color w:val="000000"/>
          <w:sz w:val="24"/>
          <w:szCs w:val="24"/>
        </w:rPr>
        <w:t>启用侧袋机制</w:t>
      </w:r>
      <w:proofErr w:type="gramEnd"/>
      <w:r>
        <w:rPr>
          <w:rFonts w:ascii="宋体" w:hAnsi="宋体" w:cs="宋体" w:hint="eastAsia"/>
          <w:color w:val="000000"/>
          <w:sz w:val="24"/>
          <w:szCs w:val="24"/>
        </w:rPr>
        <w:t>。</w:t>
      </w:r>
    </w:p>
    <w:p w14:paraId="10F63942" w14:textId="77777777" w:rsidR="00562298" w:rsidRDefault="004636A8">
      <w:pPr>
        <w:spacing w:line="360"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侧袋机制</w:t>
      </w:r>
      <w:proofErr w:type="gramEnd"/>
      <w:r>
        <w:rPr>
          <w:rFonts w:ascii="宋体" w:hAnsi="宋体" w:cs="宋体" w:hint="eastAsia"/>
          <w:color w:val="000000"/>
          <w:sz w:val="24"/>
          <w:szCs w:val="24"/>
        </w:rPr>
        <w:t>实施期间，本部分约定的投资组合比例、组合限制等约定仅</w:t>
      </w:r>
      <w:proofErr w:type="gramStart"/>
      <w:r>
        <w:rPr>
          <w:rFonts w:ascii="宋体" w:hAnsi="宋体" w:cs="宋体" w:hint="eastAsia"/>
          <w:color w:val="000000"/>
          <w:sz w:val="24"/>
          <w:szCs w:val="24"/>
        </w:rPr>
        <w:t>适用于主袋账户</w:t>
      </w:r>
      <w:proofErr w:type="gramEnd"/>
      <w:r>
        <w:rPr>
          <w:rFonts w:ascii="宋体" w:hAnsi="宋体" w:cs="宋体" w:hint="eastAsia"/>
          <w:color w:val="000000"/>
          <w:sz w:val="24"/>
          <w:szCs w:val="24"/>
        </w:rPr>
        <w:t>。</w:t>
      </w:r>
    </w:p>
    <w:p w14:paraId="50FF5DE9" w14:textId="77777777" w:rsidR="00562298" w:rsidRDefault="004636A8">
      <w:pPr>
        <w:spacing w:line="360"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侧袋账户</w:t>
      </w:r>
      <w:proofErr w:type="gramEnd"/>
      <w:r>
        <w:rPr>
          <w:rFonts w:ascii="宋体" w:hAnsi="宋体" w:cs="宋体" w:hint="eastAsia"/>
          <w:color w:val="000000"/>
          <w:sz w:val="24"/>
          <w:szCs w:val="24"/>
        </w:rPr>
        <w:t>的实施条件、实施程序、运作安排、投资安排、特定资产的处置变现和支付等对投资者权益有重大影响的事项详见招募说明书的规定。</w:t>
      </w:r>
    </w:p>
    <w:p w14:paraId="6FC291AD"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7" w:name="_Toc264617144"/>
      <w:r>
        <w:rPr>
          <w:rFonts w:ascii="宋体" w:hAnsi="宋体" w:hint="eastAsia"/>
          <w:sz w:val="30"/>
          <w:szCs w:val="30"/>
        </w:rPr>
        <w:lastRenderedPageBreak/>
        <w:t>四、基金管理人对基金托管人的业务核查</w:t>
      </w:r>
      <w:bookmarkEnd w:id="7"/>
    </w:p>
    <w:p w14:paraId="165B987B" w14:textId="41D3750C"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对基金托管人履行托管职责情况进行核查，核查事项包括基金托管人安全保管基金财产、开设基金财产的资金账户、证券账户、证券投资基金账户以及投资所需的其他专用账户、复核基金管理人计算的各类基金份额的基金资产净值和基金份额净值、根据基金管理人指令办理清算交收、相关信息披露和监督基金投资运作等行为。</w:t>
      </w:r>
    </w:p>
    <w:p w14:paraId="52F5594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296E2A1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宋体" w:hint="eastAsia"/>
          <w:color w:val="000000"/>
          <w:sz w:val="24"/>
          <w:szCs w:val="24"/>
        </w:rPr>
        <w:t>供基金</w:t>
      </w:r>
      <w:proofErr w:type="gramEnd"/>
      <w:r>
        <w:rPr>
          <w:rFonts w:ascii="宋体" w:hAnsi="宋体" w:cs="宋体" w:hint="eastAsia"/>
          <w:color w:val="000000"/>
          <w:sz w:val="24"/>
          <w:szCs w:val="24"/>
        </w:rPr>
        <w:t>管理人核查托管财产的完整性和真实性，在规定时间内答复基金管理人并改正。</w:t>
      </w:r>
    </w:p>
    <w:p w14:paraId="0252A56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（三）基金管理人发现基金托管人有重大违规行为，应及时报告中国证监会，同时通知基金托管人限期纠正，并将纠正结果报告中国证监会。</w:t>
      </w:r>
    </w:p>
    <w:p w14:paraId="379F43F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73FF50BE" w14:textId="77777777" w:rsidR="00562298" w:rsidRDefault="00562298">
      <w:pPr>
        <w:spacing w:line="360" w:lineRule="auto"/>
        <w:ind w:firstLineChars="200" w:firstLine="480"/>
        <w:rPr>
          <w:rFonts w:ascii="仿宋" w:eastAsia="仿宋" w:hAnsi="仿宋"/>
          <w:color w:val="000000"/>
          <w:sz w:val="24"/>
          <w:szCs w:val="24"/>
        </w:rPr>
      </w:pPr>
    </w:p>
    <w:p w14:paraId="24C97D17"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8" w:name="_Toc264617145"/>
      <w:r>
        <w:rPr>
          <w:rFonts w:ascii="宋体" w:hAnsi="宋体" w:hint="eastAsia"/>
          <w:color w:val="000000"/>
          <w:sz w:val="30"/>
          <w:szCs w:val="30"/>
        </w:rPr>
        <w:lastRenderedPageBreak/>
        <w:t>五、基金财产的保管</w:t>
      </w:r>
      <w:bookmarkEnd w:id="8"/>
    </w:p>
    <w:p w14:paraId="60D09CC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（一）基金财产保管的原则</w:t>
      </w:r>
    </w:p>
    <w:p w14:paraId="3E1AFAF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1．基金财产应独立于基金管理人、基金托管人的固有财产；</w:t>
      </w:r>
    </w:p>
    <w:p w14:paraId="2C1BE2C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2．基金托管人应安全保管基金财产；</w:t>
      </w:r>
    </w:p>
    <w:p w14:paraId="44D7B37A" w14:textId="683E240D"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3．基金托管人按照规定开设基金财产的资金账户、证券账户、证券投资基金账户以及投资所需的其他专用账户；</w:t>
      </w:r>
    </w:p>
    <w:p w14:paraId="220D183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4．基金托管人对所托管的不同基金财产分别设置账户，确保基金财产的完整与独立； </w:t>
      </w:r>
    </w:p>
    <w:p w14:paraId="6B6738C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5．基金托管人根据基金管理人的指令，按照基金合同和本协议的约定保管基金财产，如有特殊情况双方可另行协商解决；</w:t>
      </w:r>
    </w:p>
    <w:p w14:paraId="71FAA7C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380343A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7．除依据法律法规和基金合同的规定外，基金托管人不得委托第三人托管基金财产。</w:t>
      </w:r>
    </w:p>
    <w:p w14:paraId="704726B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（二）基金募集期间及募集资金的验资</w:t>
      </w:r>
    </w:p>
    <w:p w14:paraId="74A564D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1．基金募集期间募集的资金应存于基金管理人开立的“基金募集专户”。该账户由基金管理人开立并管理。</w:t>
      </w:r>
    </w:p>
    <w:p w14:paraId="081B749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2054738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募集期限届满或基金停止募集时，未能达到基金合同生效的条件，由基金管理人按规定办理退款等事宜，基金托管人应提供充分协助。</w:t>
      </w:r>
    </w:p>
    <w:p w14:paraId="62E12ED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（三）基金托管专户的开立和管理</w:t>
      </w:r>
    </w:p>
    <w:p w14:paraId="73CE4F9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1．基金托管人以基金的名义在其营业机构开设基金托管专户，保管基金的银行存款。本基金的一切货币收支活动，包括但不限于投资、支付赎回金额、支付基金收益、收取申购款，均需通过基金托管专户进行。</w:t>
      </w:r>
    </w:p>
    <w:p w14:paraId="4CD0F04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069EE77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3．基金托管专户的开立和管理应符合有关法律法规以及银行业监督管理机构的其他有关规定。</w:t>
      </w:r>
    </w:p>
    <w:p w14:paraId="19230DB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（四）基金证券账户和结算备付金账户的开立和管理</w:t>
      </w:r>
    </w:p>
    <w:p w14:paraId="70D0CEA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1．基金托管人在中国证券登记结算有限责任公司上海分公司、深圳分公司为基金开立基金托管人与基金联名的证券账户。</w:t>
      </w:r>
    </w:p>
    <w:p w14:paraId="15950C4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205B6D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3．基金证券账户的开立和证券账户卡的保管由基金托管人负责，账户资产的管理和运用由基金管理人负责。</w:t>
      </w:r>
    </w:p>
    <w:p w14:paraId="00436FC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3623144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5．若中国证监会或其他监管机构在本托管协议订立日之后允许基金从事其他投资品种的投资业务，涉及相关账户的开立、使用的，若无相关规定，</w:t>
      </w:r>
      <w:proofErr w:type="gramStart"/>
      <w:r>
        <w:rPr>
          <w:rFonts w:ascii="宋体" w:hAnsi="宋体" w:cs="宋体" w:hint="eastAsia"/>
          <w:color w:val="000000"/>
          <w:sz w:val="24"/>
          <w:szCs w:val="24"/>
        </w:rPr>
        <w:t>则基金</w:t>
      </w:r>
      <w:proofErr w:type="gramEnd"/>
      <w:r>
        <w:rPr>
          <w:rFonts w:ascii="宋体" w:hAnsi="宋体" w:cs="宋体" w:hint="eastAsia"/>
          <w:color w:val="000000"/>
          <w:sz w:val="24"/>
          <w:szCs w:val="24"/>
        </w:rPr>
        <w:t>托管人比照上述关于账户开立、使用的规定执行。</w:t>
      </w:r>
    </w:p>
    <w:p w14:paraId="7ACEE25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（五）银行间债券托管专户的开设和管理</w:t>
      </w:r>
    </w:p>
    <w:p w14:paraId="6DCDB19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市场债券的结算。</w:t>
      </w:r>
      <w:r>
        <w:rPr>
          <w:rFonts w:ascii="宋体" w:hAnsi="宋体" w:cs="宋体" w:hint="eastAsia"/>
          <w:color w:val="000000"/>
          <w:sz w:val="24"/>
          <w:szCs w:val="24"/>
        </w:rPr>
        <w:lastRenderedPageBreak/>
        <w:t>基金管理人和基金托管人共同代表基金签订全国银行间债券市场债券回购主协议，基金托管人保管协议正本，基金管理人保存协议副本。</w:t>
      </w:r>
    </w:p>
    <w:p w14:paraId="0AC67B64" w14:textId="1687AF15"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（六）其他账户的开立和管理</w:t>
      </w:r>
    </w:p>
    <w:p w14:paraId="7B786F6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657F9C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法律法规等有关规定对相关账户的开立和管理另有规定的，从其规定办理。</w:t>
      </w:r>
    </w:p>
    <w:p w14:paraId="0816E659" w14:textId="6E547ED6"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（七）基金财产投资的有关有价凭证等的保管</w:t>
      </w:r>
    </w:p>
    <w:p w14:paraId="718F92A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2BF95ACC" w14:textId="3A92B926"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（八）与基金财产有关的重大合同的保管</w:t>
      </w:r>
    </w:p>
    <w:p w14:paraId="181D070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不低于法律法规规定的最低期限。</w:t>
      </w:r>
    </w:p>
    <w:p w14:paraId="2CA32C8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 对于无法取得二份以上正本的，基金管理人应向基金托管人提供与合同原件核对一致的加盖公章的合同传真件或复印件，未经双方协商一致或未在合同约定范围内，合同原件不得转移。</w:t>
      </w:r>
    </w:p>
    <w:p w14:paraId="51553310" w14:textId="73AAB62F" w:rsidR="00562298" w:rsidRDefault="004636A8">
      <w:pPr>
        <w:pStyle w:val="2"/>
        <w:spacing w:line="360" w:lineRule="auto"/>
        <w:jc w:val="center"/>
        <w:rPr>
          <w:rFonts w:ascii="宋体" w:hAnsi="宋体"/>
          <w:color w:val="000000"/>
          <w:sz w:val="30"/>
          <w:szCs w:val="30"/>
        </w:rPr>
      </w:pPr>
      <w:r>
        <w:rPr>
          <w:rFonts w:ascii="宋体" w:hAnsi="宋体"/>
          <w:color w:val="000000"/>
          <w:sz w:val="24"/>
          <w:szCs w:val="24"/>
        </w:rPr>
        <w:br w:type="page"/>
      </w:r>
      <w:bookmarkStart w:id="9" w:name="_Toc264617146"/>
      <w:r>
        <w:rPr>
          <w:rFonts w:ascii="宋体" w:hAnsi="宋体" w:hint="eastAsia"/>
          <w:color w:val="000000"/>
          <w:sz w:val="30"/>
          <w:szCs w:val="30"/>
        </w:rPr>
        <w:lastRenderedPageBreak/>
        <w:t>六、指令的发送、确认及执行</w:t>
      </w:r>
      <w:bookmarkEnd w:id="9"/>
    </w:p>
    <w:p w14:paraId="4C94C00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基金管理人在运用基金财产时向基金托管人发送资金划拨及其他款项付款指令，基金托管人执行基金管理人的指令、办理基金名下的资金往来等有关事项。</w:t>
      </w:r>
    </w:p>
    <w:p w14:paraId="0198D1B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（一）基金管理人对发送指令人员的书面授权</w:t>
      </w:r>
    </w:p>
    <w:p w14:paraId="5EB26A9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1．基金管理人应指定专人向基金托管人发送指令。</w:t>
      </w:r>
    </w:p>
    <w:p w14:paraId="7DB1030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2．基金管理人应向基金托管人提供书面授权文件，内容包括被授权人名单、预留印鉴及被授权人签字样本，授权文件应注明被授权人相应的权限</w:t>
      </w:r>
      <w:r>
        <w:rPr>
          <w:rFonts w:ascii="宋体" w:hAnsi="宋体" w:hint="eastAsia"/>
          <w:sz w:val="24"/>
          <w:szCs w:val="24"/>
        </w:rPr>
        <w:t>及授权时间</w:t>
      </w:r>
      <w:r>
        <w:rPr>
          <w:rFonts w:ascii="宋体" w:hAnsi="宋体" w:cs="宋体" w:hint="eastAsia"/>
          <w:color w:val="000000"/>
          <w:sz w:val="24"/>
          <w:szCs w:val="24"/>
        </w:rPr>
        <w:t>。</w:t>
      </w:r>
    </w:p>
    <w:p w14:paraId="0ACDB10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100D4E0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4．基金管理人和基金托管人对授权文件负有保密义务，其内容不得向被授权人及相关操作人员以外的任何人泄漏。但法律法规规定或有权机关要求的除外。</w:t>
      </w:r>
    </w:p>
    <w:p w14:paraId="69785A3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（二）指令的内容</w:t>
      </w:r>
    </w:p>
    <w:p w14:paraId="492A7FE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1．指令包括赎回、分红付款指令、回购到期付款指令、与投资有关的付款指令、实物债券出入库指令以及其他资金划拨指令等。</w:t>
      </w:r>
    </w:p>
    <w:p w14:paraId="7E7954B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2．基金管理人发给基金托管人的指令应写明款项事由、支付时间、到账时间、金额、账户等，加盖预留印鉴并由被授权人签字或盖章。</w:t>
      </w:r>
    </w:p>
    <w:p w14:paraId="0FB32F1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（三）指令的发送、确认及执行的时间和程序</w:t>
      </w:r>
    </w:p>
    <w:p w14:paraId="6821897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1．指令的发送</w:t>
      </w:r>
    </w:p>
    <w:p w14:paraId="69A4C3A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基金管理人发送指令应采用传真、深证通、</w:t>
      </w:r>
      <w:proofErr w:type="gramStart"/>
      <w:r>
        <w:rPr>
          <w:rFonts w:ascii="宋体" w:hAnsi="宋体" w:cs="宋体" w:hint="eastAsia"/>
          <w:color w:val="000000"/>
          <w:sz w:val="24"/>
          <w:szCs w:val="24"/>
        </w:rPr>
        <w:t>托管网银</w:t>
      </w:r>
      <w:proofErr w:type="gramEnd"/>
      <w:r>
        <w:rPr>
          <w:rFonts w:ascii="宋体" w:hAnsi="宋体" w:cs="宋体" w:hint="eastAsia"/>
          <w:color w:val="000000"/>
          <w:sz w:val="24"/>
          <w:szCs w:val="24"/>
        </w:rPr>
        <w:t>电子指令方式或双方协商一致的其他方式。</w:t>
      </w:r>
    </w:p>
    <w:p w14:paraId="70F384F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4940A54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指令发出后，基金管理人应及时以电话方式或双方认可的其他方式向基金托</w:t>
      </w:r>
      <w:r>
        <w:rPr>
          <w:rFonts w:ascii="宋体" w:hAnsi="宋体" w:cs="宋体" w:hint="eastAsia"/>
          <w:color w:val="000000"/>
          <w:sz w:val="24"/>
          <w:szCs w:val="24"/>
        </w:rPr>
        <w:lastRenderedPageBreak/>
        <w:t>管人确认。</w:t>
      </w:r>
    </w:p>
    <w:p w14:paraId="5011CC2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在交易结束后将银行间同业市场债券交易成交单加盖预留印鉴后及时传真给基金托管人，并以电话或双方认可的其他方式确认。如果银行间簿记系统已经生成的交易需要取消或终止，基金管理人要书面通知基金托管人。</w:t>
      </w:r>
    </w:p>
    <w:p w14:paraId="55D16D20" w14:textId="77777777" w:rsidR="00562298" w:rsidRDefault="004636A8">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基金管理人应于划款前一日向基金托管人发送投资划款指令并确认，如需在划款当日下达投资划款指令，在发送指令时，应为基金托管人留出执行指令所必需的时间</w:t>
      </w:r>
      <w:r>
        <w:rPr>
          <w:rFonts w:ascii="宋体" w:hAnsi="宋体" w:cs="宋体" w:hint="eastAsia"/>
          <w:color w:val="000000"/>
          <w:sz w:val="24"/>
        </w:rPr>
        <w:t>（该必需的时间不长于正常情况下基金托管人日常处理该指令所用的平均时间）</w:t>
      </w:r>
      <w:r>
        <w:rPr>
          <w:rFonts w:ascii="宋体" w:hAnsi="宋体" w:cs="宋体" w:hint="eastAsia"/>
          <w:color w:val="000000"/>
          <w:sz w:val="24"/>
          <w:szCs w:val="24"/>
        </w:rPr>
        <w:t>。基金管理人发送有效指令（包括原指令被撤销、变更后再次发送的新指令）的截止时间为当天的15:00。如基金管理人要求当天某一时点到账，则交易结算指令需提前2个工作小时发送，并进行电话确认。对于新股申购网下公开发行业务，基金管理人应在网下申购缴款日(T日)的前一日17:00前将新股申购指令发送给基金托管人，指令发送时间最迟不应晚于T日上午10:00时。由于基金管理</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导致的指令传输不及时、未能留出足够的划款时间，致使资金未能及时到账所造成的损失由基金管理人承担。</w:t>
      </w:r>
      <w:r>
        <w:rPr>
          <w:rFonts w:ascii="宋体" w:hAnsi="宋体" w:cs="宋体" w:hint="eastAsia"/>
          <w:color w:val="000000"/>
          <w:sz w:val="24"/>
        </w:rPr>
        <w:t>由于基金托管</w:t>
      </w:r>
      <w:proofErr w:type="gramStart"/>
      <w:r>
        <w:rPr>
          <w:rFonts w:ascii="宋体" w:hAnsi="宋体" w:cs="宋体" w:hint="eastAsia"/>
          <w:color w:val="000000"/>
          <w:sz w:val="24"/>
        </w:rPr>
        <w:t>人原因</w:t>
      </w:r>
      <w:proofErr w:type="gramEnd"/>
      <w:r>
        <w:rPr>
          <w:rFonts w:ascii="宋体" w:hAnsi="宋体" w:cs="宋体" w:hint="eastAsia"/>
          <w:color w:val="000000"/>
          <w:sz w:val="24"/>
        </w:rPr>
        <w:t>导致资金未能及时到账所造成的损失由基金托管人承担。</w:t>
      </w:r>
    </w:p>
    <w:p w14:paraId="5E543B9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2．指令的确认</w:t>
      </w:r>
    </w:p>
    <w:p w14:paraId="607FF1D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276CBB7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3．指令的时间和执行</w:t>
      </w:r>
    </w:p>
    <w:p w14:paraId="1160843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基金托管人对指令验证</w:t>
      </w:r>
      <w:r>
        <w:rPr>
          <w:rFonts w:ascii="宋体" w:hAnsi="宋体" w:hint="eastAsia"/>
          <w:sz w:val="24"/>
          <w:szCs w:val="24"/>
        </w:rPr>
        <w:t>通过</w:t>
      </w:r>
      <w:r>
        <w:rPr>
          <w:rFonts w:ascii="宋体" w:hAnsi="宋体" w:cs="宋体" w:hint="eastAsia"/>
          <w:color w:val="000000"/>
          <w:sz w:val="24"/>
          <w:szCs w:val="24"/>
        </w:rPr>
        <w:t>后，应及时办理。指令执行完毕后，基金托管人应及时通知基金管理人。</w:t>
      </w:r>
    </w:p>
    <w:p w14:paraId="3EBD36D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由基金管理人审核、查明原因，出具书面文件确认此交易指令无效。基金托管人不承担因未执行该指令造成损失的责任。</w:t>
      </w:r>
    </w:p>
    <w:p w14:paraId="7BED3EB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（四）基金管理人发送错误指令的情形和处理程序</w:t>
      </w:r>
    </w:p>
    <w:p w14:paraId="578C4BF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基金管理人发送错误指令的情形包括指令违反法律法规和基金合同，指令发送人员无权或超越权限发送指令。</w:t>
      </w:r>
    </w:p>
    <w:p w14:paraId="3C4C5B2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基金托管人在履行监督职能时，发现基金管理人的指令错误时，有权拒绝执行，并及时通知基金管理人改正。如需撤销指令，基金管理人应出具书面说明，并加盖业务用章。</w:t>
      </w:r>
    </w:p>
    <w:p w14:paraId="585238D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（五）基金托管人依照法律法规暂缓、拒绝执行指令的情形和处理程序</w:t>
      </w:r>
    </w:p>
    <w:p w14:paraId="655A8C9B" w14:textId="77777777" w:rsidR="00562298" w:rsidRDefault="004636A8">
      <w:pPr>
        <w:spacing w:line="360"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托管人发现基金管理人的指令违反法律法规，或者违反基金合同约定的，应当视情况暂缓或拒绝执行，并立即通知基金管理人。</w:t>
      </w:r>
    </w:p>
    <w:p w14:paraId="5DD0F89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（六）基金托管人未按照基金管理人指令执行的处理方法</w:t>
      </w:r>
    </w:p>
    <w:p w14:paraId="34DE84D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基金托管人由于自身原因，未按照基金管理人发送的</w:t>
      </w:r>
      <w:r>
        <w:rPr>
          <w:rFonts w:ascii="宋体" w:hAnsi="宋体" w:hint="eastAsia"/>
          <w:sz w:val="24"/>
          <w:szCs w:val="24"/>
        </w:rPr>
        <w:t>符合法律法规、基金合同、本协议的</w:t>
      </w:r>
      <w:r>
        <w:rPr>
          <w:rFonts w:ascii="宋体" w:hAnsi="宋体" w:cs="宋体" w:hint="eastAsia"/>
          <w:color w:val="000000"/>
          <w:sz w:val="24"/>
          <w:szCs w:val="24"/>
        </w:rPr>
        <w:t>指令执行并对基金管理人、基金财产或投资人造成的损失，由基金托管人承担相应的责任。</w:t>
      </w:r>
    </w:p>
    <w:p w14:paraId="579BE65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（七）更换被授权人员的程序</w:t>
      </w:r>
    </w:p>
    <w:p w14:paraId="12E1034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基金管理人更换被授权人、更改或终止对被授权人的授权，应当至少提前一个工作日</w:t>
      </w:r>
      <w:r>
        <w:rPr>
          <w:rFonts w:ascii="宋体" w:hAnsi="宋体" w:hint="eastAsia"/>
          <w:sz w:val="24"/>
          <w:szCs w:val="24"/>
        </w:rPr>
        <w:t>书面</w:t>
      </w:r>
      <w:r>
        <w:rPr>
          <w:rFonts w:ascii="宋体" w:hAnsi="宋体" w:cs="宋体" w:hint="eastAsia"/>
          <w:color w:val="000000"/>
          <w:sz w:val="24"/>
          <w:szCs w:val="24"/>
        </w:rPr>
        <w:t>通知基金托管人，同时基金管理人向基金托管人提供新的被授权人的姓名、权限、预留印鉴和签字样本。基金托管人在收到授权文件原件并经电话与基金管理人确认后，授权文件即生效。被授权人变更通知生效前，基金托管人仍应按原约定执行指令，基金管理人不得否认其效力。</w:t>
      </w:r>
    </w:p>
    <w:p w14:paraId="5D46B86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基金托管人更换接受基金管理人指令的人员，应提前书面通知基金管理人并电话确认。</w:t>
      </w:r>
    </w:p>
    <w:p w14:paraId="7D1DB89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（八）其他事项</w:t>
      </w:r>
    </w:p>
    <w:p w14:paraId="78402D6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基金托管人</w:t>
      </w:r>
      <w:r>
        <w:rPr>
          <w:rFonts w:ascii="宋体" w:hAnsi="宋体" w:hint="eastAsia"/>
          <w:sz w:val="24"/>
          <w:szCs w:val="24"/>
        </w:rPr>
        <w:t>无正当理由</w:t>
      </w:r>
      <w:r>
        <w:rPr>
          <w:rFonts w:ascii="宋体" w:hAnsi="宋体" w:cs="宋体" w:hint="eastAsia"/>
          <w:color w:val="000000"/>
          <w:sz w:val="24"/>
          <w:szCs w:val="24"/>
        </w:rPr>
        <w:t>未执行或未及时执行基金管理人的合法指令，导致基金财产遭受损失的，由基金托管人赔偿由此造成的直接损失。</w:t>
      </w:r>
    </w:p>
    <w:p w14:paraId="511AEEFC" w14:textId="77777777" w:rsidR="00562298" w:rsidRDefault="00562298">
      <w:pPr>
        <w:spacing w:line="360" w:lineRule="auto"/>
        <w:ind w:firstLineChars="200" w:firstLine="480"/>
        <w:rPr>
          <w:rFonts w:ascii="仿宋" w:eastAsia="仿宋" w:hAnsi="仿宋"/>
          <w:color w:val="000000"/>
          <w:sz w:val="24"/>
          <w:szCs w:val="24"/>
        </w:rPr>
      </w:pPr>
    </w:p>
    <w:p w14:paraId="114F0B4C"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0" w:name="_Toc264617147"/>
      <w:r>
        <w:rPr>
          <w:rFonts w:ascii="宋体" w:hAnsi="宋体" w:hint="eastAsia"/>
          <w:bCs w:val="0"/>
          <w:color w:val="000000"/>
          <w:sz w:val="30"/>
          <w:szCs w:val="30"/>
        </w:rPr>
        <w:lastRenderedPageBreak/>
        <w:t>七、交易及清算交收安排</w:t>
      </w:r>
      <w:bookmarkEnd w:id="10"/>
    </w:p>
    <w:p w14:paraId="20711C9B" w14:textId="569B29DD"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（一）选择代理证券买卖的证券经营机构</w:t>
      </w:r>
    </w:p>
    <w:p w14:paraId="2E451EA3" w14:textId="0CFFC8A9"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被选中证券经营机构提供的《基金用户交易单位变更申请书》及时送达基金托管人，确保基金托管人申请接收结算数据。交易单元保证金由被选中的证券经营机构交付。基金管理人应根据有关规定，在基金的</w:t>
      </w:r>
      <w:r>
        <w:rPr>
          <w:rFonts w:ascii="宋体" w:hAnsi="宋体" w:hint="eastAsia"/>
          <w:sz w:val="24"/>
          <w:szCs w:val="24"/>
        </w:rPr>
        <w:t>中期</w:t>
      </w:r>
      <w:r>
        <w:rPr>
          <w:rFonts w:ascii="宋体" w:hAnsi="宋体" w:cs="宋体" w:hint="eastAsia"/>
          <w:color w:val="000000"/>
          <w:sz w:val="24"/>
          <w:szCs w:val="24"/>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CB51BAC" w14:textId="61E56118"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（二）基金投资证券后的清算交收安排</w:t>
      </w:r>
    </w:p>
    <w:p w14:paraId="3AF361C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1．清算与交割</w:t>
      </w:r>
    </w:p>
    <w:p w14:paraId="25FA4C3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中国证券登记结算有限责任公司结算备付金管理办法》，在每月前2个工作日内，中国证券登记结算有限责任公司对结算参与人的最低结算备付金限额进行重新核算、调整。基金托管人在中国证券登记结算有限责任公司调整最低结算备付金当日，在资金流量表中反映最低备付金调整的情况。基金管理人应预留最低备付金，并根据中国证券登记结算有限责任公司确定的实际下月最低备付金数据为依据安排资金运作，调整所需的现金头寸。</w:t>
      </w:r>
    </w:p>
    <w:p w14:paraId="0E4B5DD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中国证券登记结算有限责任公司证券结算保证金管理办法》，在每月前2个营业日内，中国证券登记结算有限责任公司对结算参与人的结算保证金进行调整，基金托管人在调整当日，在资金流量表中反映结算保证金的调整情况，基金管理人应预留足够头寸。</w:t>
      </w:r>
    </w:p>
    <w:p w14:paraId="7C5B8B8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F0450AB" w14:textId="77777777" w:rsidR="00562298" w:rsidRDefault="004636A8">
      <w:pPr>
        <w:spacing w:line="360" w:lineRule="auto"/>
        <w:ind w:firstLine="480"/>
        <w:rPr>
          <w:rFonts w:ascii="宋体" w:hAnsi="宋体" w:cs="宋体"/>
          <w:color w:val="000000"/>
          <w:sz w:val="24"/>
          <w:szCs w:val="24"/>
        </w:rPr>
      </w:pPr>
      <w:r>
        <w:rPr>
          <w:rFonts w:ascii="宋体" w:hAnsi="宋体" w:cs="宋体" w:hint="eastAsia"/>
          <w:color w:val="000000"/>
          <w:sz w:val="24"/>
          <w:szCs w:val="24"/>
        </w:rPr>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w:t>
      </w:r>
      <w:r>
        <w:rPr>
          <w:rFonts w:ascii="宋体" w:hAnsi="宋体" w:cs="宋体" w:hint="eastAsia"/>
          <w:color w:val="000000"/>
          <w:sz w:val="24"/>
          <w:szCs w:val="24"/>
        </w:rPr>
        <w:lastRenderedPageBreak/>
        <w:t>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并确保于</w:t>
      </w:r>
      <w:proofErr w:type="gramStart"/>
      <w:r>
        <w:rPr>
          <w:rFonts w:ascii="宋体" w:hAnsi="宋体" w:cs="宋体" w:hint="eastAsia"/>
          <w:color w:val="000000"/>
          <w:sz w:val="24"/>
          <w:szCs w:val="24"/>
        </w:rPr>
        <w:t>交收日11点</w:t>
      </w:r>
      <w:proofErr w:type="gramEnd"/>
      <w:r>
        <w:rPr>
          <w:rFonts w:ascii="宋体" w:hAnsi="宋体" w:cs="宋体" w:hint="eastAsia"/>
          <w:color w:val="000000"/>
          <w:sz w:val="24"/>
          <w:szCs w:val="24"/>
        </w:rPr>
        <w:t>前完成融资，</w:t>
      </w:r>
      <w:r>
        <w:rPr>
          <w:rFonts w:ascii="Arial" w:hAnsi="Arial" w:cs="Arial"/>
          <w:sz w:val="24"/>
        </w:rPr>
        <w:t>并及时补足欠库券</w:t>
      </w:r>
      <w:r>
        <w:rPr>
          <w:rFonts w:ascii="Arial" w:hAnsi="Arial" w:cs="Arial" w:hint="eastAsia"/>
          <w:sz w:val="24"/>
        </w:rPr>
        <w:t>,</w:t>
      </w:r>
      <w:r>
        <w:rPr>
          <w:rFonts w:ascii="宋体" w:hAnsi="宋体" w:cs="宋体" w:hint="eastAsia"/>
          <w:color w:val="000000"/>
          <w:sz w:val="24"/>
          <w:szCs w:val="24"/>
        </w:rPr>
        <w:t>用以完成清算交收，基金托管人应给予必要的配合，由此给基金托管人、本基金造成的直接损失由基金管理人承担。</w:t>
      </w:r>
    </w:p>
    <w:p w14:paraId="4397AAEE" w14:textId="77777777" w:rsidR="00562298" w:rsidRDefault="004636A8">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基金管理人应采取合理措施，确保在T+1日上午1</w:t>
      </w:r>
      <w:r>
        <w:rPr>
          <w:rFonts w:ascii="宋体" w:hAnsi="宋体" w:cs="宋体"/>
          <w:color w:val="000000"/>
          <w:kern w:val="0"/>
          <w:sz w:val="24"/>
          <w:szCs w:val="24"/>
        </w:rPr>
        <w:t>2</w:t>
      </w:r>
      <w:r>
        <w:rPr>
          <w:rFonts w:ascii="宋体" w:hAnsi="宋体" w:cs="宋体" w:hint="eastAsia"/>
          <w:color w:val="000000"/>
          <w:kern w:val="0"/>
          <w:sz w:val="24"/>
          <w:szCs w:val="24"/>
        </w:rPr>
        <w:t>:00前有足够的资金头寸用于中国证券登记结算有限责任公司上海分公司和深圳分公司的资金结算。</w:t>
      </w:r>
    </w:p>
    <w:p w14:paraId="2C853B23" w14:textId="77777777" w:rsidR="00562298" w:rsidRDefault="004636A8">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中国证券登记结算有限责任公司上海分公司目前实行</w:t>
      </w:r>
      <w:r>
        <w:rPr>
          <w:rFonts w:ascii="宋体" w:hAnsi="宋体" w:cs="宋体"/>
          <w:color w:val="000000"/>
          <w:kern w:val="0"/>
          <w:sz w:val="24"/>
          <w:szCs w:val="24"/>
        </w:rPr>
        <w:t>T</w:t>
      </w:r>
      <w:r>
        <w:rPr>
          <w:rFonts w:ascii="宋体" w:hAnsi="宋体" w:cs="宋体" w:hint="eastAsia"/>
          <w:color w:val="000000"/>
          <w:kern w:val="0"/>
          <w:sz w:val="24"/>
          <w:szCs w:val="24"/>
        </w:rPr>
        <w:t>＋</w:t>
      </w:r>
      <w:r>
        <w:rPr>
          <w:rFonts w:ascii="宋体" w:hAnsi="宋体" w:cs="宋体"/>
          <w:color w:val="000000"/>
          <w:kern w:val="0"/>
          <w:sz w:val="24"/>
          <w:szCs w:val="24"/>
        </w:rPr>
        <w:t>0</w:t>
      </w:r>
      <w:r>
        <w:rPr>
          <w:rFonts w:ascii="宋体" w:hAnsi="宋体" w:cs="宋体" w:hint="eastAsia"/>
          <w:color w:val="000000"/>
          <w:kern w:val="0"/>
          <w:sz w:val="24"/>
          <w:szCs w:val="24"/>
        </w:rPr>
        <w:t>预交收制度，因此基金管理人须于</w:t>
      </w:r>
      <w:r>
        <w:rPr>
          <w:rFonts w:ascii="宋体" w:hAnsi="宋体" w:cs="宋体"/>
          <w:color w:val="000000"/>
          <w:kern w:val="0"/>
          <w:sz w:val="24"/>
          <w:szCs w:val="24"/>
        </w:rPr>
        <w:t>T</w:t>
      </w:r>
      <w:r>
        <w:rPr>
          <w:rFonts w:ascii="宋体" w:hAnsi="宋体" w:cs="宋体" w:hint="eastAsia"/>
          <w:color w:val="000000"/>
          <w:kern w:val="0"/>
          <w:sz w:val="24"/>
          <w:szCs w:val="24"/>
        </w:rPr>
        <w:t>日</w:t>
      </w:r>
      <w:r>
        <w:rPr>
          <w:rFonts w:ascii="宋体" w:hAnsi="宋体" w:cs="宋体"/>
          <w:color w:val="000000"/>
          <w:kern w:val="0"/>
          <w:sz w:val="24"/>
          <w:szCs w:val="24"/>
        </w:rPr>
        <w:t>15</w:t>
      </w:r>
      <w:r>
        <w:rPr>
          <w:rFonts w:ascii="宋体" w:hAnsi="宋体" w:cs="宋体" w:hint="eastAsia"/>
          <w:color w:val="000000"/>
          <w:kern w:val="0"/>
          <w:sz w:val="24"/>
          <w:szCs w:val="24"/>
        </w:rPr>
        <w:t>：</w:t>
      </w:r>
      <w:r>
        <w:rPr>
          <w:rFonts w:ascii="宋体" w:hAnsi="宋体" w:cs="宋体"/>
          <w:color w:val="000000"/>
          <w:kern w:val="0"/>
          <w:sz w:val="24"/>
          <w:szCs w:val="24"/>
        </w:rPr>
        <w:t>30</w:t>
      </w:r>
      <w:r>
        <w:rPr>
          <w:rFonts w:ascii="宋体" w:hAnsi="宋体" w:cs="宋体" w:hint="eastAsia"/>
          <w:color w:val="000000"/>
          <w:kern w:val="0"/>
          <w:sz w:val="24"/>
          <w:szCs w:val="24"/>
        </w:rPr>
        <w:t>之前备足当日上海市场交易担保</w:t>
      </w:r>
      <w:proofErr w:type="gramStart"/>
      <w:r>
        <w:rPr>
          <w:rFonts w:ascii="宋体" w:hAnsi="宋体" w:cs="宋体" w:hint="eastAsia"/>
          <w:color w:val="000000"/>
          <w:kern w:val="0"/>
          <w:sz w:val="24"/>
          <w:szCs w:val="24"/>
        </w:rPr>
        <w:t>交收需支付</w:t>
      </w:r>
      <w:proofErr w:type="gramEnd"/>
      <w:r>
        <w:rPr>
          <w:rFonts w:ascii="宋体" w:hAnsi="宋体" w:cs="宋体" w:hint="eastAsia"/>
          <w:color w:val="000000"/>
          <w:kern w:val="0"/>
          <w:sz w:val="24"/>
          <w:szCs w:val="24"/>
        </w:rPr>
        <w:t>的资金头寸，以便基金托管人履行</w:t>
      </w:r>
      <w:r>
        <w:rPr>
          <w:rFonts w:ascii="宋体" w:hAnsi="宋体" w:cs="宋体"/>
          <w:color w:val="000000"/>
          <w:kern w:val="0"/>
          <w:sz w:val="24"/>
          <w:szCs w:val="24"/>
        </w:rPr>
        <w:t>T</w:t>
      </w:r>
      <w:r>
        <w:rPr>
          <w:rFonts w:ascii="宋体" w:hAnsi="宋体" w:cs="宋体" w:hint="eastAsia"/>
          <w:color w:val="000000"/>
          <w:kern w:val="0"/>
          <w:sz w:val="24"/>
          <w:szCs w:val="24"/>
        </w:rPr>
        <w:t>＋</w:t>
      </w:r>
      <w:r>
        <w:rPr>
          <w:rFonts w:ascii="宋体" w:hAnsi="宋体" w:cs="宋体"/>
          <w:color w:val="000000"/>
          <w:kern w:val="0"/>
          <w:sz w:val="24"/>
          <w:szCs w:val="24"/>
        </w:rPr>
        <w:t>0</w:t>
      </w:r>
      <w:r>
        <w:rPr>
          <w:rFonts w:ascii="宋体" w:hAnsi="宋体" w:cs="宋体" w:hint="eastAsia"/>
          <w:color w:val="000000"/>
          <w:kern w:val="0"/>
          <w:sz w:val="24"/>
          <w:szCs w:val="24"/>
        </w:rPr>
        <w:t>预交收职责；若有大宗交易，基金管理人还需于</w:t>
      </w:r>
      <w:r>
        <w:rPr>
          <w:rFonts w:ascii="宋体" w:hAnsi="宋体" w:cs="宋体"/>
          <w:color w:val="000000"/>
          <w:kern w:val="0"/>
          <w:sz w:val="24"/>
          <w:szCs w:val="24"/>
        </w:rPr>
        <w:t>T</w:t>
      </w:r>
      <w:r>
        <w:rPr>
          <w:rFonts w:ascii="宋体" w:hAnsi="宋体" w:cs="宋体" w:hint="eastAsia"/>
          <w:color w:val="000000"/>
          <w:kern w:val="0"/>
          <w:sz w:val="24"/>
          <w:szCs w:val="24"/>
        </w:rPr>
        <w:t>日</w:t>
      </w:r>
      <w:r>
        <w:rPr>
          <w:rFonts w:ascii="宋体" w:hAnsi="宋体" w:cs="宋体"/>
          <w:color w:val="000000"/>
          <w:kern w:val="0"/>
          <w:sz w:val="24"/>
          <w:szCs w:val="24"/>
        </w:rPr>
        <w:t>15</w:t>
      </w:r>
      <w:r>
        <w:rPr>
          <w:rFonts w:ascii="宋体" w:hAnsi="宋体" w:cs="宋体" w:hint="eastAsia"/>
          <w:color w:val="000000"/>
          <w:kern w:val="0"/>
          <w:sz w:val="24"/>
          <w:szCs w:val="24"/>
        </w:rPr>
        <w:t>：</w:t>
      </w:r>
      <w:r>
        <w:rPr>
          <w:rFonts w:ascii="宋体" w:hAnsi="宋体" w:cs="宋体"/>
          <w:color w:val="000000"/>
          <w:kern w:val="0"/>
          <w:sz w:val="24"/>
          <w:szCs w:val="24"/>
        </w:rPr>
        <w:t>30</w:t>
      </w:r>
      <w:r>
        <w:rPr>
          <w:rFonts w:ascii="宋体" w:hAnsi="宋体" w:cs="宋体" w:hint="eastAsia"/>
          <w:color w:val="000000"/>
          <w:kern w:val="0"/>
          <w:sz w:val="24"/>
          <w:szCs w:val="24"/>
        </w:rPr>
        <w:t>之前通知基金托管人交易金额。若由于基金管理人的原因导致预交收失败，由此引起的后果由基金管理人承担。基金管理人应采取合理措施，确保在</w:t>
      </w:r>
      <w:r>
        <w:rPr>
          <w:rFonts w:ascii="宋体" w:hAnsi="宋体" w:cs="宋体"/>
          <w:color w:val="000000"/>
          <w:kern w:val="0"/>
          <w:sz w:val="24"/>
          <w:szCs w:val="24"/>
        </w:rPr>
        <w:t>T</w:t>
      </w:r>
      <w:r>
        <w:rPr>
          <w:rFonts w:ascii="宋体" w:hAnsi="宋体" w:cs="宋体" w:hint="eastAsia"/>
          <w:color w:val="000000"/>
          <w:kern w:val="0"/>
          <w:sz w:val="24"/>
          <w:szCs w:val="24"/>
        </w:rPr>
        <w:t>日日终有足够的资金头寸用于</w:t>
      </w:r>
      <w:r>
        <w:rPr>
          <w:rFonts w:ascii="宋体" w:hAnsi="宋体" w:cs="宋体"/>
          <w:color w:val="000000"/>
          <w:kern w:val="0"/>
          <w:sz w:val="24"/>
          <w:szCs w:val="24"/>
        </w:rPr>
        <w:t>T</w:t>
      </w: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日中国证券登记结算有限责任公司上海分公司和深圳分公司的资金结算。若由于基金管理人的原因导致基金托管人交收失败，由此引起的后果由基金管理人承担。若结算机构的交收规则发生变化，基金托管人和基金管理人应根据新的交收规则</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相应变动，基金管理人应配合基金托管人为完成交</w:t>
      </w:r>
      <w:proofErr w:type="gramStart"/>
      <w:r>
        <w:rPr>
          <w:rFonts w:ascii="宋体" w:hAnsi="宋体" w:cs="宋体" w:hint="eastAsia"/>
          <w:color w:val="000000"/>
          <w:kern w:val="0"/>
          <w:sz w:val="24"/>
          <w:szCs w:val="24"/>
        </w:rPr>
        <w:t>收提供</w:t>
      </w:r>
      <w:proofErr w:type="gramEnd"/>
      <w:r>
        <w:rPr>
          <w:rFonts w:ascii="宋体" w:hAnsi="宋体" w:cs="宋体" w:hint="eastAsia"/>
          <w:color w:val="000000"/>
          <w:kern w:val="0"/>
          <w:sz w:val="24"/>
          <w:szCs w:val="24"/>
        </w:rPr>
        <w:t>必要的帮助。</w:t>
      </w:r>
    </w:p>
    <w:p w14:paraId="0E3A7CEB" w14:textId="77777777" w:rsidR="00562298" w:rsidRDefault="004636A8">
      <w:pPr>
        <w:spacing w:line="360" w:lineRule="auto"/>
        <w:ind w:firstLine="480"/>
        <w:rPr>
          <w:rFonts w:ascii="宋体" w:hAnsi="宋体" w:cs="宋体"/>
          <w:color w:val="000000"/>
          <w:sz w:val="24"/>
          <w:szCs w:val="24"/>
        </w:rPr>
      </w:pPr>
      <w:r>
        <w:rPr>
          <w:rFonts w:ascii="宋体" w:hAnsi="宋体" w:cs="宋体" w:hint="eastAsia"/>
          <w:color w:val="000000"/>
          <w:sz w:val="24"/>
          <w:szCs w:val="24"/>
        </w:rPr>
        <w:t>非担保交收业务的交易告知。非担保交收业务是指中国结算上海分公司组织交易双方根据业务规则规定或双方约定的结算模式完成交收，中国结算不作为双方的共同对手方，不提供交收担保。为确保非担保交收业务的正常交收，投资管理人务必高度重视此类业务交易告知的重要性，即于发生国债买断式回购到期购回、大宗专场、专项资产管理计划转让以及部分发行类业务（股配债、老股东配售的增发、公司债场内分销）以及通过上交所固定收益证券综合电子平台达成的私募债券转让和通过深圳综合协议平台的公司债、私募债转让等非担保交收业务，管理人应于交易当日及时将该交易书面告知托管人并进行电话确认。其中通过上交</w:t>
      </w:r>
      <w:proofErr w:type="gramStart"/>
      <w:r>
        <w:rPr>
          <w:rFonts w:ascii="宋体" w:hAnsi="宋体" w:cs="宋体" w:hint="eastAsia"/>
          <w:color w:val="000000"/>
          <w:sz w:val="24"/>
          <w:szCs w:val="24"/>
        </w:rPr>
        <w:t>所固收平台</w:t>
      </w:r>
      <w:proofErr w:type="gramEnd"/>
      <w:r>
        <w:rPr>
          <w:rFonts w:ascii="宋体" w:hAnsi="宋体" w:cs="宋体" w:hint="eastAsia"/>
          <w:color w:val="000000"/>
          <w:sz w:val="24"/>
          <w:szCs w:val="24"/>
        </w:rPr>
        <w:t>达成的私募债转让交易告知截止时点为申报当日15：00；通过深圳综合协议平台达成的公司债、私募债转让交易告知时间为申报当日15:30；其余产品非担保交易告知截止时点为交易当日17:00。</w:t>
      </w:r>
    </w:p>
    <w:p w14:paraId="74D6F69F" w14:textId="77777777" w:rsidR="00562298" w:rsidRDefault="004636A8">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lastRenderedPageBreak/>
        <w:t>通过上交所固定收益证券综合电子平台达成的私募债券转让，中国证券登记结算公司上海分公司根据证券交易所发送的转让成交结果办理实时逐笔全额结算（RTGS）。RTGS的最终交收时点为T日的15:30分，为保证RTGS交易成功，管理人应于交易T日的15:00之前，将买入私募债券的指令传真至托管人。</w:t>
      </w:r>
    </w:p>
    <w:p w14:paraId="75C014E4" w14:textId="77777777" w:rsidR="00562298" w:rsidRDefault="004636A8">
      <w:pPr>
        <w:spacing w:line="360" w:lineRule="auto"/>
        <w:ind w:firstLineChars="200" w:firstLine="480"/>
        <w:rPr>
          <w:rFonts w:ascii="宋体" w:hAnsi="宋体" w:cs="宋体"/>
          <w:kern w:val="0"/>
          <w:sz w:val="24"/>
          <w:szCs w:val="24"/>
        </w:rPr>
      </w:pPr>
      <w:r>
        <w:rPr>
          <w:rFonts w:ascii="宋体" w:hAnsi="宋体" w:cs="宋体" w:hint="eastAsia"/>
          <w:color w:val="000000"/>
          <w:kern w:val="0"/>
          <w:sz w:val="24"/>
          <w:szCs w:val="24"/>
        </w:rPr>
        <w:t>通过深圳综合协议平台的公司债、私募债，结算方式为逐笔</w:t>
      </w:r>
      <w:proofErr w:type="gramStart"/>
      <w:r>
        <w:rPr>
          <w:rFonts w:ascii="宋体" w:hAnsi="宋体" w:cs="宋体" w:hint="eastAsia"/>
          <w:color w:val="000000"/>
          <w:kern w:val="0"/>
          <w:sz w:val="24"/>
          <w:szCs w:val="24"/>
        </w:rPr>
        <w:t>全额非</w:t>
      </w:r>
      <w:proofErr w:type="gramEnd"/>
      <w:r>
        <w:rPr>
          <w:rFonts w:ascii="宋体" w:hAnsi="宋体" w:cs="宋体" w:hint="eastAsia"/>
          <w:color w:val="000000"/>
          <w:kern w:val="0"/>
          <w:sz w:val="24"/>
          <w:szCs w:val="24"/>
        </w:rPr>
        <w:t>担保交收，最终交收时点为T日16:00，因此管理人应于T日15:30分之前向托管人</w:t>
      </w:r>
      <w:proofErr w:type="gramStart"/>
      <w:r>
        <w:rPr>
          <w:rFonts w:ascii="宋体" w:hAnsi="宋体" w:cs="宋体" w:hint="eastAsia"/>
          <w:color w:val="000000"/>
          <w:kern w:val="0"/>
          <w:sz w:val="24"/>
          <w:szCs w:val="24"/>
        </w:rPr>
        <w:t>发送非</w:t>
      </w:r>
      <w:proofErr w:type="gramEnd"/>
      <w:r>
        <w:rPr>
          <w:rFonts w:ascii="宋体" w:hAnsi="宋体" w:cs="宋体" w:hint="eastAsia"/>
          <w:color w:val="000000"/>
          <w:kern w:val="0"/>
          <w:sz w:val="24"/>
          <w:szCs w:val="24"/>
        </w:rPr>
        <w:t>担保交收债券的买入指令。</w:t>
      </w:r>
    </w:p>
    <w:p w14:paraId="64EE54A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基金管理人应保证基金托管人在执行基金管理人发送的划款指令时，基金托管专户或资金交收账户（</w:t>
      </w:r>
      <w:proofErr w:type="gramStart"/>
      <w:r>
        <w:rPr>
          <w:rFonts w:ascii="宋体" w:hAnsi="宋体" w:cs="宋体" w:hint="eastAsia"/>
          <w:color w:val="000000"/>
          <w:sz w:val="24"/>
          <w:szCs w:val="24"/>
        </w:rPr>
        <w:t>除登记公司收保或</w:t>
      </w:r>
      <w:proofErr w:type="gramEnd"/>
      <w:r>
        <w:rPr>
          <w:rFonts w:ascii="宋体" w:hAnsi="宋体" w:cs="宋体" w:hint="eastAsia"/>
          <w:color w:val="000000"/>
          <w:sz w:val="24"/>
          <w:szCs w:val="24"/>
        </w:rPr>
        <w:t>冻结资金外）上有充足的资金。基金的资金头寸不足时，基金托管人有权拒绝基金管理人发送的划款指令，但应及时通知基金管理人。基金管理人在发送划款指令时应充分考虑基金托管人的划款处理时间（该必需的时间不长于正常情况下基金托管人日常处理该指令所用的平均时间）。在基金资金头寸充足的情况下，基金托管人对基金管理人符合法律法规、基金合同、本协议的指令不得拖延或拒绝执行。</w:t>
      </w:r>
    </w:p>
    <w:p w14:paraId="2632852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若由于结算机构的交收规则发生变化，基金托管人和基金管理人应根据新的交收规则</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相应变动，基金管理人应配合基金托管人为完成交</w:t>
      </w:r>
      <w:proofErr w:type="gramStart"/>
      <w:r>
        <w:rPr>
          <w:rFonts w:ascii="宋体" w:hAnsi="宋体" w:cs="宋体" w:hint="eastAsia"/>
          <w:color w:val="000000"/>
          <w:sz w:val="24"/>
          <w:szCs w:val="24"/>
        </w:rPr>
        <w:t>收提供</w:t>
      </w:r>
      <w:proofErr w:type="gramEnd"/>
      <w:r>
        <w:rPr>
          <w:rFonts w:ascii="宋体" w:hAnsi="宋体" w:cs="宋体" w:hint="eastAsia"/>
          <w:color w:val="000000"/>
          <w:sz w:val="24"/>
          <w:szCs w:val="24"/>
        </w:rPr>
        <w:t>必要的帮助。</w:t>
      </w:r>
    </w:p>
    <w:p w14:paraId="7B2BE88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2．交易记录、资金和证券账目核对的时间和方式</w:t>
      </w:r>
    </w:p>
    <w:p w14:paraId="5E83C94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（1）交易记录的核对</w:t>
      </w:r>
    </w:p>
    <w:p w14:paraId="00CD5AA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与基金托管人按日进行交易记录的核对。对外披露净值之前，基金管理人必须保证当天所有实际交易记录与基金会计账簿上的交易记录完全一致。如果实际交易记录与会计账簿记录不一致，造成基金会计核算不完整或不真实，由此导致的损失由责任方承担。</w:t>
      </w:r>
    </w:p>
    <w:p w14:paraId="611A579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（2）资金账目的核对</w:t>
      </w:r>
    </w:p>
    <w:p w14:paraId="4A9ED67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资金账目按日核实。</w:t>
      </w:r>
    </w:p>
    <w:p w14:paraId="4A9617F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（3）证券账目的核对</w:t>
      </w:r>
    </w:p>
    <w:p w14:paraId="7B21B01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基金管理人和基金托管人每交易日结束后核对基金证券账目，确保双方账目相符。基金管理人和基金托管人每月月末核对实物证券账目。</w:t>
      </w:r>
    </w:p>
    <w:p w14:paraId="566E963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（三）基金申购和赎回业务处理的基本规定</w:t>
      </w:r>
    </w:p>
    <w:p w14:paraId="6B8586A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1．基金份额申购、赎回的确认、清算由基金管理人或其委托的登记机构负责。</w:t>
      </w:r>
    </w:p>
    <w:p w14:paraId="7C8CC51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F71AAD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3．基金管理人应保证本基金的登记机构在工作日15:00前向基金托管人发送前一开放</w:t>
      </w:r>
      <w:proofErr w:type="gramStart"/>
      <w:r>
        <w:rPr>
          <w:rFonts w:ascii="宋体" w:hAnsi="宋体" w:cs="宋体" w:hint="eastAsia"/>
          <w:color w:val="000000"/>
          <w:sz w:val="24"/>
          <w:szCs w:val="24"/>
        </w:rPr>
        <w:t>日上述</w:t>
      </w:r>
      <w:proofErr w:type="gramEnd"/>
      <w:r>
        <w:rPr>
          <w:rFonts w:ascii="宋体" w:hAnsi="宋体" w:cs="宋体" w:hint="eastAsia"/>
          <w:color w:val="000000"/>
          <w:sz w:val="24"/>
          <w:szCs w:val="24"/>
        </w:rPr>
        <w:t>有关数据，并保证相关数据的准确、完整。</w:t>
      </w:r>
    </w:p>
    <w:p w14:paraId="06B3EFD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管理人或其委托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14:paraId="40040C7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5．关于清算专用账户的设立和管理</w:t>
      </w:r>
    </w:p>
    <w:p w14:paraId="765F7F3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为满足申购、赎回及分红资金汇划的需要，由基金管理人开立资金清算的专用账户，该账户由登记机构管理。</w:t>
      </w:r>
    </w:p>
    <w:p w14:paraId="489FFAC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在合理范围内予以必要的协助与配合。</w:t>
      </w:r>
    </w:p>
    <w:p w14:paraId="3C63AA8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7．赎回和分红资金划拨规定</w:t>
      </w:r>
    </w:p>
    <w:p w14:paraId="56921D3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拨付</w:t>
      </w:r>
      <w:proofErr w:type="gramStart"/>
      <w:r>
        <w:rPr>
          <w:rFonts w:ascii="宋体" w:hAnsi="宋体" w:cs="宋体" w:hint="eastAsia"/>
          <w:color w:val="000000"/>
          <w:sz w:val="24"/>
          <w:szCs w:val="24"/>
        </w:rPr>
        <w:t>赎回款</w:t>
      </w:r>
      <w:proofErr w:type="gramEnd"/>
      <w:r>
        <w:rPr>
          <w:rFonts w:ascii="宋体" w:hAnsi="宋体" w:cs="宋体" w:hint="eastAsia"/>
          <w:color w:val="000000"/>
          <w:sz w:val="24"/>
          <w:szCs w:val="24"/>
        </w:rPr>
        <w:t>或进行基金分红时，如基金资金账户有足够的资金，基金托管人应按时拨付；因基金资金账户没有足够的资金，导致基金托管人不能按时拨付，基金托管人不承担垫款义务。</w:t>
      </w:r>
    </w:p>
    <w:p w14:paraId="3E78945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8．资金指令</w:t>
      </w:r>
    </w:p>
    <w:p w14:paraId="32DF85A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除申购款项到达基金资金账户需双方按约定方式对账外，回购到期付款和与投资有关的付款、赎回和分红资金划拨时，基金管理人需向基金托管人下达指令。</w:t>
      </w:r>
    </w:p>
    <w:p w14:paraId="44172C6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资金指令的格式、内容、发送、接收和确认方式等与投资指令相同。</w:t>
      </w:r>
    </w:p>
    <w:p w14:paraId="480FA2B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（四）开放式基金申购、赎回和基金转换的资金清算</w:t>
      </w:r>
    </w:p>
    <w:p w14:paraId="1AE1456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基金托管账户与基金管理人开立的“基金清算账户”间的资金结算遵循“全额清算、净额交收”的原则，每个开放</w:t>
      </w:r>
      <w:proofErr w:type="gramStart"/>
      <w:r>
        <w:rPr>
          <w:rFonts w:ascii="宋体" w:hAnsi="宋体" w:cs="宋体" w:hint="eastAsia"/>
          <w:color w:val="000000"/>
          <w:sz w:val="24"/>
          <w:szCs w:val="24"/>
        </w:rPr>
        <w:t>日按照</w:t>
      </w:r>
      <w:proofErr w:type="gramEnd"/>
      <w:r>
        <w:rPr>
          <w:rFonts w:ascii="宋体" w:hAnsi="宋体" w:cs="宋体" w:hint="eastAsia"/>
          <w:color w:val="000000"/>
          <w:sz w:val="24"/>
          <w:szCs w:val="24"/>
        </w:rPr>
        <w:t>托管账户应收资金与应付资金的差额来确定托管账户净应收额或净应付额，以此确定资金交收额。当存在托管账户净应收额时，基金管理人应在</w:t>
      </w:r>
      <w:proofErr w:type="gramStart"/>
      <w:r>
        <w:rPr>
          <w:rFonts w:ascii="宋体" w:hAnsi="宋体" w:cs="宋体" w:hint="eastAsia"/>
          <w:color w:val="000000"/>
          <w:sz w:val="24"/>
          <w:szCs w:val="24"/>
        </w:rPr>
        <w:t>交收日</w:t>
      </w:r>
      <w:proofErr w:type="gramEnd"/>
      <w:r>
        <w:rPr>
          <w:rFonts w:ascii="宋体" w:hAnsi="宋体" w:cs="宋体" w:hint="eastAsia"/>
          <w:color w:val="000000"/>
          <w:sz w:val="24"/>
          <w:szCs w:val="24"/>
        </w:rPr>
        <w:t>15:00之前从基金清算账户划到基金托管账户，基金托管人在资金到账后应立即通知基金管理人，并将有关书面凭证传真给基金管理人进行账务管理；当存在托管账户净应付额时，基金管理人应提前一个工作日将划款指令发送给基金托管人，基金托管人按基金管理人的划款指令将托管账户净应付额在</w:t>
      </w:r>
      <w:proofErr w:type="gramStart"/>
      <w:r>
        <w:rPr>
          <w:rFonts w:ascii="宋体" w:hAnsi="宋体" w:cs="宋体" w:hint="eastAsia"/>
          <w:color w:val="000000"/>
          <w:sz w:val="24"/>
          <w:szCs w:val="24"/>
        </w:rPr>
        <w:t>交收日</w:t>
      </w:r>
      <w:proofErr w:type="gramEnd"/>
      <w:r>
        <w:rPr>
          <w:rFonts w:ascii="宋体" w:hAnsi="宋体" w:cs="宋体" w:hint="eastAsia"/>
          <w:color w:val="000000"/>
          <w:sz w:val="24"/>
          <w:szCs w:val="24"/>
        </w:rPr>
        <w:t>12:00之前</w:t>
      </w:r>
      <w:proofErr w:type="gramStart"/>
      <w:r>
        <w:rPr>
          <w:rFonts w:ascii="宋体" w:hAnsi="宋体" w:cs="宋体" w:hint="eastAsia"/>
          <w:color w:val="000000"/>
          <w:sz w:val="24"/>
          <w:szCs w:val="24"/>
        </w:rPr>
        <w:t>划往基金</w:t>
      </w:r>
      <w:proofErr w:type="gramEnd"/>
      <w:r>
        <w:rPr>
          <w:rFonts w:ascii="宋体" w:hAnsi="宋体" w:cs="宋体" w:hint="eastAsia"/>
          <w:color w:val="000000"/>
          <w:sz w:val="24"/>
          <w:szCs w:val="24"/>
        </w:rPr>
        <w:t>清算账户，基金托管人在资金划出后立即通知基金管理人，并将有关书面凭证交给基金管理人进行账务管理。</w:t>
      </w:r>
    </w:p>
    <w:p w14:paraId="4F2F755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当存在托管账户净应付额时，如基金托管专户有足够的资金，基金托管人应按时拨付；因基金托管专户没有足够的资金，导致基金托管人不能按时拨付，基金托管人应及时通知基金管理人，基金托管人不承担垫款义务。</w:t>
      </w:r>
    </w:p>
    <w:p w14:paraId="6AB5D2B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（五）基金转换</w:t>
      </w:r>
    </w:p>
    <w:p w14:paraId="5C627CB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1．在本基金与基金管理人管理的其它基金开展转换业务之前，基金管理人应函告基金托管人并就相关事宜进行协商。</w:t>
      </w:r>
    </w:p>
    <w:p w14:paraId="4957737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2．基金托管人将根据基金管理人传送的基金转换数据进行账务处理，</w:t>
      </w:r>
      <w:proofErr w:type="gramStart"/>
      <w:r>
        <w:rPr>
          <w:rFonts w:ascii="宋体" w:hAnsi="宋体" w:cs="宋体" w:hint="eastAsia"/>
          <w:color w:val="000000"/>
          <w:sz w:val="24"/>
          <w:szCs w:val="24"/>
        </w:rPr>
        <w:t>具体资金</w:t>
      </w:r>
      <w:proofErr w:type="gramEnd"/>
      <w:r>
        <w:rPr>
          <w:rFonts w:ascii="宋体" w:hAnsi="宋体" w:cs="宋体" w:hint="eastAsia"/>
          <w:color w:val="000000"/>
          <w:sz w:val="24"/>
          <w:szCs w:val="24"/>
        </w:rPr>
        <w:t>清算和数据传递的时间、程序及托管协议当事人承担的权责按基金管理人届时的公告执行。</w:t>
      </w:r>
    </w:p>
    <w:p w14:paraId="3AF46C4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3．本基金开展基金转换业务应按相关法律法规规定及基金合同的约定进行公告。</w:t>
      </w:r>
    </w:p>
    <w:p w14:paraId="4DEB8CE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（六）基金现金分红</w:t>
      </w:r>
    </w:p>
    <w:p w14:paraId="608A60D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1．基金管理人确定分红方案通知基金托管人，双方核定后，</w:t>
      </w:r>
      <w:r>
        <w:rPr>
          <w:rFonts w:ascii="宋体" w:hAnsi="宋体"/>
          <w:sz w:val="24"/>
          <w:szCs w:val="24"/>
        </w:rPr>
        <w:t>基金管理人</w:t>
      </w:r>
      <w:r>
        <w:rPr>
          <w:rFonts w:ascii="宋体" w:hAnsi="宋体" w:cs="宋体" w:hint="eastAsia"/>
          <w:color w:val="000000"/>
          <w:sz w:val="24"/>
          <w:szCs w:val="24"/>
        </w:rPr>
        <w:t>依照《信息披露办法》的有关规定在中国证监会规定媒介上公告。</w:t>
      </w:r>
    </w:p>
    <w:p w14:paraId="37B15AB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2．基金托管人和基金管理人对基金分红进行账务处理并核对后，基金管理人向基金托管人发送现金红利的划款指令，基金托管人应在</w:t>
      </w:r>
      <w:proofErr w:type="gramStart"/>
      <w:r>
        <w:rPr>
          <w:rFonts w:ascii="宋体" w:hAnsi="宋体" w:cs="宋体" w:hint="eastAsia"/>
          <w:color w:val="000000"/>
          <w:sz w:val="24"/>
          <w:szCs w:val="24"/>
        </w:rPr>
        <w:t>交收日</w:t>
      </w:r>
      <w:proofErr w:type="gramEnd"/>
      <w:r>
        <w:rPr>
          <w:rFonts w:ascii="宋体" w:hAnsi="宋体" w:cs="宋体" w:hint="eastAsia"/>
          <w:color w:val="000000"/>
          <w:sz w:val="24"/>
          <w:szCs w:val="24"/>
        </w:rPr>
        <w:t>12:00之前将资金划入专用账户。</w:t>
      </w:r>
    </w:p>
    <w:p w14:paraId="29F2E791" w14:textId="77777777" w:rsidR="00562298" w:rsidRDefault="004636A8">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t>3．基金管理人在下达指令时，应给基金托管人留出必需的划款时间。</w:t>
      </w:r>
    </w:p>
    <w:p w14:paraId="66AA7685" w14:textId="77777777" w:rsidR="00562298" w:rsidRDefault="00562298">
      <w:pPr>
        <w:spacing w:line="360" w:lineRule="auto"/>
        <w:ind w:firstLineChars="200" w:firstLine="480"/>
        <w:rPr>
          <w:rFonts w:ascii="仿宋" w:eastAsia="仿宋" w:hAnsi="仿宋"/>
          <w:color w:val="000000"/>
          <w:sz w:val="24"/>
          <w:szCs w:val="24"/>
        </w:rPr>
      </w:pPr>
    </w:p>
    <w:p w14:paraId="3491CC25"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1" w:name="_Toc264617148"/>
      <w:r>
        <w:rPr>
          <w:rFonts w:ascii="宋体" w:hAnsi="宋体" w:hint="eastAsia"/>
          <w:bCs w:val="0"/>
          <w:color w:val="000000"/>
          <w:sz w:val="30"/>
          <w:szCs w:val="30"/>
        </w:rPr>
        <w:lastRenderedPageBreak/>
        <w:t>八、基金资产净值计算和会计核算</w:t>
      </w:r>
      <w:bookmarkEnd w:id="11"/>
    </w:p>
    <w:p w14:paraId="58517CA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（一）基金资产净值的计算、复核与完成的时间及程序</w:t>
      </w:r>
    </w:p>
    <w:p w14:paraId="492740D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1．基金资产净值</w:t>
      </w:r>
    </w:p>
    <w:p w14:paraId="01EF9130" w14:textId="77777777" w:rsidR="00562298" w:rsidRDefault="004636A8">
      <w:pPr>
        <w:widowControl/>
        <w:adjustRightInd w:val="0"/>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rPr>
        <w:t>基金资产净值是指基金资产总值减去负债后的价值。各类基金份额净值是指计算日该类基金资产净值除以计算日该类基金份额总数后的数值。</w:t>
      </w:r>
    </w:p>
    <w:p w14:paraId="5EA1956F" w14:textId="77777777" w:rsidR="00562298" w:rsidRDefault="004636A8">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14:paraId="19ED6778" w14:textId="10BF9797" w:rsidR="00562298" w:rsidRDefault="004636A8">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基金管理人于每个工作日分别计算A类基金份额、C类基金份额的基金资产净值及基金份额净值，并按规定公告。如遇特殊情况，经履行适当程序，可以适当延迟计算或公告。</w:t>
      </w:r>
    </w:p>
    <w:p w14:paraId="43A7171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2．复核程序</w:t>
      </w:r>
    </w:p>
    <w:p w14:paraId="7C2CFB61" w14:textId="77777777" w:rsidR="00562298" w:rsidRDefault="004636A8">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w:t>
      </w:r>
      <w:proofErr w:type="gramStart"/>
      <w:r>
        <w:rPr>
          <w:rFonts w:ascii="宋体" w:hAnsi="宋体" w:cs="宋体" w:hint="eastAsia"/>
          <w:color w:val="000000"/>
          <w:kern w:val="0"/>
          <w:sz w:val="24"/>
        </w:rPr>
        <w:t>应每个</w:t>
      </w:r>
      <w:proofErr w:type="gramEnd"/>
      <w:r>
        <w:rPr>
          <w:rFonts w:ascii="宋体" w:hAnsi="宋体" w:cs="宋体" w:hint="eastAsia"/>
          <w:color w:val="000000"/>
          <w:kern w:val="0"/>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4B4C36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w:t>
      </w:r>
      <w:r>
        <w:rPr>
          <w:rFonts w:ascii="宋体" w:hAnsi="宋体" w:cs="宋体" w:hint="eastAsia"/>
          <w:bCs/>
          <w:color w:val="000000"/>
          <w:sz w:val="24"/>
          <w:szCs w:val="24"/>
        </w:rPr>
        <w:t>净值信息</w:t>
      </w:r>
      <w:r>
        <w:rPr>
          <w:rFonts w:ascii="宋体" w:hAnsi="宋体" w:cs="宋体" w:hint="eastAsia"/>
          <w:color w:val="000000"/>
          <w:sz w:val="24"/>
          <w:szCs w:val="24"/>
        </w:rPr>
        <w:t>的计算结果对外予以公布。</w:t>
      </w:r>
    </w:p>
    <w:p w14:paraId="05B845E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（二）基金资产估值方法和特殊情形的处理</w:t>
      </w:r>
    </w:p>
    <w:p w14:paraId="095F0E8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1．估值对象</w:t>
      </w:r>
    </w:p>
    <w:p w14:paraId="1EBC454E" w14:textId="194B299B" w:rsidR="00562298" w:rsidRDefault="004636A8">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基金所拥有的证券投资基金份额、股票、债券、资产支持证券和其他投资等持续以公允价值计量的金融资产及负债。</w:t>
      </w:r>
    </w:p>
    <w:p w14:paraId="37BB7E0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2．估值方法</w:t>
      </w:r>
    </w:p>
    <w:p w14:paraId="2EDEB15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（1）证券投资基金的估值</w:t>
      </w:r>
    </w:p>
    <w:p w14:paraId="3045B4B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1）本基金投资于非上市的非货币市场基金，按所投资基金估值日的份额净值进行估值；</w:t>
      </w:r>
    </w:p>
    <w:p w14:paraId="7D338C9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2）本基金投资于非上市的货币市场基金，按所投资基金前一估值日后至估值日期间（含节假日）的万份收益计提估值日基金收益；如所投资基金披露份额净值，则按所投资基金估值日的份额净值估值；</w:t>
      </w:r>
    </w:p>
    <w:p w14:paraId="3DA5D6E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3）本基金投资的ETF基金，按所投资ETF基金估值日的收盘价进行估值；</w:t>
      </w:r>
    </w:p>
    <w:p w14:paraId="1E31FF3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4）本基金投资的上市开放式基金（LOF），按所投资基金估值日的份额净值估值；</w:t>
      </w:r>
    </w:p>
    <w:p w14:paraId="7F18834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5）本基金投资的上市定期开放式基金、封闭式基金，按所投资基金估值日的收盘价估值；</w:t>
      </w:r>
    </w:p>
    <w:p w14:paraId="6A71DBC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2D09C4D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w:t>
      </w:r>
      <w:proofErr w:type="gramStart"/>
      <w:r>
        <w:rPr>
          <w:rFonts w:ascii="宋体" w:hAnsi="宋体" w:cs="宋体" w:hint="eastAsia"/>
          <w:color w:val="000000"/>
          <w:sz w:val="24"/>
          <w:szCs w:val="24"/>
        </w:rPr>
        <w:t>如遇所投资</w:t>
      </w:r>
      <w:proofErr w:type="gramEnd"/>
      <w:r>
        <w:rPr>
          <w:rFonts w:ascii="宋体" w:hAnsi="宋体" w:cs="宋体" w:hint="eastAsia"/>
          <w:color w:val="000000"/>
          <w:sz w:val="24"/>
          <w:szCs w:val="24"/>
        </w:rPr>
        <w:t>基金不公布基金份额净值、进行折算或拆分、估值日无交易等特殊情况，基金管理人根据以下原则进行估值：</w:t>
      </w:r>
    </w:p>
    <w:p w14:paraId="6AD1AB5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以所投资基金的基金份额净值估值的，若所投资基金与本基金估值频率一致但未公布估值日基金份额净值，以其最近公布的基金份额净值估值；</w:t>
      </w:r>
    </w:p>
    <w:p w14:paraId="08A6579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707BC80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57B56B8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8）当基金管理人认为所投资基金按上述第（1）至第（7）条进行估值存在</w:t>
      </w:r>
      <w:proofErr w:type="gramStart"/>
      <w:r>
        <w:rPr>
          <w:rFonts w:ascii="宋体" w:hAnsi="宋体" w:cs="宋体" w:hint="eastAsia"/>
          <w:color w:val="000000"/>
          <w:sz w:val="24"/>
          <w:szCs w:val="24"/>
        </w:rPr>
        <w:t>不</w:t>
      </w:r>
      <w:proofErr w:type="gramEnd"/>
      <w:r>
        <w:rPr>
          <w:rFonts w:ascii="宋体" w:hAnsi="宋体" w:cs="宋体" w:hint="eastAsia"/>
          <w:color w:val="000000"/>
          <w:sz w:val="24"/>
          <w:szCs w:val="24"/>
        </w:rPr>
        <w:t>公允时，应与基金托管人协商一致采用合理的估值技术或估值标准确定其公允价值。</w:t>
      </w:r>
    </w:p>
    <w:p w14:paraId="65EB738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（2）证券交易所上市的有价证券的估值</w:t>
      </w:r>
    </w:p>
    <w:p w14:paraId="14BD1A6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1）交易所上市的有价证券（包括股票等），以其估值日在证券交易所挂牌的市价（收盘价）估值；估值日无交易的，且最近交易日后经济环境未发生重大变</w:t>
      </w:r>
      <w:r>
        <w:rPr>
          <w:rFonts w:ascii="宋体" w:hAnsi="宋体" w:cs="宋体" w:hint="eastAsia"/>
          <w:color w:val="000000"/>
          <w:sz w:val="24"/>
          <w:szCs w:val="24"/>
        </w:rPr>
        <w:lastRenderedPageBreak/>
        <w:t>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5AAB90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2）交易所上市交易或挂牌转让的固定收益品种（另有规定的除外），选取估值日第三方估值机构提供的相应品种当日的估值净价进行估值；</w:t>
      </w:r>
    </w:p>
    <w:p w14:paraId="7188688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191EE4F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4）交易所上市实行全价交易的债券（可转债除外），选取第三方估值机构提供的估值全价减去估值全价中所含的债券（税后）应收利息得到的净价进行估值；</w:t>
      </w:r>
    </w:p>
    <w:p w14:paraId="51430DE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5）交易所上市不存在活跃市场的有价证券，采用估值技术确定公允价值。交易所市场挂牌转让的资产支持证券，采用估值技术确定公允价值；</w:t>
      </w:r>
    </w:p>
    <w:p w14:paraId="1478606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9165BC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（3）处于未上市期间的有价证券应区分如下情况处理：</w:t>
      </w:r>
    </w:p>
    <w:p w14:paraId="19CCBD4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1）送股、转增股、配股和公开增发的新股，按估值日在证券交易所挂牌的同一股票的估值方法估值；该日无交易的，以最近一日的市价（收盘价）估值；</w:t>
      </w:r>
    </w:p>
    <w:p w14:paraId="5E857B7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2）首次公开发行未上市的股票和债券，采用估值技术确定公允价值，在估值技术难以可靠计量公允价值的情况下，按成本估值；</w:t>
      </w:r>
    </w:p>
    <w:p w14:paraId="41DF8DE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cs="宋体" w:hint="eastAsia"/>
          <w:color w:val="000000"/>
          <w:sz w:val="24"/>
          <w:szCs w:val="24"/>
        </w:rPr>
        <w:t>券</w:t>
      </w:r>
      <w:proofErr w:type="gramEnd"/>
      <w:r>
        <w:rPr>
          <w:rFonts w:ascii="宋体" w:hAnsi="宋体" w:cs="宋体" w:hint="eastAsia"/>
          <w:color w:val="000000"/>
          <w:sz w:val="24"/>
          <w:szCs w:val="24"/>
        </w:rPr>
        <w:t>等流通受限股票，按监</w:t>
      </w:r>
      <w:r>
        <w:rPr>
          <w:rFonts w:ascii="宋体" w:hAnsi="宋体" w:cs="宋体" w:hint="eastAsia"/>
          <w:color w:val="000000"/>
          <w:sz w:val="24"/>
          <w:szCs w:val="24"/>
        </w:rPr>
        <w:lastRenderedPageBreak/>
        <w:t>管机构或行业协会有关规定确定公允价值。</w:t>
      </w:r>
    </w:p>
    <w:p w14:paraId="3853BDC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FA4FDA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（5）如有确凿证据表明按上述方法进行估值不能客观反映其公允价值的，基金管理人可根据具体情况与基金托管人商定后，按最能反映公允价值的价格估值。</w:t>
      </w:r>
    </w:p>
    <w:p w14:paraId="77A3882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（6）估值计算中涉及港币对人民币汇率的，将依据下列信息提供机构所提供的汇率为基准：当日中国人民银行公布的人民币与港币的中间价。</w:t>
      </w:r>
    </w:p>
    <w:p w14:paraId="57ABC2B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（7）当发生大额申购或赎回情形时，基金管理人可以采用摆动定价机制，以确保基金估值的公平性。</w:t>
      </w:r>
    </w:p>
    <w:p w14:paraId="735AED3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（8）本基金投资存托凭证的估值核算依照境内上市交易的股票执行。</w:t>
      </w:r>
    </w:p>
    <w:p w14:paraId="701D5EF7" w14:textId="530E39E1"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（9）相关法律法规以及监管部门有强制规定的，从其规定。如有新增事项，按国家最新规定估值。</w:t>
      </w:r>
    </w:p>
    <w:p w14:paraId="61047675" w14:textId="17C1420D"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3414D4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3．特殊情形的处理</w:t>
      </w:r>
    </w:p>
    <w:p w14:paraId="7B3F8B4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（1）基金管理人或基金托管人按估值方法的第（5）项进行估值时，所造成的误差不作为基金资产估值错误处理。</w:t>
      </w:r>
    </w:p>
    <w:p w14:paraId="4FCE990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（2）对于因税收规定调整或其他原因导致基金实际交纳税金与基金按照权责发生制进行估值的应交税金有差异的，相关估值调整不作为基金资产估值错误处理。</w:t>
      </w:r>
    </w:p>
    <w:p w14:paraId="43D2877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（3）由于不可抗力原因，或由于证券交易所、证券经纪机构、登记结算公司及存款银行等第三方机构发送的数据错误，或国家会计政策变更、市场规则变</w:t>
      </w:r>
      <w:r>
        <w:rPr>
          <w:rFonts w:ascii="宋体" w:hAnsi="宋体" w:cs="宋体" w:hint="eastAsia"/>
          <w:color w:val="000000"/>
          <w:sz w:val="24"/>
          <w:szCs w:val="24"/>
        </w:rPr>
        <w:lastRenderedPageBreak/>
        <w:t>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4082A1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（三）基金份额净值错误的处理方式</w:t>
      </w:r>
    </w:p>
    <w:p w14:paraId="384375EB"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基金管理人和基金托管人将采取必要、适当、合理的措施确保基金资产估值的准确性、及时性。当基金份额净值小数点后4位以内(含第4位)发生估值错误时，视为基金份额净值错误。</w:t>
      </w:r>
    </w:p>
    <w:p w14:paraId="0F0F8FBE"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基金合同的当事人应按照以下约定处理：</w:t>
      </w:r>
    </w:p>
    <w:p w14:paraId="630A178E"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1、估值错误类型</w:t>
      </w:r>
    </w:p>
    <w:p w14:paraId="153690E2"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960EFF6"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上述估值错误的主要类型包括但不限于：资料申报差错、数据传输差错、数据计算差错、系统故障差错、下达指令差错等。</w:t>
      </w:r>
    </w:p>
    <w:p w14:paraId="46E2A39B"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对于因技术原因引起的差错，若系同行业现有技术水平无法预见、无法避免、无法抗拒，则属不可抗力，按照下述规定执行。</w:t>
      </w:r>
    </w:p>
    <w:p w14:paraId="7FAB5915"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B856A6B"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2、估值错误处理原则</w:t>
      </w:r>
    </w:p>
    <w:p w14:paraId="78508B5F"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4FFA922"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lastRenderedPageBreak/>
        <w:t>（2）估值错误的责任方对有关当事人的直接损失负责，不对间接损失负责，并且仅对估值错误的有关直接当事人负责，不对第三方负责。</w:t>
      </w:r>
    </w:p>
    <w:p w14:paraId="1F084D4D"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（3）因估值错误而获得不当得利的当事人负有及时返还不当得利的义务。但估值错误责任方仍应对估值错误负责。如果由于获得不当得利的当事人</w:t>
      </w:r>
      <w:proofErr w:type="gramStart"/>
      <w:r>
        <w:rPr>
          <w:rFonts w:ascii="宋体" w:hAnsi="宋体" w:cs="宋体" w:hint="eastAsia"/>
          <w:bCs/>
          <w:color w:val="000000"/>
          <w:sz w:val="24"/>
          <w:szCs w:val="24"/>
        </w:rPr>
        <w:t>不</w:t>
      </w:r>
      <w:proofErr w:type="gramEnd"/>
      <w:r>
        <w:rPr>
          <w:rFonts w:ascii="宋体" w:hAnsi="宋体" w:cs="宋体" w:hint="eastAsia"/>
          <w:bCs/>
          <w:color w:val="000000"/>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C8A558C"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（4）估值错误调整采用尽量恢复至假设未发生估值错误的正确情形的方式。</w:t>
      </w:r>
    </w:p>
    <w:p w14:paraId="020095C8"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（5）按法律法规规定的其他原则处理估值错误。</w:t>
      </w:r>
    </w:p>
    <w:p w14:paraId="6B7EDCCA"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3、估值错误处理程序</w:t>
      </w:r>
    </w:p>
    <w:p w14:paraId="7CE927FE"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估值错误被发现后，有关的当事人应当及时进行处理，处理的程序如下：</w:t>
      </w:r>
    </w:p>
    <w:p w14:paraId="17B040B9"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（1）查明估值错误发生的原因，列明所有的当事人，并根据估值错误发生的原因确定估值错误的责任方；</w:t>
      </w:r>
    </w:p>
    <w:p w14:paraId="5FAFC003"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（2）根据估值错误处理原则或当事人协商的方法对因估值错误造成的损失进行评估；</w:t>
      </w:r>
    </w:p>
    <w:p w14:paraId="746625E1"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（3）根据估值错误处理原则或当事人协商的方法由估值错误的责任方进行更正和赔偿损失；</w:t>
      </w:r>
    </w:p>
    <w:p w14:paraId="0DC80D12"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（4）根据估值错误处理的方法，需要修改基金登记机构交易数据的，由基金登记机构进行更正，并就估值错误的更正向有关当事人进行确认。</w:t>
      </w:r>
    </w:p>
    <w:p w14:paraId="4EAA2768"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4、基金份额净值估值错误处理的方法如下：</w:t>
      </w:r>
    </w:p>
    <w:p w14:paraId="70B69FA3"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（1）基金份额净值计算出现错误时，基金管理人应当立即予以纠正，通报基金托管人，并采取合理的措施防止损失进一步扩大；</w:t>
      </w:r>
    </w:p>
    <w:p w14:paraId="29172EC5" w14:textId="77777777"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（2）错误偏差达到该类基金份额净值的0.25%时，基金管理人应当通报基金托管人并报中国证监会备案；错误偏差达到该类基金份额净值的0.5%时，基金管理人应当公告</w:t>
      </w:r>
      <w:r>
        <w:rPr>
          <w:rFonts w:ascii="宋体" w:hAnsi="宋体" w:cs="宋体"/>
          <w:bCs/>
          <w:color w:val="000000"/>
          <w:sz w:val="24"/>
          <w:szCs w:val="24"/>
        </w:rPr>
        <w:t>，并报中国证监会备案</w:t>
      </w:r>
      <w:r>
        <w:rPr>
          <w:rFonts w:ascii="宋体" w:hAnsi="宋体" w:cs="宋体" w:hint="eastAsia"/>
          <w:bCs/>
          <w:color w:val="000000"/>
          <w:sz w:val="24"/>
          <w:szCs w:val="24"/>
        </w:rPr>
        <w:t>；</w:t>
      </w:r>
    </w:p>
    <w:p w14:paraId="796A0D76" w14:textId="6D0BCBD1" w:rsidR="00562298" w:rsidRDefault="004636A8">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（3）前述内容如法律法规或者监管部门另有规定的，从其规定。</w:t>
      </w:r>
    </w:p>
    <w:p w14:paraId="7493562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（四）暂停估值的情形</w:t>
      </w:r>
    </w:p>
    <w:p w14:paraId="535D4B1E" w14:textId="7896F135"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1、基金投资所涉及的证券交易市场遇法定节假日或因其他原因暂停营业时；</w:t>
      </w:r>
    </w:p>
    <w:p w14:paraId="3D17B137"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2、因不可抗力致使基金管理人、基金托管人无法准确评估基金资产价值时；</w:t>
      </w:r>
    </w:p>
    <w:p w14:paraId="50F6535C" w14:textId="77777777" w:rsidR="00562298" w:rsidRPr="00B8348B" w:rsidRDefault="004636A8">
      <w:pPr>
        <w:spacing w:line="360" w:lineRule="auto"/>
        <w:ind w:firstLineChars="200" w:firstLine="480"/>
        <w:rPr>
          <w:rFonts w:ascii="宋体" w:hAnsi="宋体" w:cs="宋体"/>
          <w:bCs/>
          <w:color w:val="000000"/>
          <w:sz w:val="24"/>
        </w:rPr>
      </w:pPr>
      <w:r w:rsidRPr="00B8348B">
        <w:rPr>
          <w:rFonts w:ascii="宋体" w:hAnsi="宋体" w:cs="宋体"/>
          <w:bCs/>
          <w:color w:val="000000"/>
          <w:sz w:val="24"/>
        </w:rPr>
        <w:t>3</w:t>
      </w:r>
      <w:r w:rsidRPr="00B8348B">
        <w:rPr>
          <w:rFonts w:ascii="宋体" w:hAnsi="宋体" w:cs="宋体" w:hint="eastAsia"/>
          <w:bCs/>
          <w:color w:val="000000"/>
          <w:sz w:val="24"/>
        </w:rPr>
        <w:t>、由于本基金持有的相当比例的基金暂停估值，导致基金管理人无法计算当日基金资产净值；</w:t>
      </w:r>
    </w:p>
    <w:p w14:paraId="14E8DC19" w14:textId="1219E88B" w:rsidR="00562298" w:rsidRPr="00B8348B" w:rsidRDefault="004636A8">
      <w:pPr>
        <w:spacing w:line="360" w:lineRule="auto"/>
        <w:ind w:firstLineChars="200" w:firstLine="480"/>
        <w:rPr>
          <w:sz w:val="24"/>
        </w:rPr>
      </w:pPr>
      <w:r w:rsidRPr="00B8348B">
        <w:rPr>
          <w:rFonts w:ascii="宋体" w:hAnsi="宋体" w:cs="宋体"/>
          <w:bCs/>
          <w:color w:val="000000"/>
          <w:sz w:val="24"/>
        </w:rPr>
        <w:t>4</w:t>
      </w:r>
      <w:r w:rsidRPr="00B8348B">
        <w:rPr>
          <w:rFonts w:ascii="宋体" w:hAnsi="宋体" w:cs="宋体" w:hint="eastAsia"/>
          <w:bCs/>
          <w:color w:val="000000"/>
          <w:sz w:val="24"/>
        </w:rPr>
        <w:t>、</w:t>
      </w:r>
      <w:r>
        <w:rPr>
          <w:rFonts w:hint="eastAsia"/>
          <w:sz w:val="24"/>
        </w:rPr>
        <w:t>当特定资产占前一估值日基金资产净值</w:t>
      </w:r>
      <w:r w:rsidRPr="00B8348B">
        <w:rPr>
          <w:rFonts w:ascii="宋体" w:hAnsi="宋体" w:cs="宋体"/>
          <w:bCs/>
          <w:color w:val="000000"/>
          <w:sz w:val="24"/>
          <w:szCs w:val="24"/>
        </w:rPr>
        <w:t>50%</w:t>
      </w:r>
      <w:r>
        <w:rPr>
          <w:rFonts w:hint="eastAsia"/>
          <w:sz w:val="24"/>
        </w:rPr>
        <w:t>以上的，经与基金托管人协商确认后，基金管理人应当暂停估值；</w:t>
      </w:r>
    </w:p>
    <w:p w14:paraId="44505F3B" w14:textId="06FADDFD" w:rsidR="00562298" w:rsidRDefault="004636A8">
      <w:pPr>
        <w:spacing w:line="360" w:lineRule="auto"/>
        <w:ind w:firstLineChars="200" w:firstLine="480"/>
        <w:rPr>
          <w:rFonts w:ascii="宋体" w:hAnsi="宋体" w:cs="宋体"/>
          <w:bCs/>
          <w:color w:val="000000"/>
          <w:sz w:val="24"/>
        </w:rPr>
      </w:pPr>
      <w:r>
        <w:rPr>
          <w:rFonts w:ascii="宋体" w:hAnsi="宋体" w:cs="宋体"/>
          <w:bCs/>
          <w:color w:val="000000"/>
          <w:sz w:val="24"/>
        </w:rPr>
        <w:t>5</w:t>
      </w:r>
      <w:r>
        <w:rPr>
          <w:rFonts w:ascii="宋体" w:hAnsi="宋体" w:cs="宋体" w:hint="eastAsia"/>
          <w:bCs/>
          <w:color w:val="000000"/>
          <w:sz w:val="24"/>
        </w:rPr>
        <w:t>、法律法规、中国证监会和基金合同认定的其他情形。</w:t>
      </w:r>
    </w:p>
    <w:p w14:paraId="5A62447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（五）基金会计制度</w:t>
      </w:r>
    </w:p>
    <w:p w14:paraId="06E9172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按国家有关部门规定的会计制度执行。</w:t>
      </w:r>
    </w:p>
    <w:p w14:paraId="372A9E3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（六）基金账册的建立</w:t>
      </w:r>
    </w:p>
    <w:p w14:paraId="79049CC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基金管理人进行基金会计核算并编制基金财务会计报告。基金管理人独立地设置、记录和保管本基金的全套账册。</w:t>
      </w: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40FEDD8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（七）基金财务报表与报告的编制和复核</w:t>
      </w:r>
    </w:p>
    <w:p w14:paraId="0C8635A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1．财务报表的编制</w:t>
      </w:r>
    </w:p>
    <w:p w14:paraId="13C6045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基金财务报表由基金管理人编制，基金托管人复核。</w:t>
      </w:r>
    </w:p>
    <w:p w14:paraId="2EA0626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2．报表复核</w:t>
      </w:r>
    </w:p>
    <w:p w14:paraId="59ECE8F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基金托管人在收到基金管理人编制的基金财务报表后，进行独立的复核。核对不符时，应及时通知基金管理人共同查出原因，进行调整，直至双方数据完全一致。</w:t>
      </w:r>
    </w:p>
    <w:p w14:paraId="70B2C8E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3．财务报表的编制与复核时间安排</w:t>
      </w:r>
    </w:p>
    <w:p w14:paraId="15D289C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（1）报表的编制</w:t>
      </w:r>
    </w:p>
    <w:p w14:paraId="48FC904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基金管理人应当在每月结束后5个工作日内完成月度报表的编制；</w:t>
      </w:r>
      <w:r>
        <w:rPr>
          <w:rFonts w:ascii="宋体" w:hAnsi="宋体" w:cs="宋体"/>
          <w:color w:val="000000"/>
          <w:sz w:val="24"/>
          <w:szCs w:val="24"/>
        </w:rPr>
        <w:t>在季度结束之日起15个工作日内完成基金季度报告的编制并公告；在上半年结束之日起两个月内完成基金</w:t>
      </w:r>
      <w:r>
        <w:rPr>
          <w:rFonts w:ascii="宋体" w:hAnsi="宋体" w:cs="宋体" w:hint="eastAsia"/>
          <w:color w:val="000000"/>
          <w:sz w:val="24"/>
          <w:szCs w:val="24"/>
        </w:rPr>
        <w:t>中期</w:t>
      </w:r>
      <w:r>
        <w:rPr>
          <w:rFonts w:ascii="宋体" w:hAnsi="宋体" w:cs="宋体"/>
          <w:color w:val="000000"/>
          <w:sz w:val="24"/>
          <w:szCs w:val="24"/>
        </w:rPr>
        <w:t>报告的编制并公告；在每年结束之日起</w:t>
      </w:r>
      <w:r>
        <w:rPr>
          <w:rFonts w:ascii="宋体" w:hAnsi="宋体" w:cs="宋体" w:hint="eastAsia"/>
          <w:color w:val="000000"/>
          <w:sz w:val="24"/>
          <w:szCs w:val="24"/>
        </w:rPr>
        <w:t>三个月</w:t>
      </w:r>
      <w:r>
        <w:rPr>
          <w:rFonts w:ascii="宋体" w:hAnsi="宋体" w:cs="宋体"/>
          <w:color w:val="000000"/>
          <w:sz w:val="24"/>
          <w:szCs w:val="24"/>
        </w:rPr>
        <w:t>内完成基金年度报告的编制并公告。</w:t>
      </w:r>
      <w:r>
        <w:rPr>
          <w:rFonts w:ascii="宋体" w:hAnsi="宋体" w:cs="宋体" w:hint="eastAsia"/>
          <w:color w:val="000000"/>
          <w:sz w:val="24"/>
          <w:szCs w:val="24"/>
        </w:rPr>
        <w:t>基金年度报告中的财务会计报告应当经过</w:t>
      </w:r>
      <w:r>
        <w:rPr>
          <w:rFonts w:ascii="宋体" w:hAnsi="宋体" w:cs="宋体" w:hint="eastAsia"/>
          <w:bCs/>
          <w:color w:val="000000"/>
          <w:sz w:val="24"/>
          <w:szCs w:val="24"/>
        </w:rPr>
        <w:t>符合《中华人民共和国证券法》规定的会计师事务所</w:t>
      </w:r>
      <w:r>
        <w:rPr>
          <w:rFonts w:ascii="宋体" w:hAnsi="宋体" w:cs="宋体" w:hint="eastAsia"/>
          <w:color w:val="000000"/>
          <w:sz w:val="24"/>
          <w:szCs w:val="24"/>
        </w:rPr>
        <w:t>审计。基金合同生效不足两个月的，基金管理人可以不编制当期季度报告、中期报告或者年度报告。</w:t>
      </w:r>
    </w:p>
    <w:p w14:paraId="1C38C13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（2）报表的复核</w:t>
      </w:r>
    </w:p>
    <w:p w14:paraId="48598D1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E86559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基金管理人应留足充分的时间，便于基金托管人复核相关报表及报告。</w:t>
      </w:r>
    </w:p>
    <w:p w14:paraId="728F52F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（八）实施</w:t>
      </w:r>
      <w:proofErr w:type="gramStart"/>
      <w:r>
        <w:rPr>
          <w:rFonts w:ascii="宋体" w:hAnsi="宋体" w:cs="宋体" w:hint="eastAsia"/>
          <w:color w:val="000000"/>
          <w:sz w:val="24"/>
          <w:szCs w:val="24"/>
        </w:rPr>
        <w:t>侧袋机制</w:t>
      </w:r>
      <w:proofErr w:type="gramEnd"/>
      <w:r>
        <w:rPr>
          <w:rFonts w:ascii="宋体" w:hAnsi="宋体" w:cs="宋体" w:hint="eastAsia"/>
          <w:color w:val="000000"/>
          <w:sz w:val="24"/>
          <w:szCs w:val="24"/>
        </w:rPr>
        <w:t>期间的基金资产估值</w:t>
      </w:r>
    </w:p>
    <w:p w14:paraId="7F6E628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本基金实施</w:t>
      </w:r>
      <w:proofErr w:type="gramStart"/>
      <w:r>
        <w:rPr>
          <w:rFonts w:ascii="宋体" w:hAnsi="宋体" w:cs="宋体" w:hint="eastAsia"/>
          <w:color w:val="000000"/>
          <w:sz w:val="24"/>
          <w:szCs w:val="24"/>
        </w:rPr>
        <w:t>侧袋机制</w:t>
      </w:r>
      <w:proofErr w:type="gramEnd"/>
      <w:r>
        <w:rPr>
          <w:rFonts w:ascii="宋体" w:hAnsi="宋体" w:cs="宋体" w:hint="eastAsia"/>
          <w:color w:val="000000"/>
          <w:sz w:val="24"/>
          <w:szCs w:val="24"/>
        </w:rPr>
        <w:t>的，应根据基金合同的约定</w:t>
      </w:r>
      <w:proofErr w:type="gramStart"/>
      <w:r>
        <w:rPr>
          <w:rFonts w:ascii="宋体" w:hAnsi="宋体" w:cs="宋体" w:hint="eastAsia"/>
          <w:color w:val="000000"/>
          <w:sz w:val="24"/>
          <w:szCs w:val="24"/>
        </w:rPr>
        <w:t>对主袋账户</w:t>
      </w:r>
      <w:proofErr w:type="gramEnd"/>
      <w:r>
        <w:rPr>
          <w:rFonts w:ascii="宋体" w:hAnsi="宋体" w:cs="宋体" w:hint="eastAsia"/>
          <w:color w:val="000000"/>
          <w:sz w:val="24"/>
          <w:szCs w:val="24"/>
        </w:rPr>
        <w:t>资产进行估值并</w:t>
      </w:r>
      <w:proofErr w:type="gramStart"/>
      <w:r>
        <w:rPr>
          <w:rFonts w:ascii="宋体" w:hAnsi="宋体" w:cs="宋体" w:hint="eastAsia"/>
          <w:color w:val="000000"/>
          <w:sz w:val="24"/>
          <w:szCs w:val="24"/>
        </w:rPr>
        <w:t>披露主袋账户</w:t>
      </w:r>
      <w:proofErr w:type="gramEnd"/>
      <w:r>
        <w:rPr>
          <w:rFonts w:ascii="宋体" w:hAnsi="宋体" w:cs="宋体" w:hint="eastAsia"/>
          <w:color w:val="000000"/>
          <w:sz w:val="24"/>
          <w:szCs w:val="24"/>
        </w:rPr>
        <w:t>的基金净值信息，暂停</w:t>
      </w:r>
      <w:proofErr w:type="gramStart"/>
      <w:r>
        <w:rPr>
          <w:rFonts w:ascii="宋体" w:hAnsi="宋体" w:cs="宋体" w:hint="eastAsia"/>
          <w:color w:val="000000"/>
          <w:sz w:val="24"/>
          <w:szCs w:val="24"/>
        </w:rPr>
        <w:t>披露侧袋账户</w:t>
      </w:r>
      <w:proofErr w:type="gramEnd"/>
      <w:r>
        <w:rPr>
          <w:rFonts w:ascii="宋体" w:hAnsi="宋体" w:cs="宋体" w:hint="eastAsia"/>
          <w:color w:val="000000"/>
          <w:sz w:val="24"/>
          <w:szCs w:val="24"/>
        </w:rPr>
        <w:t>份额净值。</w:t>
      </w:r>
    </w:p>
    <w:p w14:paraId="48C7F4F8" w14:textId="77777777" w:rsidR="00562298" w:rsidRDefault="00562298">
      <w:pPr>
        <w:spacing w:line="360" w:lineRule="auto"/>
        <w:ind w:firstLineChars="200" w:firstLine="480"/>
        <w:rPr>
          <w:rFonts w:ascii="宋体" w:hAnsi="宋体" w:cs="宋体"/>
          <w:color w:val="000000"/>
          <w:sz w:val="24"/>
          <w:szCs w:val="24"/>
        </w:rPr>
      </w:pPr>
    </w:p>
    <w:p w14:paraId="3A0DB306" w14:textId="77777777" w:rsidR="00562298" w:rsidRDefault="004636A8">
      <w:pPr>
        <w:pStyle w:val="2"/>
        <w:spacing w:line="360" w:lineRule="auto"/>
        <w:jc w:val="center"/>
        <w:rPr>
          <w:rFonts w:ascii="宋体" w:hAnsi="宋体"/>
          <w:bCs w:val="0"/>
          <w:color w:val="000000"/>
          <w:sz w:val="30"/>
          <w:szCs w:val="30"/>
        </w:rPr>
      </w:pPr>
      <w:r>
        <w:rPr>
          <w:rFonts w:ascii="仿宋" w:eastAsia="仿宋" w:hAnsi="仿宋" w:hint="eastAsia"/>
          <w:b w:val="0"/>
          <w:color w:val="000000"/>
          <w:sz w:val="30"/>
          <w:szCs w:val="30"/>
        </w:rPr>
        <w:br w:type="page"/>
      </w:r>
      <w:bookmarkStart w:id="12" w:name="_Toc264617149"/>
      <w:r>
        <w:rPr>
          <w:rFonts w:ascii="宋体" w:hAnsi="宋体" w:hint="eastAsia"/>
          <w:bCs w:val="0"/>
          <w:color w:val="000000"/>
          <w:sz w:val="30"/>
          <w:szCs w:val="30"/>
        </w:rPr>
        <w:lastRenderedPageBreak/>
        <w:t>九、基金收益分配</w:t>
      </w:r>
      <w:bookmarkEnd w:id="12"/>
    </w:p>
    <w:p w14:paraId="3A99BA5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基金收益分配是指按规定将基金的可分配收益按基金份额进行比例分配。</w:t>
      </w:r>
    </w:p>
    <w:p w14:paraId="368F1258" w14:textId="77777777" w:rsidR="00562298" w:rsidRDefault="004636A8">
      <w:pPr>
        <w:spacing w:line="360" w:lineRule="auto"/>
        <w:ind w:firstLineChars="200" w:firstLine="480"/>
        <w:rPr>
          <w:rFonts w:ascii="宋体" w:hAnsi="宋体" w:cs="宋体"/>
          <w:sz w:val="24"/>
          <w:szCs w:val="24"/>
        </w:rPr>
      </w:pPr>
      <w:r>
        <w:rPr>
          <w:rFonts w:ascii="宋体" w:hAnsi="宋体" w:cs="宋体" w:hint="eastAsia"/>
          <w:sz w:val="24"/>
          <w:szCs w:val="24"/>
        </w:rPr>
        <w:t>（一）基金收益分配的原则</w:t>
      </w:r>
    </w:p>
    <w:p w14:paraId="29BF9947" w14:textId="77777777" w:rsidR="00562298" w:rsidRDefault="004636A8">
      <w:pPr>
        <w:spacing w:line="360" w:lineRule="auto"/>
        <w:ind w:firstLineChars="200" w:firstLine="480"/>
        <w:rPr>
          <w:rFonts w:ascii="宋体" w:hAnsi="宋体" w:cs="宋体"/>
          <w:sz w:val="24"/>
          <w:szCs w:val="24"/>
        </w:rPr>
      </w:pPr>
      <w:r>
        <w:rPr>
          <w:rFonts w:ascii="宋体" w:hAnsi="宋体" w:cs="宋体" w:hint="eastAsia"/>
          <w:sz w:val="24"/>
          <w:szCs w:val="24"/>
        </w:rPr>
        <w:t>1、在符合有关基金分红条件的前提下，本基金管理人可以根据实际情况进行收益分配，具体分配方案以公告为准，若《基金合同》生效不满3个月可不进行收益分配；</w:t>
      </w:r>
    </w:p>
    <w:p w14:paraId="3668146E" w14:textId="77777777" w:rsidR="00562298" w:rsidRDefault="004636A8">
      <w:pPr>
        <w:spacing w:line="360" w:lineRule="auto"/>
        <w:ind w:firstLineChars="200" w:firstLine="480"/>
        <w:rPr>
          <w:rFonts w:ascii="宋体" w:hAnsi="宋体" w:cs="宋体"/>
          <w:sz w:val="24"/>
          <w:szCs w:val="24"/>
        </w:rPr>
      </w:pPr>
      <w:r>
        <w:rPr>
          <w:rFonts w:ascii="宋体" w:hAnsi="宋体" w:cs="宋体" w:hint="eastAsia"/>
          <w:sz w:val="24"/>
          <w:szCs w:val="24"/>
        </w:rPr>
        <w:t>2、本基金收益分配方式分两种：现金分红与红利再投资，投资者可选择现金红利或将现金红利自动转为相应类别的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14:paraId="51E49F6B" w14:textId="77777777" w:rsidR="00562298" w:rsidRDefault="004636A8">
      <w:pPr>
        <w:spacing w:line="360" w:lineRule="auto"/>
        <w:ind w:firstLineChars="200" w:firstLine="480"/>
        <w:rPr>
          <w:rFonts w:ascii="宋体" w:hAnsi="宋体" w:cs="宋体"/>
          <w:sz w:val="24"/>
          <w:szCs w:val="24"/>
        </w:rPr>
      </w:pPr>
      <w:r>
        <w:rPr>
          <w:rFonts w:ascii="宋体" w:hAnsi="宋体" w:cs="宋体" w:hint="eastAsia"/>
          <w:sz w:val="24"/>
          <w:szCs w:val="24"/>
        </w:rPr>
        <w:t>3、基金收益分配后各类基金份额净值不能低于面值；即基金收益分配基准日的各类基金份额净值减去每单位该类基金份额收益分配金额后不能低于面值；</w:t>
      </w:r>
    </w:p>
    <w:p w14:paraId="4AC4B572" w14:textId="77777777" w:rsidR="00562298" w:rsidRDefault="004636A8">
      <w:pPr>
        <w:spacing w:line="360" w:lineRule="auto"/>
        <w:ind w:firstLineChars="200" w:firstLine="480"/>
        <w:rPr>
          <w:rFonts w:ascii="宋体" w:hAnsi="宋体" w:cs="宋体"/>
          <w:sz w:val="24"/>
          <w:szCs w:val="24"/>
        </w:rPr>
      </w:pPr>
      <w:r>
        <w:rPr>
          <w:rFonts w:ascii="宋体" w:hAnsi="宋体" w:cs="宋体" w:hint="eastAsia"/>
          <w:sz w:val="24"/>
          <w:szCs w:val="24"/>
        </w:rPr>
        <w:t>4、由于本基金A类基金份额不收取销售服务费，C类基金份额收取销售服务费，各基金份额类别对应的可供分配利润将有所不同；本基金同一类别的每份基金份额享有同等分配权；</w:t>
      </w:r>
    </w:p>
    <w:p w14:paraId="598B07A8" w14:textId="1B70E634" w:rsidR="00562298" w:rsidRDefault="004636A8">
      <w:pPr>
        <w:spacing w:line="360" w:lineRule="auto"/>
        <w:ind w:firstLineChars="200" w:firstLine="480"/>
        <w:rPr>
          <w:rFonts w:ascii="宋体" w:hAnsi="宋体" w:cs="宋体"/>
          <w:sz w:val="24"/>
          <w:szCs w:val="24"/>
        </w:rPr>
      </w:pPr>
      <w:r>
        <w:rPr>
          <w:rFonts w:ascii="宋体" w:hAnsi="宋体" w:cs="宋体" w:hint="eastAsia"/>
          <w:sz w:val="24"/>
          <w:szCs w:val="24"/>
        </w:rPr>
        <w:t>5、法律法规或监管机关另有规定的，从其规定。</w:t>
      </w:r>
    </w:p>
    <w:p w14:paraId="45B1A08E" w14:textId="77777777" w:rsidR="00562298" w:rsidRDefault="004636A8">
      <w:pPr>
        <w:spacing w:line="360" w:lineRule="auto"/>
        <w:ind w:firstLineChars="200" w:firstLine="480"/>
        <w:rPr>
          <w:rFonts w:ascii="宋体" w:hAnsi="宋体" w:cs="宋体"/>
          <w:sz w:val="24"/>
          <w:szCs w:val="24"/>
        </w:rPr>
      </w:pPr>
      <w:r>
        <w:rPr>
          <w:rFonts w:ascii="宋体" w:hAnsi="宋体" w:cs="宋体" w:hint="eastAsia"/>
          <w:sz w:val="24"/>
          <w:szCs w:val="24"/>
        </w:rPr>
        <w:t>（二）基金收益分配方案的制定和实施程序</w:t>
      </w:r>
    </w:p>
    <w:p w14:paraId="4A695056" w14:textId="77777777" w:rsidR="00562298" w:rsidRDefault="004636A8">
      <w:pPr>
        <w:spacing w:line="360" w:lineRule="auto"/>
        <w:ind w:firstLineChars="200" w:firstLine="480"/>
        <w:rPr>
          <w:rFonts w:ascii="宋体" w:hAnsi="宋体" w:cs="宋体"/>
          <w:sz w:val="24"/>
          <w:szCs w:val="24"/>
        </w:rPr>
      </w:pPr>
      <w:r>
        <w:rPr>
          <w:rFonts w:ascii="宋体" w:hAnsi="宋体" w:cs="宋体" w:hint="eastAsia"/>
          <w:sz w:val="24"/>
          <w:szCs w:val="24"/>
        </w:rPr>
        <w:t>本基金收益分配方案由基金管理人拟定，并由基金托管人复核，依照《信息披露办法》的规定在规定媒介公告。</w:t>
      </w:r>
    </w:p>
    <w:p w14:paraId="453BCA89" w14:textId="77777777" w:rsidR="00562298" w:rsidRDefault="004636A8">
      <w:pPr>
        <w:spacing w:line="360" w:lineRule="auto"/>
        <w:ind w:firstLineChars="200" w:firstLine="480"/>
        <w:rPr>
          <w:rFonts w:ascii="宋体" w:hAnsi="宋体" w:cs="宋体"/>
          <w:sz w:val="24"/>
          <w:szCs w:val="24"/>
        </w:rPr>
      </w:pPr>
      <w:r>
        <w:rPr>
          <w:rFonts w:ascii="宋体" w:hAnsi="宋体" w:cs="宋体" w:hint="eastAsia"/>
          <w:sz w:val="24"/>
          <w:szCs w:val="24"/>
        </w:rPr>
        <w:t>基金管理人向基金托管人下达收益分配的付款指令，基金托管人按指令将收益分配的全部资金划入基金管理人的指定账户。</w:t>
      </w:r>
    </w:p>
    <w:p w14:paraId="21D5B4B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三）</w:t>
      </w:r>
      <w:r>
        <w:rPr>
          <w:rFonts w:ascii="宋体" w:hAnsi="宋体" w:cs="宋体" w:hint="eastAsia"/>
          <w:color w:val="000000"/>
          <w:sz w:val="24"/>
          <w:szCs w:val="24"/>
        </w:rPr>
        <w:t>实施</w:t>
      </w:r>
      <w:proofErr w:type="gramStart"/>
      <w:r>
        <w:rPr>
          <w:rFonts w:ascii="宋体" w:hAnsi="宋体" w:cs="宋体" w:hint="eastAsia"/>
          <w:color w:val="000000"/>
          <w:sz w:val="24"/>
          <w:szCs w:val="24"/>
        </w:rPr>
        <w:t>侧袋机制</w:t>
      </w:r>
      <w:proofErr w:type="gramEnd"/>
      <w:r>
        <w:rPr>
          <w:rFonts w:ascii="宋体" w:hAnsi="宋体" w:cs="宋体" w:hint="eastAsia"/>
          <w:color w:val="000000"/>
          <w:sz w:val="24"/>
          <w:szCs w:val="24"/>
        </w:rPr>
        <w:t>期间的收益分配</w:t>
      </w:r>
    </w:p>
    <w:p w14:paraId="1E82031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本基金实施</w:t>
      </w:r>
      <w:proofErr w:type="gramStart"/>
      <w:r>
        <w:rPr>
          <w:rFonts w:ascii="宋体" w:hAnsi="宋体" w:cs="宋体" w:hint="eastAsia"/>
          <w:color w:val="000000"/>
          <w:sz w:val="24"/>
          <w:szCs w:val="24"/>
        </w:rPr>
        <w:t>侧袋机制</w:t>
      </w:r>
      <w:proofErr w:type="gramEnd"/>
      <w:r>
        <w:rPr>
          <w:rFonts w:ascii="宋体" w:hAnsi="宋体" w:cs="宋体" w:hint="eastAsia"/>
          <w:color w:val="000000"/>
          <w:sz w:val="24"/>
          <w:szCs w:val="24"/>
        </w:rPr>
        <w:t>的，</w:t>
      </w:r>
      <w:proofErr w:type="gramStart"/>
      <w:r>
        <w:rPr>
          <w:rFonts w:ascii="宋体" w:hAnsi="宋体" w:cs="宋体" w:hint="eastAsia"/>
          <w:color w:val="000000"/>
          <w:sz w:val="24"/>
          <w:szCs w:val="24"/>
        </w:rPr>
        <w:t>侧袋账户</w:t>
      </w:r>
      <w:proofErr w:type="gramEnd"/>
      <w:r>
        <w:rPr>
          <w:rFonts w:ascii="宋体" w:hAnsi="宋体" w:cs="宋体" w:hint="eastAsia"/>
          <w:color w:val="000000"/>
          <w:sz w:val="24"/>
          <w:szCs w:val="24"/>
        </w:rPr>
        <w:t>不进行收益分配，详见招募说明书的规定。</w:t>
      </w:r>
    </w:p>
    <w:p w14:paraId="7CBCFE1D" w14:textId="77777777" w:rsidR="00562298" w:rsidRDefault="00562298">
      <w:pPr>
        <w:spacing w:line="360" w:lineRule="auto"/>
        <w:ind w:firstLineChars="200" w:firstLine="480"/>
        <w:rPr>
          <w:rFonts w:ascii="宋体" w:hAnsi="宋体" w:cs="宋体"/>
          <w:color w:val="000000"/>
          <w:sz w:val="24"/>
          <w:szCs w:val="24"/>
        </w:rPr>
      </w:pPr>
    </w:p>
    <w:p w14:paraId="796D954B"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3" w:name="_Toc264617150"/>
      <w:r>
        <w:rPr>
          <w:rFonts w:ascii="宋体" w:hAnsi="宋体" w:hint="eastAsia"/>
          <w:bCs w:val="0"/>
          <w:color w:val="000000"/>
          <w:sz w:val="30"/>
          <w:szCs w:val="30"/>
        </w:rPr>
        <w:lastRenderedPageBreak/>
        <w:t>十、基金信息披露</w:t>
      </w:r>
      <w:bookmarkEnd w:id="13"/>
    </w:p>
    <w:p w14:paraId="7C055AB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（一）保密义务</w:t>
      </w:r>
    </w:p>
    <w:p w14:paraId="747579F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59D5CD9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1．非因基金管理人和基金托管人的原因导致保密信息被披露、泄露或公开；</w:t>
      </w:r>
    </w:p>
    <w:p w14:paraId="7A3C8B8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2．基金管理人和基金托管人为遵守和服从法院判决或裁定、仲裁裁决或中国证监会等监管机构的命令、决定所做出的信息披露或公开。</w:t>
      </w:r>
    </w:p>
    <w:p w14:paraId="7FC2391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（二）信息披露的内容</w:t>
      </w:r>
    </w:p>
    <w:p w14:paraId="5915599C" w14:textId="00760CFE" w:rsidR="00562298" w:rsidRDefault="004636A8">
      <w:pPr>
        <w:spacing w:line="360" w:lineRule="auto"/>
        <w:ind w:firstLineChars="200" w:firstLine="480"/>
        <w:rPr>
          <w:rFonts w:ascii="宋体" w:hAnsi="宋体" w:cs="宋体"/>
          <w:color w:val="000000"/>
          <w:sz w:val="24"/>
          <w:szCs w:val="24"/>
        </w:rPr>
      </w:pPr>
      <w:r>
        <w:rPr>
          <w:rFonts w:ascii="宋体" w:hAnsi="宋体" w:hint="eastAsia"/>
          <w:sz w:val="24"/>
          <w:szCs w:val="24"/>
        </w:rPr>
        <w:t>基金的信息披露内容主要包括基金招募说明书、基金合同、托管协议、基金产品资料概要、基金份额发售公告、基金合同生效公告、上市交易公告书、基金净值信息、基金份额申购、赎回价格、基金定期报告（包括基金年度报告、基金中期报告和基金季度报告）、临时报告、澄清公告、基金份额持有人大会决议、实施</w:t>
      </w:r>
      <w:proofErr w:type="gramStart"/>
      <w:r>
        <w:rPr>
          <w:rFonts w:ascii="宋体" w:hAnsi="宋体" w:hint="eastAsia"/>
          <w:sz w:val="24"/>
          <w:szCs w:val="24"/>
        </w:rPr>
        <w:t>侧袋机制</w:t>
      </w:r>
      <w:proofErr w:type="gramEnd"/>
      <w:r>
        <w:rPr>
          <w:rFonts w:ascii="宋体" w:hAnsi="宋体" w:hint="eastAsia"/>
          <w:sz w:val="24"/>
          <w:szCs w:val="24"/>
        </w:rPr>
        <w:t>期间的信息披露、清算报告、基金投资资产支持证券情况、基金投资证券投资基金情况、基金投资港股通标的股票情况、</w:t>
      </w:r>
      <w:r>
        <w:rPr>
          <w:rFonts w:hint="eastAsia"/>
          <w:bCs/>
          <w:sz w:val="24"/>
        </w:rPr>
        <w:t>参与所持有基金的份额持有人大会表决意见的信息披露</w:t>
      </w:r>
      <w:r>
        <w:rPr>
          <w:rFonts w:ascii="宋体" w:hAnsi="宋体" w:hint="eastAsia"/>
          <w:sz w:val="24"/>
          <w:szCs w:val="24"/>
        </w:rPr>
        <w:t>及中国证监会规定的其他信息。基金年度报告中</w:t>
      </w:r>
      <w:r>
        <w:rPr>
          <w:rFonts w:ascii="宋体" w:hAnsi="宋体"/>
          <w:sz w:val="24"/>
          <w:szCs w:val="24"/>
        </w:rPr>
        <w:t>的财务会计报告</w:t>
      </w:r>
      <w:r>
        <w:rPr>
          <w:rFonts w:ascii="宋体" w:hAnsi="宋体" w:hint="eastAsia"/>
          <w:sz w:val="24"/>
          <w:szCs w:val="24"/>
        </w:rPr>
        <w:t>需</w:t>
      </w:r>
      <w:proofErr w:type="gramStart"/>
      <w:r>
        <w:rPr>
          <w:rFonts w:ascii="宋体" w:hAnsi="宋体" w:hint="eastAsia"/>
          <w:sz w:val="24"/>
          <w:szCs w:val="24"/>
        </w:rPr>
        <w:t>经符合</w:t>
      </w:r>
      <w:proofErr w:type="gramEnd"/>
      <w:r>
        <w:rPr>
          <w:rFonts w:ascii="宋体" w:hAnsi="宋体" w:hint="eastAsia"/>
          <w:sz w:val="24"/>
          <w:szCs w:val="24"/>
        </w:rPr>
        <w:t>《中华人民共和国证券法》规定的会计师事务所审计后，方可披露。</w:t>
      </w:r>
    </w:p>
    <w:p w14:paraId="231B944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（三）基金托管人和基金管理人在信息披露中的职责和信息披露程序</w:t>
      </w:r>
    </w:p>
    <w:p w14:paraId="74155DF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1．职责</w:t>
      </w:r>
    </w:p>
    <w:p w14:paraId="72C36AB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4DE26E3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基金管理人和基金托管人应积极配合、互相监督，保证按照法定方式和时限履行信息披露义务。</w:t>
      </w:r>
    </w:p>
    <w:p w14:paraId="02AAE536" w14:textId="77777777" w:rsidR="00562298" w:rsidRDefault="004636A8">
      <w:pPr>
        <w:spacing w:line="360" w:lineRule="auto"/>
        <w:ind w:firstLineChars="200" w:firstLine="480"/>
        <w:rPr>
          <w:rFonts w:ascii="宋体" w:hAnsi="宋体" w:cs="宋体"/>
          <w:color w:val="000000"/>
          <w:sz w:val="24"/>
          <w:szCs w:val="24"/>
        </w:rPr>
      </w:pPr>
      <w:r>
        <w:rPr>
          <w:rFonts w:ascii="宋体" w:hAnsi="宋体" w:hint="eastAsia"/>
          <w:sz w:val="24"/>
          <w:szCs w:val="24"/>
        </w:rPr>
        <w:lastRenderedPageBreak/>
        <w:t>基金管理人应当在中国证监会规定的时间内，将应予披露的基金信息通过中国</w:t>
      </w:r>
      <w:r>
        <w:rPr>
          <w:rFonts w:ascii="宋体" w:hAnsi="宋体"/>
          <w:sz w:val="24"/>
          <w:szCs w:val="24"/>
        </w:rPr>
        <w:t>证监会</w:t>
      </w:r>
      <w:r>
        <w:rPr>
          <w:rFonts w:ascii="宋体" w:hAnsi="宋体" w:hint="eastAsia"/>
          <w:sz w:val="24"/>
          <w:szCs w:val="24"/>
        </w:rPr>
        <w:t>规定媒介披露。根据法律法规应由基金托管人公开披露的信息，基金托管人将根据</w:t>
      </w:r>
      <w:r>
        <w:rPr>
          <w:rFonts w:ascii="宋体" w:hAnsi="宋体"/>
          <w:sz w:val="24"/>
          <w:szCs w:val="24"/>
        </w:rPr>
        <w:t>《</w:t>
      </w:r>
      <w:r>
        <w:rPr>
          <w:rFonts w:ascii="宋体" w:hAnsi="宋体" w:hint="eastAsia"/>
          <w:sz w:val="24"/>
          <w:szCs w:val="24"/>
        </w:rPr>
        <w:t>信息</w:t>
      </w:r>
      <w:r>
        <w:rPr>
          <w:rFonts w:ascii="宋体" w:hAnsi="宋体"/>
          <w:sz w:val="24"/>
          <w:szCs w:val="24"/>
        </w:rPr>
        <w:t>披露办法》</w:t>
      </w:r>
      <w:r>
        <w:rPr>
          <w:rFonts w:ascii="宋体" w:hAnsi="宋体" w:hint="eastAsia"/>
          <w:sz w:val="24"/>
          <w:szCs w:val="24"/>
        </w:rPr>
        <w:t>的</w:t>
      </w:r>
      <w:r>
        <w:rPr>
          <w:rFonts w:ascii="宋体" w:hAnsi="宋体"/>
          <w:sz w:val="24"/>
          <w:szCs w:val="24"/>
        </w:rPr>
        <w:t>规定进行</w:t>
      </w:r>
      <w:r>
        <w:rPr>
          <w:rFonts w:ascii="宋体" w:hAnsi="宋体" w:hint="eastAsia"/>
          <w:sz w:val="24"/>
          <w:szCs w:val="24"/>
        </w:rPr>
        <w:t>公开披露。</w:t>
      </w:r>
    </w:p>
    <w:p w14:paraId="7128090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当出现下述情况时，基金管理人和基金托管人可暂停或延迟披露基金相关信息：</w:t>
      </w:r>
    </w:p>
    <w:p w14:paraId="27F0400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（1）不可抗力；</w:t>
      </w:r>
    </w:p>
    <w:p w14:paraId="46D4D9CE" w14:textId="4BDD0A52"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（2）基金投资所涉及的证券交易市场遇法定节假日或因其他原因暂停营业时；</w:t>
      </w:r>
    </w:p>
    <w:p w14:paraId="6EB4937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（3）法律法规、基金合同或中国证监会规定的其他情况。</w:t>
      </w:r>
    </w:p>
    <w:p w14:paraId="20894D9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2．程序</w:t>
      </w:r>
    </w:p>
    <w:p w14:paraId="4E715C5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14:paraId="6DF1277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3．信息文本的存放</w:t>
      </w:r>
    </w:p>
    <w:p w14:paraId="5783C53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依法必须披露的信息发布后，基金管理人、基金托管人应当按照相关法律法规规定将信息置备于各自办公场所，供社会公众查阅、复制。基金管理人和基金托管人应保证文本的内容与所公告的内容完全一致。</w:t>
      </w:r>
    </w:p>
    <w:p w14:paraId="75329A3C" w14:textId="77777777" w:rsidR="00562298" w:rsidRDefault="00562298">
      <w:pPr>
        <w:spacing w:line="360" w:lineRule="auto"/>
        <w:ind w:firstLineChars="200" w:firstLine="480"/>
        <w:rPr>
          <w:rFonts w:ascii="仿宋" w:eastAsia="仿宋" w:hAnsi="仿宋"/>
          <w:color w:val="000000"/>
          <w:sz w:val="24"/>
          <w:szCs w:val="24"/>
        </w:rPr>
      </w:pPr>
    </w:p>
    <w:p w14:paraId="3153F146"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4" w:name="_Toc264617151"/>
      <w:r>
        <w:rPr>
          <w:rFonts w:ascii="宋体" w:hAnsi="宋体" w:hint="eastAsia"/>
          <w:bCs w:val="0"/>
          <w:color w:val="000000"/>
          <w:sz w:val="30"/>
          <w:szCs w:val="30"/>
        </w:rPr>
        <w:lastRenderedPageBreak/>
        <w:t>十一、基金费用</w:t>
      </w:r>
      <w:bookmarkEnd w:id="14"/>
    </w:p>
    <w:p w14:paraId="7C5BDF7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（一）基金管理费的计提比例和计提方法</w:t>
      </w:r>
    </w:p>
    <w:p w14:paraId="6B990503"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本</w:t>
      </w:r>
      <w:proofErr w:type="gramStart"/>
      <w:r>
        <w:rPr>
          <w:rFonts w:ascii="宋体" w:hAnsi="宋体" w:cs="宋体" w:hint="eastAsia"/>
          <w:bCs/>
          <w:color w:val="000000"/>
          <w:sz w:val="24"/>
        </w:rPr>
        <w:t>基金基金</w:t>
      </w:r>
      <w:proofErr w:type="gramEnd"/>
      <w:r>
        <w:rPr>
          <w:rFonts w:ascii="宋体" w:hAnsi="宋体" w:cs="宋体" w:hint="eastAsia"/>
          <w:bCs/>
          <w:color w:val="000000"/>
          <w:sz w:val="24"/>
        </w:rPr>
        <w:t>财产中持有的基金管理人自身管理的基金部分不收取管理费。本基金的管理费按前一日基金资产净值扣除基金财产中持有的基金管理人自身管理的基金部分所对应资产后剩余部分的1%年费率计提。管理费的计算方法如下：</w:t>
      </w:r>
    </w:p>
    <w:p w14:paraId="68623F32"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H＝E×1%÷当年天数</w:t>
      </w:r>
    </w:p>
    <w:p w14:paraId="1C1F4BCA"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H为每日应计提的基金管理费</w:t>
      </w:r>
    </w:p>
    <w:p w14:paraId="77AB4A10"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E为前一日的基金资产净值扣除基金财产中持有的基金管理人自身管理的基金部分所对应资产后剩余部分，若为负数，则E取0。</w:t>
      </w:r>
    </w:p>
    <w:p w14:paraId="7581DA5B" w14:textId="28F40C4D"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基金管理费每日计提，按月支付，</w:t>
      </w:r>
      <w:r w:rsidR="00550908">
        <w:rPr>
          <w:rFonts w:ascii="宋体" w:hAnsi="宋体" w:cs="宋体" w:hint="eastAsia"/>
          <w:bCs/>
          <w:color w:val="000000"/>
          <w:sz w:val="24"/>
        </w:rPr>
        <w:t>经管理人授权后，</w:t>
      </w:r>
      <w:r>
        <w:rPr>
          <w:rFonts w:ascii="宋体" w:hAnsi="宋体" w:cs="宋体" w:hint="eastAsia"/>
          <w:bCs/>
          <w:color w:val="000000"/>
          <w:sz w:val="24"/>
        </w:rPr>
        <w:t>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11A2C2F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（二）基金托管费的计提比例和计提方法</w:t>
      </w:r>
    </w:p>
    <w:p w14:paraId="2C1EDCA5"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本</w:t>
      </w:r>
      <w:proofErr w:type="gramStart"/>
      <w:r>
        <w:rPr>
          <w:rFonts w:ascii="宋体" w:hAnsi="宋体" w:cs="宋体" w:hint="eastAsia"/>
          <w:bCs/>
          <w:color w:val="000000"/>
          <w:sz w:val="24"/>
        </w:rPr>
        <w:t>基金基金</w:t>
      </w:r>
      <w:proofErr w:type="gramEnd"/>
      <w:r>
        <w:rPr>
          <w:rFonts w:ascii="宋体" w:hAnsi="宋体" w:cs="宋体" w:hint="eastAsia"/>
          <w:bCs/>
          <w:color w:val="000000"/>
          <w:sz w:val="24"/>
        </w:rPr>
        <w:t>财产中持有的基金托管人自身托管的基金部分不收取托管费。本基金的托管费按前一日基金资产净值扣除基金财产中持有的基金托管人自身托管的基金部分所对应资产后剩余部分的0.2%的年费率计提。托管费的计算方法如下：</w:t>
      </w:r>
    </w:p>
    <w:p w14:paraId="37036807"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H＝E×0.2%÷当年天数</w:t>
      </w:r>
    </w:p>
    <w:p w14:paraId="18BAB654"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H为每日应计提的基金托管费</w:t>
      </w:r>
    </w:p>
    <w:p w14:paraId="4DF16990"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E为前一日的基金资产净值扣除基金财产中持有的基金托管人自身托管的基金部分所对应资产后剩余部分，若为负数，则E取0。</w:t>
      </w:r>
    </w:p>
    <w:p w14:paraId="6B3F4030" w14:textId="3F108C41"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基金托管费每日计提，按月支付，</w:t>
      </w:r>
      <w:r w:rsidR="00550908">
        <w:rPr>
          <w:rFonts w:ascii="宋体" w:hAnsi="宋体" w:cs="宋体" w:hint="eastAsia"/>
          <w:bCs/>
          <w:color w:val="000000"/>
          <w:sz w:val="24"/>
        </w:rPr>
        <w:t>经管理人授权后，</w:t>
      </w:r>
      <w:r>
        <w:rPr>
          <w:rFonts w:ascii="宋体" w:hAnsi="宋体" w:cs="宋体" w:hint="eastAsia"/>
          <w:bCs/>
          <w:color w:val="000000"/>
          <w:sz w:val="24"/>
        </w:rPr>
        <w:t>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748E534A"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托管费收入账户：</w:t>
      </w:r>
    </w:p>
    <w:p w14:paraId="131E46C8"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户    名：基金托管费收入</w:t>
      </w:r>
    </w:p>
    <w:p w14:paraId="0B8E14BE" w14:textId="77777777" w:rsidR="00562298" w:rsidRDefault="004636A8">
      <w:pPr>
        <w:spacing w:line="360" w:lineRule="auto"/>
        <w:ind w:firstLineChars="200" w:firstLine="480"/>
        <w:rPr>
          <w:rFonts w:ascii="宋体" w:hAnsi="宋体" w:cs="宋体"/>
          <w:bCs/>
          <w:color w:val="000000"/>
          <w:sz w:val="24"/>
        </w:rPr>
      </w:pPr>
      <w:proofErr w:type="gramStart"/>
      <w:r>
        <w:rPr>
          <w:rFonts w:ascii="宋体" w:hAnsi="宋体" w:cs="宋体" w:hint="eastAsia"/>
          <w:bCs/>
          <w:color w:val="000000"/>
          <w:sz w:val="24"/>
        </w:rPr>
        <w:t>账</w:t>
      </w:r>
      <w:proofErr w:type="gramEnd"/>
      <w:r>
        <w:rPr>
          <w:rFonts w:ascii="宋体" w:hAnsi="宋体" w:cs="宋体" w:hint="eastAsia"/>
          <w:bCs/>
          <w:color w:val="000000"/>
          <w:sz w:val="24"/>
        </w:rPr>
        <w:t xml:space="preserve">    号：10010117380000001 </w:t>
      </w:r>
    </w:p>
    <w:p w14:paraId="64BE6555"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开户银行：中国光大银行（系统支付号303100000006）</w:t>
      </w:r>
    </w:p>
    <w:p w14:paraId="7742637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 C类基金份额的销售服务费</w:t>
      </w:r>
    </w:p>
    <w:p w14:paraId="48EDBFA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本基金A类基金份额不收取销售服务费，C类基金份额的销售服务费按前一日C类基金资产净值的0.6%年费率计提。计算方法如下：</w:t>
      </w:r>
    </w:p>
    <w:p w14:paraId="63DEBFE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H＝E×0.6%÷当年天数</w:t>
      </w:r>
    </w:p>
    <w:p w14:paraId="73744D3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H为C类基金份额每日应计提的销售服务费</w:t>
      </w:r>
    </w:p>
    <w:p w14:paraId="4FC32A7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E为C类基金份额前一日基金资产净值</w:t>
      </w:r>
    </w:p>
    <w:p w14:paraId="0D402DCF" w14:textId="78E16A28"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C类基金份额的销售服务费每日计提，按月支付，</w:t>
      </w:r>
      <w:r w:rsidR="00550908">
        <w:rPr>
          <w:rFonts w:ascii="宋体" w:hAnsi="宋体" w:cs="宋体" w:hint="eastAsia"/>
          <w:bCs/>
          <w:color w:val="000000"/>
          <w:sz w:val="24"/>
        </w:rPr>
        <w:t>经管理人授权后，</w:t>
      </w:r>
      <w:r>
        <w:rPr>
          <w:rFonts w:ascii="宋体" w:hAnsi="宋体" w:cs="宋体" w:hint="eastAsia"/>
          <w:color w:val="000000"/>
          <w:sz w:val="24"/>
          <w:szCs w:val="24"/>
        </w:rPr>
        <w:t>由基金托管人根据与基金管理人核对一致的财务数据，自动在月初5</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工作日内、按照指定的账户路径进行资金支付，基金管理人无需再出具资金划拨指令。若遇法定节假日、休息日等，支付日期顺延。</w:t>
      </w:r>
    </w:p>
    <w:p w14:paraId="2D09AE60" w14:textId="5B11B0BF"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C类基金份额的销售服务费将专门用于本基金的推广、销售与基金份额持有人服务。</w:t>
      </w:r>
    </w:p>
    <w:p w14:paraId="677370C4" w14:textId="1D3F54ED" w:rsidR="00562298" w:rsidRDefault="004636A8">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（四）证券、</w:t>
      </w:r>
      <w:r>
        <w:rPr>
          <w:rFonts w:ascii="宋体" w:hAnsi="宋体" w:cs="宋体"/>
          <w:color w:val="000000"/>
          <w:sz w:val="24"/>
          <w:szCs w:val="24"/>
        </w:rPr>
        <w:t>基金</w:t>
      </w:r>
      <w:r>
        <w:rPr>
          <w:rFonts w:ascii="宋体" w:hAnsi="宋体" w:cs="宋体" w:hint="eastAsia"/>
          <w:color w:val="000000"/>
          <w:sz w:val="24"/>
          <w:szCs w:val="24"/>
        </w:rPr>
        <w:t>交易或结算费用、基金财产划拨支付的银行费用、证券账户开户费用及账户维护费用、基金合同生效后与基金相关的信息披露费用、基金份额持有人大会费用、基金合同生效后与基金有关的会计师费、律师费、仲裁费和诉讼费、</w:t>
      </w:r>
      <w:r>
        <w:rPr>
          <w:rFonts w:ascii="宋体" w:hAnsi="宋体" w:cs="宋体" w:hint="eastAsia"/>
          <w:bCs/>
          <w:color w:val="000000"/>
          <w:sz w:val="24"/>
          <w:szCs w:val="24"/>
        </w:rPr>
        <w:t>因投资港股通标的股票而产生的各项合理费用、从A类基金份额的基金财产中计提的基金上市费用、本基金投资其他基金产生的其他基金的销售费用（如申购费、赎回费、销售服务费等，但法律法规禁止从基金财产中列支的除外）</w:t>
      </w:r>
      <w:r>
        <w:rPr>
          <w:rFonts w:ascii="宋体" w:hAnsi="宋体" w:cs="宋体" w:hint="eastAsia"/>
          <w:color w:val="000000"/>
          <w:sz w:val="24"/>
          <w:szCs w:val="24"/>
        </w:rPr>
        <w:t>等根据有关法律法规、基金合同及相应协议的规定，列入当期基金费用。</w:t>
      </w:r>
    </w:p>
    <w:p w14:paraId="418CF86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（五）不列入基金费用的项目</w:t>
      </w:r>
    </w:p>
    <w:p w14:paraId="58224BE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合同生效前的律师费、会计师费、信息披露费用以及其他费用不得从基金财产中列支。基金管理人与基金托管人因未履行或未完全履行义务导致的费用支出或基金财产的损失，以及处理与基金运作无关的事项发生的费用等不列入基金费用。其他根据相关法律法规及中国证监会的有关规定不得列入基金费用的项目不列入基金费用。</w:t>
      </w:r>
    </w:p>
    <w:p w14:paraId="36C6B78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（六）基金管理费、基金托管费、销售服务费的调整</w:t>
      </w:r>
    </w:p>
    <w:p w14:paraId="007AC0D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在遵守相关的法律法规并履行了必要的程序的前提下，基金管理人和基金托管人协商一致后可酌情调整基金管理费、基金托管费和销售服务费。基金管理人</w:t>
      </w:r>
      <w:r>
        <w:rPr>
          <w:rFonts w:ascii="宋体" w:hAnsi="宋体" w:cs="宋体" w:hint="eastAsia"/>
          <w:color w:val="000000"/>
          <w:sz w:val="24"/>
          <w:szCs w:val="24"/>
        </w:rPr>
        <w:lastRenderedPageBreak/>
        <w:t>必须于新的费率实施日前按照《信息披露办法》的规定在规定媒介上刊登公告。</w:t>
      </w:r>
    </w:p>
    <w:p w14:paraId="0045681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（七）基金管理费、基金托管费和销售服务费的复核程序</w:t>
      </w:r>
    </w:p>
    <w:p w14:paraId="01B77F6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基金托管人对基金管理人计提的基金管理费、基金托管费和销售服务费等，根据本托管协议和基金合同的有关规定进行复核。</w:t>
      </w:r>
    </w:p>
    <w:p w14:paraId="77A0064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（八）违规处理方式</w:t>
      </w:r>
    </w:p>
    <w:p w14:paraId="511D63B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F86B3C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（九）实施</w:t>
      </w:r>
      <w:proofErr w:type="gramStart"/>
      <w:r>
        <w:rPr>
          <w:rFonts w:ascii="宋体" w:hAnsi="宋体" w:cs="宋体" w:hint="eastAsia"/>
          <w:color w:val="000000"/>
          <w:sz w:val="24"/>
          <w:szCs w:val="24"/>
        </w:rPr>
        <w:t>侧袋机制</w:t>
      </w:r>
      <w:proofErr w:type="gramEnd"/>
      <w:r>
        <w:rPr>
          <w:rFonts w:ascii="宋体" w:hAnsi="宋体" w:cs="宋体" w:hint="eastAsia"/>
          <w:color w:val="000000"/>
          <w:sz w:val="24"/>
          <w:szCs w:val="24"/>
        </w:rPr>
        <w:t>期间的基金费用</w:t>
      </w:r>
    </w:p>
    <w:p w14:paraId="1DAAB1E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本基金实施</w:t>
      </w:r>
      <w:proofErr w:type="gramStart"/>
      <w:r>
        <w:rPr>
          <w:rFonts w:ascii="宋体" w:hAnsi="宋体" w:cs="宋体" w:hint="eastAsia"/>
          <w:color w:val="000000"/>
          <w:sz w:val="24"/>
          <w:szCs w:val="24"/>
        </w:rPr>
        <w:t>侧袋机制</w:t>
      </w:r>
      <w:proofErr w:type="gramEnd"/>
      <w:r>
        <w:rPr>
          <w:rFonts w:ascii="宋体" w:hAnsi="宋体" w:cs="宋体" w:hint="eastAsia"/>
          <w:color w:val="000000"/>
          <w:sz w:val="24"/>
          <w:szCs w:val="24"/>
        </w:rPr>
        <w:t>的，</w:t>
      </w:r>
      <w:proofErr w:type="gramStart"/>
      <w:r>
        <w:rPr>
          <w:rFonts w:ascii="宋体" w:hAnsi="宋体" w:cs="宋体" w:hint="eastAsia"/>
          <w:color w:val="000000"/>
          <w:sz w:val="24"/>
          <w:szCs w:val="24"/>
        </w:rPr>
        <w:t>与侧袋账户</w:t>
      </w:r>
      <w:proofErr w:type="gramEnd"/>
      <w:r>
        <w:rPr>
          <w:rFonts w:ascii="宋体" w:hAnsi="宋体" w:cs="宋体" w:hint="eastAsia"/>
          <w:color w:val="000000"/>
          <w:sz w:val="24"/>
          <w:szCs w:val="24"/>
        </w:rPr>
        <w:t>有关的费用可以</w:t>
      </w:r>
      <w:proofErr w:type="gramStart"/>
      <w:r>
        <w:rPr>
          <w:rFonts w:ascii="宋体" w:hAnsi="宋体" w:cs="宋体" w:hint="eastAsia"/>
          <w:color w:val="000000"/>
          <w:sz w:val="24"/>
          <w:szCs w:val="24"/>
        </w:rPr>
        <w:t>从侧袋账户</w:t>
      </w:r>
      <w:proofErr w:type="gramEnd"/>
      <w:r>
        <w:rPr>
          <w:rFonts w:ascii="宋体" w:hAnsi="宋体" w:cs="宋体" w:hint="eastAsia"/>
          <w:color w:val="000000"/>
          <w:sz w:val="24"/>
          <w:szCs w:val="24"/>
        </w:rPr>
        <w:t>中列支，但应</w:t>
      </w:r>
      <w:proofErr w:type="gramStart"/>
      <w:r>
        <w:rPr>
          <w:rFonts w:ascii="宋体" w:hAnsi="宋体" w:cs="宋体" w:hint="eastAsia"/>
          <w:color w:val="000000"/>
          <w:sz w:val="24"/>
          <w:szCs w:val="24"/>
        </w:rPr>
        <w:t>待侧袋</w:t>
      </w:r>
      <w:proofErr w:type="gramEnd"/>
      <w:r>
        <w:rPr>
          <w:rFonts w:ascii="宋体" w:hAnsi="宋体" w:cs="宋体" w:hint="eastAsia"/>
          <w:color w:val="000000"/>
          <w:sz w:val="24"/>
          <w:szCs w:val="24"/>
        </w:rPr>
        <w:t>账户资产变现后方可列支，有关费用可酌情收取或减免，但不得收取管理费，详见招募说明书的规定。</w:t>
      </w:r>
    </w:p>
    <w:p w14:paraId="3877CD26"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5" w:name="_Toc264617152"/>
      <w:r>
        <w:rPr>
          <w:rFonts w:ascii="宋体" w:hAnsi="宋体" w:hint="eastAsia"/>
          <w:bCs w:val="0"/>
          <w:color w:val="000000"/>
          <w:sz w:val="30"/>
          <w:szCs w:val="30"/>
        </w:rPr>
        <w:lastRenderedPageBreak/>
        <w:t>十二、基金份额持有人名册的保管</w:t>
      </w:r>
      <w:bookmarkEnd w:id="15"/>
    </w:p>
    <w:p w14:paraId="670609A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低于法律法规规定的最低期限。如不能妥善保管，则按相关法规承担责任。</w:t>
      </w:r>
    </w:p>
    <w:p w14:paraId="6DAD96F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3784BA1A" w14:textId="77777777" w:rsidR="00562298" w:rsidRDefault="00562298">
      <w:pPr>
        <w:spacing w:line="360" w:lineRule="auto"/>
        <w:ind w:firstLineChars="200" w:firstLine="480"/>
        <w:rPr>
          <w:rFonts w:ascii="仿宋" w:eastAsia="仿宋" w:hAnsi="仿宋"/>
          <w:color w:val="000000"/>
          <w:sz w:val="24"/>
          <w:szCs w:val="24"/>
        </w:rPr>
      </w:pPr>
    </w:p>
    <w:p w14:paraId="79E43868"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6" w:name="_Toc264617153"/>
      <w:r>
        <w:rPr>
          <w:rFonts w:ascii="宋体" w:hAnsi="宋体" w:hint="eastAsia"/>
          <w:bCs w:val="0"/>
          <w:color w:val="000000"/>
          <w:sz w:val="30"/>
          <w:szCs w:val="30"/>
        </w:rPr>
        <w:lastRenderedPageBreak/>
        <w:t>十三、基金有关文件档案的保存</w:t>
      </w:r>
      <w:bookmarkEnd w:id="16"/>
    </w:p>
    <w:p w14:paraId="4354DA2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（一）档案保存</w:t>
      </w:r>
    </w:p>
    <w:p w14:paraId="2940F0A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3B5C967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（二）合同档案的建立</w:t>
      </w:r>
    </w:p>
    <w:p w14:paraId="6A048F9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1．基金管理人签署重大合同文本后，应及时将合同文本正本送达基金托管人处。</w:t>
      </w:r>
    </w:p>
    <w:p w14:paraId="4C04AD0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2．基金管理人应及时将与本基金账务处理、资金划拨等有关的合同、协议传真基金托管人。</w:t>
      </w:r>
    </w:p>
    <w:p w14:paraId="6A6FC3D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（三）变更与协助</w:t>
      </w:r>
    </w:p>
    <w:p w14:paraId="5CB8A2BC" w14:textId="77777777" w:rsidR="00562298" w:rsidRDefault="004636A8">
      <w:pPr>
        <w:spacing w:line="360"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管理人/基金托管人发生变更，未变更的一方有义务协助变更后的接任人接收相应文件。</w:t>
      </w:r>
    </w:p>
    <w:p w14:paraId="3247F6C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（四）基金管理人和基金托管人应按各自职责完整保存原始凭证、记账凭证、基金账册、交易记录和重要合同等，承担保密义务并保存不低于法律法规规定的最低期限。</w:t>
      </w:r>
    </w:p>
    <w:p w14:paraId="0DD28955" w14:textId="77777777" w:rsidR="00562298" w:rsidRDefault="00562298">
      <w:pPr>
        <w:spacing w:line="360" w:lineRule="auto"/>
        <w:ind w:firstLineChars="200" w:firstLine="480"/>
        <w:rPr>
          <w:rFonts w:ascii="仿宋" w:eastAsia="仿宋" w:hAnsi="仿宋"/>
          <w:color w:val="000000"/>
          <w:sz w:val="24"/>
          <w:szCs w:val="24"/>
        </w:rPr>
      </w:pPr>
    </w:p>
    <w:p w14:paraId="60EB4A55"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7" w:name="_Toc264617154"/>
      <w:r>
        <w:rPr>
          <w:rFonts w:ascii="宋体" w:hAnsi="宋体" w:hint="eastAsia"/>
          <w:bCs w:val="0"/>
          <w:color w:val="000000"/>
          <w:sz w:val="30"/>
          <w:szCs w:val="30"/>
        </w:rPr>
        <w:lastRenderedPageBreak/>
        <w:t>十四、基金管理人和基金托管人的更换</w:t>
      </w:r>
      <w:bookmarkEnd w:id="17"/>
    </w:p>
    <w:p w14:paraId="3D8F918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（一）基金管理人的更换</w:t>
      </w:r>
    </w:p>
    <w:p w14:paraId="47CE71B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1、基金管理人职责终止的情形</w:t>
      </w:r>
    </w:p>
    <w:p w14:paraId="55ED172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有下列情形之一的，基金管理人职责终止：</w:t>
      </w:r>
    </w:p>
    <w:p w14:paraId="039E0A5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1)被依法取消基金管理资格；</w:t>
      </w:r>
    </w:p>
    <w:p w14:paraId="60FE5C0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(2)被基金份额持有人大会解任；</w:t>
      </w:r>
    </w:p>
    <w:p w14:paraId="191E596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(3)依法解散、被依法撤销或被依法宣告破产；</w:t>
      </w:r>
    </w:p>
    <w:p w14:paraId="3C57C55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(4)法律法规及中国证监会规定的和基金合同约定的其他情形。</w:t>
      </w:r>
    </w:p>
    <w:p w14:paraId="0E3A720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2、更换基金管理人的程序</w:t>
      </w:r>
    </w:p>
    <w:p w14:paraId="73360F3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(1)提名：</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管理人由基金托管人或由单独或合计持有10%以上（含10%）基金份额的基金份额持有人提名；</w:t>
      </w:r>
    </w:p>
    <w:p w14:paraId="7BF2E7E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(2)决议：基金份额持有人大会在基金管理人职责终止后6个月内对被提名的</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管理人形成决议，该决议需经参加大会的基金份额持有人所持表决权的三分之二以上（含三分之二）表决通过，决议自表决通过之日起生效，</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管理人应当符合法律法规及中国证监会规定的资格条件；</w:t>
      </w:r>
    </w:p>
    <w:p w14:paraId="30B68B6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(3)临时基金管理人：</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管理人产生之前，由中国证监会指定临时基金管理人；</w:t>
      </w:r>
    </w:p>
    <w:p w14:paraId="660F31E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(4)备案：基金份额持有人大会更换基金管理人的决议须报中国证监会备案；</w:t>
      </w:r>
    </w:p>
    <w:p w14:paraId="6FFA674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(5)公告：基金管理人更换后，由基金托管人在更换基金管理人的基金份额持有人大会决议生效后依照《信息披露办法》的规定在规定媒介公告；</w:t>
      </w:r>
    </w:p>
    <w:p w14:paraId="7459BC8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(6)交接：基金管理人职责终止的，基金管理人应妥善保管基金管理业务资料，及时向临时基金管理人或</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管理人办理基金管理业务的移交手续，临时基金管理人或</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管理人应及时接收。</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管理人或</w:t>
      </w:r>
      <w:r>
        <w:rPr>
          <w:rFonts w:ascii="宋体" w:hAnsi="宋体" w:cs="宋体" w:hint="eastAsia"/>
          <w:bCs/>
          <w:color w:val="000000"/>
          <w:sz w:val="24"/>
          <w:szCs w:val="24"/>
        </w:rPr>
        <w:t>者</w:t>
      </w:r>
      <w:r>
        <w:rPr>
          <w:rFonts w:ascii="宋体" w:hAnsi="宋体" w:cs="宋体" w:hint="eastAsia"/>
          <w:color w:val="000000"/>
          <w:sz w:val="24"/>
          <w:szCs w:val="24"/>
        </w:rPr>
        <w:t>临时基金管理人应与基金托管人核对基金资产总值和净值；</w:t>
      </w:r>
    </w:p>
    <w:p w14:paraId="31A272D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审计：基金管理人职责终止的，应当按照法律法规规定聘请符合《中华人民共和国证券法》规定的会计师事务所对基金财产进行审计，并将审计结果予以公告，同时报中国证监会备案，审计费用从基金财产中列支；</w:t>
      </w:r>
    </w:p>
    <w:p w14:paraId="401D70C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(8)基金名称变更：基金管理人更换后，如果原任或</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管理人要求，应按其要求替换或删除基金名称中与原任基金管理人有关的名称字样。</w:t>
      </w:r>
    </w:p>
    <w:p w14:paraId="447D9DF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（二）基金托管人的更换</w:t>
      </w:r>
    </w:p>
    <w:p w14:paraId="22214A9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1、基金托管人职责终止的情形</w:t>
      </w:r>
    </w:p>
    <w:p w14:paraId="72368DF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有下列情形之一的，基金托管人职责终止：</w:t>
      </w:r>
    </w:p>
    <w:p w14:paraId="31F12F2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(1)被依法取消基金托管资格；</w:t>
      </w:r>
    </w:p>
    <w:p w14:paraId="0CAA865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(2)被基金份额持有人大会解任；</w:t>
      </w:r>
    </w:p>
    <w:p w14:paraId="04F19B8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(3)依法解散、被依法撤销或被依法宣告破产；</w:t>
      </w:r>
    </w:p>
    <w:p w14:paraId="43E7E8D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(4)法律法规及中国证监会规定的和基金合同约定的其他情形。</w:t>
      </w:r>
    </w:p>
    <w:p w14:paraId="32DCBB2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2、更换基金托管人的程序</w:t>
      </w:r>
    </w:p>
    <w:p w14:paraId="5903A2D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(1)提名：</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托管人由基金管理人或由单独或合计持有10%以上（含10%）基金份额的基金份额持有人提名；</w:t>
      </w:r>
    </w:p>
    <w:p w14:paraId="7B8B521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(2)决议：基金份额持有人大会在基金托管人职责终止后6个月内对被提名的</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托管人形成决议，该决议需经参加大会的基金份额持有人所持表决权的三分之二以上（含三分之二）表决通过，</w:t>
      </w:r>
      <w:r>
        <w:rPr>
          <w:rFonts w:hint="eastAsia"/>
          <w:bCs/>
          <w:sz w:val="24"/>
        </w:rPr>
        <w:t>决议</w:t>
      </w:r>
      <w:r>
        <w:rPr>
          <w:rFonts w:ascii="宋体" w:hAnsi="宋体" w:cs="宋体" w:hint="eastAsia"/>
          <w:color w:val="000000"/>
          <w:sz w:val="24"/>
          <w:szCs w:val="24"/>
        </w:rPr>
        <w:t>自表决通过之日起生效，</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托管人应当符合法律法规及中国证监会规定的资格条件；</w:t>
      </w:r>
    </w:p>
    <w:p w14:paraId="2AD8645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(3)临时基金托管人：</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托管人产生之前，由中国证监会指定临时基金托管人；</w:t>
      </w:r>
    </w:p>
    <w:p w14:paraId="4A8D40E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(4)备案：基金份额持有人大会更换基金托管人的决议须报中国证监会备案；</w:t>
      </w:r>
    </w:p>
    <w:p w14:paraId="2800CB9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(5)公告：基金托管人更换后，由基金管理人在更换基金托管人的基金份额持有人大会决议生效后依照《信息披露办法》的规定在规定媒介公告；</w:t>
      </w:r>
    </w:p>
    <w:p w14:paraId="418E631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(6)交接：基金托管人职责终止的，应当妥善保管基金财产和基金托管业务资料，及时办理基金财产和基金托管业务的移交手续，</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托管人或者临时基金托管人应当及时接收。</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托管人或</w:t>
      </w:r>
      <w:r>
        <w:rPr>
          <w:rFonts w:ascii="宋体" w:hAnsi="宋体" w:cs="宋体" w:hint="eastAsia"/>
          <w:bCs/>
          <w:color w:val="000000"/>
          <w:sz w:val="24"/>
          <w:szCs w:val="24"/>
        </w:rPr>
        <w:t>者</w:t>
      </w:r>
      <w:r>
        <w:rPr>
          <w:rFonts w:ascii="宋体" w:hAnsi="宋体" w:cs="宋体" w:hint="eastAsia"/>
          <w:color w:val="000000"/>
          <w:sz w:val="24"/>
          <w:szCs w:val="24"/>
        </w:rPr>
        <w:t xml:space="preserve">临时基金托管人应与基金管理人核对基金资产总值和净值； </w:t>
      </w:r>
    </w:p>
    <w:p w14:paraId="0E7CA5B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审计：基金托管人职责终止的，应当按照法律法规规定聘请符合《中华人民共和国证券法》规定的会计师事务所对基金财产进行审计，并将审计结果予以公告，同时报中国证监会备案，审计费用从基金财产中列支。</w:t>
      </w:r>
    </w:p>
    <w:p w14:paraId="5EEE9CC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w:t>
      </w:r>
      <w:r>
        <w:rPr>
          <w:rFonts w:ascii="宋体" w:hAnsi="宋体" w:cs="宋体" w:hint="eastAsia"/>
          <w:color w:val="000000"/>
          <w:sz w:val="24"/>
          <w:szCs w:val="24"/>
        </w:rPr>
        <w:tab/>
        <w:t>基金管理人和基金托管人的同时更换程序</w:t>
      </w:r>
    </w:p>
    <w:p w14:paraId="0301275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1、提名：如果基金管理人和基金托管人同时更换，由单独或合计持有基金总份额</w:t>
      </w:r>
      <w:r>
        <w:rPr>
          <w:rFonts w:ascii="宋体" w:hAnsi="宋体" w:cs="宋体"/>
          <w:color w:val="000000"/>
          <w:sz w:val="24"/>
          <w:szCs w:val="24"/>
        </w:rPr>
        <w:t>10%</w:t>
      </w:r>
      <w:r>
        <w:rPr>
          <w:rFonts w:ascii="宋体" w:hAnsi="宋体" w:cs="宋体" w:hint="eastAsia"/>
          <w:color w:val="000000"/>
          <w:sz w:val="24"/>
          <w:szCs w:val="24"/>
        </w:rPr>
        <w:t>以上（含</w:t>
      </w:r>
      <w:r>
        <w:rPr>
          <w:rFonts w:ascii="宋体" w:hAnsi="宋体" w:cs="宋体"/>
          <w:color w:val="000000"/>
          <w:sz w:val="24"/>
          <w:szCs w:val="24"/>
        </w:rPr>
        <w:t>10%</w:t>
      </w:r>
      <w:r>
        <w:rPr>
          <w:rFonts w:ascii="宋体" w:hAnsi="宋体" w:cs="宋体" w:hint="eastAsia"/>
          <w:color w:val="000000"/>
          <w:sz w:val="24"/>
          <w:szCs w:val="24"/>
        </w:rPr>
        <w:t>）的基金份额持有人提名新的基金管理人和基金托管人；</w:t>
      </w:r>
    </w:p>
    <w:p w14:paraId="5E4F963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2、基金管理人和基金托管人的更换分别按上述程序进行；</w:t>
      </w:r>
    </w:p>
    <w:p w14:paraId="2E4292C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3、公告：</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管理人和</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托管人应在更换基金管理人和基金托管人的基金份额持有人大会决议生效后依照《信息披露办法》的规定在规定媒介上联合公告。</w:t>
      </w:r>
    </w:p>
    <w:p w14:paraId="4B04A74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管理人或临时基金管理人接收基金管理业务或</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或临时基金托管人接收基金财产和基金托管业务前，原任基金管理人或基金托管人应继续履行相关职责，并保证不做出对基金份额持有人的利益造成损害的行为。原任基金管理人或基金托管人在继续履行相关职责期间，仍有权按照基金合同的约定收取基金管理费或基金托管费。</w:t>
      </w:r>
    </w:p>
    <w:p w14:paraId="0C91BB8A" w14:textId="77777777" w:rsidR="00562298" w:rsidRDefault="004636A8">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t>（五）本部</w:t>
      </w:r>
      <w:proofErr w:type="gramStart"/>
      <w:r>
        <w:rPr>
          <w:rFonts w:ascii="宋体" w:hAnsi="宋体" w:cs="宋体" w:hint="eastAsia"/>
          <w:color w:val="000000"/>
          <w:sz w:val="24"/>
          <w:szCs w:val="24"/>
        </w:rPr>
        <w:t>分关于</w:t>
      </w:r>
      <w:proofErr w:type="gramEnd"/>
      <w:r>
        <w:rPr>
          <w:rFonts w:ascii="宋体" w:hAnsi="宋体" w:cs="宋体" w:hint="eastAsia"/>
          <w:color w:val="000000"/>
          <w:sz w:val="24"/>
          <w:szCs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4DD45CD2" w14:textId="77777777" w:rsidR="00562298" w:rsidRDefault="00562298">
      <w:pPr>
        <w:spacing w:line="360" w:lineRule="auto"/>
        <w:ind w:firstLineChars="200" w:firstLine="480"/>
        <w:rPr>
          <w:rFonts w:ascii="仿宋" w:eastAsia="仿宋" w:hAnsi="仿宋"/>
          <w:color w:val="000000"/>
          <w:sz w:val="24"/>
          <w:szCs w:val="24"/>
        </w:rPr>
      </w:pPr>
    </w:p>
    <w:p w14:paraId="66F9CD43"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8" w:name="_Toc264617155"/>
      <w:r>
        <w:rPr>
          <w:rFonts w:ascii="宋体" w:hAnsi="宋体" w:hint="eastAsia"/>
          <w:bCs w:val="0"/>
          <w:color w:val="000000"/>
          <w:sz w:val="30"/>
          <w:szCs w:val="30"/>
        </w:rPr>
        <w:lastRenderedPageBreak/>
        <w:t>十五、禁止行为</w:t>
      </w:r>
      <w:bookmarkEnd w:id="18"/>
    </w:p>
    <w:p w14:paraId="18446F8A" w14:textId="77777777" w:rsidR="00562298" w:rsidRDefault="004636A8">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本协议当事人禁止从事的行为，包括但不限于：</w:t>
      </w:r>
    </w:p>
    <w:p w14:paraId="1477BFB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（一）基金管理人、基金托管人将其固有财产或者他人财产混同于基金财产从事证券投资。</w:t>
      </w:r>
    </w:p>
    <w:p w14:paraId="5102033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（二）基金管理人不公平地对待其管理的不同基金财产，基金托管人不公平地对待其托管的不同基金财产。</w:t>
      </w:r>
    </w:p>
    <w:p w14:paraId="5541BF2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（三）基金管理人、基金托管人利用基金财产或职务之便为基金份额持有人以外的第三人牟取利益。</w:t>
      </w:r>
    </w:p>
    <w:p w14:paraId="565000A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（四）基金管理人、基金托管人向基金份额持有人违规承诺收益或者承担损失。</w:t>
      </w:r>
    </w:p>
    <w:p w14:paraId="563608A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（五）基金管理人、基金托管人对他人泄漏基金运作和管理过程中任何尚未按法律法规规定的方式公开披露的信息。</w:t>
      </w:r>
    </w:p>
    <w:p w14:paraId="71F76794"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（六）基金管理人在没有充足资金的情况下向基金托管人发出投资指令和赎回、分红资金的划拨指令，或违规向基金托管人发出指令。</w:t>
      </w:r>
    </w:p>
    <w:p w14:paraId="3B4D8257"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（七）基金管理人、基金托管人高级管理人员和其他从业人员相互兼职。</w:t>
      </w:r>
    </w:p>
    <w:p w14:paraId="278E1AE6"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（八）基金托管人私自动用或处分基金财产，根据基金管理人的合法指令、基金合同或托管协议的规定进行处分的除外。</w:t>
      </w:r>
    </w:p>
    <w:p w14:paraId="11AAB47C"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（九）基金管理人、基金托管人侵占、挪用基金财产。</w:t>
      </w:r>
    </w:p>
    <w:p w14:paraId="5CDAC51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（十）基金管理人、基金托管人泄露因职务便利获取的未公开信息、利用该信息从事或者明示、暗示他人从事相关的交易活动。</w:t>
      </w:r>
    </w:p>
    <w:p w14:paraId="4FC837E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（十一）基金管理人、基金托管人玩忽职守，不按照规定履行职责。</w:t>
      </w:r>
    </w:p>
    <w:p w14:paraId="4F169C3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（十二）基金财产用于下列投资或者活动：</w:t>
      </w:r>
    </w:p>
    <w:p w14:paraId="31740CBA" w14:textId="77777777" w:rsidR="00562298" w:rsidRDefault="004636A8">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（1）承销证券；</w:t>
      </w:r>
    </w:p>
    <w:p w14:paraId="4C190320" w14:textId="77777777" w:rsidR="00562298" w:rsidRDefault="004636A8">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（2）违反规定向他人贷款或者提供担保；</w:t>
      </w:r>
    </w:p>
    <w:p w14:paraId="7699CE5E" w14:textId="77777777" w:rsidR="00562298" w:rsidRDefault="004636A8">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（3）从事承担无限责任的投资；</w:t>
      </w:r>
    </w:p>
    <w:p w14:paraId="58333D40" w14:textId="6CE35B1E" w:rsidR="00562298" w:rsidRDefault="004636A8">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（4）向其基金管理人、基金托管人出资；</w:t>
      </w:r>
    </w:p>
    <w:p w14:paraId="40C1A242" w14:textId="692B8389" w:rsidR="00562298" w:rsidRDefault="004636A8">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w:t>
      </w:r>
      <w:r>
        <w:rPr>
          <w:rFonts w:ascii="宋体" w:hAnsi="宋体" w:cs="宋体"/>
          <w:color w:val="000000"/>
          <w:sz w:val="24"/>
          <w:szCs w:val="21"/>
        </w:rPr>
        <w:t>5</w:t>
      </w:r>
      <w:r>
        <w:rPr>
          <w:rFonts w:ascii="宋体" w:hAnsi="宋体" w:cs="宋体" w:hint="eastAsia"/>
          <w:color w:val="000000"/>
          <w:sz w:val="24"/>
          <w:szCs w:val="21"/>
        </w:rPr>
        <w:t>）从事内幕交易、操纵证券交易价格及其他不正当的证券交易活动；</w:t>
      </w:r>
    </w:p>
    <w:p w14:paraId="5F7A87EE" w14:textId="4561FF80"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1"/>
        </w:rPr>
        <w:t>（</w:t>
      </w:r>
      <w:r>
        <w:rPr>
          <w:rFonts w:ascii="宋体" w:hAnsi="宋体" w:cs="宋体"/>
          <w:color w:val="000000"/>
          <w:sz w:val="24"/>
          <w:szCs w:val="21"/>
        </w:rPr>
        <w:t>6</w:t>
      </w:r>
      <w:r>
        <w:rPr>
          <w:rFonts w:ascii="宋体" w:hAnsi="宋体" w:cs="宋体" w:hint="eastAsia"/>
          <w:color w:val="000000"/>
          <w:sz w:val="24"/>
          <w:szCs w:val="21"/>
        </w:rPr>
        <w:t>）法律、行政法规和中国证监会规定禁止的其他活动。</w:t>
      </w:r>
    </w:p>
    <w:p w14:paraId="7ABD9A0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（十三）法律法规和基金合同禁止的其他行为，以及法律、行政法规和中国</w:t>
      </w:r>
      <w:r>
        <w:rPr>
          <w:rFonts w:ascii="宋体" w:hAnsi="宋体" w:cs="宋体" w:hint="eastAsia"/>
          <w:color w:val="000000"/>
          <w:sz w:val="24"/>
          <w:szCs w:val="24"/>
        </w:rPr>
        <w:lastRenderedPageBreak/>
        <w:t>证监会规定禁止基金管理人、基金托管人从事的其他行为。</w:t>
      </w:r>
    </w:p>
    <w:p w14:paraId="56CA5C26" w14:textId="77777777" w:rsidR="00562298" w:rsidRDefault="004636A8">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t>如法律、行政法规或监管部门取消上述规定，如适用于本基金，基金管理人在履行适当程序后，本基金可不受上述规定的限制。</w:t>
      </w:r>
    </w:p>
    <w:p w14:paraId="2C3E0FC6" w14:textId="77777777" w:rsidR="00562298" w:rsidRDefault="004636A8">
      <w:pPr>
        <w:pStyle w:val="2"/>
        <w:spacing w:line="360" w:lineRule="auto"/>
        <w:jc w:val="center"/>
        <w:rPr>
          <w:rFonts w:ascii="宋体" w:hAnsi="宋体"/>
          <w:bCs w:val="0"/>
          <w:color w:val="000000"/>
          <w:sz w:val="30"/>
          <w:szCs w:val="30"/>
        </w:rPr>
      </w:pPr>
      <w:r>
        <w:rPr>
          <w:rFonts w:ascii="仿宋" w:eastAsia="仿宋" w:hAnsi="仿宋" w:hint="eastAsia"/>
          <w:b w:val="0"/>
          <w:bCs w:val="0"/>
          <w:color w:val="000000"/>
          <w:sz w:val="24"/>
          <w:szCs w:val="24"/>
        </w:rPr>
        <w:br w:type="page"/>
      </w:r>
      <w:bookmarkStart w:id="19" w:name="_Toc264617156"/>
      <w:r>
        <w:rPr>
          <w:rFonts w:ascii="宋体" w:hAnsi="宋体" w:hint="eastAsia"/>
          <w:bCs w:val="0"/>
          <w:color w:val="000000"/>
          <w:sz w:val="30"/>
          <w:szCs w:val="30"/>
        </w:rPr>
        <w:lastRenderedPageBreak/>
        <w:t>十六、托管协议的变更、终止与基金财产的清算</w:t>
      </w:r>
      <w:bookmarkEnd w:id="19"/>
    </w:p>
    <w:p w14:paraId="63EFDCF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（一）托管协议的变更程序</w:t>
      </w:r>
    </w:p>
    <w:p w14:paraId="03FCFF3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本协议双方当事人经协商一致，可以对协议进行修改。修改后的新协议，其内容不得与基金合同的规定有任何冲突。基金托管协议的变更报中国证监会</w:t>
      </w:r>
      <w:r>
        <w:rPr>
          <w:rFonts w:ascii="宋体" w:hAnsi="宋体" w:cs="宋体" w:hint="eastAsia"/>
          <w:color w:val="000000"/>
          <w:spacing w:val="6"/>
          <w:sz w:val="24"/>
        </w:rPr>
        <w:t>备案</w:t>
      </w:r>
      <w:r>
        <w:rPr>
          <w:rFonts w:ascii="宋体" w:hAnsi="宋体" w:cs="宋体" w:hint="eastAsia"/>
          <w:color w:val="000000"/>
          <w:sz w:val="24"/>
          <w:szCs w:val="24"/>
        </w:rPr>
        <w:t>。</w:t>
      </w:r>
    </w:p>
    <w:p w14:paraId="1BD7DB1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（二）基金托管协议终止出现的情形</w:t>
      </w:r>
    </w:p>
    <w:p w14:paraId="42FDC43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1．基金合同终止；</w:t>
      </w:r>
    </w:p>
    <w:p w14:paraId="1C5D8CA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2．基金托管人解散、依法被撤销、破产或由其他基金托管人接管基金资产；</w:t>
      </w:r>
    </w:p>
    <w:p w14:paraId="4BE8F91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3．基金管理人解散、依法被撤销、破产或由其他基金管理人接管基金管理权；</w:t>
      </w:r>
    </w:p>
    <w:p w14:paraId="43A8EA2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4．发生法律法规或基金合同规定的终止事项。</w:t>
      </w:r>
    </w:p>
    <w:p w14:paraId="422CC61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（三）基金财产的清算</w:t>
      </w:r>
    </w:p>
    <w:p w14:paraId="4AB8695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1．基金财产清算小组</w:t>
      </w:r>
    </w:p>
    <w:p w14:paraId="1FAD707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（1）自出现基金合同终止事由之日起30个工作日内成立清算小组，基金管理人组织基金财产清算小组并在中国证监会的监督下进行基金清算。</w:t>
      </w:r>
    </w:p>
    <w:p w14:paraId="5BC1555B"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（2）基金财产清算小组成员由基金管理人、基金托管人、符合《中华人民共和国证券法》规定的注册会计师、律师以及中国证监会指定的人员组成。基金财产清算小组可以聘用必要的工作人员。</w:t>
      </w:r>
    </w:p>
    <w:p w14:paraId="22F47E1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（3）在基金财产清算过程中，基金管理人和基金托管人应各自履行职责，继续忠实、勤勉、尽责地履行基金合同和本托管协议规定的义务，维护基金份额持有人的合法权益。</w:t>
      </w:r>
    </w:p>
    <w:p w14:paraId="18971A9E"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（4）基金财产清算小组负责基金财产的保管、清理、估价、变现和分配。基金财产清算小组可以依法进行必要的民事活动。</w:t>
      </w:r>
    </w:p>
    <w:p w14:paraId="77E4F17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2．基金财产清算程序</w:t>
      </w:r>
    </w:p>
    <w:p w14:paraId="250F784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基金合同终止，应当按法律法规和基金合同的有关规定对基金财产进行清算。基金财产清算程序主要包括：</w:t>
      </w:r>
    </w:p>
    <w:p w14:paraId="5D86424A"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（1）基金合同终止情形出现时，由基金财产清算小组统一接管基金；</w:t>
      </w:r>
    </w:p>
    <w:p w14:paraId="02A9EC73"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（2）对基金财产和债权债务进行清理和确认；</w:t>
      </w:r>
    </w:p>
    <w:p w14:paraId="4BE0A9E7"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（3）对基金财产进行估值和变现；</w:t>
      </w:r>
    </w:p>
    <w:p w14:paraId="04E2F09F"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（4）制作清算报告；</w:t>
      </w:r>
    </w:p>
    <w:p w14:paraId="1135A4E2"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（5）聘请会计师事务所对清算报告进行外部审计，聘请律师事务所对清算报告出具法律意见书；</w:t>
      </w:r>
    </w:p>
    <w:p w14:paraId="52033084"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（6）将清算报告报中国证监会备案并公告；</w:t>
      </w:r>
    </w:p>
    <w:p w14:paraId="5F691D8E"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（7）对基金剩余财产进行分配。</w:t>
      </w:r>
    </w:p>
    <w:p w14:paraId="5E9FB61D" w14:textId="77777777" w:rsidR="00562298" w:rsidRDefault="004636A8">
      <w:pPr>
        <w:spacing w:line="360" w:lineRule="auto"/>
        <w:ind w:firstLineChars="200" w:firstLine="480"/>
        <w:rPr>
          <w:rFonts w:ascii="宋体" w:hAnsi="宋体" w:cs="宋体"/>
          <w:bCs/>
          <w:color w:val="000000"/>
          <w:sz w:val="24"/>
        </w:rPr>
      </w:pPr>
      <w:r>
        <w:rPr>
          <w:rFonts w:ascii="宋体" w:hAnsi="宋体" w:cs="宋体" w:hint="eastAsia"/>
          <w:bCs/>
          <w:color w:val="000000"/>
          <w:sz w:val="24"/>
        </w:rPr>
        <w:t>3.基金财产清算的期限为6个月，但因本基金所持证券的流动性受到限制而不能及时变现的，清算期限相应顺延。</w:t>
      </w:r>
    </w:p>
    <w:p w14:paraId="301A551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4．清算费用</w:t>
      </w:r>
    </w:p>
    <w:p w14:paraId="7D3F5C6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清算费用是指基金财产清算小组在进行基金清算过程中发生的所有合理费用，清算费用由基金财产清算小组优先从基金财产中支付。</w:t>
      </w:r>
    </w:p>
    <w:p w14:paraId="02C8975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5．基金财产按下列顺序清偿：</w:t>
      </w:r>
    </w:p>
    <w:p w14:paraId="64638A3F"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(1)支付清算费用；</w:t>
      </w:r>
    </w:p>
    <w:p w14:paraId="59BB8D52"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(2)交纳所欠税款；</w:t>
      </w:r>
    </w:p>
    <w:p w14:paraId="0B296BFE"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(3)清偿基金债务；</w:t>
      </w:r>
    </w:p>
    <w:p w14:paraId="4F20A3A6"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(4)按基金份额持有人持有的基金份额比例进行分配。</w:t>
      </w:r>
    </w:p>
    <w:p w14:paraId="3232EFDF" w14:textId="77777777" w:rsidR="00562298" w:rsidRDefault="004636A8">
      <w:pPr>
        <w:spacing w:line="360" w:lineRule="auto"/>
        <w:ind w:firstLineChars="200" w:firstLine="480"/>
        <w:rPr>
          <w:rFonts w:ascii="宋体" w:hAnsi="宋体" w:cs="宋体"/>
          <w:bCs/>
          <w:sz w:val="24"/>
        </w:rPr>
      </w:pPr>
      <w:r>
        <w:rPr>
          <w:rFonts w:ascii="宋体" w:hAnsi="宋体" w:cs="宋体" w:hint="eastAsia"/>
          <w:bCs/>
          <w:sz w:val="24"/>
        </w:rPr>
        <w:t>基金财产未按前款(1)－(3)项规定清偿前，不分配给基金份额持有人。</w:t>
      </w:r>
    </w:p>
    <w:p w14:paraId="67290C4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6．基金财产清算的公告</w:t>
      </w:r>
    </w:p>
    <w:p w14:paraId="2CCA2BC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清算过程中的有关重大事项须及时公告；基金财产清算报告</w:t>
      </w:r>
      <w:proofErr w:type="gramStart"/>
      <w:r>
        <w:rPr>
          <w:rFonts w:ascii="宋体" w:hAnsi="宋体" w:cs="宋体" w:hint="eastAsia"/>
          <w:color w:val="000000"/>
          <w:sz w:val="24"/>
          <w:szCs w:val="24"/>
        </w:rPr>
        <w:t>经</w:t>
      </w:r>
      <w:r>
        <w:rPr>
          <w:rFonts w:hint="eastAsia"/>
          <w:bCs/>
          <w:sz w:val="24"/>
        </w:rPr>
        <w:t>符合</w:t>
      </w:r>
      <w:proofErr w:type="gramEnd"/>
      <w:r>
        <w:rPr>
          <w:rFonts w:hint="eastAsia"/>
          <w:bCs/>
          <w:sz w:val="24"/>
        </w:rPr>
        <w:t>《中华人民共和国证券法》规定的</w:t>
      </w:r>
      <w:r>
        <w:rPr>
          <w:rFonts w:ascii="宋体" w:hAnsi="宋体" w:cs="宋体" w:hint="eastAsia"/>
          <w:color w:val="000000"/>
          <w:sz w:val="24"/>
          <w:szCs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2FE85E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7．基金财产清算账册及文件的保存</w:t>
      </w:r>
    </w:p>
    <w:p w14:paraId="5962C3A1"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基金财产清算账册及有关文件由基金托管人保存不低于法律法规规定的最低期限。</w:t>
      </w:r>
    </w:p>
    <w:p w14:paraId="3CF7EED9" w14:textId="77777777" w:rsidR="00562298" w:rsidRDefault="00562298">
      <w:pPr>
        <w:spacing w:line="360" w:lineRule="auto"/>
        <w:ind w:firstLineChars="200" w:firstLine="480"/>
        <w:rPr>
          <w:rFonts w:ascii="宋体" w:hAnsi="宋体" w:cs="宋体"/>
          <w:color w:val="000000"/>
          <w:sz w:val="24"/>
          <w:szCs w:val="24"/>
        </w:rPr>
      </w:pPr>
    </w:p>
    <w:p w14:paraId="0E92E23D"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0" w:name="_Toc264617157"/>
      <w:r>
        <w:rPr>
          <w:rFonts w:ascii="宋体" w:hAnsi="宋体" w:hint="eastAsia"/>
          <w:bCs w:val="0"/>
          <w:color w:val="000000"/>
          <w:sz w:val="30"/>
          <w:szCs w:val="30"/>
        </w:rPr>
        <w:lastRenderedPageBreak/>
        <w:t>十七、违约责任</w:t>
      </w:r>
      <w:bookmarkEnd w:id="20"/>
    </w:p>
    <w:p w14:paraId="33FDE4C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（一）基金管理人、基金托管人不履行本协议或履行本协议不符合约定的，应当承担违约责任。</w:t>
      </w:r>
    </w:p>
    <w:p w14:paraId="2E3D622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03EA77AA"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（三）一方当事人违约，给另一方当事人造成损失的，应就损失进行赔偿；给基金财产造成损失的，应就损失进行赔偿，另一方当事人有权利及义务代表基金向违约方追偿。但是如发生下列情况，当事人免责：</w:t>
      </w:r>
    </w:p>
    <w:p w14:paraId="54FD68E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1、不可抗力；</w:t>
      </w:r>
    </w:p>
    <w:p w14:paraId="18AE764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2、基金管理人和/或基金托管人按照当时有效的法律法规或中国证监会的规定作为或不作为而造成的损失等；</w:t>
      </w:r>
    </w:p>
    <w:p w14:paraId="77FD68FF"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3、基金管理人由于按照基金合同规定的投资原则行使或不行使其投资权而造成的损失等。</w:t>
      </w:r>
    </w:p>
    <w:p w14:paraId="4FB1F69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一方当事人违约，另一方当事人在职责范围内有义务及时采取必要的措施，尽力防止损失的扩大；没有采取适当措施致使损失扩大的，不得就扩大的损失要求赔偿。非违约方因防止损失扩大而支出的合理费用由违约方承担。</w:t>
      </w:r>
    </w:p>
    <w:p w14:paraId="794E1E13"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（五）违约行为虽已发生，但本托管协议能够继续履行的，在最大限度地保护基金份额持有人利益的前提下，基金管理人和基金托管人应当继续履行本协议。</w:t>
      </w: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管理人或基金托管人因履行本协议而被起诉，另一方应提供合理的必要支持。</w:t>
      </w:r>
    </w:p>
    <w:p w14:paraId="44E4BE95"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16702163" w14:textId="77777777" w:rsidR="00562298" w:rsidRDefault="004636A8">
      <w:pPr>
        <w:pStyle w:val="2"/>
        <w:spacing w:line="360" w:lineRule="auto"/>
        <w:jc w:val="center"/>
        <w:rPr>
          <w:rFonts w:ascii="宋体" w:hAnsi="宋体"/>
          <w:color w:val="000000"/>
          <w:sz w:val="30"/>
          <w:szCs w:val="30"/>
        </w:rPr>
      </w:pPr>
      <w:bookmarkStart w:id="21" w:name="_Toc264617158"/>
      <w:r>
        <w:rPr>
          <w:rFonts w:ascii="宋体" w:hAnsi="宋体" w:hint="eastAsia"/>
          <w:bCs w:val="0"/>
          <w:color w:val="000000"/>
          <w:sz w:val="30"/>
          <w:szCs w:val="30"/>
        </w:rPr>
        <w:lastRenderedPageBreak/>
        <w:t>十八、争议解决方式</w:t>
      </w:r>
      <w:bookmarkEnd w:id="21"/>
    </w:p>
    <w:p w14:paraId="66BDA2D6" w14:textId="4DFDF94C"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bCs/>
          <w:color w:val="000000"/>
          <w:sz w:val="24"/>
        </w:rPr>
        <w:t>双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裁决是终局的，对双方当事人均有约束力，仲裁费用由败诉方承担，除非仲裁裁决另有规定</w:t>
      </w:r>
      <w:r>
        <w:rPr>
          <w:rFonts w:ascii="宋体" w:hAnsi="宋体" w:cs="宋体" w:hint="eastAsia"/>
          <w:color w:val="000000"/>
          <w:sz w:val="24"/>
          <w:szCs w:val="24"/>
        </w:rPr>
        <w:t>。</w:t>
      </w:r>
    </w:p>
    <w:p w14:paraId="141CDDB6" w14:textId="77777777" w:rsidR="00562298" w:rsidRDefault="004636A8">
      <w:pPr>
        <w:spacing w:line="360" w:lineRule="auto"/>
        <w:ind w:firstLineChars="200" w:firstLine="480"/>
        <w:rPr>
          <w:rFonts w:ascii="宋体" w:hAnsi="宋体" w:cs="宋体"/>
          <w:color w:val="000000"/>
          <w:sz w:val="24"/>
          <w:szCs w:val="24"/>
        </w:rPr>
      </w:pPr>
      <w:r>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2724D29"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本协议受中国法律</w:t>
      </w:r>
      <w:r>
        <w:rPr>
          <w:rFonts w:hint="eastAsia"/>
          <w:bCs/>
          <w:sz w:val="24"/>
        </w:rPr>
        <w:t>（不含</w:t>
      </w:r>
      <w:r>
        <w:rPr>
          <w:bCs/>
          <w:sz w:val="24"/>
        </w:rPr>
        <w:t>港澳台地区法律）</w:t>
      </w:r>
      <w:r>
        <w:rPr>
          <w:rFonts w:ascii="宋体" w:hAnsi="宋体" w:cs="宋体" w:hint="eastAsia"/>
          <w:color w:val="000000"/>
          <w:sz w:val="24"/>
          <w:szCs w:val="24"/>
        </w:rPr>
        <w:t>管辖</w:t>
      </w:r>
      <w:r>
        <w:rPr>
          <w:rFonts w:hint="eastAsia"/>
          <w:bCs/>
          <w:sz w:val="24"/>
        </w:rPr>
        <w:t>并从其解释</w:t>
      </w:r>
      <w:r>
        <w:rPr>
          <w:rFonts w:ascii="宋体" w:hAnsi="宋体" w:cs="宋体" w:hint="eastAsia"/>
          <w:color w:val="000000"/>
          <w:sz w:val="24"/>
          <w:szCs w:val="24"/>
        </w:rPr>
        <w:t>。</w:t>
      </w:r>
    </w:p>
    <w:p w14:paraId="6606E0A7" w14:textId="77777777" w:rsidR="00562298" w:rsidRDefault="00562298">
      <w:pPr>
        <w:spacing w:line="360" w:lineRule="auto"/>
        <w:ind w:firstLineChars="200" w:firstLine="480"/>
        <w:rPr>
          <w:rFonts w:ascii="宋体" w:hAnsi="宋体" w:cs="宋体"/>
          <w:color w:val="000000"/>
          <w:sz w:val="24"/>
          <w:szCs w:val="24"/>
        </w:rPr>
      </w:pPr>
    </w:p>
    <w:p w14:paraId="30E560CD"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2" w:name="_Toc264617159"/>
      <w:r>
        <w:rPr>
          <w:rFonts w:ascii="宋体" w:hAnsi="宋体" w:hint="eastAsia"/>
          <w:bCs w:val="0"/>
          <w:color w:val="000000"/>
          <w:sz w:val="30"/>
          <w:szCs w:val="30"/>
        </w:rPr>
        <w:lastRenderedPageBreak/>
        <w:t>十九、托管协议的效力</w:t>
      </w:r>
      <w:bookmarkEnd w:id="22"/>
    </w:p>
    <w:p w14:paraId="6ABF752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双方对托管协议的效力约定如下：</w:t>
      </w:r>
    </w:p>
    <w:p w14:paraId="4DFE73D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在向中国证监会申请基金募集注册时提交的托管协议草案，应经托管协议当事人双方盖章以及双方法定代表人或授权代表签章，协议当事人双方根据中国证监会的意见修改托管协议草案。托管协议以中国证监会注册的文本为正式文本。</w:t>
      </w:r>
    </w:p>
    <w:p w14:paraId="35AE158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（二）托管协议自基金合同生效之日起生效。托管协议的有效期自其生效之日起至基金财产清算结果报中国证监会备案并公告之日止。</w:t>
      </w:r>
    </w:p>
    <w:p w14:paraId="727CDEDD"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（三）托管协议自生效之日起对托管协议当事人具有同等的法律约束力。</w:t>
      </w:r>
    </w:p>
    <w:p w14:paraId="3B7ECA08"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w:t>
      </w:r>
      <w:r>
        <w:rPr>
          <w:rFonts w:ascii="宋体" w:hAnsi="宋体" w:hint="eastAsia"/>
          <w:color w:val="000000"/>
          <w:sz w:val="24"/>
          <w:szCs w:val="24"/>
        </w:rPr>
        <w:t>本协议一式三份，协议双方各持一份，上报中国证监会一份，每份具有同等法律效力。</w:t>
      </w:r>
    </w:p>
    <w:p w14:paraId="0A197797" w14:textId="77777777" w:rsidR="00562298" w:rsidRDefault="00562298">
      <w:pPr>
        <w:spacing w:line="360" w:lineRule="auto"/>
        <w:ind w:firstLineChars="200" w:firstLine="480"/>
        <w:rPr>
          <w:rFonts w:ascii="仿宋" w:eastAsia="仿宋" w:hAnsi="仿宋"/>
          <w:color w:val="000000"/>
          <w:sz w:val="24"/>
          <w:szCs w:val="24"/>
        </w:rPr>
      </w:pPr>
    </w:p>
    <w:p w14:paraId="0E0D97CD"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3" w:name="_Toc264617160"/>
      <w:r>
        <w:rPr>
          <w:rFonts w:ascii="宋体" w:hAnsi="宋体" w:hint="eastAsia"/>
          <w:bCs w:val="0"/>
          <w:color w:val="000000"/>
          <w:sz w:val="30"/>
          <w:szCs w:val="30"/>
        </w:rPr>
        <w:lastRenderedPageBreak/>
        <w:t>二十、其他事项</w:t>
      </w:r>
      <w:bookmarkEnd w:id="23"/>
    </w:p>
    <w:p w14:paraId="3A8552F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如发生有权司法机关依法冻结基金份额持有人的基金份额时，基金管理人应予以配合，承担司法协助义务。</w:t>
      </w:r>
    </w:p>
    <w:p w14:paraId="27CB9542"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除本协议有明确定义外，本协议的用语定义适用基金合同的约定。本协议未尽事宜，当事人依据基金合同、有关法律法规等规定协商办理。</w:t>
      </w:r>
    </w:p>
    <w:p w14:paraId="4829D72C" w14:textId="77777777" w:rsidR="00562298" w:rsidRDefault="00562298">
      <w:pPr>
        <w:spacing w:line="360" w:lineRule="auto"/>
        <w:ind w:firstLineChars="200" w:firstLine="480"/>
        <w:rPr>
          <w:rFonts w:ascii="宋体" w:hAnsi="宋体" w:cs="宋体"/>
          <w:color w:val="000000"/>
          <w:sz w:val="24"/>
          <w:szCs w:val="24"/>
        </w:rPr>
      </w:pPr>
    </w:p>
    <w:p w14:paraId="083096CB" w14:textId="77777777" w:rsidR="00562298" w:rsidRDefault="004636A8">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4" w:name="_Toc264617161"/>
      <w:r>
        <w:rPr>
          <w:rFonts w:ascii="宋体" w:hAnsi="宋体" w:hint="eastAsia"/>
          <w:bCs w:val="0"/>
          <w:color w:val="000000"/>
          <w:sz w:val="30"/>
          <w:szCs w:val="30"/>
        </w:rPr>
        <w:lastRenderedPageBreak/>
        <w:t>二十一、托管协议的签订</w:t>
      </w:r>
      <w:bookmarkEnd w:id="24"/>
    </w:p>
    <w:p w14:paraId="4B159B20" w14:textId="77777777" w:rsidR="00562298" w:rsidRDefault="004636A8">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本托管协议经基金管理人和基金托管人认可后，由该双方当事人在基金托管协议上盖章，并由各自的法定代表人或授权代表签署，并注明基金托管协议的签订地点和签订日期。</w:t>
      </w:r>
    </w:p>
    <w:p w14:paraId="16ECE901" w14:textId="77777777" w:rsidR="00562298" w:rsidRDefault="00562298">
      <w:pPr>
        <w:spacing w:line="360" w:lineRule="auto"/>
        <w:ind w:firstLineChars="200" w:firstLine="480"/>
        <w:rPr>
          <w:rFonts w:ascii="宋体" w:hAnsi="宋体" w:cs="宋体"/>
          <w:color w:val="000000"/>
          <w:sz w:val="24"/>
          <w:szCs w:val="24"/>
        </w:rPr>
      </w:pPr>
    </w:p>
    <w:p w14:paraId="19B37EB1" w14:textId="77777777" w:rsidR="00562298" w:rsidRDefault="00562298">
      <w:pPr>
        <w:spacing w:line="360" w:lineRule="auto"/>
        <w:ind w:firstLineChars="200" w:firstLine="480"/>
        <w:rPr>
          <w:rFonts w:ascii="宋体" w:hAnsi="宋体" w:cs="宋体"/>
          <w:color w:val="000000"/>
          <w:sz w:val="24"/>
          <w:szCs w:val="24"/>
        </w:rPr>
      </w:pPr>
    </w:p>
    <w:p w14:paraId="1610100A" w14:textId="77777777" w:rsidR="00562298" w:rsidRDefault="00562298">
      <w:pPr>
        <w:spacing w:line="360" w:lineRule="auto"/>
        <w:ind w:firstLineChars="200" w:firstLine="480"/>
        <w:rPr>
          <w:rFonts w:ascii="宋体" w:hAnsi="宋体" w:cs="宋体"/>
          <w:color w:val="000000"/>
          <w:sz w:val="24"/>
          <w:szCs w:val="24"/>
        </w:rPr>
      </w:pPr>
    </w:p>
    <w:p w14:paraId="01440AE8" w14:textId="77777777" w:rsidR="00562298" w:rsidRDefault="00562298">
      <w:pPr>
        <w:spacing w:line="360" w:lineRule="auto"/>
        <w:ind w:firstLineChars="200" w:firstLine="480"/>
        <w:rPr>
          <w:rFonts w:ascii="宋体" w:hAnsi="宋体" w:cs="宋体"/>
          <w:color w:val="000000"/>
          <w:sz w:val="24"/>
          <w:szCs w:val="24"/>
        </w:rPr>
      </w:pPr>
    </w:p>
    <w:p w14:paraId="2A630D65" w14:textId="77777777" w:rsidR="00562298" w:rsidRDefault="00562298">
      <w:pPr>
        <w:spacing w:line="360" w:lineRule="auto"/>
        <w:ind w:firstLineChars="200" w:firstLine="480"/>
        <w:rPr>
          <w:rFonts w:ascii="宋体" w:hAnsi="宋体" w:cs="宋体"/>
          <w:color w:val="000000"/>
          <w:sz w:val="24"/>
          <w:szCs w:val="24"/>
        </w:rPr>
      </w:pPr>
    </w:p>
    <w:p w14:paraId="3505AE7D" w14:textId="77777777" w:rsidR="00562298" w:rsidRDefault="00562298">
      <w:pPr>
        <w:spacing w:line="360" w:lineRule="auto"/>
        <w:ind w:firstLineChars="200" w:firstLine="480"/>
        <w:rPr>
          <w:rFonts w:ascii="宋体" w:hAnsi="宋体" w:cs="宋体"/>
          <w:color w:val="000000"/>
          <w:sz w:val="24"/>
          <w:szCs w:val="24"/>
        </w:rPr>
      </w:pPr>
    </w:p>
    <w:p w14:paraId="3603CBBD" w14:textId="77777777" w:rsidR="00562298" w:rsidRDefault="00562298">
      <w:pPr>
        <w:spacing w:line="360" w:lineRule="auto"/>
        <w:ind w:firstLineChars="200" w:firstLine="480"/>
        <w:rPr>
          <w:rFonts w:ascii="宋体" w:hAnsi="宋体" w:cs="宋体"/>
          <w:color w:val="000000"/>
          <w:sz w:val="24"/>
          <w:szCs w:val="24"/>
        </w:rPr>
      </w:pPr>
    </w:p>
    <w:p w14:paraId="4AABD715" w14:textId="77777777" w:rsidR="00562298" w:rsidRDefault="00562298">
      <w:pPr>
        <w:spacing w:line="360" w:lineRule="auto"/>
        <w:ind w:firstLineChars="200" w:firstLine="480"/>
        <w:rPr>
          <w:rFonts w:ascii="宋体" w:hAnsi="宋体" w:cs="宋体"/>
          <w:color w:val="000000"/>
          <w:sz w:val="24"/>
          <w:szCs w:val="24"/>
        </w:rPr>
      </w:pPr>
    </w:p>
    <w:p w14:paraId="3D671273" w14:textId="77777777" w:rsidR="00562298" w:rsidRDefault="00562298">
      <w:pPr>
        <w:spacing w:line="360" w:lineRule="auto"/>
        <w:ind w:firstLineChars="200" w:firstLine="480"/>
        <w:rPr>
          <w:rFonts w:ascii="宋体" w:hAnsi="宋体" w:cs="宋体"/>
          <w:color w:val="000000"/>
          <w:sz w:val="24"/>
          <w:szCs w:val="24"/>
        </w:rPr>
      </w:pPr>
    </w:p>
    <w:p w14:paraId="363BAD1B" w14:textId="77777777" w:rsidR="00562298" w:rsidRDefault="00562298">
      <w:pPr>
        <w:spacing w:line="360" w:lineRule="auto"/>
        <w:ind w:firstLineChars="200" w:firstLine="480"/>
        <w:rPr>
          <w:rFonts w:ascii="宋体" w:hAnsi="宋体" w:cs="宋体"/>
          <w:color w:val="000000"/>
          <w:sz w:val="24"/>
          <w:szCs w:val="24"/>
        </w:rPr>
      </w:pPr>
    </w:p>
    <w:p w14:paraId="2A6CAACB" w14:textId="77777777" w:rsidR="00562298" w:rsidRDefault="00562298">
      <w:pPr>
        <w:spacing w:line="360" w:lineRule="auto"/>
        <w:ind w:firstLineChars="200" w:firstLine="480"/>
        <w:rPr>
          <w:rFonts w:ascii="宋体" w:hAnsi="宋体" w:cs="宋体"/>
          <w:color w:val="000000"/>
          <w:sz w:val="24"/>
          <w:szCs w:val="24"/>
        </w:rPr>
      </w:pPr>
    </w:p>
    <w:p w14:paraId="25E0FA40" w14:textId="77777777" w:rsidR="00562298" w:rsidRDefault="00562298">
      <w:pPr>
        <w:spacing w:line="360" w:lineRule="auto"/>
        <w:ind w:firstLineChars="200" w:firstLine="480"/>
        <w:rPr>
          <w:rFonts w:ascii="宋体" w:hAnsi="宋体" w:cs="宋体"/>
          <w:color w:val="000000"/>
          <w:sz w:val="24"/>
          <w:szCs w:val="24"/>
        </w:rPr>
      </w:pPr>
    </w:p>
    <w:p w14:paraId="42ED2E2F" w14:textId="77777777" w:rsidR="00562298" w:rsidRDefault="00562298">
      <w:pPr>
        <w:spacing w:line="360" w:lineRule="auto"/>
        <w:ind w:firstLineChars="200" w:firstLine="480"/>
        <w:rPr>
          <w:rFonts w:ascii="宋体" w:hAnsi="宋体" w:cs="宋体"/>
          <w:color w:val="000000"/>
          <w:sz w:val="24"/>
          <w:szCs w:val="24"/>
        </w:rPr>
      </w:pPr>
    </w:p>
    <w:p w14:paraId="20119F1D" w14:textId="77777777" w:rsidR="00562298" w:rsidRDefault="00562298">
      <w:pPr>
        <w:spacing w:line="360" w:lineRule="auto"/>
        <w:ind w:firstLineChars="200" w:firstLine="480"/>
        <w:rPr>
          <w:rFonts w:ascii="宋体" w:hAnsi="宋体" w:cs="宋体"/>
          <w:color w:val="000000"/>
          <w:sz w:val="24"/>
          <w:szCs w:val="24"/>
        </w:rPr>
      </w:pPr>
    </w:p>
    <w:p w14:paraId="5F11CD70" w14:textId="77777777" w:rsidR="00562298" w:rsidRDefault="00562298">
      <w:pPr>
        <w:spacing w:line="360" w:lineRule="auto"/>
        <w:ind w:firstLineChars="200" w:firstLine="480"/>
        <w:rPr>
          <w:rFonts w:ascii="宋体" w:hAnsi="宋体" w:cs="宋体"/>
          <w:color w:val="000000"/>
          <w:sz w:val="24"/>
          <w:szCs w:val="24"/>
        </w:rPr>
      </w:pPr>
    </w:p>
    <w:p w14:paraId="49031A7A" w14:textId="77777777" w:rsidR="00562298" w:rsidRDefault="00562298">
      <w:pPr>
        <w:spacing w:line="360" w:lineRule="auto"/>
        <w:ind w:firstLineChars="200" w:firstLine="480"/>
        <w:rPr>
          <w:rFonts w:ascii="宋体" w:hAnsi="宋体" w:cs="宋体"/>
          <w:color w:val="000000"/>
          <w:sz w:val="24"/>
          <w:szCs w:val="24"/>
        </w:rPr>
      </w:pPr>
    </w:p>
    <w:p w14:paraId="171B9D87" w14:textId="77777777" w:rsidR="00562298" w:rsidRDefault="00562298">
      <w:pPr>
        <w:spacing w:line="360" w:lineRule="auto"/>
        <w:ind w:firstLineChars="200" w:firstLine="480"/>
        <w:rPr>
          <w:rFonts w:ascii="宋体" w:hAnsi="宋体" w:cs="宋体"/>
          <w:color w:val="000000"/>
          <w:sz w:val="24"/>
          <w:szCs w:val="24"/>
        </w:rPr>
      </w:pPr>
    </w:p>
    <w:p w14:paraId="19770A67" w14:textId="77777777" w:rsidR="00562298" w:rsidRDefault="00562298">
      <w:pPr>
        <w:spacing w:line="360" w:lineRule="auto"/>
        <w:ind w:firstLineChars="200" w:firstLine="480"/>
        <w:rPr>
          <w:rFonts w:ascii="宋体" w:hAnsi="宋体" w:cs="宋体"/>
          <w:color w:val="000000"/>
          <w:sz w:val="24"/>
          <w:szCs w:val="24"/>
        </w:rPr>
      </w:pPr>
    </w:p>
    <w:p w14:paraId="06D6DA67" w14:textId="77777777" w:rsidR="00562298" w:rsidRDefault="00562298">
      <w:pPr>
        <w:spacing w:line="360" w:lineRule="auto"/>
        <w:ind w:firstLineChars="200" w:firstLine="480"/>
        <w:rPr>
          <w:rFonts w:ascii="宋体" w:hAnsi="宋体" w:cs="宋体"/>
          <w:color w:val="000000"/>
          <w:sz w:val="24"/>
          <w:szCs w:val="24"/>
        </w:rPr>
      </w:pPr>
    </w:p>
    <w:p w14:paraId="7B8551BE" w14:textId="77777777" w:rsidR="00562298" w:rsidRDefault="00562298">
      <w:pPr>
        <w:spacing w:line="360" w:lineRule="auto"/>
        <w:ind w:firstLineChars="200" w:firstLine="480"/>
        <w:rPr>
          <w:rFonts w:ascii="宋体" w:hAnsi="宋体" w:cs="宋体"/>
          <w:color w:val="000000"/>
          <w:sz w:val="24"/>
          <w:szCs w:val="24"/>
        </w:rPr>
      </w:pPr>
    </w:p>
    <w:p w14:paraId="449DEC4C" w14:textId="77777777" w:rsidR="00562298" w:rsidRDefault="00562298">
      <w:pPr>
        <w:spacing w:line="360" w:lineRule="auto"/>
        <w:ind w:firstLineChars="200" w:firstLine="480"/>
        <w:rPr>
          <w:rFonts w:ascii="宋体" w:hAnsi="宋体" w:cs="宋体"/>
          <w:color w:val="000000"/>
          <w:sz w:val="24"/>
          <w:szCs w:val="24"/>
        </w:rPr>
      </w:pPr>
    </w:p>
    <w:p w14:paraId="797EE643" w14:textId="77777777" w:rsidR="00562298" w:rsidRDefault="00562298">
      <w:pPr>
        <w:spacing w:line="360" w:lineRule="auto"/>
        <w:ind w:firstLineChars="200" w:firstLine="480"/>
        <w:rPr>
          <w:rFonts w:ascii="仿宋" w:eastAsia="仿宋" w:hAnsi="仿宋"/>
          <w:color w:val="000000"/>
          <w:sz w:val="24"/>
          <w:szCs w:val="24"/>
        </w:rPr>
      </w:pPr>
    </w:p>
    <w:p w14:paraId="1454A38F" w14:textId="77777777" w:rsidR="00562298" w:rsidRDefault="00562298">
      <w:pPr>
        <w:spacing w:line="360" w:lineRule="auto"/>
        <w:ind w:firstLineChars="200" w:firstLine="480"/>
        <w:rPr>
          <w:rFonts w:ascii="仿宋" w:eastAsia="仿宋" w:hAnsi="仿宋"/>
          <w:color w:val="000000"/>
          <w:sz w:val="24"/>
          <w:szCs w:val="24"/>
        </w:rPr>
      </w:pPr>
    </w:p>
    <w:p w14:paraId="0E136B4F" w14:textId="77777777" w:rsidR="00562298" w:rsidRDefault="00562298">
      <w:pPr>
        <w:spacing w:line="360" w:lineRule="auto"/>
        <w:ind w:firstLineChars="200" w:firstLine="480"/>
        <w:rPr>
          <w:rFonts w:ascii="仿宋" w:eastAsia="仿宋" w:hAnsi="仿宋"/>
          <w:color w:val="000000"/>
          <w:sz w:val="24"/>
          <w:szCs w:val="24"/>
        </w:rPr>
      </w:pPr>
    </w:p>
    <w:p w14:paraId="1A087EAF" w14:textId="77777777" w:rsidR="00562298" w:rsidRDefault="00562298">
      <w:pPr>
        <w:spacing w:line="360" w:lineRule="auto"/>
        <w:ind w:firstLineChars="200" w:firstLine="480"/>
        <w:rPr>
          <w:rFonts w:ascii="仿宋" w:eastAsia="仿宋" w:hAnsi="仿宋"/>
          <w:color w:val="000000"/>
          <w:sz w:val="24"/>
          <w:szCs w:val="24"/>
        </w:rPr>
      </w:pPr>
    </w:p>
    <w:p w14:paraId="52F0AFE7" w14:textId="6D09B441" w:rsidR="00562298" w:rsidRDefault="004636A8">
      <w:pPr>
        <w:spacing w:line="360" w:lineRule="auto"/>
        <w:rPr>
          <w:rFonts w:ascii="宋体" w:hAnsi="宋体" w:cs="宋体"/>
          <w:color w:val="000000"/>
          <w:sz w:val="24"/>
        </w:rPr>
      </w:pPr>
      <w:r>
        <w:rPr>
          <w:rFonts w:ascii="宋体" w:hAnsi="宋体" w:cs="宋体" w:hint="eastAsia"/>
          <w:color w:val="000000"/>
          <w:sz w:val="24"/>
        </w:rPr>
        <w:lastRenderedPageBreak/>
        <w:t>（本页为《交银施罗德</w:t>
      </w:r>
      <w:r>
        <w:rPr>
          <w:rFonts w:ascii="宋体" w:hAnsi="宋体" w:cs="宋体"/>
          <w:color w:val="000000"/>
          <w:sz w:val="24"/>
        </w:rPr>
        <w:t>智选星光一年封闭运作混合型基金中基金（FOF-LOF）</w:t>
      </w:r>
      <w:r>
        <w:rPr>
          <w:rFonts w:ascii="宋体" w:hAnsi="宋体" w:cs="宋体" w:hint="eastAsia"/>
          <w:color w:val="000000"/>
          <w:sz w:val="24"/>
        </w:rPr>
        <w:t>托管协议》签署页，无正文）</w:t>
      </w:r>
    </w:p>
    <w:p w14:paraId="769910D3" w14:textId="77777777" w:rsidR="00562298" w:rsidRDefault="00562298">
      <w:pPr>
        <w:autoSpaceDE w:val="0"/>
        <w:autoSpaceDN w:val="0"/>
        <w:spacing w:line="360" w:lineRule="auto"/>
        <w:textAlignment w:val="bottom"/>
        <w:rPr>
          <w:rFonts w:ascii="仿宋" w:eastAsia="仿宋" w:hAnsi="仿宋"/>
          <w:color w:val="000000"/>
          <w:sz w:val="24"/>
        </w:rPr>
      </w:pPr>
    </w:p>
    <w:p w14:paraId="69275BAC" w14:textId="77777777" w:rsidR="00562298" w:rsidRDefault="00562298">
      <w:pPr>
        <w:spacing w:line="360" w:lineRule="auto"/>
        <w:ind w:right="26"/>
        <w:rPr>
          <w:rFonts w:ascii="仿宋" w:eastAsia="仿宋" w:hAnsi="仿宋"/>
          <w:color w:val="000000"/>
          <w:sz w:val="24"/>
        </w:rPr>
      </w:pPr>
    </w:p>
    <w:p w14:paraId="25F4BA6A" w14:textId="77777777" w:rsidR="00562298" w:rsidRDefault="004636A8">
      <w:pPr>
        <w:spacing w:before="100" w:beforeAutospacing="1" w:after="100" w:afterAutospacing="1" w:line="400" w:lineRule="exact"/>
        <w:ind w:firstLine="403"/>
        <w:rPr>
          <w:rFonts w:ascii="宋体" w:hAnsi="宋体"/>
          <w:bCs/>
          <w:sz w:val="24"/>
        </w:rPr>
      </w:pPr>
      <w:r>
        <w:rPr>
          <w:rFonts w:ascii="宋体" w:hAnsi="宋体"/>
          <w:bCs/>
          <w:sz w:val="24"/>
        </w:rPr>
        <w:t>基金管理人：</w:t>
      </w:r>
      <w:r>
        <w:rPr>
          <w:rFonts w:ascii="宋体" w:hAnsi="宋体" w:hint="eastAsia"/>
          <w:bCs/>
          <w:sz w:val="24"/>
        </w:rPr>
        <w:t>交银施罗德基金管理有限公司（公章）</w:t>
      </w:r>
    </w:p>
    <w:p w14:paraId="38A041AF" w14:textId="77777777" w:rsidR="00562298" w:rsidRDefault="00562298">
      <w:pPr>
        <w:pStyle w:val="Web"/>
        <w:spacing w:line="400" w:lineRule="exact"/>
        <w:rPr>
          <w:bCs/>
        </w:rPr>
      </w:pPr>
    </w:p>
    <w:p w14:paraId="7704B3DB" w14:textId="77777777" w:rsidR="00562298" w:rsidRDefault="004636A8">
      <w:pPr>
        <w:pStyle w:val="Web"/>
        <w:spacing w:line="400" w:lineRule="exact"/>
        <w:ind w:firstLine="403"/>
        <w:rPr>
          <w:bCs/>
        </w:rPr>
      </w:pPr>
      <w:r>
        <w:rPr>
          <w:bCs/>
        </w:rPr>
        <w:t>法定代表人</w:t>
      </w:r>
      <w:r>
        <w:rPr>
          <w:rFonts w:hint="eastAsia"/>
          <w:bCs/>
        </w:rPr>
        <w:t xml:space="preserve">或授权代表： </w:t>
      </w:r>
    </w:p>
    <w:p w14:paraId="0A74DE3C" w14:textId="77777777" w:rsidR="00562298" w:rsidRDefault="00562298">
      <w:pPr>
        <w:pStyle w:val="Web"/>
        <w:spacing w:line="400" w:lineRule="exact"/>
        <w:ind w:firstLine="420"/>
        <w:rPr>
          <w:bCs/>
        </w:rPr>
      </w:pPr>
    </w:p>
    <w:p w14:paraId="407E5912" w14:textId="77777777" w:rsidR="00562298" w:rsidRDefault="00562298">
      <w:pPr>
        <w:pStyle w:val="Web"/>
        <w:spacing w:line="400" w:lineRule="exact"/>
        <w:ind w:firstLine="420"/>
        <w:rPr>
          <w:bCs/>
        </w:rPr>
      </w:pPr>
    </w:p>
    <w:p w14:paraId="4A2BE6FF" w14:textId="77777777" w:rsidR="00562298" w:rsidRDefault="004636A8">
      <w:pPr>
        <w:pStyle w:val="Web"/>
        <w:spacing w:line="400" w:lineRule="exact"/>
        <w:ind w:firstLine="420"/>
        <w:rPr>
          <w:bCs/>
        </w:rPr>
      </w:pPr>
      <w:r>
        <w:rPr>
          <w:bCs/>
        </w:rPr>
        <w:t>签订日：</w:t>
      </w:r>
      <w:r>
        <w:rPr>
          <w:rFonts w:hint="eastAsia"/>
          <w:bCs/>
        </w:rPr>
        <w:t xml:space="preserve">     年   月   日 </w:t>
      </w:r>
    </w:p>
    <w:p w14:paraId="1149AE37" w14:textId="77777777" w:rsidR="00562298" w:rsidRDefault="004636A8">
      <w:pPr>
        <w:pStyle w:val="Web"/>
        <w:spacing w:line="400" w:lineRule="exact"/>
        <w:ind w:firstLine="403"/>
        <w:rPr>
          <w:bCs/>
        </w:rPr>
      </w:pPr>
      <w:r>
        <w:rPr>
          <w:bCs/>
        </w:rPr>
        <w:t>签订地</w:t>
      </w:r>
      <w:r>
        <w:rPr>
          <w:rFonts w:hint="eastAsia"/>
          <w:bCs/>
        </w:rPr>
        <w:t>：</w:t>
      </w:r>
    </w:p>
    <w:p w14:paraId="52AD24D5" w14:textId="77777777" w:rsidR="00562298" w:rsidRDefault="00562298">
      <w:pPr>
        <w:spacing w:line="360" w:lineRule="auto"/>
        <w:ind w:firstLine="482"/>
        <w:rPr>
          <w:rFonts w:ascii="宋体" w:hAnsi="宋体"/>
          <w:bCs/>
          <w:sz w:val="24"/>
          <w:szCs w:val="24"/>
        </w:rPr>
      </w:pPr>
    </w:p>
    <w:p w14:paraId="576AE9B3" w14:textId="77777777" w:rsidR="00562298" w:rsidRDefault="00562298">
      <w:pPr>
        <w:pStyle w:val="Web"/>
        <w:spacing w:line="400" w:lineRule="exact"/>
        <w:rPr>
          <w:bCs/>
          <w:kern w:val="2"/>
          <w:sz w:val="21"/>
          <w:szCs w:val="21"/>
        </w:rPr>
      </w:pPr>
    </w:p>
    <w:p w14:paraId="3B946E91" w14:textId="77777777" w:rsidR="00562298" w:rsidRDefault="004636A8">
      <w:pPr>
        <w:pStyle w:val="Web"/>
        <w:spacing w:line="400" w:lineRule="exact"/>
        <w:ind w:firstLine="403"/>
        <w:rPr>
          <w:bCs/>
        </w:rPr>
      </w:pPr>
      <w:r>
        <w:rPr>
          <w:bCs/>
        </w:rPr>
        <w:t>基金托管人</w:t>
      </w:r>
      <w:r>
        <w:rPr>
          <w:rFonts w:hint="eastAsia"/>
          <w:bCs/>
        </w:rPr>
        <w:t>:中国光大银行股份有限公司（公章）</w:t>
      </w:r>
    </w:p>
    <w:p w14:paraId="486271CA" w14:textId="77777777" w:rsidR="00562298" w:rsidRDefault="00562298">
      <w:pPr>
        <w:pStyle w:val="Web"/>
        <w:spacing w:line="400" w:lineRule="exact"/>
        <w:ind w:firstLine="403"/>
        <w:rPr>
          <w:bCs/>
        </w:rPr>
      </w:pPr>
    </w:p>
    <w:p w14:paraId="03B4264E" w14:textId="77777777" w:rsidR="00562298" w:rsidRDefault="004636A8">
      <w:pPr>
        <w:pStyle w:val="Web"/>
        <w:spacing w:line="400" w:lineRule="exact"/>
        <w:ind w:firstLine="403"/>
        <w:rPr>
          <w:bCs/>
        </w:rPr>
      </w:pPr>
      <w:r>
        <w:rPr>
          <w:bCs/>
        </w:rPr>
        <w:t>法定代表人</w:t>
      </w:r>
      <w:r>
        <w:rPr>
          <w:rFonts w:hint="eastAsia"/>
          <w:bCs/>
        </w:rPr>
        <w:t>或授权代表：</w:t>
      </w:r>
    </w:p>
    <w:p w14:paraId="312E4299" w14:textId="77777777" w:rsidR="00562298" w:rsidRDefault="00562298">
      <w:pPr>
        <w:pStyle w:val="Web"/>
        <w:spacing w:line="400" w:lineRule="exact"/>
        <w:ind w:firstLine="420"/>
        <w:rPr>
          <w:bCs/>
        </w:rPr>
      </w:pPr>
    </w:p>
    <w:p w14:paraId="56BDAD44" w14:textId="77777777" w:rsidR="00562298" w:rsidRDefault="00562298">
      <w:pPr>
        <w:pStyle w:val="Web"/>
        <w:spacing w:line="400" w:lineRule="exact"/>
        <w:ind w:firstLine="420"/>
        <w:rPr>
          <w:bCs/>
        </w:rPr>
      </w:pPr>
    </w:p>
    <w:p w14:paraId="45ACE0B2" w14:textId="77777777" w:rsidR="00562298" w:rsidRDefault="004636A8">
      <w:pPr>
        <w:pStyle w:val="Web"/>
        <w:spacing w:line="400" w:lineRule="exact"/>
        <w:ind w:firstLine="403"/>
        <w:rPr>
          <w:bCs/>
        </w:rPr>
      </w:pPr>
      <w:r>
        <w:rPr>
          <w:bCs/>
        </w:rPr>
        <w:t>签订日</w:t>
      </w:r>
      <w:r>
        <w:rPr>
          <w:rFonts w:hint="eastAsia"/>
          <w:bCs/>
        </w:rPr>
        <w:t>：     年   月   日</w:t>
      </w:r>
      <w:bookmarkStart w:id="25" w:name="_GoBack"/>
      <w:bookmarkEnd w:id="25"/>
    </w:p>
    <w:p w14:paraId="1434E216" w14:textId="77777777" w:rsidR="00562298" w:rsidRDefault="004636A8">
      <w:pPr>
        <w:pStyle w:val="Web"/>
        <w:spacing w:line="400" w:lineRule="exact"/>
        <w:ind w:firstLine="420"/>
        <w:rPr>
          <w:bCs/>
        </w:rPr>
      </w:pPr>
      <w:r>
        <w:rPr>
          <w:bCs/>
        </w:rPr>
        <w:t>签订地：</w:t>
      </w:r>
      <w:r>
        <w:rPr>
          <w:rFonts w:hint="eastAsia"/>
          <w:bCs/>
        </w:rPr>
        <w:t>北京</w:t>
      </w:r>
    </w:p>
    <w:p w14:paraId="4BD21C2A" w14:textId="77777777" w:rsidR="00562298" w:rsidRDefault="00562298"/>
    <w:p w14:paraId="568F5D9C" w14:textId="77777777" w:rsidR="00562298" w:rsidRDefault="00562298"/>
    <w:sectPr w:rsidR="00562298">
      <w:footerReference w:type="default" r:id="rId30"/>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8F5F1B" w16cid:durableId="24B12B9D"/>
  <w16cid:commentId w16cid:paraId="44164F08" w16cid:durableId="24B12B9E"/>
  <w16cid:commentId w16cid:paraId="43FB18B2" w16cid:durableId="24B12B9F"/>
  <w16cid:commentId w16cid:paraId="5AE43978" w16cid:durableId="24B12B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DF58A" w14:textId="77777777" w:rsidR="00DF0713" w:rsidRDefault="00DF0713">
      <w:r>
        <w:separator/>
      </w:r>
    </w:p>
  </w:endnote>
  <w:endnote w:type="continuationSeparator" w:id="0">
    <w:p w14:paraId="23056C12" w14:textId="77777777" w:rsidR="00DF0713" w:rsidRDefault="00DF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031824"/>
    </w:sdtPr>
    <w:sdtContent>
      <w:p w14:paraId="48B5DA07" w14:textId="77777777" w:rsidR="00437C0B" w:rsidRDefault="00437C0B">
        <w:pPr>
          <w:pStyle w:val="a7"/>
          <w:jc w:val="center"/>
        </w:pPr>
        <w:r>
          <w:fldChar w:fldCharType="begin"/>
        </w:r>
        <w:r>
          <w:instrText>PAGE   \* MERGEFORMAT</w:instrText>
        </w:r>
        <w:r>
          <w:fldChar w:fldCharType="separate"/>
        </w:r>
        <w:r w:rsidR="00701646" w:rsidRPr="00701646">
          <w:rPr>
            <w:noProof/>
            <w:lang w:val="zh-CN"/>
          </w:rPr>
          <w:t>49</w:t>
        </w:r>
        <w:r>
          <w:fldChar w:fldCharType="end"/>
        </w:r>
      </w:p>
    </w:sdtContent>
  </w:sdt>
  <w:p w14:paraId="037A13D1" w14:textId="77777777" w:rsidR="00437C0B" w:rsidRDefault="00437C0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E101D" w14:textId="77777777" w:rsidR="00DF0713" w:rsidRDefault="00DF0713">
      <w:r>
        <w:separator/>
      </w:r>
    </w:p>
  </w:footnote>
  <w:footnote w:type="continuationSeparator" w:id="0">
    <w:p w14:paraId="4B448D03" w14:textId="77777777" w:rsidR="00DF0713" w:rsidRDefault="00DF0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D5"/>
    <w:rsid w:val="00002764"/>
    <w:rsid w:val="000042E2"/>
    <w:rsid w:val="0001055F"/>
    <w:rsid w:val="0001232A"/>
    <w:rsid w:val="00017AF0"/>
    <w:rsid w:val="00017F17"/>
    <w:rsid w:val="00021CD4"/>
    <w:rsid w:val="00026A52"/>
    <w:rsid w:val="0003524C"/>
    <w:rsid w:val="00044CE7"/>
    <w:rsid w:val="000577C8"/>
    <w:rsid w:val="0006387D"/>
    <w:rsid w:val="00077953"/>
    <w:rsid w:val="00083C4D"/>
    <w:rsid w:val="000915ED"/>
    <w:rsid w:val="00093A7E"/>
    <w:rsid w:val="000A669D"/>
    <w:rsid w:val="000A767E"/>
    <w:rsid w:val="000B3D17"/>
    <w:rsid w:val="000B7FBB"/>
    <w:rsid w:val="000C74BA"/>
    <w:rsid w:val="000D16AC"/>
    <w:rsid w:val="000D4BF6"/>
    <w:rsid w:val="000D55A2"/>
    <w:rsid w:val="000E334F"/>
    <w:rsid w:val="000F7911"/>
    <w:rsid w:val="00141474"/>
    <w:rsid w:val="001537BE"/>
    <w:rsid w:val="00161DD7"/>
    <w:rsid w:val="00167074"/>
    <w:rsid w:val="00170960"/>
    <w:rsid w:val="001728DB"/>
    <w:rsid w:val="0017608E"/>
    <w:rsid w:val="001770B7"/>
    <w:rsid w:val="0018544E"/>
    <w:rsid w:val="00187A57"/>
    <w:rsid w:val="00190C12"/>
    <w:rsid w:val="00197CE1"/>
    <w:rsid w:val="00197F44"/>
    <w:rsid w:val="001B1D83"/>
    <w:rsid w:val="001B23D6"/>
    <w:rsid w:val="001B35DF"/>
    <w:rsid w:val="001B45A2"/>
    <w:rsid w:val="001E1DC1"/>
    <w:rsid w:val="002075C2"/>
    <w:rsid w:val="00211328"/>
    <w:rsid w:val="002178A9"/>
    <w:rsid w:val="0022078A"/>
    <w:rsid w:val="00224B88"/>
    <w:rsid w:val="002259B4"/>
    <w:rsid w:val="002347D3"/>
    <w:rsid w:val="002369EF"/>
    <w:rsid w:val="00246213"/>
    <w:rsid w:val="00246362"/>
    <w:rsid w:val="00246F5B"/>
    <w:rsid w:val="00251503"/>
    <w:rsid w:val="0025169C"/>
    <w:rsid w:val="00262153"/>
    <w:rsid w:val="00263966"/>
    <w:rsid w:val="002643DB"/>
    <w:rsid w:val="002717FB"/>
    <w:rsid w:val="00277A50"/>
    <w:rsid w:val="0029311A"/>
    <w:rsid w:val="002961BD"/>
    <w:rsid w:val="00297A7E"/>
    <w:rsid w:val="002B1687"/>
    <w:rsid w:val="002B2429"/>
    <w:rsid w:val="002B78DF"/>
    <w:rsid w:val="002C6742"/>
    <w:rsid w:val="002D15C0"/>
    <w:rsid w:val="002F71F6"/>
    <w:rsid w:val="002F7686"/>
    <w:rsid w:val="00300CCE"/>
    <w:rsid w:val="00306201"/>
    <w:rsid w:val="0031326F"/>
    <w:rsid w:val="0032061E"/>
    <w:rsid w:val="00320F2C"/>
    <w:rsid w:val="00326125"/>
    <w:rsid w:val="003329DD"/>
    <w:rsid w:val="00337FBD"/>
    <w:rsid w:val="00344E1E"/>
    <w:rsid w:val="003638FE"/>
    <w:rsid w:val="00373E45"/>
    <w:rsid w:val="003769CC"/>
    <w:rsid w:val="00381616"/>
    <w:rsid w:val="00392C6A"/>
    <w:rsid w:val="00392EBE"/>
    <w:rsid w:val="00394ADE"/>
    <w:rsid w:val="003B1043"/>
    <w:rsid w:val="003B3181"/>
    <w:rsid w:val="003B35AB"/>
    <w:rsid w:val="003C1929"/>
    <w:rsid w:val="003F52EC"/>
    <w:rsid w:val="00404617"/>
    <w:rsid w:val="00405E46"/>
    <w:rsid w:val="00407176"/>
    <w:rsid w:val="00407EB3"/>
    <w:rsid w:val="00415F7C"/>
    <w:rsid w:val="004174E6"/>
    <w:rsid w:val="0043402A"/>
    <w:rsid w:val="00437C0B"/>
    <w:rsid w:val="00440AB4"/>
    <w:rsid w:val="00444220"/>
    <w:rsid w:val="00444CE3"/>
    <w:rsid w:val="00447817"/>
    <w:rsid w:val="00452D12"/>
    <w:rsid w:val="004636A8"/>
    <w:rsid w:val="0046616C"/>
    <w:rsid w:val="00467D02"/>
    <w:rsid w:val="00483D9C"/>
    <w:rsid w:val="00487499"/>
    <w:rsid w:val="00493B78"/>
    <w:rsid w:val="00493FB4"/>
    <w:rsid w:val="00497B42"/>
    <w:rsid w:val="004A74A9"/>
    <w:rsid w:val="004A7B3D"/>
    <w:rsid w:val="004B66F5"/>
    <w:rsid w:val="004C61B0"/>
    <w:rsid w:val="004D2080"/>
    <w:rsid w:val="004D209A"/>
    <w:rsid w:val="004D4636"/>
    <w:rsid w:val="004D499A"/>
    <w:rsid w:val="004D7B87"/>
    <w:rsid w:val="004E661D"/>
    <w:rsid w:val="004F0C4C"/>
    <w:rsid w:val="004F7163"/>
    <w:rsid w:val="00506B4E"/>
    <w:rsid w:val="00523A9D"/>
    <w:rsid w:val="0053051A"/>
    <w:rsid w:val="00531320"/>
    <w:rsid w:val="00532AE3"/>
    <w:rsid w:val="005339F7"/>
    <w:rsid w:val="0054214A"/>
    <w:rsid w:val="005473EE"/>
    <w:rsid w:val="00550908"/>
    <w:rsid w:val="00552E79"/>
    <w:rsid w:val="005620E2"/>
    <w:rsid w:val="00562298"/>
    <w:rsid w:val="00565AC4"/>
    <w:rsid w:val="00565D75"/>
    <w:rsid w:val="00570284"/>
    <w:rsid w:val="005715E4"/>
    <w:rsid w:val="00573F37"/>
    <w:rsid w:val="005825C8"/>
    <w:rsid w:val="00586283"/>
    <w:rsid w:val="005970C4"/>
    <w:rsid w:val="005A1770"/>
    <w:rsid w:val="005B0CB2"/>
    <w:rsid w:val="005B155E"/>
    <w:rsid w:val="005B3934"/>
    <w:rsid w:val="005B79E5"/>
    <w:rsid w:val="005C4727"/>
    <w:rsid w:val="005D30DF"/>
    <w:rsid w:val="005E3FDE"/>
    <w:rsid w:val="005E6D9D"/>
    <w:rsid w:val="005F2E21"/>
    <w:rsid w:val="005F5D25"/>
    <w:rsid w:val="005F6C10"/>
    <w:rsid w:val="005F7319"/>
    <w:rsid w:val="005F7B13"/>
    <w:rsid w:val="005F7F52"/>
    <w:rsid w:val="00601CFF"/>
    <w:rsid w:val="00604039"/>
    <w:rsid w:val="0060613D"/>
    <w:rsid w:val="00612310"/>
    <w:rsid w:val="00613A42"/>
    <w:rsid w:val="0061440E"/>
    <w:rsid w:val="00631B4C"/>
    <w:rsid w:val="00636466"/>
    <w:rsid w:val="00661FA0"/>
    <w:rsid w:val="00666AFB"/>
    <w:rsid w:val="00666D00"/>
    <w:rsid w:val="0067042E"/>
    <w:rsid w:val="00687DEA"/>
    <w:rsid w:val="00690FAB"/>
    <w:rsid w:val="00696EC0"/>
    <w:rsid w:val="006A77F5"/>
    <w:rsid w:val="006B23D9"/>
    <w:rsid w:val="006C05D7"/>
    <w:rsid w:val="006C4A26"/>
    <w:rsid w:val="006C4EBC"/>
    <w:rsid w:val="006D3E92"/>
    <w:rsid w:val="006D52EA"/>
    <w:rsid w:val="006E7595"/>
    <w:rsid w:val="006F10CB"/>
    <w:rsid w:val="006F145F"/>
    <w:rsid w:val="006F4A71"/>
    <w:rsid w:val="007005E0"/>
    <w:rsid w:val="00701646"/>
    <w:rsid w:val="0070619E"/>
    <w:rsid w:val="007065A2"/>
    <w:rsid w:val="007127CD"/>
    <w:rsid w:val="00712BF6"/>
    <w:rsid w:val="007229DC"/>
    <w:rsid w:val="00723BA3"/>
    <w:rsid w:val="00731CC3"/>
    <w:rsid w:val="0073376A"/>
    <w:rsid w:val="0074016F"/>
    <w:rsid w:val="00742D22"/>
    <w:rsid w:val="0074561C"/>
    <w:rsid w:val="0075107D"/>
    <w:rsid w:val="00755353"/>
    <w:rsid w:val="00763F41"/>
    <w:rsid w:val="00775D38"/>
    <w:rsid w:val="00776BDF"/>
    <w:rsid w:val="00791DE6"/>
    <w:rsid w:val="00791E1A"/>
    <w:rsid w:val="00793E4E"/>
    <w:rsid w:val="00794543"/>
    <w:rsid w:val="007B4DBD"/>
    <w:rsid w:val="007C61E8"/>
    <w:rsid w:val="007C78FD"/>
    <w:rsid w:val="007D0DE9"/>
    <w:rsid w:val="007D22FA"/>
    <w:rsid w:val="007E3D0A"/>
    <w:rsid w:val="007E40D3"/>
    <w:rsid w:val="007F15D8"/>
    <w:rsid w:val="007F67C6"/>
    <w:rsid w:val="008014B2"/>
    <w:rsid w:val="00802B49"/>
    <w:rsid w:val="008066C2"/>
    <w:rsid w:val="00816889"/>
    <w:rsid w:val="00821F7A"/>
    <w:rsid w:val="008431A9"/>
    <w:rsid w:val="00843938"/>
    <w:rsid w:val="00855EFD"/>
    <w:rsid w:val="008629D8"/>
    <w:rsid w:val="0087183D"/>
    <w:rsid w:val="00872F0C"/>
    <w:rsid w:val="00874DA4"/>
    <w:rsid w:val="008801F8"/>
    <w:rsid w:val="008821D5"/>
    <w:rsid w:val="00885E43"/>
    <w:rsid w:val="00897424"/>
    <w:rsid w:val="008A4855"/>
    <w:rsid w:val="008A6176"/>
    <w:rsid w:val="008A6FA3"/>
    <w:rsid w:val="008C6D25"/>
    <w:rsid w:val="008D31E2"/>
    <w:rsid w:val="008D72AC"/>
    <w:rsid w:val="008D7CE4"/>
    <w:rsid w:val="008E00EF"/>
    <w:rsid w:val="008E4ADD"/>
    <w:rsid w:val="008F7EE5"/>
    <w:rsid w:val="00902B1F"/>
    <w:rsid w:val="00921CC5"/>
    <w:rsid w:val="0092414C"/>
    <w:rsid w:val="009268EB"/>
    <w:rsid w:val="009273B1"/>
    <w:rsid w:val="009307FB"/>
    <w:rsid w:val="009353A6"/>
    <w:rsid w:val="009355D1"/>
    <w:rsid w:val="00936D47"/>
    <w:rsid w:val="00941FBB"/>
    <w:rsid w:val="00943E2E"/>
    <w:rsid w:val="00950557"/>
    <w:rsid w:val="00951058"/>
    <w:rsid w:val="00951ADF"/>
    <w:rsid w:val="00956646"/>
    <w:rsid w:val="00961152"/>
    <w:rsid w:val="00962E99"/>
    <w:rsid w:val="00964875"/>
    <w:rsid w:val="0097147E"/>
    <w:rsid w:val="00972B05"/>
    <w:rsid w:val="00980A65"/>
    <w:rsid w:val="00982727"/>
    <w:rsid w:val="00982A92"/>
    <w:rsid w:val="009832B7"/>
    <w:rsid w:val="00987DF4"/>
    <w:rsid w:val="00990C3F"/>
    <w:rsid w:val="009941DE"/>
    <w:rsid w:val="009A293D"/>
    <w:rsid w:val="009A6174"/>
    <w:rsid w:val="009A686C"/>
    <w:rsid w:val="009A74C7"/>
    <w:rsid w:val="009B3CCB"/>
    <w:rsid w:val="009B3EA3"/>
    <w:rsid w:val="009C2B60"/>
    <w:rsid w:val="009D1FE1"/>
    <w:rsid w:val="009E653E"/>
    <w:rsid w:val="009F14C9"/>
    <w:rsid w:val="009F38BC"/>
    <w:rsid w:val="00A02E62"/>
    <w:rsid w:val="00A056A2"/>
    <w:rsid w:val="00A1469E"/>
    <w:rsid w:val="00A166F2"/>
    <w:rsid w:val="00A221FF"/>
    <w:rsid w:val="00A2344B"/>
    <w:rsid w:val="00A2411B"/>
    <w:rsid w:val="00A2434A"/>
    <w:rsid w:val="00A3171A"/>
    <w:rsid w:val="00A3697C"/>
    <w:rsid w:val="00A45597"/>
    <w:rsid w:val="00A54205"/>
    <w:rsid w:val="00A548BD"/>
    <w:rsid w:val="00A5554E"/>
    <w:rsid w:val="00A71EA1"/>
    <w:rsid w:val="00A83966"/>
    <w:rsid w:val="00A84B62"/>
    <w:rsid w:val="00A84E97"/>
    <w:rsid w:val="00A90BEB"/>
    <w:rsid w:val="00A977F1"/>
    <w:rsid w:val="00AA620B"/>
    <w:rsid w:val="00AA7E08"/>
    <w:rsid w:val="00AB4698"/>
    <w:rsid w:val="00AB6B25"/>
    <w:rsid w:val="00AC33ED"/>
    <w:rsid w:val="00AC3767"/>
    <w:rsid w:val="00AC7672"/>
    <w:rsid w:val="00AD280B"/>
    <w:rsid w:val="00AD3D22"/>
    <w:rsid w:val="00AE22F5"/>
    <w:rsid w:val="00AE5999"/>
    <w:rsid w:val="00B027D6"/>
    <w:rsid w:val="00B03824"/>
    <w:rsid w:val="00B06ED1"/>
    <w:rsid w:val="00B12392"/>
    <w:rsid w:val="00B160FD"/>
    <w:rsid w:val="00B21635"/>
    <w:rsid w:val="00B3748C"/>
    <w:rsid w:val="00B43E49"/>
    <w:rsid w:val="00B4620E"/>
    <w:rsid w:val="00B4772B"/>
    <w:rsid w:val="00B54466"/>
    <w:rsid w:val="00B60CD7"/>
    <w:rsid w:val="00B756A8"/>
    <w:rsid w:val="00B76C33"/>
    <w:rsid w:val="00B8195C"/>
    <w:rsid w:val="00B833CF"/>
    <w:rsid w:val="00B8348B"/>
    <w:rsid w:val="00B83B94"/>
    <w:rsid w:val="00B84106"/>
    <w:rsid w:val="00B944A0"/>
    <w:rsid w:val="00BA49DF"/>
    <w:rsid w:val="00BA5D4B"/>
    <w:rsid w:val="00BA5F87"/>
    <w:rsid w:val="00BA6EC0"/>
    <w:rsid w:val="00BC1C13"/>
    <w:rsid w:val="00BC2C7A"/>
    <w:rsid w:val="00BD0181"/>
    <w:rsid w:val="00BD2DD7"/>
    <w:rsid w:val="00BD53D6"/>
    <w:rsid w:val="00BE66BC"/>
    <w:rsid w:val="00BF0895"/>
    <w:rsid w:val="00BF3CE7"/>
    <w:rsid w:val="00C043E5"/>
    <w:rsid w:val="00C04544"/>
    <w:rsid w:val="00C07528"/>
    <w:rsid w:val="00C10F59"/>
    <w:rsid w:val="00C26525"/>
    <w:rsid w:val="00C2703D"/>
    <w:rsid w:val="00C34E72"/>
    <w:rsid w:val="00C3536D"/>
    <w:rsid w:val="00C36538"/>
    <w:rsid w:val="00C36B99"/>
    <w:rsid w:val="00C45BA0"/>
    <w:rsid w:val="00C47895"/>
    <w:rsid w:val="00C52E28"/>
    <w:rsid w:val="00C562A2"/>
    <w:rsid w:val="00C64F4E"/>
    <w:rsid w:val="00C75763"/>
    <w:rsid w:val="00C75C97"/>
    <w:rsid w:val="00C7797E"/>
    <w:rsid w:val="00C8243C"/>
    <w:rsid w:val="00CA299A"/>
    <w:rsid w:val="00CA76EE"/>
    <w:rsid w:val="00CB0A97"/>
    <w:rsid w:val="00CC28B6"/>
    <w:rsid w:val="00CC3C42"/>
    <w:rsid w:val="00CC5AD6"/>
    <w:rsid w:val="00CC71E5"/>
    <w:rsid w:val="00CD7CD0"/>
    <w:rsid w:val="00CE1D50"/>
    <w:rsid w:val="00CE7DCB"/>
    <w:rsid w:val="00D01746"/>
    <w:rsid w:val="00D05883"/>
    <w:rsid w:val="00D10FD5"/>
    <w:rsid w:val="00D176D6"/>
    <w:rsid w:val="00D212F8"/>
    <w:rsid w:val="00D41EC5"/>
    <w:rsid w:val="00D4287E"/>
    <w:rsid w:val="00D45BDA"/>
    <w:rsid w:val="00D528B7"/>
    <w:rsid w:val="00D60692"/>
    <w:rsid w:val="00D60A1B"/>
    <w:rsid w:val="00D61EBF"/>
    <w:rsid w:val="00D63F2F"/>
    <w:rsid w:val="00D64380"/>
    <w:rsid w:val="00D82AF8"/>
    <w:rsid w:val="00D864A7"/>
    <w:rsid w:val="00D939E1"/>
    <w:rsid w:val="00D97174"/>
    <w:rsid w:val="00DB53B0"/>
    <w:rsid w:val="00DB5886"/>
    <w:rsid w:val="00DB6A5D"/>
    <w:rsid w:val="00DB7C53"/>
    <w:rsid w:val="00DF0713"/>
    <w:rsid w:val="00E005BF"/>
    <w:rsid w:val="00E028F8"/>
    <w:rsid w:val="00E02956"/>
    <w:rsid w:val="00E03768"/>
    <w:rsid w:val="00E03F12"/>
    <w:rsid w:val="00E04BC5"/>
    <w:rsid w:val="00E11051"/>
    <w:rsid w:val="00E12210"/>
    <w:rsid w:val="00E125AF"/>
    <w:rsid w:val="00E17002"/>
    <w:rsid w:val="00E2094B"/>
    <w:rsid w:val="00E24DF0"/>
    <w:rsid w:val="00E26A1B"/>
    <w:rsid w:val="00E320B6"/>
    <w:rsid w:val="00E34EF3"/>
    <w:rsid w:val="00E35491"/>
    <w:rsid w:val="00E40093"/>
    <w:rsid w:val="00E414A2"/>
    <w:rsid w:val="00E43787"/>
    <w:rsid w:val="00E52EFA"/>
    <w:rsid w:val="00E62BB1"/>
    <w:rsid w:val="00E64B15"/>
    <w:rsid w:val="00E74C35"/>
    <w:rsid w:val="00E75732"/>
    <w:rsid w:val="00E75CA7"/>
    <w:rsid w:val="00E76921"/>
    <w:rsid w:val="00E809CC"/>
    <w:rsid w:val="00E836C6"/>
    <w:rsid w:val="00E934D8"/>
    <w:rsid w:val="00E96279"/>
    <w:rsid w:val="00E97C47"/>
    <w:rsid w:val="00EA2EBE"/>
    <w:rsid w:val="00EB6474"/>
    <w:rsid w:val="00EC2202"/>
    <w:rsid w:val="00EC734E"/>
    <w:rsid w:val="00EC75D8"/>
    <w:rsid w:val="00ED6143"/>
    <w:rsid w:val="00ED7D8E"/>
    <w:rsid w:val="00EF1DAC"/>
    <w:rsid w:val="00EF44FB"/>
    <w:rsid w:val="00EF64D3"/>
    <w:rsid w:val="00F0278E"/>
    <w:rsid w:val="00F03FBD"/>
    <w:rsid w:val="00F05456"/>
    <w:rsid w:val="00F05668"/>
    <w:rsid w:val="00F07D70"/>
    <w:rsid w:val="00F112FB"/>
    <w:rsid w:val="00F1484A"/>
    <w:rsid w:val="00F1538D"/>
    <w:rsid w:val="00F17CBC"/>
    <w:rsid w:val="00F2012F"/>
    <w:rsid w:val="00F202E5"/>
    <w:rsid w:val="00F20E24"/>
    <w:rsid w:val="00F2193E"/>
    <w:rsid w:val="00F23F40"/>
    <w:rsid w:val="00F31509"/>
    <w:rsid w:val="00F47FC2"/>
    <w:rsid w:val="00F56960"/>
    <w:rsid w:val="00F60AD3"/>
    <w:rsid w:val="00F6395B"/>
    <w:rsid w:val="00F81FAF"/>
    <w:rsid w:val="00F82318"/>
    <w:rsid w:val="00F8541D"/>
    <w:rsid w:val="00F9085B"/>
    <w:rsid w:val="00FA5662"/>
    <w:rsid w:val="00FB5A4F"/>
    <w:rsid w:val="00FC0BE1"/>
    <w:rsid w:val="00FC160A"/>
    <w:rsid w:val="00FC3BE1"/>
    <w:rsid w:val="00FC6A6F"/>
    <w:rsid w:val="00FC70B4"/>
    <w:rsid w:val="00FD1E81"/>
    <w:rsid w:val="00FE007E"/>
    <w:rsid w:val="00FE0827"/>
    <w:rsid w:val="00FE4DE4"/>
    <w:rsid w:val="00FE703F"/>
    <w:rsid w:val="00FF1F5A"/>
    <w:rsid w:val="01FD7485"/>
    <w:rsid w:val="03512C23"/>
    <w:rsid w:val="07595459"/>
    <w:rsid w:val="084722E8"/>
    <w:rsid w:val="0BB16EFB"/>
    <w:rsid w:val="0D0A42CB"/>
    <w:rsid w:val="20C03479"/>
    <w:rsid w:val="216B086F"/>
    <w:rsid w:val="24710BE6"/>
    <w:rsid w:val="267D3E96"/>
    <w:rsid w:val="33AB1449"/>
    <w:rsid w:val="45F759FC"/>
    <w:rsid w:val="4EE73CC9"/>
    <w:rsid w:val="4F513994"/>
    <w:rsid w:val="4FCA4964"/>
    <w:rsid w:val="50194802"/>
    <w:rsid w:val="53D525D1"/>
    <w:rsid w:val="57E3262C"/>
    <w:rsid w:val="5D9E04D2"/>
    <w:rsid w:val="60682383"/>
    <w:rsid w:val="652732E5"/>
    <w:rsid w:val="6B8023CF"/>
    <w:rsid w:val="6F7A40B7"/>
    <w:rsid w:val="75251970"/>
    <w:rsid w:val="76901C1C"/>
    <w:rsid w:val="793D5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324F7"/>
  <w15:docId w15:val="{39AECD71-5CFD-4250-A6FC-87A1322A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iPriority w:val="99"/>
    <w:unhideWhenUsed/>
    <w:qFormat/>
    <w:pPr>
      <w:jc w:val="left"/>
    </w:pPr>
  </w:style>
  <w:style w:type="paragraph" w:styleId="a5">
    <w:name w:val="Date"/>
    <w:basedOn w:val="a"/>
    <w:next w:val="a"/>
    <w:link w:val="Char1"/>
    <w:uiPriority w:val="99"/>
    <w:unhideWhenUsed/>
    <w:qFormat/>
    <w:pPr>
      <w:ind w:leftChars="2500" w:left="100"/>
    </w:pPr>
  </w:style>
  <w:style w:type="paragraph" w:styleId="a6">
    <w:name w:val="Balloon Text"/>
    <w:basedOn w:val="a"/>
    <w:link w:val="Char2"/>
    <w:uiPriority w:val="99"/>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a9">
    <w:name w:val="Title"/>
    <w:basedOn w:val="a"/>
    <w:next w:val="a"/>
    <w:link w:val="Char5"/>
    <w:uiPriority w:val="10"/>
    <w:qFormat/>
    <w:pPr>
      <w:spacing w:before="240" w:after="60"/>
      <w:jc w:val="center"/>
      <w:outlineLvl w:val="0"/>
    </w:pPr>
    <w:rPr>
      <w:rFonts w:ascii="Cambria" w:hAnsi="Cambria"/>
      <w:b/>
      <w:bCs/>
      <w:sz w:val="32"/>
      <w:szCs w:val="32"/>
    </w:rPr>
  </w:style>
  <w:style w:type="paragraph" w:styleId="aa">
    <w:name w:val="annotation subject"/>
    <w:basedOn w:val="a4"/>
    <w:next w:val="a4"/>
    <w:link w:val="Char6"/>
    <w:uiPriority w:val="99"/>
    <w:unhideWhenUsed/>
    <w:qFormat/>
    <w:rPr>
      <w:b/>
      <w:bCs/>
    </w:rPr>
  </w:style>
  <w:style w:type="character" w:styleId="ab">
    <w:name w:val="Hyperlink"/>
    <w:uiPriority w:val="99"/>
    <w:unhideWhenUsed/>
    <w:qFormat/>
    <w:rPr>
      <w:color w:val="0000FF"/>
      <w:u w:val="single"/>
    </w:rPr>
  </w:style>
  <w:style w:type="character" w:styleId="ac">
    <w:name w:val="annotation reference"/>
    <w:basedOn w:val="a0"/>
    <w:unhideWhenUsed/>
    <w:qFormat/>
    <w:rPr>
      <w:sz w:val="21"/>
      <w:szCs w:val="21"/>
    </w:rPr>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宋体"/>
      <w:b/>
      <w:bCs/>
      <w:sz w:val="32"/>
      <w:szCs w:val="32"/>
    </w:rPr>
  </w:style>
  <w:style w:type="character" w:customStyle="1" w:styleId="Char5">
    <w:name w:val="标题 Char"/>
    <w:basedOn w:val="a0"/>
    <w:link w:val="a9"/>
    <w:uiPriority w:val="10"/>
    <w:qFormat/>
    <w:rPr>
      <w:rFonts w:ascii="Cambria" w:eastAsia="宋体" w:hAnsi="Cambria" w:cs="Times New Roman"/>
      <w:b/>
      <w:bCs/>
      <w:sz w:val="32"/>
      <w:szCs w:val="32"/>
    </w:rPr>
  </w:style>
  <w:style w:type="paragraph" w:customStyle="1" w:styleId="31">
    <w:name w:val="正文文本缩进 31"/>
    <w:basedOn w:val="a"/>
    <w:qFormat/>
    <w:pPr>
      <w:autoSpaceDE w:val="0"/>
      <w:autoSpaceDN w:val="0"/>
      <w:adjustRightInd w:val="0"/>
      <w:spacing w:line="360" w:lineRule="auto"/>
      <w:ind w:left="420" w:firstLine="435"/>
    </w:pPr>
    <w:rPr>
      <w:rFonts w:ascii="Times New Roman" w:hAnsi="Times New Roman"/>
      <w:color w:val="0000FF"/>
      <w:szCs w:val="20"/>
    </w:rPr>
  </w:style>
  <w:style w:type="character" w:customStyle="1" w:styleId="Char2">
    <w:name w:val="批注框文本 Char"/>
    <w:basedOn w:val="a0"/>
    <w:link w:val="a6"/>
    <w:uiPriority w:val="99"/>
    <w:semiHidden/>
    <w:qFormat/>
    <w:rPr>
      <w:rFonts w:ascii="Calibri" w:eastAsia="宋体" w:hAnsi="Calibri" w:cs="Times New Roman"/>
      <w:sz w:val="18"/>
      <w:szCs w:val="18"/>
    </w:rPr>
  </w:style>
  <w:style w:type="paragraph" w:customStyle="1" w:styleId="11">
    <w:name w:val="修订1"/>
    <w:hidden/>
    <w:uiPriority w:val="99"/>
    <w:semiHidden/>
    <w:qFormat/>
    <w:rPr>
      <w:kern w:val="2"/>
      <w:sz w:val="21"/>
      <w:szCs w:val="22"/>
    </w:rPr>
  </w:style>
  <w:style w:type="paragraph" w:customStyle="1" w:styleId="12">
    <w:name w:val="列出段落1"/>
    <w:basedOn w:val="a"/>
    <w:uiPriority w:val="34"/>
    <w:qFormat/>
    <w:pPr>
      <w:ind w:firstLineChars="200" w:firstLine="420"/>
    </w:pPr>
    <w:rPr>
      <w:rFonts w:ascii="Times New Roman" w:hAnsi="Times New Roman"/>
      <w:szCs w:val="24"/>
    </w:rPr>
  </w:style>
  <w:style w:type="character" w:customStyle="1" w:styleId="Char0">
    <w:name w:val="批注文字 Char"/>
    <w:basedOn w:val="a0"/>
    <w:link w:val="a4"/>
    <w:qFormat/>
    <w:rPr>
      <w:rFonts w:ascii="Calibri" w:eastAsia="宋体" w:hAnsi="Calibri" w:cs="Times New Roman"/>
    </w:rPr>
  </w:style>
  <w:style w:type="character" w:customStyle="1" w:styleId="Char6">
    <w:name w:val="批注主题 Char"/>
    <w:basedOn w:val="Char0"/>
    <w:link w:val="aa"/>
    <w:uiPriority w:val="99"/>
    <w:semiHidden/>
    <w:qFormat/>
    <w:rPr>
      <w:rFonts w:ascii="Calibri" w:eastAsia="宋体" w:hAnsi="Calibri" w:cs="Times New Roman"/>
      <w:b/>
      <w:bCs/>
    </w:rPr>
  </w:style>
  <w:style w:type="paragraph" w:customStyle="1" w:styleId="20">
    <w:name w:val="！正文缩进2字符"/>
    <w:basedOn w:val="a"/>
    <w:qFormat/>
    <w:pPr>
      <w:widowControl/>
      <w:spacing w:line="360" w:lineRule="auto"/>
      <w:ind w:firstLineChars="200" w:firstLine="200"/>
    </w:pPr>
    <w:rPr>
      <w:rFonts w:ascii="Times New Roman" w:hAnsi="Times New Roman"/>
      <w:sz w:val="24"/>
      <w:szCs w:val="24"/>
    </w:rPr>
  </w:style>
  <w:style w:type="character" w:customStyle="1" w:styleId="Char1">
    <w:name w:val="日期 Char"/>
    <w:basedOn w:val="a0"/>
    <w:link w:val="a5"/>
    <w:uiPriority w:val="99"/>
    <w:semiHidden/>
    <w:qFormat/>
    <w:rPr>
      <w:rFonts w:ascii="Calibri" w:eastAsia="宋体" w:hAnsi="Calibri" w:cs="Times New Roman"/>
    </w:rPr>
  </w:style>
  <w:style w:type="paragraph" w:customStyle="1" w:styleId="21">
    <w:name w:val="列出段落2"/>
    <w:basedOn w:val="a"/>
    <w:uiPriority w:val="99"/>
    <w:unhideWhenUsed/>
    <w:qFormat/>
    <w:pPr>
      <w:ind w:firstLineChars="200" w:firstLine="420"/>
    </w:pPr>
  </w:style>
  <w:style w:type="paragraph" w:customStyle="1" w:styleId="22">
    <w:name w:val="修订2"/>
    <w:hidden/>
    <w:uiPriority w:val="99"/>
    <w:unhideWhenUsed/>
    <w:qFormat/>
    <w:rPr>
      <w:kern w:val="2"/>
      <w:sz w:val="21"/>
      <w:szCs w:val="22"/>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3">
    <w:name w:val="修订3"/>
    <w:hidden/>
    <w:uiPriority w:val="99"/>
    <w:semiHidden/>
    <w:rPr>
      <w:kern w:val="2"/>
      <w:sz w:val="21"/>
      <w:szCs w:val="22"/>
    </w:rPr>
  </w:style>
  <w:style w:type="character" w:customStyle="1" w:styleId="Char">
    <w:name w:val="文档结构图 Char"/>
    <w:basedOn w:val="a0"/>
    <w:link w:val="a3"/>
    <w:uiPriority w:val="99"/>
    <w:semiHidden/>
    <w:rPr>
      <w:rFonts w:ascii="宋体"/>
      <w:kern w:val="2"/>
      <w:sz w:val="18"/>
      <w:szCs w:val="18"/>
    </w:rPr>
  </w:style>
  <w:style w:type="character" w:customStyle="1" w:styleId="Char10">
    <w:name w:val="批注文字 Char1"/>
    <w:uiPriority w:val="99"/>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8"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6"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 Type="http://schemas.openxmlformats.org/officeDocument/2006/relationships/customXml" Target="../customXml/item3.xml"/><Relationship Id="rId21"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7" Type="http://schemas.openxmlformats.org/officeDocument/2006/relationships/footnotes" Target="footnotes.xml"/><Relationship Id="rId12"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7"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5"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 Type="http://schemas.openxmlformats.org/officeDocument/2006/relationships/customXml" Target="../customXml/item2.xml"/><Relationship Id="rId16"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0"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9"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4"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3"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8"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6" Type="http://schemas.microsoft.com/office/2016/09/relationships/commentsIds" Target="commentsIds.xml"/><Relationship Id="rId10"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9"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4"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2"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7"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28D8C6-371D-49E2-876D-DED17FE17DAF}">
  <ds:schemaRefs>
    <ds:schemaRef ds:uri="http://schemas.openxmlformats.org/officeDocument/2006/bibliography"/>
  </ds:schemaRefs>
</ds:datastoreItem>
</file>

<file path=customXml/itemProps3.xml><?xml version="1.0" encoding="utf-8"?>
<ds:datastoreItem xmlns:ds="http://schemas.openxmlformats.org/officeDocument/2006/customXml" ds:itemID="{178033F7-66D0-4358-8178-18F09CB0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5623</Words>
  <Characters>32057</Characters>
  <Application>Microsoft Office Word</Application>
  <DocSecurity>0</DocSecurity>
  <Lines>267</Lines>
  <Paragraphs>75</Paragraphs>
  <ScaleCrop>false</ScaleCrop>
  <Company>P R C</Company>
  <LinksUpToDate>false</LinksUpToDate>
  <CharactersWithSpaces>37605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喻秋燕</cp:lastModifiedBy>
  <cp:revision>17</cp:revision>
  <cp:lastPrinted>2017-02-10T08:00:00Z</cp:lastPrinted>
  <dcterms:created xsi:type="dcterms:W3CDTF">2021-07-31T03:26:00Z</dcterms:created>
  <dcterms:modified xsi:type="dcterms:W3CDTF">2021-09-16T07:43:00Z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670E7B247C4A46E79AAF1E7657C14122</vt:lpwstr>
  </property>
</Properties>
</file>