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5C63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6F371F" w:rsidRPr="00101DCE">
        <w:rPr>
          <w:rFonts w:eastAsiaTheme="minorEastAsia" w:hint="eastAsia"/>
          <w:bCs/>
          <w:sz w:val="24"/>
          <w:szCs w:val="24"/>
        </w:rPr>
        <w:t>20</w:t>
      </w:r>
      <w:r w:rsidR="006F371F">
        <w:rPr>
          <w:rFonts w:eastAsiaTheme="minorEastAsia"/>
          <w:bCs/>
          <w:sz w:val="24"/>
          <w:szCs w:val="24"/>
        </w:rPr>
        <w:t>2</w:t>
      </w:r>
      <w:r w:rsidR="006F371F">
        <w:rPr>
          <w:rFonts w:eastAsiaTheme="minorEastAsia" w:hint="eastAsia"/>
          <w:bCs/>
          <w:sz w:val="24"/>
          <w:szCs w:val="24"/>
        </w:rPr>
        <w:t>1</w:t>
      </w:r>
      <w:r w:rsidR="006F371F" w:rsidRPr="00101DCE">
        <w:rPr>
          <w:rFonts w:eastAsiaTheme="minorEastAsia" w:hint="eastAsia"/>
          <w:bCs/>
          <w:sz w:val="24"/>
          <w:szCs w:val="24"/>
        </w:rPr>
        <w:t>年</w:t>
      </w:r>
      <w:r w:rsidR="006F371F">
        <w:rPr>
          <w:rFonts w:eastAsiaTheme="minorEastAsia"/>
          <w:bCs/>
          <w:sz w:val="24"/>
          <w:szCs w:val="24"/>
        </w:rPr>
        <w:t>9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6F371F">
        <w:rPr>
          <w:rFonts w:eastAsiaTheme="minorEastAsia"/>
          <w:bCs/>
          <w:sz w:val="24"/>
          <w:szCs w:val="24"/>
        </w:rPr>
        <w:t>18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AB4E2D">
        <w:trPr>
          <w:jc w:val="center"/>
        </w:trPr>
        <w:tc>
          <w:tcPr>
            <w:tcW w:w="1611" w:type="pct"/>
            <w:vAlign w:val="center"/>
          </w:tcPr>
          <w:p w:rsidR="00D327FA" w:rsidRPr="00736778" w:rsidRDefault="00075AD6" w:rsidP="00AB4E2D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5C63FD" w:rsidP="00AB4E2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C63FD" w:rsidRPr="00736778" w:rsidTr="00AB4E2D">
        <w:trPr>
          <w:jc w:val="center"/>
        </w:trPr>
        <w:tc>
          <w:tcPr>
            <w:tcW w:w="1611" w:type="pct"/>
            <w:vAlign w:val="center"/>
          </w:tcPr>
          <w:p w:rsidR="005C63FD" w:rsidRPr="00736778" w:rsidRDefault="005C63FD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  <w:vAlign w:val="center"/>
          </w:tcPr>
          <w:p w:rsidR="005C63FD" w:rsidRPr="00736778" w:rsidRDefault="005C63FD" w:rsidP="00AB4E2D">
            <w:pPr>
              <w:rPr>
                <w:rFonts w:eastAsiaTheme="minorEastAsia"/>
                <w:sz w:val="24"/>
                <w:szCs w:val="24"/>
              </w:rPr>
            </w:pPr>
            <w:r w:rsidRPr="0093083F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C63FD" w:rsidRPr="00736778" w:rsidTr="00AB4E2D">
        <w:trPr>
          <w:jc w:val="center"/>
        </w:trPr>
        <w:tc>
          <w:tcPr>
            <w:tcW w:w="1611" w:type="pct"/>
            <w:vAlign w:val="center"/>
          </w:tcPr>
          <w:p w:rsidR="005C63FD" w:rsidRPr="00736778" w:rsidRDefault="005C63FD" w:rsidP="00AB4E2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  <w:vAlign w:val="center"/>
          </w:tcPr>
          <w:p w:rsidR="005C63FD" w:rsidRPr="00736778" w:rsidRDefault="005C63FD" w:rsidP="00AB4E2D">
            <w:pPr>
              <w:rPr>
                <w:rFonts w:eastAsiaTheme="minorEastAsia"/>
                <w:sz w:val="24"/>
                <w:szCs w:val="24"/>
              </w:rPr>
            </w:pPr>
            <w:r w:rsidRPr="0093083F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9B403A" w:rsidRPr="00736778" w:rsidTr="00AB4E2D">
        <w:trPr>
          <w:jc w:val="center"/>
        </w:trPr>
        <w:tc>
          <w:tcPr>
            <w:tcW w:w="1611" w:type="pct"/>
            <w:vAlign w:val="center"/>
          </w:tcPr>
          <w:p w:rsidR="009B403A" w:rsidRPr="00736778" w:rsidRDefault="00075AD6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0D5083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AB4E2D">
        <w:trPr>
          <w:jc w:val="center"/>
        </w:trPr>
        <w:tc>
          <w:tcPr>
            <w:tcW w:w="1611" w:type="pct"/>
            <w:vAlign w:val="center"/>
          </w:tcPr>
          <w:p w:rsidR="009B403A" w:rsidRPr="00736778" w:rsidRDefault="00075AD6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AB4E2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C63FD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C63FD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AB4E2D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0D5083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0D508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CA5694" w:rsidRPr="00736778" w:rsidRDefault="00CA5694" w:rsidP="00AB4E2D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2805C7" w:rsidP="00AB4E2D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6F371F">
              <w:rPr>
                <w:rFonts w:eastAsiaTheme="minorEastAsia" w:hint="eastAsia"/>
                <w:sz w:val="24"/>
                <w:szCs w:val="24"/>
              </w:rPr>
              <w:t>9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6F371F">
              <w:rPr>
                <w:rFonts w:eastAsiaTheme="minorEastAsia" w:hint="eastAsia"/>
                <w:sz w:val="24"/>
                <w:szCs w:val="24"/>
              </w:rPr>
              <w:t>2</w:t>
            </w:r>
            <w:r w:rsidR="006F371F">
              <w:rPr>
                <w:rFonts w:eastAsiaTheme="minorEastAsia"/>
                <w:sz w:val="24"/>
                <w:szCs w:val="24"/>
              </w:rPr>
              <w:t>2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AB4E2D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 w:rsidP="000D50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961964" w:rsidRPr="00B42115" w:rsidRDefault="00961964" w:rsidP="00AB4E2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961964" w:rsidP="00AB4E2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6F371F">
              <w:rPr>
                <w:rFonts w:eastAsiaTheme="minorEastAsia"/>
                <w:sz w:val="24"/>
                <w:szCs w:val="24"/>
              </w:rPr>
              <w:t>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6F371F">
              <w:rPr>
                <w:rFonts w:eastAsiaTheme="minorEastAsia" w:hint="eastAsia"/>
                <w:sz w:val="24"/>
                <w:szCs w:val="24"/>
              </w:rPr>
              <w:t>2</w:t>
            </w:r>
            <w:r w:rsidR="006F371F">
              <w:rPr>
                <w:rFonts w:eastAsiaTheme="minorEastAsia"/>
                <w:sz w:val="24"/>
                <w:szCs w:val="24"/>
              </w:rPr>
              <w:t>2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AB4E2D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736778" w:rsidRDefault="00961964" w:rsidP="000D5083"/>
        </w:tc>
        <w:tc>
          <w:tcPr>
            <w:tcW w:w="1856" w:type="pct"/>
            <w:vAlign w:val="center"/>
          </w:tcPr>
          <w:p w:rsidR="00961964" w:rsidRPr="00736778" w:rsidRDefault="00961964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  <w:vAlign w:val="center"/>
          </w:tcPr>
          <w:p w:rsidR="00961964" w:rsidRPr="00736778" w:rsidRDefault="00CD5335" w:rsidP="00AB4E2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CD5335">
              <w:rPr>
                <w:rFonts w:ascii="宋体" w:eastAsia="宋体" w:hAnsi="宋体" w:hint="eastAsia"/>
                <w:sz w:val="24"/>
                <w:szCs w:val="24"/>
              </w:rPr>
              <w:t>本基金管理人考虑之前限制大额申购、定期定额投资业务的因素对基金资产运作的影响已经减弱，为满足广大投资者的投资需求</w:t>
            </w:r>
          </w:p>
        </w:tc>
      </w:tr>
      <w:tr w:rsidR="00AC6093" w:rsidRPr="00736778" w:rsidTr="00AB4E2D">
        <w:trPr>
          <w:jc w:val="center"/>
        </w:trPr>
        <w:tc>
          <w:tcPr>
            <w:tcW w:w="1611" w:type="pct"/>
            <w:vAlign w:val="center"/>
          </w:tcPr>
          <w:p w:rsidR="00AC6093" w:rsidRPr="00736778" w:rsidRDefault="00AC6093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AC6093" w:rsidRPr="0093083F" w:rsidRDefault="00AC6093" w:rsidP="00AB4E2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AC6093" w:rsidRPr="0093083F" w:rsidRDefault="00AC6093" w:rsidP="00AB4E2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AC6093" w:rsidRPr="00736778" w:rsidTr="00AB4E2D">
        <w:trPr>
          <w:jc w:val="center"/>
        </w:trPr>
        <w:tc>
          <w:tcPr>
            <w:tcW w:w="1611" w:type="pct"/>
            <w:vAlign w:val="center"/>
          </w:tcPr>
          <w:p w:rsidR="00AC6093" w:rsidRPr="00736778" w:rsidRDefault="00AC6093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  <w:vAlign w:val="center"/>
          </w:tcPr>
          <w:p w:rsidR="00AC6093" w:rsidRPr="0093083F" w:rsidRDefault="00AC6093" w:rsidP="00AB4E2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533" w:type="pct"/>
            <w:vAlign w:val="center"/>
          </w:tcPr>
          <w:p w:rsidR="00AC6093" w:rsidRPr="0093083F" w:rsidRDefault="00AC6093" w:rsidP="00AB4E2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61964" w:rsidRPr="00736778" w:rsidTr="00AB4E2D">
        <w:trPr>
          <w:jc w:val="center"/>
        </w:trPr>
        <w:tc>
          <w:tcPr>
            <w:tcW w:w="1611" w:type="pct"/>
            <w:vAlign w:val="center"/>
          </w:tcPr>
          <w:p w:rsidR="00961964" w:rsidRPr="00736778" w:rsidRDefault="00961964" w:rsidP="00AB4E2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AB4E2D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AB4E2D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A780F" w:rsidRPr="0093083F" w:rsidRDefault="005A780F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Pr="0093083F">
        <w:rPr>
          <w:rFonts w:eastAsia="宋体"/>
          <w:sz w:val="24"/>
          <w:szCs w:val="24"/>
        </w:rPr>
        <w:t>www.fund001.com</w:t>
      </w:r>
      <w:r w:rsidRPr="0093083F">
        <w:rPr>
          <w:rFonts w:eastAsia="宋体" w:hint="eastAsia"/>
          <w:color w:val="000000"/>
          <w:sz w:val="24"/>
          <w:szCs w:val="24"/>
        </w:rPr>
        <w:t>）或拨打客户服务电话（</w:t>
      </w:r>
      <w:r w:rsidRPr="0093083F">
        <w:rPr>
          <w:rFonts w:eastAsia="宋体"/>
          <w:sz w:val="24"/>
          <w:szCs w:val="24"/>
        </w:rPr>
        <w:t>400-700-5000</w:t>
      </w:r>
      <w:r w:rsidRPr="0093083F">
        <w:rPr>
          <w:rFonts w:eastAsia="宋体" w:hint="eastAsia"/>
          <w:color w:val="000000"/>
          <w:sz w:val="24"/>
          <w:szCs w:val="24"/>
        </w:rPr>
        <w:t>，</w:t>
      </w:r>
      <w:r w:rsidRPr="0093083F">
        <w:rPr>
          <w:rFonts w:eastAsia="宋体"/>
          <w:sz w:val="24"/>
          <w:szCs w:val="24"/>
        </w:rPr>
        <w:t>021-61055000</w:t>
      </w:r>
      <w:r w:rsidRPr="0093083F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E77B59">
        <w:rPr>
          <w:rFonts w:ascii="宋体" w:eastAsia="宋体" w:hAnsi="宋体" w:hint="eastAsia"/>
          <w:color w:val="000000"/>
          <w:sz w:val="24"/>
        </w:rPr>
        <w:lastRenderedPageBreak/>
        <w:t>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EF" w:rsidRDefault="00594DEF" w:rsidP="00D327FA">
      <w:r>
        <w:separator/>
      </w:r>
    </w:p>
  </w:endnote>
  <w:endnote w:type="continuationSeparator" w:id="0">
    <w:p w:rsidR="00594DEF" w:rsidRDefault="00594DE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EF" w:rsidRDefault="00594DEF" w:rsidP="00D327FA">
      <w:r>
        <w:separator/>
      </w:r>
    </w:p>
  </w:footnote>
  <w:footnote w:type="continuationSeparator" w:id="0">
    <w:p w:rsidR="00594DEF" w:rsidRDefault="00594DE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1CA9"/>
    <w:rsid w:val="00057DE7"/>
    <w:rsid w:val="00062A33"/>
    <w:rsid w:val="000656E2"/>
    <w:rsid w:val="00065C4E"/>
    <w:rsid w:val="00072896"/>
    <w:rsid w:val="000746EF"/>
    <w:rsid w:val="00075AD6"/>
    <w:rsid w:val="00091B8F"/>
    <w:rsid w:val="000D5083"/>
    <w:rsid w:val="000E2B3D"/>
    <w:rsid w:val="000E4CBF"/>
    <w:rsid w:val="00101DCE"/>
    <w:rsid w:val="001161A4"/>
    <w:rsid w:val="001169BB"/>
    <w:rsid w:val="00117A6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6E3A"/>
    <w:rsid w:val="00207484"/>
    <w:rsid w:val="002360FD"/>
    <w:rsid w:val="00245724"/>
    <w:rsid w:val="00250A78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B626E"/>
    <w:rsid w:val="002C2B69"/>
    <w:rsid w:val="002C360B"/>
    <w:rsid w:val="002C64D4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86A1F"/>
    <w:rsid w:val="00387AF9"/>
    <w:rsid w:val="00392083"/>
    <w:rsid w:val="003C7237"/>
    <w:rsid w:val="003D218F"/>
    <w:rsid w:val="003D2DA1"/>
    <w:rsid w:val="0041466B"/>
    <w:rsid w:val="004206D1"/>
    <w:rsid w:val="004569F5"/>
    <w:rsid w:val="00465337"/>
    <w:rsid w:val="0048692B"/>
    <w:rsid w:val="00492B73"/>
    <w:rsid w:val="004966BA"/>
    <w:rsid w:val="004D6346"/>
    <w:rsid w:val="004E2421"/>
    <w:rsid w:val="004F0521"/>
    <w:rsid w:val="004F131B"/>
    <w:rsid w:val="004F51E8"/>
    <w:rsid w:val="00540343"/>
    <w:rsid w:val="00564298"/>
    <w:rsid w:val="00572D50"/>
    <w:rsid w:val="005850D8"/>
    <w:rsid w:val="005934E1"/>
    <w:rsid w:val="00594DEF"/>
    <w:rsid w:val="005A780F"/>
    <w:rsid w:val="005C051B"/>
    <w:rsid w:val="005C5BCF"/>
    <w:rsid w:val="005C63FD"/>
    <w:rsid w:val="005F1AF0"/>
    <w:rsid w:val="00614995"/>
    <w:rsid w:val="00643DB0"/>
    <w:rsid w:val="00644EE4"/>
    <w:rsid w:val="00646522"/>
    <w:rsid w:val="00661AAF"/>
    <w:rsid w:val="00686C96"/>
    <w:rsid w:val="0069312E"/>
    <w:rsid w:val="006D65A3"/>
    <w:rsid w:val="006F371F"/>
    <w:rsid w:val="00711778"/>
    <w:rsid w:val="00721B28"/>
    <w:rsid w:val="00727899"/>
    <w:rsid w:val="00736778"/>
    <w:rsid w:val="007479E6"/>
    <w:rsid w:val="00752B17"/>
    <w:rsid w:val="00753DDE"/>
    <w:rsid w:val="00755389"/>
    <w:rsid w:val="00770DB7"/>
    <w:rsid w:val="0078174A"/>
    <w:rsid w:val="007837AF"/>
    <w:rsid w:val="00791721"/>
    <w:rsid w:val="00793870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8F4E93"/>
    <w:rsid w:val="0093083F"/>
    <w:rsid w:val="00932FF1"/>
    <w:rsid w:val="00936257"/>
    <w:rsid w:val="009458B1"/>
    <w:rsid w:val="00956B0F"/>
    <w:rsid w:val="00961964"/>
    <w:rsid w:val="00986171"/>
    <w:rsid w:val="009868EA"/>
    <w:rsid w:val="00994915"/>
    <w:rsid w:val="009A0B67"/>
    <w:rsid w:val="009B262E"/>
    <w:rsid w:val="009B403A"/>
    <w:rsid w:val="009B66EB"/>
    <w:rsid w:val="009C5858"/>
    <w:rsid w:val="009D5833"/>
    <w:rsid w:val="009E3FFC"/>
    <w:rsid w:val="00A124E1"/>
    <w:rsid w:val="00A213C5"/>
    <w:rsid w:val="00A409D7"/>
    <w:rsid w:val="00A516C4"/>
    <w:rsid w:val="00A54CF0"/>
    <w:rsid w:val="00A75695"/>
    <w:rsid w:val="00A77916"/>
    <w:rsid w:val="00A82176"/>
    <w:rsid w:val="00A85197"/>
    <w:rsid w:val="00A85AEC"/>
    <w:rsid w:val="00AB4E2D"/>
    <w:rsid w:val="00AC3F60"/>
    <w:rsid w:val="00AC6093"/>
    <w:rsid w:val="00AD27E9"/>
    <w:rsid w:val="00AF68A9"/>
    <w:rsid w:val="00B101F7"/>
    <w:rsid w:val="00B13229"/>
    <w:rsid w:val="00B243AE"/>
    <w:rsid w:val="00B26FE4"/>
    <w:rsid w:val="00B34156"/>
    <w:rsid w:val="00B40A5A"/>
    <w:rsid w:val="00B5053A"/>
    <w:rsid w:val="00B52763"/>
    <w:rsid w:val="00B86B15"/>
    <w:rsid w:val="00BA6967"/>
    <w:rsid w:val="00BB28EE"/>
    <w:rsid w:val="00BD156A"/>
    <w:rsid w:val="00BD18EA"/>
    <w:rsid w:val="00BD601B"/>
    <w:rsid w:val="00BD6D93"/>
    <w:rsid w:val="00C05EFF"/>
    <w:rsid w:val="00C43F60"/>
    <w:rsid w:val="00C50193"/>
    <w:rsid w:val="00C74043"/>
    <w:rsid w:val="00C74FC8"/>
    <w:rsid w:val="00CA5694"/>
    <w:rsid w:val="00CB5E91"/>
    <w:rsid w:val="00CD5335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213EE"/>
    <w:rsid w:val="00E30612"/>
    <w:rsid w:val="00E31264"/>
    <w:rsid w:val="00E72255"/>
    <w:rsid w:val="00E77B59"/>
    <w:rsid w:val="00E77D74"/>
    <w:rsid w:val="00E916AD"/>
    <w:rsid w:val="00EB0E4D"/>
    <w:rsid w:val="00ED0C20"/>
    <w:rsid w:val="00EE1823"/>
    <w:rsid w:val="00EE3F14"/>
    <w:rsid w:val="00EF318C"/>
    <w:rsid w:val="00F06CA1"/>
    <w:rsid w:val="00F14414"/>
    <w:rsid w:val="00F414EF"/>
    <w:rsid w:val="00F5252D"/>
    <w:rsid w:val="00F52F02"/>
    <w:rsid w:val="00F64447"/>
    <w:rsid w:val="00F706B3"/>
    <w:rsid w:val="00F83144"/>
    <w:rsid w:val="00F875F9"/>
    <w:rsid w:val="00F95610"/>
    <w:rsid w:val="00FA2A05"/>
    <w:rsid w:val="00FA5CCA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ADCC0-8933-4343-8FC6-ADF560C6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58</cp:revision>
  <dcterms:created xsi:type="dcterms:W3CDTF">2021-06-18T01:17:00Z</dcterms:created>
  <dcterms:modified xsi:type="dcterms:W3CDTF">2021-09-17T05:11:00Z</dcterms:modified>
</cp:coreProperties>
</file>