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D461" w14:textId="2CC1F931" w:rsidR="004F66FA" w:rsidRPr="002E77D1" w:rsidRDefault="004F66FA" w:rsidP="002B7641">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FB20B3">
        <w:rPr>
          <w:rFonts w:hint="eastAsia"/>
          <w:b/>
          <w:bCs/>
          <w:color w:val="000000"/>
          <w:sz w:val="28"/>
          <w:szCs w:val="28"/>
        </w:rPr>
        <w:t>交银施罗德</w:t>
      </w:r>
      <w:proofErr w:type="gramStart"/>
      <w:r w:rsidR="00C66A62">
        <w:rPr>
          <w:rFonts w:hint="eastAsia"/>
          <w:b/>
          <w:bCs/>
          <w:color w:val="000000"/>
          <w:sz w:val="28"/>
          <w:szCs w:val="28"/>
        </w:rPr>
        <w:t>鑫</w:t>
      </w:r>
      <w:proofErr w:type="gramEnd"/>
      <w:r w:rsidR="00C66A62">
        <w:rPr>
          <w:rFonts w:hint="eastAsia"/>
          <w:b/>
          <w:bCs/>
          <w:color w:val="000000"/>
          <w:sz w:val="28"/>
          <w:szCs w:val="28"/>
        </w:rPr>
        <w:t>选</w:t>
      </w:r>
      <w:r w:rsidR="00FB20B3">
        <w:rPr>
          <w:rFonts w:hint="eastAsia"/>
          <w:b/>
          <w:bCs/>
          <w:color w:val="000000"/>
          <w:sz w:val="28"/>
          <w:szCs w:val="28"/>
        </w:rPr>
        <w:t>回报混合型证券投资基金</w:t>
      </w:r>
      <w:r w:rsidRPr="002E77D1">
        <w:rPr>
          <w:rFonts w:hint="eastAsia"/>
          <w:b/>
          <w:bCs/>
          <w:color w:val="000000"/>
          <w:sz w:val="28"/>
          <w:szCs w:val="28"/>
        </w:rPr>
        <w:t>开放日常转换业务的公告</w:t>
      </w:r>
    </w:p>
    <w:p w14:paraId="55D64DC0" w14:textId="4EBA539E"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66A62">
        <w:rPr>
          <w:b/>
          <w:sz w:val="24"/>
        </w:rPr>
        <w:t>2021</w:t>
      </w:r>
      <w:r w:rsidR="00FB20B3">
        <w:rPr>
          <w:b/>
          <w:sz w:val="24"/>
        </w:rPr>
        <w:t>年</w:t>
      </w:r>
      <w:r w:rsidR="00C66A62">
        <w:rPr>
          <w:b/>
          <w:sz w:val="24"/>
        </w:rPr>
        <w:t>6</w:t>
      </w:r>
      <w:r w:rsidR="0013035E">
        <w:rPr>
          <w:rFonts w:hint="eastAsia"/>
          <w:b/>
          <w:sz w:val="24"/>
        </w:rPr>
        <w:t>月</w:t>
      </w:r>
      <w:r w:rsidR="00F56EC5">
        <w:rPr>
          <w:b/>
          <w:sz w:val="24"/>
        </w:rPr>
        <w:t>28</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2732"/>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76428433" w:rsidR="005B2723" w:rsidRDefault="00FB20B3" w:rsidP="00F01F7B">
            <w:pPr>
              <w:spacing w:line="360" w:lineRule="auto"/>
              <w:rPr>
                <w:sz w:val="24"/>
              </w:rPr>
            </w:pPr>
            <w:r>
              <w:rPr>
                <w:rFonts w:hint="eastAsia"/>
                <w:sz w:val="24"/>
              </w:rPr>
              <w:t>交银施罗德</w:t>
            </w:r>
            <w:proofErr w:type="gramStart"/>
            <w:r w:rsidR="00C66A62">
              <w:rPr>
                <w:rFonts w:hint="eastAsia"/>
                <w:sz w:val="24"/>
              </w:rPr>
              <w:t>鑫</w:t>
            </w:r>
            <w:proofErr w:type="gramEnd"/>
            <w:r w:rsidR="00C66A62">
              <w:rPr>
                <w:rFonts w:hint="eastAsia"/>
                <w:sz w:val="24"/>
              </w:rPr>
              <w:t>选</w:t>
            </w:r>
            <w:r>
              <w:rPr>
                <w:rFonts w:hint="eastAsia"/>
                <w:sz w:val="24"/>
              </w:rPr>
              <w:t>回报混合型证券投资基金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710D6DF1" w:rsidR="005B2723" w:rsidRPr="000D0680" w:rsidRDefault="00FB20B3" w:rsidP="002D241A">
            <w:pPr>
              <w:spacing w:line="360" w:lineRule="auto"/>
              <w:rPr>
                <w:rFonts w:eastAsiaTheme="minorEastAsia"/>
                <w:sz w:val="24"/>
              </w:rPr>
            </w:pPr>
            <w:bookmarkStart w:id="1" w:name="_Hlk41901732"/>
            <w:r>
              <w:rPr>
                <w:rFonts w:hint="eastAsia"/>
                <w:sz w:val="24"/>
              </w:rPr>
              <w:t>交银</w:t>
            </w:r>
            <w:proofErr w:type="gramStart"/>
            <w:r w:rsidR="00C66A62">
              <w:rPr>
                <w:rFonts w:hint="eastAsia"/>
                <w:sz w:val="24"/>
              </w:rPr>
              <w:t>鑫</w:t>
            </w:r>
            <w:proofErr w:type="gramEnd"/>
            <w:r w:rsidR="00C66A62">
              <w:rPr>
                <w:rFonts w:hint="eastAsia"/>
                <w:sz w:val="24"/>
              </w:rPr>
              <w:t>选</w:t>
            </w:r>
            <w:r>
              <w:rPr>
                <w:rFonts w:hint="eastAsia"/>
                <w:sz w:val="24"/>
              </w:rPr>
              <w:t>回报混合</w:t>
            </w:r>
            <w:bookmarkEnd w:id="1"/>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3B62A8EB" w:rsidR="005B2723" w:rsidRDefault="00C66A62" w:rsidP="005E49E9">
            <w:pPr>
              <w:spacing w:line="360" w:lineRule="auto"/>
              <w:rPr>
                <w:sz w:val="24"/>
              </w:rPr>
            </w:pPr>
            <w:r>
              <w:rPr>
                <w:sz w:val="24"/>
              </w:rPr>
              <w:t>011198</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57935DE3" w:rsidR="005B2723" w:rsidRPr="00307FBA" w:rsidRDefault="00FB20B3" w:rsidP="002D241A">
            <w:pPr>
              <w:spacing w:line="360" w:lineRule="auto"/>
              <w:rPr>
                <w:rFonts w:ascii="宋体" w:hAnsi="宋体"/>
                <w:sz w:val="24"/>
              </w:rPr>
            </w:pPr>
            <w:r w:rsidRPr="008E1815">
              <w:rPr>
                <w:bCs/>
                <w:sz w:val="24"/>
              </w:rPr>
              <w:t>契约型开放式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5C2D0CCC" w:rsidR="005B2723" w:rsidRDefault="00C66A62" w:rsidP="004066D6">
            <w:pPr>
              <w:spacing w:line="360" w:lineRule="auto"/>
              <w:rPr>
                <w:sz w:val="24"/>
              </w:rPr>
            </w:pPr>
            <w:r w:rsidRPr="006D67CD">
              <w:rPr>
                <w:rFonts w:asciiTheme="minorEastAsia" w:eastAsiaTheme="minorEastAsia" w:hAnsiTheme="minorEastAsia"/>
                <w:sz w:val="24"/>
              </w:rPr>
              <w:t>20</w:t>
            </w:r>
            <w:r>
              <w:rPr>
                <w:rFonts w:asciiTheme="minorEastAsia" w:eastAsiaTheme="minorEastAsia" w:hAnsiTheme="minorEastAsia"/>
                <w:sz w:val="24"/>
              </w:rPr>
              <w:t>21</w:t>
            </w:r>
            <w:r w:rsidRPr="006D67CD">
              <w:rPr>
                <w:rFonts w:asciiTheme="minorEastAsia" w:eastAsiaTheme="minorEastAsia" w:hAnsiTheme="minorEastAsia"/>
                <w:sz w:val="24"/>
              </w:rPr>
              <w:t>年</w:t>
            </w:r>
            <w:r>
              <w:rPr>
                <w:rFonts w:asciiTheme="minorEastAsia" w:eastAsiaTheme="minorEastAsia" w:hAnsiTheme="minorEastAsia"/>
                <w:sz w:val="24"/>
              </w:rPr>
              <w:t>4</w:t>
            </w:r>
            <w:r w:rsidRPr="00B276E0">
              <w:rPr>
                <w:rFonts w:asciiTheme="minorEastAsia" w:eastAsiaTheme="minorEastAsia" w:hAnsiTheme="minorEastAsia"/>
                <w:sz w:val="24"/>
              </w:rPr>
              <w:t>月</w:t>
            </w:r>
            <w:r>
              <w:rPr>
                <w:rFonts w:asciiTheme="minorEastAsia" w:eastAsiaTheme="minorEastAsia" w:hAnsiTheme="minorEastAsia"/>
                <w:sz w:val="24"/>
              </w:rPr>
              <w:t>29</w:t>
            </w:r>
            <w:r w:rsidRPr="00B276E0">
              <w:rPr>
                <w:rFonts w:asciiTheme="minorEastAsia" w:eastAsiaTheme="minorEastAsia" w:hAnsiTheme="minorEastAsia"/>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04CAFC25" w:rsidR="005B2723" w:rsidRPr="009229D4" w:rsidRDefault="00C66A62" w:rsidP="004066D6">
            <w:pPr>
              <w:spacing w:line="360" w:lineRule="auto"/>
              <w:rPr>
                <w:sz w:val="24"/>
              </w:rPr>
            </w:pPr>
            <w:r w:rsidRPr="00B7778C">
              <w:rPr>
                <w:rFonts w:asciiTheme="minorEastAsia" w:eastAsiaTheme="minorEastAsia" w:hAnsiTheme="minorEastAsia" w:hint="eastAsia"/>
                <w:sz w:val="24"/>
              </w:rPr>
              <w:t>中国邮政储蓄银行股份有限公司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7A37DB79" w:rsidR="005B2723" w:rsidRPr="002E77D1" w:rsidRDefault="00C66A62" w:rsidP="00F01F7B">
            <w:pPr>
              <w:spacing w:line="360" w:lineRule="auto"/>
              <w:jc w:val="left"/>
              <w:rPr>
                <w:sz w:val="24"/>
              </w:rPr>
            </w:pPr>
            <w:r w:rsidRPr="00514246">
              <w:rPr>
                <w:rFonts w:eastAsiaTheme="minorEastAsia" w:hint="eastAsia"/>
                <w:sz w:val="24"/>
              </w:rPr>
              <w:t>《</w:t>
            </w:r>
            <w:r>
              <w:rPr>
                <w:rFonts w:eastAsiaTheme="minorEastAsia" w:hint="eastAsia"/>
                <w:sz w:val="24"/>
              </w:rPr>
              <w:t>交银施罗德鑫选回报混合型证券投资基金</w:t>
            </w:r>
            <w:r w:rsidRPr="00514246">
              <w:rPr>
                <w:rFonts w:eastAsiaTheme="minorEastAsia" w:hint="eastAsia"/>
                <w:sz w:val="24"/>
              </w:rPr>
              <w:t>基金合同》、《</w:t>
            </w:r>
            <w:r>
              <w:rPr>
                <w:rFonts w:eastAsiaTheme="minorEastAsia" w:hint="eastAsia"/>
                <w:sz w:val="24"/>
              </w:rPr>
              <w:t>交银施罗德鑫选回报混合型证券投资基金</w:t>
            </w:r>
            <w:r w:rsidRPr="00514246">
              <w:rPr>
                <w:rFonts w:eastAsiaTheme="minorEastAsia"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6C60E6DF" w:rsidR="005B2723" w:rsidRDefault="00C66A62" w:rsidP="00F10A65">
            <w:pPr>
              <w:spacing w:line="360" w:lineRule="auto"/>
              <w:rPr>
                <w:sz w:val="24"/>
              </w:rPr>
            </w:pPr>
            <w:r>
              <w:rPr>
                <w:sz w:val="24"/>
              </w:rPr>
              <w:t>2021</w:t>
            </w:r>
            <w:r w:rsidR="00FB20B3">
              <w:rPr>
                <w:sz w:val="24"/>
              </w:rPr>
              <w:t>年</w:t>
            </w:r>
            <w:r>
              <w:rPr>
                <w:sz w:val="24"/>
              </w:rPr>
              <w:t>6</w:t>
            </w:r>
            <w:r w:rsidR="00132F6F">
              <w:rPr>
                <w:rFonts w:hint="eastAsia"/>
                <w:sz w:val="24"/>
              </w:rPr>
              <w:t>月</w:t>
            </w:r>
            <w:r>
              <w:rPr>
                <w:sz w:val="24"/>
              </w:rPr>
              <w:t>29</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67C96291" w:rsidR="005B2723" w:rsidRDefault="00C66A62" w:rsidP="00F10A65">
            <w:pPr>
              <w:spacing w:line="360" w:lineRule="auto"/>
              <w:rPr>
                <w:sz w:val="24"/>
              </w:rPr>
            </w:pPr>
            <w:r>
              <w:rPr>
                <w:sz w:val="24"/>
              </w:rPr>
              <w:t>2021</w:t>
            </w:r>
            <w:r w:rsidR="00FB20B3">
              <w:rPr>
                <w:sz w:val="24"/>
              </w:rPr>
              <w:t>年</w:t>
            </w:r>
            <w:r>
              <w:rPr>
                <w:sz w:val="24"/>
              </w:rPr>
              <w:t>6</w:t>
            </w:r>
            <w:r w:rsidR="00132F6F">
              <w:rPr>
                <w:rFonts w:hint="eastAsia"/>
                <w:sz w:val="24"/>
              </w:rPr>
              <w:t>月</w:t>
            </w:r>
            <w:r>
              <w:rPr>
                <w:sz w:val="24"/>
              </w:rPr>
              <w:t>29</w:t>
            </w:r>
            <w:r w:rsidR="0064791A">
              <w:rPr>
                <w:sz w:val="24"/>
              </w:rPr>
              <w:t>日</w:t>
            </w:r>
          </w:p>
        </w:tc>
      </w:tr>
      <w:tr w:rsidR="00C66A62" w:rsidRPr="002E77D1" w14:paraId="3DFBBCCA" w14:textId="1158FD40" w:rsidTr="00A60338">
        <w:trPr>
          <w:jc w:val="center"/>
        </w:trPr>
        <w:tc>
          <w:tcPr>
            <w:tcW w:w="1740" w:type="pct"/>
          </w:tcPr>
          <w:p w14:paraId="5C589219" w14:textId="553B9FDF" w:rsidR="00C66A62" w:rsidRPr="002E77D1" w:rsidRDefault="00C66A62" w:rsidP="00C66A62">
            <w:pPr>
              <w:spacing w:line="360" w:lineRule="auto"/>
              <w:rPr>
                <w:sz w:val="24"/>
              </w:rPr>
            </w:pPr>
            <w:r w:rsidRPr="00307FBA">
              <w:rPr>
                <w:rFonts w:ascii="宋体" w:hAnsi="宋体" w:hint="eastAsia"/>
                <w:sz w:val="24"/>
              </w:rPr>
              <w:t>下属分级基金的基金简称</w:t>
            </w:r>
          </w:p>
        </w:tc>
        <w:tc>
          <w:tcPr>
            <w:tcW w:w="1660" w:type="pct"/>
            <w:vAlign w:val="center"/>
          </w:tcPr>
          <w:p w14:paraId="4CE9BCC5" w14:textId="23C19549" w:rsidR="00C66A62" w:rsidRDefault="00C66A62" w:rsidP="00C66A62">
            <w:pPr>
              <w:widowControl/>
              <w:jc w:val="left"/>
              <w:rPr>
                <w:sz w:val="24"/>
              </w:rPr>
            </w:pPr>
            <w:r w:rsidRPr="00B7778C">
              <w:rPr>
                <w:rFonts w:asciiTheme="minorEastAsia" w:eastAsiaTheme="minorEastAsia" w:hAnsiTheme="minorEastAsia" w:hint="eastAsia"/>
                <w:sz w:val="24"/>
              </w:rPr>
              <w:t>交银</w:t>
            </w:r>
            <w:proofErr w:type="gramStart"/>
            <w:r w:rsidRPr="00B7778C">
              <w:rPr>
                <w:rFonts w:asciiTheme="minorEastAsia" w:eastAsiaTheme="minorEastAsia" w:hAnsiTheme="minorEastAsia" w:hint="eastAsia"/>
                <w:sz w:val="24"/>
              </w:rPr>
              <w:t>鑫</w:t>
            </w:r>
            <w:proofErr w:type="gramEnd"/>
            <w:r w:rsidRPr="00B7778C">
              <w:rPr>
                <w:rFonts w:asciiTheme="minorEastAsia" w:eastAsiaTheme="minorEastAsia" w:hAnsiTheme="minorEastAsia" w:hint="eastAsia"/>
                <w:sz w:val="24"/>
              </w:rPr>
              <w:t>选回报混合A</w:t>
            </w:r>
          </w:p>
        </w:tc>
        <w:tc>
          <w:tcPr>
            <w:tcW w:w="1600" w:type="pct"/>
            <w:vAlign w:val="center"/>
          </w:tcPr>
          <w:p w14:paraId="1DF82F4F" w14:textId="306FEB7A" w:rsidR="00C66A62" w:rsidRPr="002E77D1" w:rsidRDefault="00C66A62" w:rsidP="00C66A62">
            <w:pPr>
              <w:widowControl/>
              <w:jc w:val="left"/>
            </w:pPr>
            <w:r w:rsidRPr="00B7778C">
              <w:rPr>
                <w:rFonts w:asciiTheme="minorEastAsia" w:eastAsiaTheme="minorEastAsia" w:hAnsiTheme="minorEastAsia" w:hint="eastAsia"/>
                <w:sz w:val="24"/>
              </w:rPr>
              <w:t>交银</w:t>
            </w:r>
            <w:proofErr w:type="gramStart"/>
            <w:r w:rsidRPr="00B7778C">
              <w:rPr>
                <w:rFonts w:asciiTheme="minorEastAsia" w:eastAsiaTheme="minorEastAsia" w:hAnsiTheme="minorEastAsia" w:hint="eastAsia"/>
                <w:sz w:val="24"/>
              </w:rPr>
              <w:t>鑫</w:t>
            </w:r>
            <w:proofErr w:type="gramEnd"/>
            <w:r w:rsidRPr="00B7778C">
              <w:rPr>
                <w:rFonts w:asciiTheme="minorEastAsia" w:eastAsiaTheme="minorEastAsia" w:hAnsiTheme="minorEastAsia" w:hint="eastAsia"/>
                <w:sz w:val="24"/>
              </w:rPr>
              <w:t>选回报混合</w:t>
            </w:r>
            <w:r>
              <w:rPr>
                <w:rFonts w:asciiTheme="minorEastAsia" w:eastAsiaTheme="minorEastAsia" w:hAnsiTheme="minorEastAsia" w:hint="eastAsia"/>
                <w:sz w:val="24"/>
              </w:rPr>
              <w:t>C</w:t>
            </w:r>
          </w:p>
        </w:tc>
      </w:tr>
      <w:tr w:rsidR="00C66A62" w:rsidRPr="002E77D1" w14:paraId="1BE8BDD9" w14:textId="31F4BCDB" w:rsidTr="001D7CB8">
        <w:trPr>
          <w:jc w:val="center"/>
        </w:trPr>
        <w:tc>
          <w:tcPr>
            <w:tcW w:w="1740" w:type="pct"/>
            <w:vAlign w:val="center"/>
          </w:tcPr>
          <w:p w14:paraId="4DAFD4D5" w14:textId="6B3A360E" w:rsidR="00C66A62" w:rsidRPr="002E77D1" w:rsidRDefault="00C66A62" w:rsidP="00C66A62">
            <w:pPr>
              <w:spacing w:line="360" w:lineRule="auto"/>
              <w:rPr>
                <w:sz w:val="24"/>
              </w:rPr>
            </w:pPr>
            <w:r w:rsidRPr="00307FBA">
              <w:rPr>
                <w:rFonts w:ascii="宋体" w:hAnsi="宋体" w:hint="eastAsia"/>
                <w:sz w:val="24"/>
              </w:rPr>
              <w:t>下属分级基金的交易代码</w:t>
            </w:r>
          </w:p>
        </w:tc>
        <w:tc>
          <w:tcPr>
            <w:tcW w:w="1660" w:type="pct"/>
            <w:vAlign w:val="center"/>
          </w:tcPr>
          <w:p w14:paraId="6D84D4E8" w14:textId="50A97492" w:rsidR="00C66A62" w:rsidRDefault="00C66A62" w:rsidP="00C66A62">
            <w:pPr>
              <w:spacing w:line="360" w:lineRule="auto"/>
              <w:rPr>
                <w:sz w:val="24"/>
              </w:rPr>
            </w:pPr>
            <w:r w:rsidRPr="00A70D1B">
              <w:rPr>
                <w:sz w:val="24"/>
              </w:rPr>
              <w:t>011198</w:t>
            </w:r>
          </w:p>
        </w:tc>
        <w:tc>
          <w:tcPr>
            <w:tcW w:w="1600" w:type="pct"/>
            <w:vAlign w:val="center"/>
          </w:tcPr>
          <w:p w14:paraId="14FDE4AB" w14:textId="0FE9E94C" w:rsidR="00C66A62" w:rsidRPr="00A70D1B" w:rsidRDefault="00C66A62" w:rsidP="00C66A62">
            <w:pPr>
              <w:spacing w:line="360" w:lineRule="auto"/>
              <w:rPr>
                <w:sz w:val="24"/>
              </w:rPr>
            </w:pPr>
            <w:r w:rsidRPr="00A70D1B">
              <w:rPr>
                <w:sz w:val="24"/>
              </w:rPr>
              <w:t>011199</w:t>
            </w:r>
          </w:p>
        </w:tc>
      </w:tr>
      <w:tr w:rsidR="005B2723" w:rsidRPr="002E77D1" w14:paraId="04DD107A" w14:textId="28E5E098" w:rsidTr="00A60338">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660" w:type="pct"/>
          </w:tcPr>
          <w:p w14:paraId="5F882415" w14:textId="346FEB5E" w:rsidR="005B2723" w:rsidRDefault="005B2723" w:rsidP="005B2723">
            <w:pPr>
              <w:spacing w:line="360" w:lineRule="auto"/>
              <w:rPr>
                <w:sz w:val="24"/>
              </w:rPr>
            </w:pPr>
            <w:r>
              <w:rPr>
                <w:rFonts w:hint="eastAsia"/>
                <w:sz w:val="24"/>
              </w:rPr>
              <w:t>是</w:t>
            </w:r>
          </w:p>
        </w:tc>
        <w:tc>
          <w:tcPr>
            <w:tcW w:w="1600" w:type="pct"/>
          </w:tcPr>
          <w:p w14:paraId="15E5F9B8" w14:textId="64644557" w:rsidR="005B2723" w:rsidRPr="002E77D1" w:rsidRDefault="005B2723" w:rsidP="005B2723">
            <w:pPr>
              <w:widowControl/>
              <w:jc w:val="left"/>
            </w:pPr>
            <w:r>
              <w:rPr>
                <w:rFonts w:hint="eastAsia"/>
                <w:sz w:val="24"/>
              </w:rPr>
              <w:t>是</w:t>
            </w:r>
          </w:p>
        </w:tc>
      </w:tr>
    </w:tbl>
    <w:p w14:paraId="76E33B95" w14:textId="1D68C6A0"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FB20B3">
        <w:rPr>
          <w:rFonts w:hAnsi="宋体" w:hint="eastAsia"/>
          <w:sz w:val="24"/>
        </w:rPr>
        <w:t>交</w:t>
      </w:r>
      <w:proofErr w:type="gramEnd"/>
      <w:r w:rsidR="00FB20B3">
        <w:rPr>
          <w:rFonts w:hAnsi="宋体" w:hint="eastAsia"/>
          <w:sz w:val="24"/>
        </w:rPr>
        <w:t>银施罗德</w:t>
      </w:r>
      <w:proofErr w:type="gramStart"/>
      <w:r w:rsidR="00C66A62">
        <w:rPr>
          <w:rFonts w:hAnsi="宋体" w:hint="eastAsia"/>
          <w:sz w:val="24"/>
        </w:rPr>
        <w:t>鑫</w:t>
      </w:r>
      <w:proofErr w:type="gramEnd"/>
      <w:r w:rsidR="00C66A62">
        <w:rPr>
          <w:rFonts w:hAnsi="宋体" w:hint="eastAsia"/>
          <w:sz w:val="24"/>
        </w:rPr>
        <w:t>选</w:t>
      </w:r>
      <w:r w:rsidR="00FB20B3">
        <w:rPr>
          <w:rFonts w:hAnsi="宋体" w:hint="eastAsia"/>
          <w:sz w:val="24"/>
        </w:rPr>
        <w:t>回报混合型证券投资基金</w:t>
      </w:r>
      <w:r w:rsidRPr="002C5416">
        <w:rPr>
          <w:rFonts w:hAnsi="宋体" w:hint="eastAsia"/>
          <w:sz w:val="24"/>
        </w:rPr>
        <w:t>（以下简称为“</w:t>
      </w:r>
      <w:r w:rsidR="00C66A62" w:rsidRPr="0031518D">
        <w:rPr>
          <w:rFonts w:asciiTheme="minorEastAsia" w:eastAsiaTheme="minorEastAsia" w:hAnsiTheme="minorEastAsia" w:hint="eastAsia"/>
          <w:sz w:val="24"/>
        </w:rPr>
        <w:t>交银</w:t>
      </w:r>
      <w:proofErr w:type="gramStart"/>
      <w:r w:rsidR="00C66A62">
        <w:rPr>
          <w:rFonts w:asciiTheme="minorEastAsia" w:eastAsiaTheme="minorEastAsia" w:hAnsiTheme="minorEastAsia" w:hint="eastAsia"/>
          <w:sz w:val="24"/>
        </w:rPr>
        <w:t>鑫</w:t>
      </w:r>
      <w:proofErr w:type="gramEnd"/>
      <w:r w:rsidR="00C66A62">
        <w:rPr>
          <w:rFonts w:asciiTheme="minorEastAsia" w:eastAsiaTheme="minorEastAsia" w:hAnsiTheme="minorEastAsia" w:hint="eastAsia"/>
          <w:sz w:val="24"/>
        </w:rPr>
        <w:t>选回报</w:t>
      </w:r>
      <w:r w:rsidR="00C66A62" w:rsidRPr="0031518D">
        <w:rPr>
          <w:rFonts w:asciiTheme="minorEastAsia" w:eastAsiaTheme="minorEastAsia" w:hAnsiTheme="minorEastAsia" w:hint="eastAsia"/>
          <w:sz w:val="24"/>
        </w:rPr>
        <w:t>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w:t>
      </w:r>
      <w:r w:rsidRPr="002C5416">
        <w:rPr>
          <w:rFonts w:hAnsi="宋体" w:hint="eastAsia"/>
          <w:sz w:val="24"/>
        </w:rPr>
        <w:lastRenderedPageBreak/>
        <w:t>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w:t>
      </w:r>
      <w:r w:rsidR="00B965D5" w:rsidRPr="002C5416">
        <w:rPr>
          <w:rFonts w:hAnsi="宋体"/>
          <w:sz w:val="24"/>
        </w:rPr>
        <w:lastRenderedPageBreak/>
        <w:t>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w:t>
      </w:r>
      <w:r w:rsidR="0064791A" w:rsidRPr="0064791A">
        <w:rPr>
          <w:rFonts w:hint="eastAsia"/>
          <w:sz w:val="24"/>
        </w:rPr>
        <w:lastRenderedPageBreak/>
        <w:t>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w:t>
      </w:r>
      <w:proofErr w:type="gramStart"/>
      <w:r w:rsidR="005E49E9">
        <w:rPr>
          <w:rFonts w:hint="eastAsia"/>
          <w:sz w:val="24"/>
        </w:rPr>
        <w:t>通纯债</w:t>
      </w:r>
      <w:proofErr w:type="gramEnd"/>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w:t>
      </w:r>
      <w:proofErr w:type="gramStart"/>
      <w:r w:rsidR="005C3771" w:rsidRPr="005C3771">
        <w:rPr>
          <w:rFonts w:hint="eastAsia"/>
          <w:sz w:val="24"/>
        </w:rPr>
        <w:t>施罗德优择回报</w:t>
      </w:r>
      <w:proofErr w:type="gramEnd"/>
      <w:r w:rsidR="005C3771" w:rsidRPr="005C3771">
        <w:rPr>
          <w:rFonts w:hint="eastAsia"/>
          <w:sz w:val="24"/>
        </w:rPr>
        <w:t>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00C66A62">
        <w:rPr>
          <w:rFonts w:hAnsi="宋体" w:hint="eastAsia"/>
          <w:sz w:val="24"/>
        </w:rPr>
        <w:t>、</w:t>
      </w:r>
      <w:r w:rsidR="00C66A62">
        <w:rPr>
          <w:sz w:val="24"/>
        </w:rPr>
        <w:t>交银施罗德优选回报灵活配置混合型证券投资基金</w:t>
      </w:r>
      <w:r w:rsidR="00C66A62">
        <w:rPr>
          <w:rFonts w:hint="eastAsia"/>
          <w:sz w:val="24"/>
        </w:rPr>
        <w:t>A</w:t>
      </w:r>
      <w:r w:rsidR="00C66A62">
        <w:rPr>
          <w:rFonts w:hint="eastAsia"/>
          <w:sz w:val="24"/>
        </w:rPr>
        <w:t>类基金份额、</w:t>
      </w:r>
      <w:r w:rsidR="00C66A62">
        <w:rPr>
          <w:rFonts w:hint="eastAsia"/>
          <w:sz w:val="24"/>
        </w:rPr>
        <w:t>C</w:t>
      </w:r>
      <w:r w:rsidR="00C66A62">
        <w:rPr>
          <w:rFonts w:hint="eastAsia"/>
          <w:sz w:val="24"/>
        </w:rPr>
        <w:t>类基金份额（以下简称“交银优选回报灵活配置混合”，</w:t>
      </w:r>
      <w:r w:rsidR="00C66A62">
        <w:rPr>
          <w:rFonts w:hint="eastAsia"/>
          <w:sz w:val="24"/>
        </w:rPr>
        <w:t>A</w:t>
      </w:r>
      <w:r w:rsidR="00C66A62">
        <w:rPr>
          <w:rFonts w:hint="eastAsia"/>
          <w:sz w:val="24"/>
        </w:rPr>
        <w:t>类基金份额代码：</w:t>
      </w:r>
      <w:r w:rsidR="00C66A62">
        <w:rPr>
          <w:sz w:val="24"/>
        </w:rPr>
        <w:t>519768</w:t>
      </w:r>
      <w:r w:rsidR="00C66A62">
        <w:rPr>
          <w:rFonts w:hint="eastAsia"/>
          <w:sz w:val="24"/>
        </w:rPr>
        <w:t>，</w:t>
      </w:r>
      <w:r w:rsidR="00C66A62">
        <w:rPr>
          <w:rFonts w:hint="eastAsia"/>
          <w:sz w:val="24"/>
        </w:rPr>
        <w:t>C</w:t>
      </w:r>
      <w:r w:rsidR="00C66A62">
        <w:rPr>
          <w:rFonts w:hint="eastAsia"/>
          <w:sz w:val="24"/>
        </w:rPr>
        <w:t>类基金份额代码：</w:t>
      </w:r>
      <w:r w:rsidR="00C66A62">
        <w:rPr>
          <w:sz w:val="24"/>
        </w:rPr>
        <w:t>519769</w:t>
      </w:r>
      <w:r w:rsidR="00C66A62">
        <w:rPr>
          <w:rFonts w:hint="eastAsia"/>
          <w:sz w:val="24"/>
        </w:rPr>
        <w:t>）、交银施罗德中高等级信用债债券型证券投资基金（基金代码：</w:t>
      </w:r>
      <w:r w:rsidR="00C66A62">
        <w:rPr>
          <w:sz w:val="24"/>
        </w:rPr>
        <w:t>519717</w:t>
      </w:r>
      <w:r w:rsidR="00C66A62">
        <w:rPr>
          <w:rFonts w:hint="eastAsia"/>
          <w:sz w:val="24"/>
        </w:rPr>
        <w:t>；以下简称为“交银中高等级信用债</w:t>
      </w:r>
      <w:r w:rsidR="00C66A62">
        <w:rPr>
          <w:sz w:val="24"/>
        </w:rPr>
        <w:t>债券</w:t>
      </w:r>
      <w:r w:rsidR="00C66A62">
        <w:rPr>
          <w:rFonts w:hint="eastAsia"/>
          <w:sz w:val="24"/>
        </w:rPr>
        <w:t>”）、交银施罗德</w:t>
      </w:r>
      <w:proofErr w:type="gramStart"/>
      <w:r w:rsidR="00C66A62">
        <w:rPr>
          <w:rFonts w:hint="eastAsia"/>
          <w:sz w:val="24"/>
        </w:rPr>
        <w:t>裕惠纯债</w:t>
      </w:r>
      <w:proofErr w:type="gramEnd"/>
      <w:r w:rsidR="00C66A62">
        <w:rPr>
          <w:rFonts w:hint="eastAsia"/>
          <w:sz w:val="24"/>
        </w:rPr>
        <w:t>债券型证券投资基金（基金代码：</w:t>
      </w:r>
      <w:r w:rsidR="00C66A62">
        <w:rPr>
          <w:sz w:val="24"/>
        </w:rPr>
        <w:t>519722</w:t>
      </w:r>
      <w:r w:rsidR="00C66A62">
        <w:rPr>
          <w:rFonts w:hint="eastAsia"/>
          <w:sz w:val="24"/>
        </w:rPr>
        <w:t>；以下简称为“交银裕惠纯债</w:t>
      </w:r>
      <w:r w:rsidR="00C66A62">
        <w:rPr>
          <w:sz w:val="24"/>
        </w:rPr>
        <w:t>债券</w:t>
      </w:r>
      <w:r w:rsidR="00C66A62">
        <w:rPr>
          <w:rFonts w:hint="eastAsia"/>
          <w:sz w:val="24"/>
        </w:rPr>
        <w:t>”）、交银施罗德</w:t>
      </w:r>
      <w:proofErr w:type="gramStart"/>
      <w:r w:rsidR="00C66A62">
        <w:rPr>
          <w:rFonts w:hint="eastAsia"/>
          <w:sz w:val="24"/>
        </w:rPr>
        <w:t>启汇混合型</w:t>
      </w:r>
      <w:proofErr w:type="gramEnd"/>
      <w:r w:rsidR="00C66A62">
        <w:rPr>
          <w:rFonts w:hint="eastAsia"/>
          <w:sz w:val="24"/>
        </w:rPr>
        <w:t>证券投资基金（基金代码：</w:t>
      </w:r>
      <w:r w:rsidR="00C66A62">
        <w:rPr>
          <w:kern w:val="0"/>
          <w:sz w:val="24"/>
        </w:rPr>
        <w:t>009618</w:t>
      </w:r>
      <w:r w:rsidR="00C66A62">
        <w:rPr>
          <w:rFonts w:hint="eastAsia"/>
          <w:sz w:val="24"/>
        </w:rPr>
        <w:t>；以下简称为“交银启汇混合”）、交银施罗德启明混合型证券投资基金（基金代码：</w:t>
      </w:r>
      <w:r w:rsidR="00C66A62">
        <w:rPr>
          <w:kern w:val="0"/>
          <w:sz w:val="24"/>
        </w:rPr>
        <w:t>009402</w:t>
      </w:r>
      <w:r w:rsidR="00C66A62">
        <w:rPr>
          <w:rFonts w:hint="eastAsia"/>
          <w:sz w:val="24"/>
        </w:rPr>
        <w:t>；以下简称为“交银启明混合”）、交银施罗德</w:t>
      </w:r>
      <w:proofErr w:type="gramStart"/>
      <w:r w:rsidR="00C66A62">
        <w:rPr>
          <w:rFonts w:hint="eastAsia"/>
          <w:sz w:val="24"/>
        </w:rPr>
        <w:t>产业机遇</w:t>
      </w:r>
      <w:proofErr w:type="gramEnd"/>
      <w:r w:rsidR="00C66A62">
        <w:rPr>
          <w:rFonts w:hint="eastAsia"/>
          <w:sz w:val="24"/>
        </w:rPr>
        <w:t>混合型证券投资基金（基金代码：</w:t>
      </w:r>
      <w:r w:rsidR="00C66A62">
        <w:rPr>
          <w:kern w:val="0"/>
          <w:sz w:val="24"/>
        </w:rPr>
        <w:t>010094</w:t>
      </w:r>
      <w:r w:rsidR="00C66A62">
        <w:rPr>
          <w:rFonts w:hint="eastAsia"/>
          <w:sz w:val="24"/>
        </w:rPr>
        <w:t>；以下简称为“交银产业机遇混合”）、</w:t>
      </w:r>
      <w:r w:rsidR="00C66A62">
        <w:rPr>
          <w:rFonts w:hAnsi="宋体" w:hint="eastAsia"/>
          <w:sz w:val="24"/>
        </w:rPr>
        <w:t>交银施罗德</w:t>
      </w:r>
      <w:proofErr w:type="gramStart"/>
      <w:r w:rsidR="00C66A62">
        <w:rPr>
          <w:rFonts w:hAnsi="宋体" w:hint="eastAsia"/>
          <w:sz w:val="24"/>
        </w:rPr>
        <w:t>科锐科技</w:t>
      </w:r>
      <w:proofErr w:type="gramEnd"/>
      <w:r w:rsidR="00C66A62">
        <w:rPr>
          <w:rFonts w:hAnsi="宋体" w:hint="eastAsia"/>
          <w:sz w:val="24"/>
        </w:rPr>
        <w:t>创新混合型证券投资基金（</w:t>
      </w:r>
      <w:r w:rsidR="00C66A62">
        <w:rPr>
          <w:rFonts w:hint="eastAsia"/>
          <w:sz w:val="24"/>
        </w:rPr>
        <w:t>基金代码：</w:t>
      </w:r>
      <w:r w:rsidR="00C66A62">
        <w:rPr>
          <w:kern w:val="0"/>
          <w:sz w:val="24"/>
        </w:rPr>
        <w:t>008734</w:t>
      </w:r>
      <w:r w:rsidR="00C66A62">
        <w:rPr>
          <w:rFonts w:hint="eastAsia"/>
          <w:sz w:val="24"/>
        </w:rPr>
        <w:t>；</w:t>
      </w:r>
      <w:r w:rsidR="00C66A62">
        <w:rPr>
          <w:rFonts w:hAnsi="宋体" w:hint="eastAsia"/>
          <w:sz w:val="24"/>
        </w:rPr>
        <w:t>以下简称为“</w:t>
      </w:r>
      <w:r w:rsidR="00C66A62">
        <w:rPr>
          <w:rFonts w:hint="eastAsia"/>
          <w:sz w:val="24"/>
        </w:rPr>
        <w:t>交银</w:t>
      </w:r>
      <w:r w:rsidR="00C66A62">
        <w:rPr>
          <w:rFonts w:hAnsi="宋体" w:hint="eastAsia"/>
          <w:sz w:val="24"/>
        </w:rPr>
        <w:t>科锐科技创新混合”）</w:t>
      </w:r>
      <w:r w:rsidR="00C66A62">
        <w:rPr>
          <w:rFonts w:hint="eastAsia"/>
          <w:sz w:val="24"/>
        </w:rPr>
        <w:t>、交银施罗德启欣混合型证券投资基金（基金代码：</w:t>
      </w:r>
      <w:r w:rsidR="00C66A62">
        <w:rPr>
          <w:kern w:val="0"/>
          <w:sz w:val="24"/>
        </w:rPr>
        <w:t>010143</w:t>
      </w:r>
      <w:r w:rsidR="00C66A62">
        <w:rPr>
          <w:rFonts w:hint="eastAsia"/>
          <w:sz w:val="24"/>
        </w:rPr>
        <w:t>；以下简称为“交银启欣混合”）</w:t>
      </w:r>
      <w:r w:rsidR="00C66A62">
        <w:rPr>
          <w:rFonts w:hAnsi="宋体" w:hint="eastAsia"/>
          <w:sz w:val="24"/>
        </w:rPr>
        <w:t>、交银施罗德内需增长一年持有期混合型证券投资基金（</w:t>
      </w:r>
      <w:r w:rsidR="00C66A62">
        <w:rPr>
          <w:rFonts w:hint="eastAsia"/>
          <w:sz w:val="24"/>
        </w:rPr>
        <w:t>基金代码：</w:t>
      </w:r>
      <w:r w:rsidR="00C66A62">
        <w:rPr>
          <w:rFonts w:hint="eastAsia"/>
          <w:sz w:val="24"/>
        </w:rPr>
        <w:t>010454</w:t>
      </w:r>
      <w:r w:rsidR="00C66A62">
        <w:rPr>
          <w:rFonts w:hint="eastAsia"/>
          <w:sz w:val="24"/>
        </w:rPr>
        <w:t>；</w:t>
      </w:r>
      <w:r w:rsidR="00C66A62">
        <w:rPr>
          <w:rFonts w:hAnsi="宋体" w:hint="eastAsia"/>
          <w:sz w:val="24"/>
        </w:rPr>
        <w:t>以下简称为“</w:t>
      </w:r>
      <w:r w:rsidR="00C66A62">
        <w:rPr>
          <w:rFonts w:hint="eastAsia"/>
          <w:sz w:val="24"/>
        </w:rPr>
        <w:t>交银内需增长一年混合</w:t>
      </w:r>
      <w:r w:rsidR="00C66A62">
        <w:rPr>
          <w:rFonts w:hAnsi="宋体" w:hint="eastAsia"/>
          <w:sz w:val="24"/>
        </w:rPr>
        <w:t>”）、</w:t>
      </w:r>
      <w:r w:rsidR="00C66A62" w:rsidRPr="001B0D0C">
        <w:rPr>
          <w:rFonts w:hAnsi="宋体" w:hint="eastAsia"/>
          <w:sz w:val="24"/>
        </w:rPr>
        <w:t>交银施罗德均衡成长一年持有期混合型证券投资基金（以下简称为“交银均衡成长一年混合”，</w:t>
      </w:r>
      <w:r w:rsidR="00C66A62" w:rsidRPr="001B0D0C">
        <w:rPr>
          <w:rFonts w:hAnsi="宋体" w:hint="eastAsia"/>
          <w:sz w:val="24"/>
        </w:rPr>
        <w:t>A</w:t>
      </w:r>
      <w:r w:rsidR="00C66A62" w:rsidRPr="001B0D0C">
        <w:rPr>
          <w:rFonts w:hAnsi="宋体" w:hint="eastAsia"/>
          <w:sz w:val="24"/>
        </w:rPr>
        <w:t>类基金份额代码：</w:t>
      </w:r>
      <w:r w:rsidR="00C66A62" w:rsidRPr="001B0D0C">
        <w:rPr>
          <w:rFonts w:hAnsi="宋体" w:hint="eastAsia"/>
          <w:sz w:val="24"/>
        </w:rPr>
        <w:t>010936</w:t>
      </w:r>
      <w:r w:rsidR="00C66A62" w:rsidRPr="001B0D0C">
        <w:rPr>
          <w:rFonts w:hAnsi="宋体" w:hint="eastAsia"/>
          <w:sz w:val="24"/>
        </w:rPr>
        <w:t>，</w:t>
      </w:r>
      <w:r w:rsidR="00C66A62" w:rsidRPr="001B0D0C">
        <w:rPr>
          <w:rFonts w:hAnsi="宋体" w:hint="eastAsia"/>
          <w:sz w:val="24"/>
        </w:rPr>
        <w:t>C</w:t>
      </w:r>
      <w:r w:rsidR="00C66A62" w:rsidRPr="001B0D0C">
        <w:rPr>
          <w:rFonts w:hAnsi="宋体" w:hint="eastAsia"/>
          <w:sz w:val="24"/>
        </w:rPr>
        <w:t>类基金份额代码：</w:t>
      </w:r>
      <w:r w:rsidR="00C66A62" w:rsidRPr="001B0D0C">
        <w:rPr>
          <w:rFonts w:hAnsi="宋体" w:hint="eastAsia"/>
          <w:sz w:val="24"/>
        </w:rPr>
        <w:t>010937</w:t>
      </w:r>
      <w:r w:rsidR="00C66A62" w:rsidRPr="001B0D0C">
        <w:rPr>
          <w:rFonts w:hAnsi="宋体" w:hint="eastAsia"/>
          <w:sz w:val="24"/>
        </w:rPr>
        <w:t>）</w:t>
      </w:r>
      <w:r w:rsidR="00C66A62">
        <w:rPr>
          <w:rFonts w:hAnsi="宋体" w:hint="eastAsia"/>
          <w:sz w:val="24"/>
        </w:rPr>
        <w:t>、</w:t>
      </w:r>
      <w:r w:rsidR="00C66A62" w:rsidRPr="001B0D0C">
        <w:rPr>
          <w:rFonts w:hAnsi="宋体" w:hint="eastAsia"/>
          <w:sz w:val="24"/>
        </w:rPr>
        <w:t>交银施罗德</w:t>
      </w:r>
      <w:r w:rsidR="00C66A62">
        <w:rPr>
          <w:rFonts w:hAnsi="宋体" w:hint="eastAsia"/>
          <w:sz w:val="24"/>
        </w:rPr>
        <w:t>启道</w:t>
      </w:r>
      <w:r w:rsidR="00C66A62" w:rsidRPr="001B0D0C">
        <w:rPr>
          <w:rFonts w:hAnsi="宋体" w:hint="eastAsia"/>
          <w:sz w:val="24"/>
        </w:rPr>
        <w:t>混合型证券投资基金（基金代码：</w:t>
      </w:r>
      <w:r w:rsidR="00C66A62" w:rsidRPr="001B0D0C">
        <w:rPr>
          <w:rFonts w:hAnsi="宋体"/>
          <w:sz w:val="24"/>
        </w:rPr>
        <w:t>010483</w:t>
      </w:r>
      <w:r w:rsidR="00C66A62" w:rsidRPr="001B0D0C">
        <w:rPr>
          <w:rFonts w:hAnsi="宋体" w:hint="eastAsia"/>
          <w:sz w:val="24"/>
        </w:rPr>
        <w:t>；以下简称为“交银</w:t>
      </w:r>
      <w:r w:rsidR="00C66A62">
        <w:rPr>
          <w:rFonts w:hAnsi="宋体" w:hint="eastAsia"/>
          <w:sz w:val="24"/>
        </w:rPr>
        <w:t>启道</w:t>
      </w:r>
      <w:r w:rsidR="00C66A62" w:rsidRPr="001B0D0C">
        <w:rPr>
          <w:rFonts w:hAnsi="宋体" w:hint="eastAsia"/>
          <w:sz w:val="24"/>
        </w:rPr>
        <w:t>混合”）</w:t>
      </w:r>
      <w:r w:rsidR="0008446C">
        <w:rPr>
          <w:rFonts w:hAnsi="宋体" w:hint="eastAsia"/>
          <w:sz w:val="24"/>
        </w:rPr>
        <w:t>、</w:t>
      </w:r>
      <w:r w:rsidR="0008446C">
        <w:rPr>
          <w:rFonts w:hint="eastAsia"/>
          <w:sz w:val="24"/>
        </w:rPr>
        <w:t>交银施罗德鸿福六个月持有期混合型证券投资基金（以下简称为“交银鸿福六个月混合”</w:t>
      </w:r>
      <w:r w:rsidR="00424CF7">
        <w:rPr>
          <w:rFonts w:hint="eastAsia"/>
          <w:sz w:val="24"/>
        </w:rPr>
        <w:t>，</w:t>
      </w:r>
      <w:r w:rsidR="00424CF7">
        <w:rPr>
          <w:rFonts w:hint="eastAsia"/>
          <w:sz w:val="24"/>
        </w:rPr>
        <w:t>A</w:t>
      </w:r>
      <w:r w:rsidR="00424CF7">
        <w:rPr>
          <w:rFonts w:hint="eastAsia"/>
          <w:sz w:val="24"/>
        </w:rPr>
        <w:t>类基金份额</w:t>
      </w:r>
      <w:r w:rsidR="00424CF7">
        <w:rPr>
          <w:rFonts w:hint="eastAsia"/>
          <w:sz w:val="24"/>
        </w:rPr>
        <w:t>代码：</w:t>
      </w:r>
      <w:r w:rsidR="00424CF7" w:rsidRPr="00C94BA3">
        <w:rPr>
          <w:sz w:val="24"/>
        </w:rPr>
        <w:t>010890</w:t>
      </w:r>
      <w:r w:rsidR="00424CF7">
        <w:rPr>
          <w:rFonts w:hint="eastAsia"/>
          <w:sz w:val="24"/>
        </w:rPr>
        <w:t>，</w:t>
      </w:r>
      <w:r w:rsidR="00424CF7">
        <w:rPr>
          <w:rFonts w:hint="eastAsia"/>
          <w:sz w:val="24"/>
        </w:rPr>
        <w:t>C</w:t>
      </w:r>
      <w:r w:rsidR="00424CF7">
        <w:rPr>
          <w:rFonts w:hint="eastAsia"/>
          <w:sz w:val="24"/>
        </w:rPr>
        <w:t>类基金份额代码：</w:t>
      </w:r>
      <w:r w:rsidR="00424CF7" w:rsidRPr="00156176">
        <w:rPr>
          <w:sz w:val="24"/>
        </w:rPr>
        <w:t>01089</w:t>
      </w:r>
      <w:r w:rsidR="00424CF7">
        <w:rPr>
          <w:sz w:val="24"/>
        </w:rPr>
        <w:t>1</w:t>
      </w:r>
      <w:r w:rsidR="0008446C">
        <w:rPr>
          <w:rFonts w:hint="eastAsia"/>
          <w:sz w:val="24"/>
        </w:rPr>
        <w:t>）</w:t>
      </w:r>
      <w:r w:rsidR="00C66A62">
        <w:rPr>
          <w:rFonts w:hAnsi="宋体" w:hint="eastAsia"/>
          <w:sz w:val="24"/>
        </w:rPr>
        <w:t>之间的转换业务，其中</w:t>
      </w:r>
      <w:r w:rsidR="00C66A62">
        <w:rPr>
          <w:rFonts w:hAnsi="宋体"/>
          <w:sz w:val="24"/>
        </w:rPr>
        <w:t>交银内需增长</w:t>
      </w:r>
      <w:r w:rsidR="00C66A62">
        <w:rPr>
          <w:rFonts w:hAnsi="宋体" w:hint="eastAsia"/>
          <w:sz w:val="24"/>
        </w:rPr>
        <w:t>一年</w:t>
      </w:r>
      <w:r w:rsidR="00C66A62">
        <w:rPr>
          <w:rFonts w:hAnsi="宋体"/>
          <w:sz w:val="24"/>
        </w:rPr>
        <w:t>混合</w:t>
      </w:r>
      <w:r w:rsidR="00C66A62">
        <w:rPr>
          <w:rFonts w:hAnsi="宋体" w:hint="eastAsia"/>
          <w:sz w:val="24"/>
        </w:rPr>
        <w:t>、</w:t>
      </w:r>
      <w:r w:rsidR="00C66A62">
        <w:rPr>
          <w:rFonts w:hint="eastAsia"/>
          <w:sz w:val="24"/>
        </w:rPr>
        <w:t>交</w:t>
      </w:r>
      <w:r w:rsidR="00C66A62">
        <w:rPr>
          <w:rFonts w:hint="eastAsia"/>
          <w:sz w:val="24"/>
        </w:rPr>
        <w:lastRenderedPageBreak/>
        <w:t>银均衡成长一年混合、交银</w:t>
      </w:r>
      <w:r w:rsidR="00C66A62" w:rsidRPr="00C91B1C">
        <w:rPr>
          <w:rFonts w:hint="eastAsia"/>
          <w:sz w:val="24"/>
        </w:rPr>
        <w:t>鸿福六个月</w:t>
      </w:r>
      <w:r w:rsidR="00C66A62">
        <w:rPr>
          <w:rFonts w:hint="eastAsia"/>
          <w:sz w:val="24"/>
        </w:rPr>
        <w:t>混合</w:t>
      </w:r>
      <w:r w:rsidR="00C66A62">
        <w:rPr>
          <w:rFonts w:hAnsi="宋体"/>
          <w:sz w:val="24"/>
        </w:rPr>
        <w:t>仅开通转换转入</w:t>
      </w:r>
      <w:r w:rsidR="00C66A62">
        <w:rPr>
          <w:rFonts w:hAnsi="宋体" w:hint="eastAsia"/>
          <w:sz w:val="24"/>
        </w:rPr>
        <w:t>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w:t>
      </w:r>
      <w:proofErr w:type="gramStart"/>
      <w:r w:rsidR="00CB4BBF" w:rsidRPr="002E77D1">
        <w:rPr>
          <w:rFonts w:hint="eastAsia"/>
          <w:sz w:val="24"/>
        </w:rPr>
        <w:t>举例</w:t>
      </w:r>
      <w:r w:rsidRPr="002E77D1">
        <w:rPr>
          <w:rFonts w:hint="eastAsia"/>
          <w:sz w:val="24"/>
        </w:rPr>
        <w:t>请</w:t>
      </w:r>
      <w:proofErr w:type="gramEnd"/>
      <w:r w:rsidRPr="002E77D1">
        <w:rPr>
          <w:rFonts w:hint="eastAsia"/>
          <w:sz w:val="24"/>
        </w:rPr>
        <w:t>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lastRenderedPageBreak/>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w:t>
      </w:r>
      <w:proofErr w:type="gramStart"/>
      <w:r w:rsidRPr="002E77D1">
        <w:rPr>
          <w:rFonts w:hint="eastAsia"/>
          <w:sz w:val="24"/>
        </w:rPr>
        <w:t>申请总</w:t>
      </w:r>
      <w:proofErr w:type="gramEnd"/>
      <w:r w:rsidRPr="002E77D1">
        <w:rPr>
          <w:rFonts w:hint="eastAsia"/>
          <w:sz w:val="24"/>
        </w:rPr>
        <w:t>份额加上基金转换中转出</w:t>
      </w:r>
      <w:proofErr w:type="gramStart"/>
      <w:r w:rsidRPr="002E77D1">
        <w:rPr>
          <w:rFonts w:hint="eastAsia"/>
          <w:sz w:val="24"/>
        </w:rPr>
        <w:t>申请总</w:t>
      </w:r>
      <w:proofErr w:type="gramEnd"/>
      <w:r w:rsidRPr="002E77D1">
        <w:rPr>
          <w:rFonts w:hint="eastAsia"/>
          <w:sz w:val="24"/>
        </w:rPr>
        <w:t>份额扣除申购</w:t>
      </w:r>
      <w:proofErr w:type="gramStart"/>
      <w:r w:rsidRPr="002E77D1">
        <w:rPr>
          <w:rFonts w:hint="eastAsia"/>
          <w:sz w:val="24"/>
        </w:rPr>
        <w:t>申请总</w:t>
      </w:r>
      <w:proofErr w:type="gramEnd"/>
      <w:r w:rsidRPr="002E77D1">
        <w:rPr>
          <w:rFonts w:hint="eastAsia"/>
          <w:sz w:val="24"/>
        </w:rPr>
        <w:t>份额及基金转换中转入</w:t>
      </w:r>
      <w:proofErr w:type="gramStart"/>
      <w:r w:rsidRPr="002E77D1">
        <w:rPr>
          <w:rFonts w:hint="eastAsia"/>
          <w:sz w:val="24"/>
        </w:rPr>
        <w:t>申请总</w:t>
      </w:r>
      <w:proofErr w:type="gramEnd"/>
      <w:r w:rsidRPr="002E77D1">
        <w:rPr>
          <w:rFonts w:hint="eastAsia"/>
          <w:sz w:val="24"/>
        </w:rPr>
        <w:t>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8726AA9" w14:textId="14A493F9" w:rsidR="008100CB" w:rsidRDefault="008100CB" w:rsidP="00962809">
      <w:pPr>
        <w:spacing w:line="360" w:lineRule="auto"/>
        <w:ind w:firstLineChars="200" w:firstLine="480"/>
        <w:rPr>
          <w:sz w:val="24"/>
        </w:rPr>
      </w:pPr>
      <w:r w:rsidRPr="009B61F4">
        <w:rPr>
          <w:rFonts w:hint="eastAsia"/>
          <w:sz w:val="24"/>
        </w:rPr>
        <w:t>中国国际金融股份有限公司、中国中金财富证券有限公司、上海天天基金销售有限公司、上海基</w:t>
      </w:r>
      <w:proofErr w:type="gramStart"/>
      <w:r w:rsidRPr="009B61F4">
        <w:rPr>
          <w:rFonts w:hint="eastAsia"/>
          <w:sz w:val="24"/>
        </w:rPr>
        <w:t>煜</w:t>
      </w:r>
      <w:proofErr w:type="gramEnd"/>
      <w:r w:rsidRPr="009B61F4">
        <w:rPr>
          <w:rFonts w:hint="eastAsia"/>
          <w:sz w:val="24"/>
        </w:rPr>
        <w:t>基金销售有限公司、北京汇成基金销售有限公司。</w:t>
      </w:r>
    </w:p>
    <w:p w14:paraId="57AF7A81" w14:textId="713AD10A"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1AAE92AC"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8100CB">
        <w:rPr>
          <w:color w:val="000000"/>
          <w:sz w:val="24"/>
        </w:rPr>
        <w:t>2021</w:t>
      </w:r>
      <w:r w:rsidR="00A4494A" w:rsidRPr="0011114C">
        <w:rPr>
          <w:rFonts w:hint="eastAsia"/>
          <w:color w:val="000000"/>
          <w:sz w:val="24"/>
        </w:rPr>
        <w:t>年</w:t>
      </w:r>
      <w:r w:rsidR="008100CB">
        <w:rPr>
          <w:color w:val="000000"/>
          <w:sz w:val="24"/>
        </w:rPr>
        <w:t>5</w:t>
      </w:r>
      <w:r w:rsidR="00A4494A" w:rsidRPr="0011114C">
        <w:rPr>
          <w:rFonts w:hint="eastAsia"/>
          <w:color w:val="000000"/>
          <w:sz w:val="24"/>
        </w:rPr>
        <w:t>月</w:t>
      </w:r>
      <w:r w:rsidR="008100CB">
        <w:rPr>
          <w:color w:val="000000"/>
          <w:sz w:val="24"/>
        </w:rPr>
        <w:t>8</w:t>
      </w:r>
      <w:r w:rsidR="0011114C" w:rsidRPr="0011114C">
        <w:rPr>
          <w:rFonts w:hint="eastAsia"/>
          <w:color w:val="000000"/>
          <w:sz w:val="24"/>
        </w:rPr>
        <w:t>日</w:t>
      </w:r>
      <w:r w:rsidRPr="002E77D1">
        <w:rPr>
          <w:rFonts w:hint="eastAsia"/>
          <w:color w:val="000000"/>
          <w:sz w:val="24"/>
        </w:rPr>
        <w:t>发布公告，自</w:t>
      </w:r>
      <w:r w:rsidR="008100CB" w:rsidRPr="00F833BA">
        <w:rPr>
          <w:rFonts w:hint="eastAsia"/>
          <w:sz w:val="24"/>
        </w:rPr>
        <w:t>2021</w:t>
      </w:r>
      <w:r w:rsidR="008100CB" w:rsidRPr="00F833BA">
        <w:rPr>
          <w:rFonts w:hint="eastAsia"/>
          <w:sz w:val="24"/>
        </w:rPr>
        <w:t>年</w:t>
      </w:r>
      <w:r w:rsidR="008100CB">
        <w:rPr>
          <w:sz w:val="24"/>
        </w:rPr>
        <w:t>5</w:t>
      </w:r>
      <w:r w:rsidR="008100CB" w:rsidRPr="00F833BA">
        <w:rPr>
          <w:rFonts w:hint="eastAsia"/>
          <w:sz w:val="24"/>
        </w:rPr>
        <w:t>月</w:t>
      </w:r>
      <w:r w:rsidR="008100CB">
        <w:rPr>
          <w:sz w:val="24"/>
        </w:rPr>
        <w:t>10</w:t>
      </w:r>
      <w:r w:rsidR="008100CB" w:rsidRPr="00F833BA">
        <w:rPr>
          <w:rFonts w:hint="eastAsia"/>
          <w:sz w:val="24"/>
        </w:rPr>
        <w:t>日</w:t>
      </w:r>
      <w:r w:rsidR="00FB20B3" w:rsidRPr="00FB20B3">
        <w:rPr>
          <w:rFonts w:hint="eastAsia"/>
          <w:color w:val="000000"/>
          <w:sz w:val="24"/>
        </w:rPr>
        <w:t>起</w:t>
      </w:r>
      <w:r w:rsidRPr="002E77D1">
        <w:rPr>
          <w:rFonts w:hint="eastAsia"/>
          <w:color w:val="000000"/>
          <w:sz w:val="24"/>
        </w:rPr>
        <w:t>开始办理日常申购、赎回业务，有关详情请查阅相关公告。本公告仅对本基金开办转换业务的有关事项予以说明，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w:t>
      </w:r>
      <w:r w:rsidR="0077589B" w:rsidRPr="0077589B">
        <w:rPr>
          <w:rFonts w:hint="eastAsia"/>
          <w:color w:val="000000"/>
          <w:sz w:val="24"/>
        </w:rPr>
        <w:lastRenderedPageBreak/>
        <w:t>站或相关销售机构查阅《</w:t>
      </w:r>
      <w:r w:rsidR="00FB20B3">
        <w:rPr>
          <w:rFonts w:hint="eastAsia"/>
          <w:color w:val="000000"/>
          <w:sz w:val="24"/>
        </w:rPr>
        <w:t>交银施罗德</w:t>
      </w:r>
      <w:r w:rsidR="0008446C">
        <w:rPr>
          <w:rFonts w:hint="eastAsia"/>
          <w:color w:val="000000"/>
          <w:sz w:val="24"/>
        </w:rPr>
        <w:t>鑫选</w:t>
      </w:r>
      <w:r w:rsidR="00FB20B3">
        <w:rPr>
          <w:rFonts w:hint="eastAsia"/>
          <w:color w:val="000000"/>
          <w:sz w:val="24"/>
        </w:rPr>
        <w:t>回报混合型证券投资基金</w:t>
      </w:r>
      <w:r w:rsidR="0077589B" w:rsidRPr="0077589B">
        <w:rPr>
          <w:rFonts w:hint="eastAsia"/>
          <w:color w:val="000000"/>
          <w:sz w:val="24"/>
        </w:rPr>
        <w:t>基金合同》和《</w:t>
      </w:r>
      <w:r w:rsidR="00FB20B3">
        <w:rPr>
          <w:rFonts w:hint="eastAsia"/>
          <w:color w:val="000000"/>
          <w:sz w:val="24"/>
        </w:rPr>
        <w:t>交银施罗德</w:t>
      </w:r>
      <w:r w:rsidR="0008446C">
        <w:rPr>
          <w:rFonts w:hint="eastAsia"/>
          <w:color w:val="000000"/>
          <w:sz w:val="24"/>
        </w:rPr>
        <w:t>鑫选</w:t>
      </w:r>
      <w:r w:rsidR="00FB20B3">
        <w:rPr>
          <w:rFonts w:hint="eastAsia"/>
          <w:color w:val="000000"/>
          <w:sz w:val="24"/>
        </w:rPr>
        <w:t>回报混合型证券投资基金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7504379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E41D24" w:rsidRPr="00E41D24">
        <w:rPr>
          <w:rFonts w:hint="eastAsia"/>
          <w:color w:val="000000"/>
          <w:sz w:val="24"/>
        </w:rPr>
        <w:t>交银</w:t>
      </w:r>
      <w:proofErr w:type="gramStart"/>
      <w:r w:rsidR="0008446C">
        <w:rPr>
          <w:rFonts w:hint="eastAsia"/>
          <w:color w:val="000000"/>
          <w:sz w:val="24"/>
        </w:rPr>
        <w:t>鑫</w:t>
      </w:r>
      <w:proofErr w:type="gramEnd"/>
      <w:r w:rsidR="0008446C">
        <w:rPr>
          <w:rFonts w:hint="eastAsia"/>
          <w:color w:val="000000"/>
          <w:sz w:val="24"/>
        </w:rPr>
        <w:t>选</w:t>
      </w:r>
      <w:r w:rsidR="00E41D24" w:rsidRPr="00E41D24">
        <w:rPr>
          <w:rFonts w:hint="eastAsia"/>
          <w:color w:val="000000"/>
          <w:sz w:val="24"/>
        </w:rPr>
        <w:t>回报混合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w:t>
      </w:r>
      <w:proofErr w:type="gramStart"/>
      <w:r w:rsidR="00B76F1E" w:rsidRPr="002E77D1">
        <w:rPr>
          <w:rFonts w:hint="eastAsia"/>
          <w:color w:val="000000"/>
          <w:sz w:val="24"/>
        </w:rPr>
        <w:t>人</w:t>
      </w:r>
      <w:r w:rsidR="004F66FA" w:rsidRPr="002E77D1">
        <w:rPr>
          <w:rFonts w:hint="eastAsia"/>
          <w:color w:val="000000"/>
          <w:sz w:val="24"/>
        </w:rPr>
        <w:t>客户</w:t>
      </w:r>
      <w:proofErr w:type="gramEnd"/>
      <w:r w:rsidR="004F66FA" w:rsidRPr="002E77D1">
        <w:rPr>
          <w:rFonts w:hint="eastAsia"/>
          <w:color w:val="000000"/>
          <w:sz w:val="24"/>
        </w:rPr>
        <w:t>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40BF5" w14:textId="77777777" w:rsidR="00F36CB2" w:rsidRDefault="00F36CB2" w:rsidP="00545BB6">
      <w:r>
        <w:separator/>
      </w:r>
    </w:p>
  </w:endnote>
  <w:endnote w:type="continuationSeparator" w:id="0">
    <w:p w14:paraId="5CB6E62C" w14:textId="77777777" w:rsidR="00F36CB2" w:rsidRDefault="00F36CB2"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754F5"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4D237D">
      <w:rPr>
        <w:rStyle w:val="aa"/>
        <w:noProof/>
      </w:rPr>
      <w:t>7</w:t>
    </w:r>
    <w:r>
      <w:rPr>
        <w:rStyle w:val="aa"/>
      </w:rPr>
      <w:fldChar w:fldCharType="end"/>
    </w:r>
  </w:p>
  <w:p w14:paraId="7253282C" w14:textId="77777777" w:rsidR="00000E13" w:rsidRDefault="00000E13" w:rsidP="00C713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7DD51" w14:textId="77777777" w:rsidR="00F36CB2" w:rsidRDefault="00F36CB2" w:rsidP="00545BB6">
      <w:r>
        <w:separator/>
      </w:r>
    </w:p>
  </w:footnote>
  <w:footnote w:type="continuationSeparator" w:id="0">
    <w:p w14:paraId="371FE583" w14:textId="77777777" w:rsidR="00F36CB2" w:rsidRDefault="00F36CB2" w:rsidP="0054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446C"/>
    <w:rsid w:val="00085DAC"/>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56C"/>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4342"/>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E5FF3"/>
    <w:rsid w:val="003F09B1"/>
    <w:rsid w:val="003F6506"/>
    <w:rsid w:val="003F7BF0"/>
    <w:rsid w:val="00404DC3"/>
    <w:rsid w:val="0040513A"/>
    <w:rsid w:val="00406448"/>
    <w:rsid w:val="004066D6"/>
    <w:rsid w:val="00413B92"/>
    <w:rsid w:val="00413FDE"/>
    <w:rsid w:val="00414405"/>
    <w:rsid w:val="00415671"/>
    <w:rsid w:val="004162DC"/>
    <w:rsid w:val="00424CF7"/>
    <w:rsid w:val="00430BE2"/>
    <w:rsid w:val="00430E00"/>
    <w:rsid w:val="00430FEA"/>
    <w:rsid w:val="00442E83"/>
    <w:rsid w:val="004447B8"/>
    <w:rsid w:val="004540F3"/>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D237D"/>
    <w:rsid w:val="004E14A3"/>
    <w:rsid w:val="004E1A99"/>
    <w:rsid w:val="004E4C12"/>
    <w:rsid w:val="004E6CA5"/>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3F73"/>
    <w:rsid w:val="0059778D"/>
    <w:rsid w:val="005B006B"/>
    <w:rsid w:val="005B0416"/>
    <w:rsid w:val="005B2723"/>
    <w:rsid w:val="005B3BFA"/>
    <w:rsid w:val="005C3771"/>
    <w:rsid w:val="005C4D2F"/>
    <w:rsid w:val="005C4E66"/>
    <w:rsid w:val="005C5A19"/>
    <w:rsid w:val="005C6841"/>
    <w:rsid w:val="005C7DE3"/>
    <w:rsid w:val="005D2643"/>
    <w:rsid w:val="005D655D"/>
    <w:rsid w:val="005D7879"/>
    <w:rsid w:val="005E1916"/>
    <w:rsid w:val="005E30C7"/>
    <w:rsid w:val="005E49E9"/>
    <w:rsid w:val="006015B1"/>
    <w:rsid w:val="006027AC"/>
    <w:rsid w:val="006053A8"/>
    <w:rsid w:val="00605F4E"/>
    <w:rsid w:val="00606767"/>
    <w:rsid w:val="00610E38"/>
    <w:rsid w:val="00614BBF"/>
    <w:rsid w:val="006160CC"/>
    <w:rsid w:val="006308B7"/>
    <w:rsid w:val="006321CA"/>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F1144"/>
    <w:rsid w:val="00801DBB"/>
    <w:rsid w:val="008100C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186E"/>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494A"/>
    <w:rsid w:val="00A455B9"/>
    <w:rsid w:val="00A50996"/>
    <w:rsid w:val="00A51337"/>
    <w:rsid w:val="00A547B8"/>
    <w:rsid w:val="00A60338"/>
    <w:rsid w:val="00A70D1B"/>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621C"/>
    <w:rsid w:val="00B71194"/>
    <w:rsid w:val="00B74CC1"/>
    <w:rsid w:val="00B76F1E"/>
    <w:rsid w:val="00B81010"/>
    <w:rsid w:val="00B839F0"/>
    <w:rsid w:val="00B84FEA"/>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66A6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2A31"/>
    <w:rsid w:val="00DF3647"/>
    <w:rsid w:val="00DF5C84"/>
    <w:rsid w:val="00DF702B"/>
    <w:rsid w:val="00E07050"/>
    <w:rsid w:val="00E07A45"/>
    <w:rsid w:val="00E1400B"/>
    <w:rsid w:val="00E22024"/>
    <w:rsid w:val="00E23D1E"/>
    <w:rsid w:val="00E26566"/>
    <w:rsid w:val="00E30890"/>
    <w:rsid w:val="00E30E1A"/>
    <w:rsid w:val="00E30ED8"/>
    <w:rsid w:val="00E41D24"/>
    <w:rsid w:val="00E43BCE"/>
    <w:rsid w:val="00E4468F"/>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A7C78"/>
    <w:rsid w:val="00EB6C0B"/>
    <w:rsid w:val="00EC1730"/>
    <w:rsid w:val="00EC207C"/>
    <w:rsid w:val="00ED1E33"/>
    <w:rsid w:val="00ED37C9"/>
    <w:rsid w:val="00ED53CF"/>
    <w:rsid w:val="00ED5CD9"/>
    <w:rsid w:val="00ED74A2"/>
    <w:rsid w:val="00EE1371"/>
    <w:rsid w:val="00EE2B8F"/>
    <w:rsid w:val="00EE3BA4"/>
    <w:rsid w:val="00EE3C8D"/>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36CB2"/>
    <w:rsid w:val="00F43A9B"/>
    <w:rsid w:val="00F5034F"/>
    <w:rsid w:val="00F519B7"/>
    <w:rsid w:val="00F5285E"/>
    <w:rsid w:val="00F562C7"/>
    <w:rsid w:val="00F56EC5"/>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FB13-78FE-4E45-9FB8-467126F4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914</Words>
  <Characters>5215</Characters>
  <Application>Microsoft Office Word</Application>
  <DocSecurity>0</DocSecurity>
  <Lines>43</Lines>
  <Paragraphs>12</Paragraphs>
  <ScaleCrop>false</ScaleCrop>
  <Company>Microsoft</Company>
  <LinksUpToDate>false</LinksUpToDate>
  <CharactersWithSpaces>6117</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张婧</cp:lastModifiedBy>
  <cp:revision>3</cp:revision>
  <cp:lastPrinted>2015-07-15T08:35:00Z</cp:lastPrinted>
  <dcterms:created xsi:type="dcterms:W3CDTF">2021-06-25T07:30:00Z</dcterms:created>
  <dcterms:modified xsi:type="dcterms:W3CDTF">2021-06-25T07:30:00Z</dcterms:modified>
</cp:coreProperties>
</file>