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BAE" w:rsidRDefault="000E6BAE">
      <w:pPr>
        <w:autoSpaceDE w:val="0"/>
        <w:autoSpaceDN w:val="0"/>
        <w:adjustRightInd w:val="0"/>
        <w:spacing w:line="360" w:lineRule="auto"/>
        <w:jc w:val="left"/>
        <w:rPr>
          <w:rFonts w:asciiTheme="minorEastAsia" w:eastAsiaTheme="minorEastAsia" w:hAnsiTheme="minorEastAsia"/>
          <w:color w:val="000000"/>
          <w:kern w:val="0"/>
          <w:szCs w:val="21"/>
        </w:rPr>
      </w:pPr>
    </w:p>
    <w:p w:rsidR="000E6BAE" w:rsidRDefault="000E6BAE">
      <w:pPr>
        <w:autoSpaceDE w:val="0"/>
        <w:autoSpaceDN w:val="0"/>
        <w:adjustRightInd w:val="0"/>
        <w:spacing w:line="360" w:lineRule="auto"/>
        <w:jc w:val="left"/>
        <w:rPr>
          <w:rFonts w:asciiTheme="minorEastAsia" w:eastAsiaTheme="minorEastAsia" w:hAnsiTheme="minorEastAsia"/>
          <w:color w:val="000000"/>
          <w:kern w:val="0"/>
          <w:szCs w:val="21"/>
        </w:rPr>
      </w:pPr>
    </w:p>
    <w:p w:rsidR="000E6BAE" w:rsidRDefault="000E6BAE">
      <w:pPr>
        <w:autoSpaceDE w:val="0"/>
        <w:autoSpaceDN w:val="0"/>
        <w:adjustRightInd w:val="0"/>
        <w:spacing w:line="360" w:lineRule="auto"/>
        <w:jc w:val="left"/>
        <w:rPr>
          <w:rFonts w:asciiTheme="minorEastAsia" w:eastAsiaTheme="minorEastAsia" w:hAnsiTheme="minorEastAsia"/>
          <w:color w:val="000000"/>
          <w:kern w:val="0"/>
          <w:szCs w:val="21"/>
        </w:rPr>
      </w:pPr>
    </w:p>
    <w:p w:rsidR="000E6BAE" w:rsidRDefault="000E6BAE">
      <w:pPr>
        <w:autoSpaceDE w:val="0"/>
        <w:autoSpaceDN w:val="0"/>
        <w:adjustRightInd w:val="0"/>
        <w:spacing w:line="360" w:lineRule="auto"/>
        <w:jc w:val="left"/>
        <w:rPr>
          <w:rFonts w:asciiTheme="minorEastAsia" w:eastAsiaTheme="minorEastAsia" w:hAnsiTheme="minorEastAsia"/>
          <w:color w:val="000000"/>
          <w:kern w:val="0"/>
          <w:szCs w:val="21"/>
        </w:rPr>
      </w:pPr>
    </w:p>
    <w:p w:rsidR="000E6BAE" w:rsidRDefault="00CD6463">
      <w:pPr>
        <w:spacing w:before="29" w:line="288" w:lineRule="auto"/>
        <w:jc w:val="center"/>
        <w:rPr>
          <w:b/>
          <w:sz w:val="36"/>
          <w:szCs w:val="36"/>
        </w:rPr>
      </w:pPr>
      <w:bookmarkStart w:id="0" w:name="_Toc361324840"/>
      <w:r>
        <w:rPr>
          <w:b/>
          <w:sz w:val="36"/>
          <w:szCs w:val="36"/>
        </w:rPr>
        <w:t>交银施罗德丰润收益债券型证券投资基金</w:t>
      </w:r>
      <w:bookmarkEnd w:id="0"/>
    </w:p>
    <w:p w:rsidR="000E6BAE" w:rsidRDefault="00CD6463">
      <w:pPr>
        <w:spacing w:before="29" w:line="288" w:lineRule="auto"/>
        <w:jc w:val="center"/>
        <w:rPr>
          <w:b/>
          <w:sz w:val="36"/>
          <w:szCs w:val="36"/>
        </w:rPr>
      </w:pPr>
      <w:bookmarkStart w:id="1" w:name="_Toc361324841"/>
      <w:r>
        <w:rPr>
          <w:b/>
          <w:sz w:val="36"/>
          <w:szCs w:val="36"/>
        </w:rPr>
        <w:t>2020</w:t>
      </w:r>
      <w:r>
        <w:rPr>
          <w:b/>
          <w:sz w:val="36"/>
          <w:szCs w:val="36"/>
        </w:rPr>
        <w:t>年年度报告</w:t>
      </w:r>
      <w:bookmarkEnd w:id="1"/>
    </w:p>
    <w:p w:rsidR="000E6BAE" w:rsidRDefault="00CD6463">
      <w:pPr>
        <w:spacing w:before="29" w:line="288" w:lineRule="auto"/>
        <w:jc w:val="center"/>
        <w:rPr>
          <w:b/>
          <w:sz w:val="36"/>
          <w:szCs w:val="36"/>
        </w:rPr>
      </w:pPr>
      <w:r>
        <w:rPr>
          <w:b/>
          <w:sz w:val="36"/>
          <w:szCs w:val="36"/>
        </w:rPr>
        <w:t>2020</w:t>
      </w:r>
      <w:r>
        <w:rPr>
          <w:b/>
          <w:sz w:val="36"/>
          <w:szCs w:val="36"/>
        </w:rPr>
        <w:t>年</w:t>
      </w:r>
      <w:r>
        <w:rPr>
          <w:b/>
          <w:sz w:val="36"/>
          <w:szCs w:val="36"/>
        </w:rPr>
        <w:t>12</w:t>
      </w:r>
      <w:r>
        <w:rPr>
          <w:b/>
          <w:sz w:val="36"/>
          <w:szCs w:val="36"/>
        </w:rPr>
        <w:t>月</w:t>
      </w:r>
      <w:r>
        <w:rPr>
          <w:b/>
          <w:sz w:val="36"/>
          <w:szCs w:val="36"/>
        </w:rPr>
        <w:t>31</w:t>
      </w:r>
      <w:r>
        <w:rPr>
          <w:b/>
          <w:sz w:val="36"/>
          <w:szCs w:val="36"/>
        </w:rPr>
        <w:t>日</w:t>
      </w: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0E6BAE">
      <w:pPr>
        <w:spacing w:line="360" w:lineRule="auto"/>
        <w:jc w:val="center"/>
        <w:rPr>
          <w:rFonts w:asciiTheme="minorEastAsia" w:eastAsiaTheme="minorEastAsia" w:hAnsiTheme="minorEastAsia"/>
          <w:b/>
          <w:color w:val="000000"/>
          <w:szCs w:val="21"/>
        </w:rPr>
      </w:pPr>
    </w:p>
    <w:p w:rsidR="000E6BAE" w:rsidRDefault="00CD6463">
      <w:pPr>
        <w:spacing w:before="29" w:line="288" w:lineRule="auto"/>
        <w:ind w:firstLineChars="900" w:firstLine="2168"/>
        <w:rPr>
          <w:b/>
          <w:color w:val="000000"/>
          <w:sz w:val="24"/>
        </w:rPr>
      </w:pPr>
      <w:r>
        <w:rPr>
          <w:rFonts w:hint="eastAsia"/>
          <w:b/>
          <w:color w:val="000000"/>
          <w:sz w:val="24"/>
        </w:rPr>
        <w:t>基金管理人：</w:t>
      </w:r>
      <w:r>
        <w:rPr>
          <w:b/>
          <w:color w:val="000000"/>
          <w:sz w:val="24"/>
        </w:rPr>
        <w:t>交银施罗德基金管理有限公司</w:t>
      </w:r>
    </w:p>
    <w:p w:rsidR="000E6BAE" w:rsidRDefault="00CD6463">
      <w:pPr>
        <w:spacing w:before="29" w:line="288" w:lineRule="auto"/>
        <w:ind w:firstLineChars="900" w:firstLine="2168"/>
        <w:rPr>
          <w:b/>
          <w:color w:val="000000"/>
          <w:sz w:val="24"/>
        </w:rPr>
      </w:pPr>
      <w:r>
        <w:rPr>
          <w:rFonts w:hint="eastAsia"/>
          <w:b/>
          <w:color w:val="000000"/>
          <w:sz w:val="24"/>
        </w:rPr>
        <w:t>基金托管人：</w:t>
      </w:r>
      <w:r>
        <w:rPr>
          <w:b/>
          <w:color w:val="000000"/>
          <w:sz w:val="24"/>
        </w:rPr>
        <w:t>中信银行股份有限公司</w:t>
      </w:r>
    </w:p>
    <w:p w:rsidR="000E6BAE" w:rsidRDefault="00CD6463">
      <w:pPr>
        <w:spacing w:before="29" w:line="288" w:lineRule="auto"/>
        <w:ind w:firstLineChars="900" w:firstLine="2168"/>
        <w:rPr>
          <w:b/>
          <w:color w:val="000000"/>
          <w:sz w:val="24"/>
        </w:rPr>
        <w:sectPr w:rsidR="000E6BAE">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Pr>
          <w:rFonts w:hint="eastAsia"/>
          <w:b/>
          <w:color w:val="000000"/>
          <w:sz w:val="24"/>
        </w:rPr>
        <w:t>报告送出日期：</w:t>
      </w:r>
      <w:r>
        <w:rPr>
          <w:b/>
          <w:color w:val="000000"/>
          <w:sz w:val="24"/>
        </w:rPr>
        <w:t>二〇二一年三月三十日</w:t>
      </w:r>
    </w:p>
    <w:p w:rsidR="000E6BAE" w:rsidRDefault="00CD6463">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29717"/>
      <w:r>
        <w:rPr>
          <w:rFonts w:hint="eastAsia"/>
          <w:b/>
          <w:bCs/>
          <w:szCs w:val="24"/>
          <w:lang w:val="en-US"/>
        </w:rPr>
        <w:lastRenderedPageBreak/>
        <w:t>§</w:t>
      </w:r>
      <w:r>
        <w:rPr>
          <w:b/>
          <w:bCs/>
          <w:szCs w:val="24"/>
          <w:lang w:val="en-US"/>
        </w:rPr>
        <w:t xml:space="preserve">1  </w:t>
      </w:r>
      <w:r>
        <w:rPr>
          <w:rFonts w:hint="eastAsia"/>
          <w:b/>
          <w:bCs/>
          <w:szCs w:val="24"/>
          <w:lang w:val="en-US"/>
        </w:rPr>
        <w:t>重要提示及目录</w:t>
      </w:r>
      <w:bookmarkEnd w:id="2"/>
      <w:bookmarkEnd w:id="3"/>
      <w:bookmarkEnd w:id="4"/>
    </w:p>
    <w:p w:rsidR="000E6BAE" w:rsidRDefault="000E6BAE"/>
    <w:p w:rsidR="000E6BAE" w:rsidRDefault="00CD6463">
      <w:pPr>
        <w:pStyle w:val="2"/>
        <w:spacing w:before="29" w:after="0" w:line="288" w:lineRule="auto"/>
        <w:rPr>
          <w:rFonts w:ascii="Times New Roman" w:hAnsi="Times New Roman"/>
          <w:kern w:val="0"/>
          <w:szCs w:val="24"/>
        </w:rPr>
      </w:pPr>
      <w:bookmarkStart w:id="5" w:name="_Toc361324843"/>
      <w:bookmarkStart w:id="6" w:name="_Toc17264"/>
      <w:r>
        <w:rPr>
          <w:rFonts w:ascii="Times New Roman" w:hAnsi="Times New Roman"/>
          <w:kern w:val="0"/>
          <w:szCs w:val="24"/>
        </w:rPr>
        <w:t xml:space="preserve">1.1 </w:t>
      </w:r>
      <w:r>
        <w:rPr>
          <w:rFonts w:ascii="Times New Roman" w:hAnsi="Times New Roman" w:hint="eastAsia"/>
          <w:kern w:val="0"/>
          <w:szCs w:val="24"/>
        </w:rPr>
        <w:t>重要提示</w:t>
      </w:r>
      <w:bookmarkEnd w:id="5"/>
      <w:bookmarkEnd w:id="6"/>
    </w:p>
    <w:p w:rsidR="000E6BAE" w:rsidRDefault="00CD6463">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0E6BAE" w:rsidRDefault="00CD6463">
      <w:pPr>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2021</w:t>
      </w:r>
      <w:r>
        <w:rPr>
          <w:color w:val="000000"/>
          <w:sz w:val="24"/>
        </w:rPr>
        <w:t>年</w:t>
      </w:r>
      <w:r>
        <w:rPr>
          <w:color w:val="000000"/>
          <w:sz w:val="24"/>
        </w:rPr>
        <w:t>3</w:t>
      </w:r>
      <w:r>
        <w:rPr>
          <w:color w:val="000000"/>
          <w:sz w:val="24"/>
        </w:rPr>
        <w:t>月</w:t>
      </w:r>
      <w:r>
        <w:rPr>
          <w:color w:val="000000"/>
          <w:sz w:val="24"/>
        </w:rPr>
        <w:t>29</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0E6BAE" w:rsidRDefault="00CD6463">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E6BAE" w:rsidRDefault="00CD6463">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0E6BAE" w:rsidRDefault="00CD6463">
      <w:pPr>
        <w:spacing w:before="29" w:line="288" w:lineRule="auto"/>
        <w:ind w:firstLineChars="200" w:firstLine="480"/>
        <w:rPr>
          <w:color w:val="000000"/>
          <w:sz w:val="24"/>
        </w:rPr>
      </w:pPr>
      <w:r>
        <w:rPr>
          <w:color w:val="000000"/>
          <w:sz w:val="24"/>
        </w:rPr>
        <w:t>本报告期自</w:t>
      </w: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日起至</w:t>
      </w:r>
      <w:r>
        <w:rPr>
          <w:color w:val="000000"/>
          <w:sz w:val="24"/>
        </w:rPr>
        <w:t>12</w:t>
      </w:r>
      <w:r>
        <w:rPr>
          <w:color w:val="000000"/>
          <w:sz w:val="24"/>
        </w:rPr>
        <w:t>月</w:t>
      </w:r>
      <w:r>
        <w:rPr>
          <w:color w:val="000000"/>
          <w:sz w:val="24"/>
        </w:rPr>
        <w:t>31</w:t>
      </w:r>
      <w:r>
        <w:rPr>
          <w:color w:val="000000"/>
          <w:sz w:val="24"/>
        </w:rPr>
        <w:t>日止。</w:t>
      </w:r>
    </w:p>
    <w:p w:rsidR="000E6BAE" w:rsidRDefault="00CD6463">
      <w:pPr>
        <w:pStyle w:val="2"/>
        <w:spacing w:before="29" w:after="0" w:line="288" w:lineRule="auto"/>
        <w:rPr>
          <w:color w:val="000000"/>
          <w:szCs w:val="21"/>
        </w:rPr>
      </w:pPr>
      <w:r>
        <w:rPr>
          <w:rFonts w:asciiTheme="minorEastAsia" w:eastAsiaTheme="minorEastAsia" w:hAnsiTheme="minorEastAsia"/>
          <w:szCs w:val="21"/>
        </w:rPr>
        <w:br w:type="page"/>
      </w:r>
      <w:bookmarkStart w:id="7" w:name="_Toc245193808"/>
      <w:bookmarkStart w:id="8" w:name="_Toc30331"/>
      <w:r>
        <w:rPr>
          <w:rFonts w:ascii="Times New Roman" w:hAnsi="Times New Roman"/>
          <w:kern w:val="0"/>
          <w:szCs w:val="24"/>
        </w:rPr>
        <w:lastRenderedPageBreak/>
        <w:t>1.2</w:t>
      </w:r>
      <w:r>
        <w:rPr>
          <w:rFonts w:ascii="Times New Roman" w:hAnsi="Times New Roman" w:hint="eastAsia"/>
          <w:kern w:val="0"/>
          <w:szCs w:val="24"/>
        </w:rPr>
        <w:t>目录</w:t>
      </w:r>
      <w:bookmarkEnd w:id="7"/>
      <w:bookmarkEnd w:id="8"/>
    </w:p>
    <w:p w:rsidR="000E6BAE" w:rsidRDefault="000E6BAE">
      <w:pPr>
        <w:spacing w:line="360" w:lineRule="auto"/>
        <w:ind w:firstLineChars="50" w:firstLine="120"/>
        <w:rPr>
          <w:rFonts w:ascii="宋体" w:hAnsi="宋体"/>
          <w:b/>
          <w:color w:val="000000"/>
          <w:sz w:val="24"/>
        </w:rPr>
      </w:pPr>
    </w:p>
    <w:p w:rsidR="000E6BAE" w:rsidRDefault="00CD6463">
      <w:pPr>
        <w:pStyle w:val="11"/>
        <w:tabs>
          <w:tab w:val="clear" w:pos="9072"/>
          <w:tab w:val="right" w:leader="dot" w:pos="9070"/>
        </w:tabs>
      </w:pPr>
      <w:r>
        <w:rPr>
          <w:color w:val="000000"/>
          <w:kern w:val="0"/>
          <w:sz w:val="24"/>
        </w:rPr>
        <w:fldChar w:fldCharType="begin"/>
      </w:r>
      <w:r>
        <w:rPr>
          <w:color w:val="000000"/>
          <w:kern w:val="0"/>
          <w:sz w:val="24"/>
        </w:rPr>
        <w:instrText xml:space="preserve"> TOC \o "1-3" \h \z \u </w:instrText>
      </w:r>
      <w:r>
        <w:rPr>
          <w:color w:val="000000"/>
          <w:kern w:val="0"/>
          <w:sz w:val="24"/>
        </w:rPr>
        <w:fldChar w:fldCharType="separate"/>
      </w:r>
      <w:hyperlink w:anchor="_Toc29717" w:history="1">
        <w:r>
          <w:rPr>
            <w:rFonts w:hint="eastAsia"/>
            <w:bCs/>
          </w:rPr>
          <w:t>§</w:t>
        </w:r>
        <w:r>
          <w:rPr>
            <w:bCs/>
          </w:rPr>
          <w:t xml:space="preserve">1  </w:t>
        </w:r>
        <w:r>
          <w:rPr>
            <w:rFonts w:hint="eastAsia"/>
            <w:bCs/>
          </w:rPr>
          <w:t>重要提示及目录</w:t>
        </w:r>
        <w:r>
          <w:tab/>
        </w:r>
        <w:r>
          <w:fldChar w:fldCharType="begin"/>
        </w:r>
        <w:r>
          <w:instrText xml:space="preserve"> PAGEREF _Toc29717 \h </w:instrText>
        </w:r>
        <w:r>
          <w:fldChar w:fldCharType="separate"/>
        </w:r>
        <w:r>
          <w:t>2</w:t>
        </w:r>
        <w:r>
          <w:fldChar w:fldCharType="end"/>
        </w:r>
      </w:hyperlink>
    </w:p>
    <w:p w:rsidR="000E6BAE" w:rsidRDefault="00CD6463">
      <w:pPr>
        <w:pStyle w:val="23"/>
        <w:tabs>
          <w:tab w:val="clear" w:pos="1260"/>
          <w:tab w:val="clear" w:pos="9072"/>
          <w:tab w:val="right" w:leader="dot" w:pos="9070"/>
        </w:tabs>
        <w:ind w:left="420"/>
      </w:pPr>
      <w:hyperlink w:anchor="_Toc17264" w:history="1">
        <w:r>
          <w:rPr>
            <w:szCs w:val="24"/>
          </w:rPr>
          <w:t xml:space="preserve">1.1 </w:t>
        </w:r>
        <w:r>
          <w:rPr>
            <w:rFonts w:hint="eastAsia"/>
            <w:szCs w:val="24"/>
          </w:rPr>
          <w:t>重要提示</w:t>
        </w:r>
        <w:r>
          <w:tab/>
        </w:r>
        <w:r>
          <w:fldChar w:fldCharType="begin"/>
        </w:r>
        <w:r>
          <w:instrText xml:space="preserve"> PAGEREF _Toc17264 \h </w:instrText>
        </w:r>
        <w:r>
          <w:fldChar w:fldCharType="separate"/>
        </w:r>
        <w:r>
          <w:t>2</w:t>
        </w:r>
        <w:r>
          <w:fldChar w:fldCharType="end"/>
        </w:r>
      </w:hyperlink>
    </w:p>
    <w:p w:rsidR="000E6BAE" w:rsidRDefault="00CD6463">
      <w:pPr>
        <w:pStyle w:val="23"/>
        <w:tabs>
          <w:tab w:val="clear" w:pos="1260"/>
          <w:tab w:val="clear" w:pos="9072"/>
          <w:tab w:val="right" w:leader="dot" w:pos="9070"/>
        </w:tabs>
        <w:ind w:left="420"/>
      </w:pPr>
      <w:hyperlink w:anchor="_Toc30331" w:history="1">
        <w:r>
          <w:rPr>
            <w:bCs/>
            <w:szCs w:val="24"/>
          </w:rPr>
          <w:t>1.2</w:t>
        </w:r>
        <w:r>
          <w:rPr>
            <w:rFonts w:hint="eastAsia"/>
            <w:bCs/>
            <w:szCs w:val="24"/>
          </w:rPr>
          <w:t>目录</w:t>
        </w:r>
        <w:r>
          <w:tab/>
        </w:r>
        <w:r>
          <w:fldChar w:fldCharType="begin"/>
        </w:r>
        <w:r>
          <w:instrText xml:space="preserve"> PAGEREF _Toc30331 \h </w:instrText>
        </w:r>
        <w:r>
          <w:fldChar w:fldCharType="separate"/>
        </w:r>
        <w:r>
          <w:t>3</w:t>
        </w:r>
        <w:r>
          <w:fldChar w:fldCharType="end"/>
        </w:r>
      </w:hyperlink>
    </w:p>
    <w:p w:rsidR="000E6BAE" w:rsidRDefault="00CD6463">
      <w:pPr>
        <w:pStyle w:val="11"/>
        <w:tabs>
          <w:tab w:val="clear" w:pos="9072"/>
          <w:tab w:val="right" w:leader="dot" w:pos="9070"/>
        </w:tabs>
      </w:pPr>
      <w:hyperlink w:anchor="_Toc8435" w:history="1">
        <w:r>
          <w:rPr>
            <w:rFonts w:hint="eastAsia"/>
            <w:bCs/>
          </w:rPr>
          <w:t>§</w:t>
        </w:r>
        <w:r>
          <w:rPr>
            <w:bCs/>
          </w:rPr>
          <w:t xml:space="preserve">2  </w:t>
        </w:r>
        <w:r>
          <w:rPr>
            <w:rFonts w:hint="eastAsia"/>
            <w:bCs/>
          </w:rPr>
          <w:t>基金简介</w:t>
        </w:r>
        <w:r>
          <w:tab/>
        </w:r>
        <w:r>
          <w:fldChar w:fldCharType="begin"/>
        </w:r>
        <w:r>
          <w:instrText xml:space="preserve"> PAGEREF _Toc8435 \h </w:instrText>
        </w:r>
        <w:r>
          <w:fldChar w:fldCharType="separate"/>
        </w:r>
        <w:r>
          <w:t>5</w:t>
        </w:r>
        <w:r>
          <w:fldChar w:fldCharType="end"/>
        </w:r>
      </w:hyperlink>
    </w:p>
    <w:p w:rsidR="000E6BAE" w:rsidRDefault="00CD6463">
      <w:pPr>
        <w:pStyle w:val="23"/>
        <w:tabs>
          <w:tab w:val="clear" w:pos="1260"/>
          <w:tab w:val="clear" w:pos="9072"/>
          <w:tab w:val="right" w:leader="dot" w:pos="9070"/>
        </w:tabs>
        <w:ind w:left="420"/>
      </w:pPr>
      <w:hyperlink w:anchor="_Toc8689" w:history="1">
        <w:r>
          <w:rPr>
            <w:szCs w:val="24"/>
          </w:rPr>
          <w:t>2.1</w:t>
        </w:r>
        <w:r>
          <w:rPr>
            <w:rFonts w:hint="eastAsia"/>
            <w:szCs w:val="24"/>
          </w:rPr>
          <w:t>基金基本情况</w:t>
        </w:r>
        <w:r>
          <w:tab/>
        </w:r>
        <w:r>
          <w:fldChar w:fldCharType="begin"/>
        </w:r>
        <w:r>
          <w:instrText xml:space="preserve"> PAGEREF _Toc8689 \h </w:instrText>
        </w:r>
        <w:r>
          <w:fldChar w:fldCharType="separate"/>
        </w:r>
        <w:r>
          <w:t>5</w:t>
        </w:r>
        <w:r>
          <w:fldChar w:fldCharType="end"/>
        </w:r>
      </w:hyperlink>
    </w:p>
    <w:p w:rsidR="000E6BAE" w:rsidRDefault="00CD6463">
      <w:pPr>
        <w:pStyle w:val="23"/>
        <w:tabs>
          <w:tab w:val="clear" w:pos="1260"/>
          <w:tab w:val="clear" w:pos="9072"/>
          <w:tab w:val="right" w:leader="dot" w:pos="9070"/>
        </w:tabs>
        <w:ind w:left="420"/>
      </w:pPr>
      <w:hyperlink w:anchor="_Toc31801" w:history="1">
        <w:r>
          <w:rPr>
            <w:rFonts w:eastAsiaTheme="minorEastAsia"/>
          </w:rPr>
          <w:t xml:space="preserve">2.2 </w:t>
        </w:r>
        <w:r>
          <w:rPr>
            <w:rFonts w:eastAsiaTheme="minorEastAsia" w:hint="eastAsia"/>
          </w:rPr>
          <w:t>基金产品说明</w:t>
        </w:r>
        <w:r>
          <w:tab/>
        </w:r>
        <w:r>
          <w:fldChar w:fldCharType="begin"/>
        </w:r>
        <w:r>
          <w:instrText xml:space="preserve"> PAGEREF _Toc31801 \h </w:instrText>
        </w:r>
        <w:r>
          <w:fldChar w:fldCharType="separate"/>
        </w:r>
        <w:r>
          <w:t>5</w:t>
        </w:r>
        <w:r>
          <w:fldChar w:fldCharType="end"/>
        </w:r>
      </w:hyperlink>
    </w:p>
    <w:p w:rsidR="000E6BAE" w:rsidRDefault="00CD6463">
      <w:pPr>
        <w:pStyle w:val="23"/>
        <w:tabs>
          <w:tab w:val="clear" w:pos="1260"/>
          <w:tab w:val="clear" w:pos="9072"/>
          <w:tab w:val="right" w:leader="dot" w:pos="9070"/>
        </w:tabs>
        <w:ind w:left="420"/>
      </w:pPr>
      <w:hyperlink w:anchor="_Toc31307" w:history="1">
        <w:r>
          <w:rPr>
            <w:rFonts w:eastAsiaTheme="minorEastAsia"/>
          </w:rPr>
          <w:t xml:space="preserve">2.3 </w:t>
        </w:r>
        <w:r>
          <w:rPr>
            <w:rFonts w:eastAsiaTheme="minorEastAsia" w:hint="eastAsia"/>
          </w:rPr>
          <w:t>基金管理人和基金托管人</w:t>
        </w:r>
        <w:r>
          <w:tab/>
        </w:r>
        <w:r>
          <w:fldChar w:fldCharType="begin"/>
        </w:r>
        <w:r>
          <w:instrText xml:space="preserve"> PAGEREF _Toc31307 \h </w:instrText>
        </w:r>
        <w:r>
          <w:fldChar w:fldCharType="separate"/>
        </w:r>
        <w:r>
          <w:t>6</w:t>
        </w:r>
        <w:r>
          <w:fldChar w:fldCharType="end"/>
        </w:r>
      </w:hyperlink>
    </w:p>
    <w:p w:rsidR="000E6BAE" w:rsidRDefault="00CD6463">
      <w:pPr>
        <w:pStyle w:val="23"/>
        <w:tabs>
          <w:tab w:val="clear" w:pos="1260"/>
          <w:tab w:val="clear" w:pos="9072"/>
          <w:tab w:val="right" w:leader="dot" w:pos="9070"/>
        </w:tabs>
        <w:ind w:left="420"/>
      </w:pPr>
      <w:hyperlink w:anchor="_Toc11073" w:history="1">
        <w:r>
          <w:rPr>
            <w:rFonts w:eastAsiaTheme="minorEastAsia"/>
          </w:rPr>
          <w:t xml:space="preserve">2.4 </w:t>
        </w:r>
        <w:r>
          <w:rPr>
            <w:rFonts w:eastAsiaTheme="minorEastAsia" w:hint="eastAsia"/>
          </w:rPr>
          <w:t>信息披露方式</w:t>
        </w:r>
        <w:r>
          <w:tab/>
        </w:r>
        <w:r>
          <w:fldChar w:fldCharType="begin"/>
        </w:r>
        <w:r>
          <w:instrText xml:space="preserve"> PAGEREF _Toc11073 \h </w:instrText>
        </w:r>
        <w:r>
          <w:fldChar w:fldCharType="separate"/>
        </w:r>
        <w:r>
          <w:t>6</w:t>
        </w:r>
        <w:r>
          <w:fldChar w:fldCharType="end"/>
        </w:r>
      </w:hyperlink>
    </w:p>
    <w:p w:rsidR="000E6BAE" w:rsidRDefault="00CD6463">
      <w:pPr>
        <w:pStyle w:val="23"/>
        <w:tabs>
          <w:tab w:val="clear" w:pos="1260"/>
          <w:tab w:val="clear" w:pos="9072"/>
          <w:tab w:val="right" w:leader="dot" w:pos="9070"/>
        </w:tabs>
        <w:ind w:left="420"/>
      </w:pPr>
      <w:hyperlink w:anchor="_Toc24842" w:history="1">
        <w:r>
          <w:rPr>
            <w:rFonts w:eastAsiaTheme="minorEastAsia"/>
          </w:rPr>
          <w:t xml:space="preserve">2.5 </w:t>
        </w:r>
        <w:r>
          <w:rPr>
            <w:rFonts w:eastAsiaTheme="minorEastAsia" w:hint="eastAsia"/>
          </w:rPr>
          <w:t>其他相关资料</w:t>
        </w:r>
        <w:r>
          <w:tab/>
        </w:r>
        <w:r>
          <w:fldChar w:fldCharType="begin"/>
        </w:r>
        <w:r>
          <w:instrText xml:space="preserve"> PAGEREF _Toc24842 \h </w:instrText>
        </w:r>
        <w:r>
          <w:fldChar w:fldCharType="separate"/>
        </w:r>
        <w:r>
          <w:t>7</w:t>
        </w:r>
        <w:r>
          <w:fldChar w:fldCharType="end"/>
        </w:r>
      </w:hyperlink>
    </w:p>
    <w:p w:rsidR="000E6BAE" w:rsidRDefault="00CD6463">
      <w:pPr>
        <w:pStyle w:val="11"/>
        <w:tabs>
          <w:tab w:val="clear" w:pos="9072"/>
          <w:tab w:val="right" w:leader="dot" w:pos="9070"/>
        </w:tabs>
      </w:pPr>
      <w:hyperlink w:anchor="_Toc18210" w:history="1">
        <w:r>
          <w:rPr>
            <w:rFonts w:hint="eastAsia"/>
            <w:bCs/>
          </w:rPr>
          <w:t>§</w:t>
        </w:r>
        <w:r>
          <w:rPr>
            <w:bCs/>
          </w:rPr>
          <w:t xml:space="preserve">3 </w:t>
        </w:r>
        <w:r>
          <w:rPr>
            <w:rFonts w:hint="eastAsia"/>
            <w:bCs/>
          </w:rPr>
          <w:t>主要财务指标、基金净值表现及利润分配情况</w:t>
        </w:r>
        <w:r>
          <w:tab/>
        </w:r>
        <w:r>
          <w:fldChar w:fldCharType="begin"/>
        </w:r>
        <w:r>
          <w:instrText xml:space="preserve"> PAGEREF _Toc18210 \h </w:instrText>
        </w:r>
        <w:r>
          <w:fldChar w:fldCharType="separate"/>
        </w:r>
        <w:r>
          <w:t>7</w:t>
        </w:r>
        <w:r>
          <w:fldChar w:fldCharType="end"/>
        </w:r>
      </w:hyperlink>
    </w:p>
    <w:p w:rsidR="000E6BAE" w:rsidRDefault="00CD6463">
      <w:pPr>
        <w:pStyle w:val="23"/>
        <w:tabs>
          <w:tab w:val="clear" w:pos="1260"/>
          <w:tab w:val="clear" w:pos="9072"/>
          <w:tab w:val="right" w:leader="dot" w:pos="9070"/>
        </w:tabs>
        <w:ind w:left="420"/>
      </w:pPr>
      <w:hyperlink w:anchor="_Toc6704" w:history="1">
        <w:r>
          <w:rPr>
            <w:rFonts w:eastAsiaTheme="minorEastAsia"/>
          </w:rPr>
          <w:t xml:space="preserve">3.1 </w:t>
        </w:r>
        <w:r>
          <w:rPr>
            <w:rFonts w:eastAsiaTheme="minorEastAsia" w:hint="eastAsia"/>
          </w:rPr>
          <w:t>主要会计数据和财务指标</w:t>
        </w:r>
        <w:r>
          <w:tab/>
        </w:r>
        <w:r>
          <w:fldChar w:fldCharType="begin"/>
        </w:r>
        <w:r>
          <w:instrText xml:space="preserve"> PAGEREF _Toc6704 \</w:instrText>
        </w:r>
        <w:r>
          <w:instrText xml:space="preserve">h </w:instrText>
        </w:r>
        <w:r>
          <w:fldChar w:fldCharType="separate"/>
        </w:r>
        <w:r>
          <w:t>7</w:t>
        </w:r>
        <w:r>
          <w:fldChar w:fldCharType="end"/>
        </w:r>
      </w:hyperlink>
    </w:p>
    <w:p w:rsidR="000E6BAE" w:rsidRDefault="00CD6463">
      <w:pPr>
        <w:pStyle w:val="23"/>
        <w:tabs>
          <w:tab w:val="clear" w:pos="1260"/>
          <w:tab w:val="clear" w:pos="9072"/>
          <w:tab w:val="right" w:leader="dot" w:pos="9070"/>
        </w:tabs>
        <w:ind w:left="420"/>
      </w:pPr>
      <w:hyperlink w:anchor="_Toc32242" w:history="1">
        <w:r>
          <w:rPr>
            <w:rFonts w:eastAsiaTheme="minorEastAsia"/>
          </w:rPr>
          <w:t xml:space="preserve">3.2 </w:t>
        </w:r>
        <w:r>
          <w:rPr>
            <w:rFonts w:eastAsiaTheme="minorEastAsia" w:hint="eastAsia"/>
          </w:rPr>
          <w:t>基金净值表现</w:t>
        </w:r>
        <w:r>
          <w:tab/>
        </w:r>
        <w:r>
          <w:fldChar w:fldCharType="begin"/>
        </w:r>
        <w:r>
          <w:instrText xml:space="preserve"> PAGEREF _Toc32242 \h </w:instrText>
        </w:r>
        <w:r>
          <w:fldChar w:fldCharType="separate"/>
        </w:r>
        <w:r>
          <w:t>8</w:t>
        </w:r>
        <w:r>
          <w:fldChar w:fldCharType="end"/>
        </w:r>
      </w:hyperlink>
    </w:p>
    <w:p w:rsidR="000E6BAE" w:rsidRDefault="00CD6463">
      <w:pPr>
        <w:pStyle w:val="23"/>
        <w:tabs>
          <w:tab w:val="clear" w:pos="1260"/>
          <w:tab w:val="clear" w:pos="9072"/>
          <w:tab w:val="right" w:leader="dot" w:pos="9070"/>
        </w:tabs>
        <w:ind w:left="420"/>
      </w:pPr>
      <w:hyperlink w:anchor="_Toc13592" w:history="1">
        <w:r>
          <w:rPr>
            <w:rFonts w:eastAsiaTheme="minorEastAsia"/>
          </w:rPr>
          <w:t>3.3</w:t>
        </w:r>
        <w:r>
          <w:rPr>
            <w:rFonts w:eastAsiaTheme="minorEastAsia" w:hint="eastAsia"/>
          </w:rPr>
          <w:t>过去三年基金的利润分配情况</w:t>
        </w:r>
        <w:r>
          <w:tab/>
        </w:r>
        <w:r>
          <w:fldChar w:fldCharType="begin"/>
        </w:r>
        <w:r>
          <w:instrText xml:space="preserve"> PAGEREF _Toc13592 \h</w:instrText>
        </w:r>
        <w:r>
          <w:instrText xml:space="preserve"> </w:instrText>
        </w:r>
        <w:r>
          <w:fldChar w:fldCharType="separate"/>
        </w:r>
        <w:r>
          <w:t>11</w:t>
        </w:r>
        <w:r>
          <w:fldChar w:fldCharType="end"/>
        </w:r>
      </w:hyperlink>
    </w:p>
    <w:p w:rsidR="000E6BAE" w:rsidRDefault="00CD6463">
      <w:pPr>
        <w:pStyle w:val="11"/>
        <w:tabs>
          <w:tab w:val="clear" w:pos="9072"/>
          <w:tab w:val="right" w:leader="dot" w:pos="9070"/>
        </w:tabs>
      </w:pPr>
      <w:hyperlink w:anchor="_Toc15575" w:history="1">
        <w:r>
          <w:rPr>
            <w:rFonts w:hint="eastAsia"/>
            <w:bCs/>
          </w:rPr>
          <w:t>§</w:t>
        </w:r>
        <w:r>
          <w:rPr>
            <w:bCs/>
          </w:rPr>
          <w:t xml:space="preserve">4  </w:t>
        </w:r>
        <w:r>
          <w:rPr>
            <w:rFonts w:hint="eastAsia"/>
            <w:bCs/>
          </w:rPr>
          <w:t>管理人报告</w:t>
        </w:r>
        <w:r>
          <w:tab/>
        </w:r>
        <w:r>
          <w:fldChar w:fldCharType="begin"/>
        </w:r>
        <w:r>
          <w:instrText xml:space="preserve"> PAGEREF _Toc15575 \h </w:instrText>
        </w:r>
        <w:r>
          <w:fldChar w:fldCharType="separate"/>
        </w:r>
        <w:r>
          <w:t>12</w:t>
        </w:r>
        <w:r>
          <w:fldChar w:fldCharType="end"/>
        </w:r>
      </w:hyperlink>
    </w:p>
    <w:p w:rsidR="000E6BAE" w:rsidRDefault="00CD6463">
      <w:pPr>
        <w:pStyle w:val="23"/>
        <w:tabs>
          <w:tab w:val="clear" w:pos="1260"/>
          <w:tab w:val="clear" w:pos="9072"/>
          <w:tab w:val="right" w:leader="dot" w:pos="9070"/>
        </w:tabs>
        <w:ind w:left="420"/>
      </w:pPr>
      <w:hyperlink w:anchor="_Toc24758" w:history="1">
        <w:r>
          <w:rPr>
            <w:rFonts w:eastAsiaTheme="minorEastAsia"/>
          </w:rPr>
          <w:t xml:space="preserve">4.1 </w:t>
        </w:r>
        <w:r>
          <w:rPr>
            <w:rFonts w:eastAsiaTheme="minorEastAsia" w:hint="eastAsia"/>
          </w:rPr>
          <w:t>基金管理人及基金经理情况</w:t>
        </w:r>
        <w:r>
          <w:tab/>
        </w:r>
        <w:r>
          <w:fldChar w:fldCharType="begin"/>
        </w:r>
        <w:r>
          <w:instrText xml:space="preserve"> PAGEREF _Toc24758 \h </w:instrText>
        </w:r>
        <w:r>
          <w:fldChar w:fldCharType="separate"/>
        </w:r>
        <w:r>
          <w:t>12</w:t>
        </w:r>
        <w:r>
          <w:fldChar w:fldCharType="end"/>
        </w:r>
      </w:hyperlink>
    </w:p>
    <w:p w:rsidR="000E6BAE" w:rsidRDefault="00CD6463">
      <w:pPr>
        <w:pStyle w:val="23"/>
        <w:tabs>
          <w:tab w:val="clear" w:pos="1260"/>
          <w:tab w:val="clear" w:pos="9072"/>
          <w:tab w:val="right" w:leader="dot" w:pos="9070"/>
        </w:tabs>
        <w:ind w:left="420"/>
      </w:pPr>
      <w:hyperlink w:anchor="_Toc15281" w:history="1">
        <w:r>
          <w:rPr>
            <w:rFonts w:eastAsiaTheme="minorEastAsia"/>
          </w:rPr>
          <w:t xml:space="preserve">4.2 </w:t>
        </w:r>
        <w:r>
          <w:rPr>
            <w:rFonts w:eastAsiaTheme="minorEastAsia" w:hint="eastAsia"/>
          </w:rPr>
          <w:t>管理人对报告期内本基金运作遵规守信情况的说明</w:t>
        </w:r>
        <w:r>
          <w:tab/>
        </w:r>
        <w:r>
          <w:fldChar w:fldCharType="begin"/>
        </w:r>
        <w:r>
          <w:instrText xml:space="preserve"> PAGEREF </w:instrText>
        </w:r>
        <w:r>
          <w:instrText xml:space="preserve">_Toc15281 \h </w:instrText>
        </w:r>
        <w:r>
          <w:fldChar w:fldCharType="separate"/>
        </w:r>
        <w:r>
          <w:t>14</w:t>
        </w:r>
        <w:r>
          <w:fldChar w:fldCharType="end"/>
        </w:r>
      </w:hyperlink>
    </w:p>
    <w:p w:rsidR="000E6BAE" w:rsidRDefault="00CD6463">
      <w:pPr>
        <w:pStyle w:val="23"/>
        <w:tabs>
          <w:tab w:val="clear" w:pos="1260"/>
          <w:tab w:val="clear" w:pos="9072"/>
          <w:tab w:val="right" w:leader="dot" w:pos="9070"/>
        </w:tabs>
        <w:ind w:left="420"/>
      </w:pPr>
      <w:hyperlink w:anchor="_Toc12073" w:history="1">
        <w:r>
          <w:rPr>
            <w:rFonts w:eastAsiaTheme="minorEastAsia"/>
          </w:rPr>
          <w:t xml:space="preserve">4.3 </w:t>
        </w:r>
        <w:r>
          <w:rPr>
            <w:rFonts w:eastAsiaTheme="minorEastAsia" w:hint="eastAsia"/>
          </w:rPr>
          <w:t>管理人对报告期内公平交易情况的专项说明</w:t>
        </w:r>
        <w:r>
          <w:tab/>
        </w:r>
        <w:r>
          <w:fldChar w:fldCharType="begin"/>
        </w:r>
        <w:r>
          <w:instrText xml:space="preserve"> PAGEREF _Toc12073 \h </w:instrText>
        </w:r>
        <w:r>
          <w:fldChar w:fldCharType="separate"/>
        </w:r>
        <w:r>
          <w:t>14</w:t>
        </w:r>
        <w:r>
          <w:fldChar w:fldCharType="end"/>
        </w:r>
      </w:hyperlink>
    </w:p>
    <w:p w:rsidR="000E6BAE" w:rsidRDefault="00CD6463">
      <w:pPr>
        <w:pStyle w:val="23"/>
        <w:tabs>
          <w:tab w:val="clear" w:pos="1260"/>
          <w:tab w:val="clear" w:pos="9072"/>
          <w:tab w:val="right" w:leader="dot" w:pos="9070"/>
        </w:tabs>
        <w:ind w:left="420"/>
      </w:pPr>
      <w:hyperlink w:anchor="_Toc32507" w:history="1">
        <w:r>
          <w:rPr>
            <w:rFonts w:eastAsiaTheme="minorEastAsia"/>
          </w:rPr>
          <w:t xml:space="preserve">4.4 </w:t>
        </w:r>
        <w:r>
          <w:rPr>
            <w:rFonts w:eastAsiaTheme="minorEastAsia" w:hint="eastAsia"/>
          </w:rPr>
          <w:t>管理人对报告</w:t>
        </w:r>
        <w:r>
          <w:rPr>
            <w:rFonts w:eastAsiaTheme="minorEastAsia" w:hint="eastAsia"/>
          </w:rPr>
          <w:t>期内基金的投资策略和业绩表现的说明</w:t>
        </w:r>
        <w:r>
          <w:tab/>
        </w:r>
        <w:r>
          <w:fldChar w:fldCharType="begin"/>
        </w:r>
        <w:r>
          <w:instrText xml:space="preserve"> PAGEREF _Toc32507 \h </w:instrText>
        </w:r>
        <w:r>
          <w:fldChar w:fldCharType="separate"/>
        </w:r>
        <w:r>
          <w:t>15</w:t>
        </w:r>
        <w:r>
          <w:fldChar w:fldCharType="end"/>
        </w:r>
      </w:hyperlink>
    </w:p>
    <w:p w:rsidR="000E6BAE" w:rsidRDefault="00CD6463">
      <w:pPr>
        <w:pStyle w:val="23"/>
        <w:tabs>
          <w:tab w:val="clear" w:pos="1260"/>
          <w:tab w:val="clear" w:pos="9072"/>
          <w:tab w:val="right" w:leader="dot" w:pos="9070"/>
        </w:tabs>
        <w:ind w:left="420"/>
      </w:pPr>
      <w:hyperlink w:anchor="_Toc10884" w:history="1">
        <w:r>
          <w:rPr>
            <w:rFonts w:eastAsiaTheme="minorEastAsia"/>
          </w:rPr>
          <w:t xml:space="preserve">4.5 </w:t>
        </w:r>
        <w:r>
          <w:rPr>
            <w:rFonts w:eastAsiaTheme="minorEastAsia" w:hint="eastAsia"/>
          </w:rPr>
          <w:t>管理人对宏观经济、证券市场及行业走势的简要展望</w:t>
        </w:r>
        <w:r>
          <w:tab/>
        </w:r>
        <w:r>
          <w:fldChar w:fldCharType="begin"/>
        </w:r>
        <w:r>
          <w:instrText xml:space="preserve"> PAGEREF _Toc10884 \h </w:instrText>
        </w:r>
        <w:r>
          <w:fldChar w:fldCharType="separate"/>
        </w:r>
        <w:r>
          <w:t>16</w:t>
        </w:r>
        <w:r>
          <w:fldChar w:fldCharType="end"/>
        </w:r>
      </w:hyperlink>
    </w:p>
    <w:p w:rsidR="000E6BAE" w:rsidRDefault="00CD6463">
      <w:pPr>
        <w:pStyle w:val="23"/>
        <w:tabs>
          <w:tab w:val="clear" w:pos="1260"/>
          <w:tab w:val="clear" w:pos="9072"/>
          <w:tab w:val="right" w:leader="dot" w:pos="9070"/>
        </w:tabs>
        <w:ind w:left="420"/>
      </w:pPr>
      <w:hyperlink w:anchor="_Toc18906" w:history="1">
        <w:r>
          <w:rPr>
            <w:rFonts w:eastAsiaTheme="minorEastAsia"/>
          </w:rPr>
          <w:t xml:space="preserve">4.6 </w:t>
        </w:r>
        <w:r>
          <w:rPr>
            <w:rFonts w:eastAsiaTheme="minorEastAsia" w:hint="eastAsia"/>
          </w:rPr>
          <w:t>管理人内部有关本基金的监察稽核工作情况</w:t>
        </w:r>
        <w:r>
          <w:tab/>
        </w:r>
        <w:r>
          <w:fldChar w:fldCharType="begin"/>
        </w:r>
        <w:r>
          <w:instrText xml:space="preserve"> PAGEREF _Toc18906 \h </w:instrText>
        </w:r>
        <w:r>
          <w:fldChar w:fldCharType="separate"/>
        </w:r>
        <w:r>
          <w:t>16</w:t>
        </w:r>
        <w:r>
          <w:fldChar w:fldCharType="end"/>
        </w:r>
      </w:hyperlink>
    </w:p>
    <w:p w:rsidR="000E6BAE" w:rsidRDefault="00CD6463">
      <w:pPr>
        <w:pStyle w:val="23"/>
        <w:tabs>
          <w:tab w:val="clear" w:pos="1260"/>
          <w:tab w:val="clear" w:pos="9072"/>
          <w:tab w:val="right" w:leader="dot" w:pos="9070"/>
        </w:tabs>
        <w:ind w:left="420"/>
      </w:pPr>
      <w:hyperlink w:anchor="_Toc27960" w:history="1">
        <w:r>
          <w:rPr>
            <w:rFonts w:eastAsiaTheme="minorEastAsia"/>
          </w:rPr>
          <w:t xml:space="preserve">4.7 </w:t>
        </w:r>
        <w:r>
          <w:rPr>
            <w:rFonts w:eastAsiaTheme="minorEastAsia" w:hint="eastAsia"/>
          </w:rPr>
          <w:t>管理人对报告期内基金估值程序等事项的说明</w:t>
        </w:r>
        <w:r>
          <w:tab/>
        </w:r>
        <w:r>
          <w:fldChar w:fldCharType="begin"/>
        </w:r>
        <w:r>
          <w:instrText xml:space="preserve"> PAGEREF _Toc27960 \h </w:instrText>
        </w:r>
        <w:r>
          <w:fldChar w:fldCharType="separate"/>
        </w:r>
        <w:r>
          <w:t>17</w:t>
        </w:r>
        <w:r>
          <w:fldChar w:fldCharType="end"/>
        </w:r>
      </w:hyperlink>
    </w:p>
    <w:p w:rsidR="000E6BAE" w:rsidRDefault="00CD6463">
      <w:pPr>
        <w:pStyle w:val="23"/>
        <w:tabs>
          <w:tab w:val="clear" w:pos="1260"/>
          <w:tab w:val="clear" w:pos="9072"/>
          <w:tab w:val="right" w:leader="dot" w:pos="9070"/>
        </w:tabs>
        <w:ind w:left="420"/>
      </w:pPr>
      <w:hyperlink w:anchor="_Toc2413" w:history="1">
        <w:r>
          <w:rPr>
            <w:rFonts w:eastAsiaTheme="minorEastAsia"/>
          </w:rPr>
          <w:t>4.</w:t>
        </w:r>
        <w:r>
          <w:rPr>
            <w:rFonts w:eastAsiaTheme="minorEastAsia" w:hint="eastAsia"/>
          </w:rPr>
          <w:t>8</w:t>
        </w:r>
        <w:r>
          <w:rPr>
            <w:rFonts w:eastAsiaTheme="minorEastAsia"/>
          </w:rPr>
          <w:t>管理人对报告期内基金利润分配情况的说明</w:t>
        </w:r>
        <w:r>
          <w:tab/>
        </w:r>
        <w:r>
          <w:fldChar w:fldCharType="begin"/>
        </w:r>
        <w:r>
          <w:instrText xml:space="preserve"> PAGEREF _Toc2413 \h </w:instrText>
        </w:r>
        <w:r>
          <w:fldChar w:fldCharType="separate"/>
        </w:r>
        <w:r>
          <w:t>17</w:t>
        </w:r>
        <w:r>
          <w:fldChar w:fldCharType="end"/>
        </w:r>
      </w:hyperlink>
    </w:p>
    <w:p w:rsidR="000E6BAE" w:rsidRDefault="00CD6463">
      <w:pPr>
        <w:pStyle w:val="23"/>
        <w:tabs>
          <w:tab w:val="clear" w:pos="1260"/>
          <w:tab w:val="clear" w:pos="9072"/>
          <w:tab w:val="right" w:leader="dot" w:pos="9070"/>
        </w:tabs>
        <w:ind w:left="420"/>
      </w:pPr>
      <w:hyperlink w:anchor="_Toc17038" w:history="1">
        <w:r>
          <w:rPr>
            <w:rFonts w:eastAsiaTheme="minorEastAsia"/>
          </w:rPr>
          <w:t>4.9</w:t>
        </w:r>
        <w:r>
          <w:rPr>
            <w:rFonts w:eastAsiaTheme="minorEastAsia" w:hint="eastAsia"/>
          </w:rPr>
          <w:t>报告期内管理人对本基金持有人数或基金资产净值预警情形的说明</w:t>
        </w:r>
        <w:r>
          <w:tab/>
        </w:r>
        <w:r>
          <w:fldChar w:fldCharType="begin"/>
        </w:r>
        <w:r>
          <w:instrText xml:space="preserve"> PAGEREF _Toc17038 \h </w:instrText>
        </w:r>
        <w:r>
          <w:fldChar w:fldCharType="separate"/>
        </w:r>
        <w:r>
          <w:t>17</w:t>
        </w:r>
        <w:r>
          <w:fldChar w:fldCharType="end"/>
        </w:r>
      </w:hyperlink>
    </w:p>
    <w:p w:rsidR="000E6BAE" w:rsidRDefault="00CD6463">
      <w:pPr>
        <w:pStyle w:val="11"/>
        <w:tabs>
          <w:tab w:val="clear" w:pos="9072"/>
          <w:tab w:val="right" w:leader="dot" w:pos="9070"/>
        </w:tabs>
      </w:pPr>
      <w:hyperlink w:anchor="_Toc19422" w:history="1">
        <w:r>
          <w:rPr>
            <w:rFonts w:hint="eastAsia"/>
            <w:bCs/>
          </w:rPr>
          <w:t>§</w:t>
        </w:r>
        <w:r>
          <w:rPr>
            <w:bCs/>
          </w:rPr>
          <w:t xml:space="preserve">5  </w:t>
        </w:r>
        <w:r>
          <w:rPr>
            <w:rFonts w:hint="eastAsia"/>
            <w:bCs/>
          </w:rPr>
          <w:t>托管人报告</w:t>
        </w:r>
        <w:r>
          <w:tab/>
        </w:r>
        <w:r>
          <w:fldChar w:fldCharType="begin"/>
        </w:r>
        <w:r>
          <w:instrText xml:space="preserve"> PAGEREF _Toc19422 \h </w:instrText>
        </w:r>
        <w:r>
          <w:fldChar w:fldCharType="separate"/>
        </w:r>
        <w:r>
          <w:t>17</w:t>
        </w:r>
        <w:r>
          <w:fldChar w:fldCharType="end"/>
        </w:r>
      </w:hyperlink>
    </w:p>
    <w:p w:rsidR="000E6BAE" w:rsidRDefault="00CD6463">
      <w:pPr>
        <w:pStyle w:val="23"/>
        <w:tabs>
          <w:tab w:val="clear" w:pos="1260"/>
          <w:tab w:val="clear" w:pos="9072"/>
          <w:tab w:val="right" w:leader="dot" w:pos="9070"/>
        </w:tabs>
        <w:ind w:left="420"/>
      </w:pPr>
      <w:hyperlink w:anchor="_Toc14338" w:history="1">
        <w:r>
          <w:rPr>
            <w:rFonts w:eastAsiaTheme="minorEastAsia"/>
          </w:rPr>
          <w:t xml:space="preserve">5.1 </w:t>
        </w:r>
        <w:r>
          <w:rPr>
            <w:rFonts w:eastAsiaTheme="minorEastAsia" w:hint="eastAsia"/>
          </w:rPr>
          <w:t>报告期内本基金托管人遵规守信情况声明</w:t>
        </w:r>
        <w:r>
          <w:tab/>
        </w:r>
        <w:r>
          <w:fldChar w:fldCharType="begin"/>
        </w:r>
        <w:r>
          <w:instrText xml:space="preserve"> PAGEREF _Toc14338 \h </w:instrText>
        </w:r>
        <w:r>
          <w:fldChar w:fldCharType="separate"/>
        </w:r>
        <w:r>
          <w:t>17</w:t>
        </w:r>
        <w:r>
          <w:fldChar w:fldCharType="end"/>
        </w:r>
      </w:hyperlink>
    </w:p>
    <w:p w:rsidR="000E6BAE" w:rsidRDefault="00CD6463">
      <w:pPr>
        <w:pStyle w:val="23"/>
        <w:tabs>
          <w:tab w:val="clear" w:pos="1260"/>
          <w:tab w:val="clear" w:pos="9072"/>
          <w:tab w:val="right" w:leader="dot" w:pos="9070"/>
        </w:tabs>
        <w:ind w:left="420"/>
      </w:pPr>
      <w:hyperlink w:anchor="_Toc10442" w:history="1">
        <w:r>
          <w:rPr>
            <w:rFonts w:eastAsiaTheme="minorEastAsia"/>
          </w:rPr>
          <w:t xml:space="preserve">5.2 </w:t>
        </w:r>
        <w:r>
          <w:rPr>
            <w:rFonts w:eastAsiaTheme="minorEastAsia" w:hint="eastAsia"/>
          </w:rPr>
          <w:t>托管人对报告期内本基金投资运作遵规守信、净值计算、利</w:t>
        </w:r>
        <w:r>
          <w:rPr>
            <w:rFonts w:eastAsiaTheme="minorEastAsia" w:hint="eastAsia"/>
          </w:rPr>
          <w:t>润分配等情况的说明</w:t>
        </w:r>
        <w:r>
          <w:tab/>
        </w:r>
        <w:r>
          <w:fldChar w:fldCharType="begin"/>
        </w:r>
        <w:r>
          <w:instrText xml:space="preserve"> PAGEREF _Toc10442 \h </w:instrText>
        </w:r>
        <w:r>
          <w:fldChar w:fldCharType="separate"/>
        </w:r>
        <w:r>
          <w:t>18</w:t>
        </w:r>
        <w:r>
          <w:fldChar w:fldCharType="end"/>
        </w:r>
      </w:hyperlink>
    </w:p>
    <w:p w:rsidR="000E6BAE" w:rsidRDefault="00CD6463">
      <w:pPr>
        <w:pStyle w:val="23"/>
        <w:tabs>
          <w:tab w:val="clear" w:pos="1260"/>
          <w:tab w:val="clear" w:pos="9072"/>
          <w:tab w:val="right" w:leader="dot" w:pos="9070"/>
        </w:tabs>
        <w:ind w:left="420"/>
      </w:pPr>
      <w:hyperlink w:anchor="_Toc3724" w:history="1">
        <w:r>
          <w:rPr>
            <w:rFonts w:eastAsiaTheme="minorEastAsia"/>
          </w:rPr>
          <w:t xml:space="preserve">5.3 </w:t>
        </w:r>
        <w:r>
          <w:rPr>
            <w:rFonts w:eastAsiaTheme="minorEastAsia" w:hint="eastAsia"/>
          </w:rPr>
          <w:t>托管人对本年度报告中财务信息等内容的真实、准确和完整发表意见</w:t>
        </w:r>
        <w:r>
          <w:tab/>
        </w:r>
        <w:r>
          <w:fldChar w:fldCharType="begin"/>
        </w:r>
        <w:r>
          <w:instrText xml:space="preserve"> PAGEREF _Toc3724 \h </w:instrText>
        </w:r>
        <w:r>
          <w:fldChar w:fldCharType="separate"/>
        </w:r>
        <w:r>
          <w:t>18</w:t>
        </w:r>
        <w:r>
          <w:fldChar w:fldCharType="end"/>
        </w:r>
      </w:hyperlink>
    </w:p>
    <w:p w:rsidR="000E6BAE" w:rsidRDefault="00CD6463">
      <w:pPr>
        <w:pStyle w:val="11"/>
        <w:tabs>
          <w:tab w:val="clear" w:pos="9072"/>
          <w:tab w:val="right" w:leader="dot" w:pos="9070"/>
        </w:tabs>
      </w:pPr>
      <w:hyperlink w:anchor="_Toc28138" w:history="1">
        <w:r>
          <w:rPr>
            <w:rFonts w:eastAsiaTheme="minorEastAsia"/>
            <w:bCs/>
          </w:rPr>
          <w:t xml:space="preserve">§6  </w:t>
        </w:r>
        <w:r>
          <w:rPr>
            <w:rFonts w:eastAsiaTheme="minorEastAsia"/>
            <w:bCs/>
          </w:rPr>
          <w:t>审计报告</w:t>
        </w:r>
        <w:r>
          <w:tab/>
        </w:r>
        <w:r>
          <w:fldChar w:fldCharType="begin"/>
        </w:r>
        <w:r>
          <w:instrText xml:space="preserve"> PAGEREF _Toc28138 \h </w:instrText>
        </w:r>
        <w:r>
          <w:fldChar w:fldCharType="separate"/>
        </w:r>
        <w:r>
          <w:t>18</w:t>
        </w:r>
        <w:r>
          <w:fldChar w:fldCharType="end"/>
        </w:r>
      </w:hyperlink>
    </w:p>
    <w:p w:rsidR="000E6BAE" w:rsidRDefault="00CD6463">
      <w:pPr>
        <w:pStyle w:val="23"/>
        <w:tabs>
          <w:tab w:val="clear" w:pos="1260"/>
          <w:tab w:val="clear" w:pos="9072"/>
          <w:tab w:val="right" w:leader="dot" w:pos="9070"/>
        </w:tabs>
        <w:ind w:left="420"/>
      </w:pPr>
      <w:hyperlink w:anchor="_Toc13077" w:history="1">
        <w:r>
          <w:rPr>
            <w:rFonts w:eastAsiaTheme="minorEastAsia"/>
            <w:szCs w:val="24"/>
          </w:rPr>
          <w:t xml:space="preserve">6.1 </w:t>
        </w:r>
        <w:r>
          <w:rPr>
            <w:rFonts w:eastAsiaTheme="minorEastAsia" w:hint="eastAsia"/>
            <w:szCs w:val="24"/>
          </w:rPr>
          <w:t>审计意见</w:t>
        </w:r>
        <w:r>
          <w:tab/>
        </w:r>
        <w:r>
          <w:fldChar w:fldCharType="begin"/>
        </w:r>
        <w:r>
          <w:instrText xml:space="preserve"> PAGEREF _Toc13077 \h </w:instrText>
        </w:r>
        <w:r>
          <w:fldChar w:fldCharType="separate"/>
        </w:r>
        <w:r>
          <w:t>18</w:t>
        </w:r>
        <w:r>
          <w:fldChar w:fldCharType="end"/>
        </w:r>
      </w:hyperlink>
    </w:p>
    <w:p w:rsidR="000E6BAE" w:rsidRDefault="00CD6463">
      <w:pPr>
        <w:pStyle w:val="23"/>
        <w:tabs>
          <w:tab w:val="clear" w:pos="1260"/>
          <w:tab w:val="clear" w:pos="9072"/>
          <w:tab w:val="right" w:leader="dot" w:pos="9070"/>
        </w:tabs>
        <w:ind w:left="420"/>
      </w:pPr>
      <w:hyperlink w:anchor="_Toc14899" w:history="1">
        <w:r>
          <w:rPr>
            <w:rFonts w:eastAsiaTheme="minorEastAsia"/>
            <w:szCs w:val="24"/>
          </w:rPr>
          <w:t xml:space="preserve">6.2 </w:t>
        </w:r>
        <w:r>
          <w:rPr>
            <w:rFonts w:eastAsiaTheme="minorEastAsia" w:hint="eastAsia"/>
            <w:szCs w:val="24"/>
          </w:rPr>
          <w:t>形成审计意见的基础</w:t>
        </w:r>
        <w:r>
          <w:tab/>
        </w:r>
        <w:r>
          <w:fldChar w:fldCharType="begin"/>
        </w:r>
        <w:r>
          <w:instrText xml:space="preserve"> PAGEREF _Toc14899 \h </w:instrText>
        </w:r>
        <w:r>
          <w:fldChar w:fldCharType="separate"/>
        </w:r>
        <w:r>
          <w:t>18</w:t>
        </w:r>
        <w:r>
          <w:fldChar w:fldCharType="end"/>
        </w:r>
      </w:hyperlink>
    </w:p>
    <w:p w:rsidR="000E6BAE" w:rsidRDefault="00CD6463">
      <w:pPr>
        <w:pStyle w:val="23"/>
        <w:tabs>
          <w:tab w:val="clear" w:pos="1260"/>
          <w:tab w:val="clear" w:pos="9072"/>
          <w:tab w:val="right" w:leader="dot" w:pos="9070"/>
        </w:tabs>
        <w:ind w:left="420"/>
      </w:pPr>
      <w:hyperlink w:anchor="_Toc24490" w:history="1">
        <w:r>
          <w:rPr>
            <w:rFonts w:eastAsiaTheme="minorEastAsia"/>
            <w:szCs w:val="24"/>
          </w:rPr>
          <w:t xml:space="preserve">6.3 </w:t>
        </w:r>
        <w:r>
          <w:rPr>
            <w:rFonts w:eastAsiaTheme="minorEastAsia" w:hint="eastAsia"/>
            <w:szCs w:val="24"/>
          </w:rPr>
          <w:t>管理层和治理层对财务报表的责任</w:t>
        </w:r>
        <w:r>
          <w:tab/>
        </w:r>
        <w:r>
          <w:fldChar w:fldCharType="begin"/>
        </w:r>
        <w:r>
          <w:instrText xml:space="preserve"> PAGEREF _Toc24490 \h </w:instrText>
        </w:r>
        <w:r>
          <w:fldChar w:fldCharType="separate"/>
        </w:r>
        <w:r>
          <w:t>19</w:t>
        </w:r>
        <w:r>
          <w:fldChar w:fldCharType="end"/>
        </w:r>
      </w:hyperlink>
    </w:p>
    <w:p w:rsidR="000E6BAE" w:rsidRDefault="00CD6463">
      <w:pPr>
        <w:pStyle w:val="23"/>
        <w:tabs>
          <w:tab w:val="clear" w:pos="1260"/>
          <w:tab w:val="clear" w:pos="9072"/>
          <w:tab w:val="right" w:leader="dot" w:pos="9070"/>
        </w:tabs>
        <w:ind w:left="420"/>
      </w:pPr>
      <w:hyperlink w:anchor="_Toc17091" w:history="1">
        <w:r>
          <w:rPr>
            <w:rFonts w:eastAsiaTheme="minorEastAsia"/>
            <w:szCs w:val="24"/>
          </w:rPr>
          <w:t xml:space="preserve">6.4 </w:t>
        </w:r>
        <w:r>
          <w:rPr>
            <w:rFonts w:eastAsiaTheme="minorEastAsia" w:hint="eastAsia"/>
            <w:szCs w:val="24"/>
          </w:rPr>
          <w:t>注册会计师对财务报表审计的责任</w:t>
        </w:r>
        <w:r>
          <w:tab/>
        </w:r>
        <w:r>
          <w:fldChar w:fldCharType="begin"/>
        </w:r>
        <w:r>
          <w:instrText xml:space="preserve"> PAGEREF _Toc1</w:instrText>
        </w:r>
        <w:r>
          <w:instrText xml:space="preserve">7091 \h </w:instrText>
        </w:r>
        <w:r>
          <w:fldChar w:fldCharType="separate"/>
        </w:r>
        <w:r>
          <w:t>19</w:t>
        </w:r>
        <w:r>
          <w:fldChar w:fldCharType="end"/>
        </w:r>
      </w:hyperlink>
    </w:p>
    <w:p w:rsidR="000E6BAE" w:rsidRDefault="00CD6463">
      <w:pPr>
        <w:pStyle w:val="11"/>
        <w:tabs>
          <w:tab w:val="clear" w:pos="9072"/>
          <w:tab w:val="right" w:leader="dot" w:pos="9070"/>
        </w:tabs>
      </w:pPr>
      <w:hyperlink w:anchor="_Toc21290" w:history="1">
        <w:r>
          <w:rPr>
            <w:rFonts w:hint="eastAsia"/>
            <w:bCs/>
          </w:rPr>
          <w:t>§</w:t>
        </w:r>
        <w:r>
          <w:rPr>
            <w:bCs/>
          </w:rPr>
          <w:t>7</w:t>
        </w:r>
        <w:r>
          <w:rPr>
            <w:rFonts w:hint="eastAsia"/>
            <w:bCs/>
          </w:rPr>
          <w:t>年度财务报表</w:t>
        </w:r>
        <w:r>
          <w:tab/>
        </w:r>
        <w:r>
          <w:fldChar w:fldCharType="begin"/>
        </w:r>
        <w:r>
          <w:instrText xml:space="preserve"> PAGEREF _Toc21290 \h </w:instrText>
        </w:r>
        <w:r>
          <w:fldChar w:fldCharType="separate"/>
        </w:r>
        <w:r>
          <w:t>20</w:t>
        </w:r>
        <w:r>
          <w:fldChar w:fldCharType="end"/>
        </w:r>
      </w:hyperlink>
    </w:p>
    <w:p w:rsidR="000E6BAE" w:rsidRDefault="00CD6463">
      <w:pPr>
        <w:pStyle w:val="23"/>
        <w:tabs>
          <w:tab w:val="clear" w:pos="1260"/>
          <w:tab w:val="clear" w:pos="9072"/>
          <w:tab w:val="right" w:leader="dot" w:pos="9070"/>
        </w:tabs>
        <w:ind w:left="420"/>
      </w:pPr>
      <w:hyperlink w:anchor="_Toc6224" w:history="1">
        <w:r>
          <w:rPr>
            <w:rFonts w:eastAsiaTheme="minorEastAsia"/>
          </w:rPr>
          <w:t xml:space="preserve">7.1 </w:t>
        </w:r>
        <w:r>
          <w:rPr>
            <w:rFonts w:eastAsiaTheme="minorEastAsia" w:hint="eastAsia"/>
          </w:rPr>
          <w:t>资产负债表</w:t>
        </w:r>
        <w:r>
          <w:tab/>
        </w:r>
        <w:r>
          <w:fldChar w:fldCharType="begin"/>
        </w:r>
        <w:r>
          <w:instrText xml:space="preserve"> PAGEREF _Toc6224 \h </w:instrText>
        </w:r>
        <w:r>
          <w:fldChar w:fldCharType="separate"/>
        </w:r>
        <w:r>
          <w:t>20</w:t>
        </w:r>
        <w:r>
          <w:fldChar w:fldCharType="end"/>
        </w:r>
      </w:hyperlink>
    </w:p>
    <w:p w:rsidR="000E6BAE" w:rsidRDefault="00CD6463">
      <w:pPr>
        <w:pStyle w:val="23"/>
        <w:tabs>
          <w:tab w:val="clear" w:pos="1260"/>
          <w:tab w:val="clear" w:pos="9072"/>
          <w:tab w:val="right" w:leader="dot" w:pos="9070"/>
        </w:tabs>
        <w:ind w:left="420"/>
      </w:pPr>
      <w:hyperlink w:anchor="_Toc15233" w:history="1">
        <w:r>
          <w:rPr>
            <w:rFonts w:eastAsiaTheme="minorEastAsia"/>
          </w:rPr>
          <w:t xml:space="preserve">7.2 </w:t>
        </w:r>
        <w:r>
          <w:rPr>
            <w:rFonts w:eastAsiaTheme="minorEastAsia" w:hint="eastAsia"/>
          </w:rPr>
          <w:t>利润表</w:t>
        </w:r>
        <w:r>
          <w:tab/>
        </w:r>
        <w:r>
          <w:fldChar w:fldCharType="begin"/>
        </w:r>
        <w:r>
          <w:instrText xml:space="preserve"> PAGEREF _Toc15233 \h </w:instrText>
        </w:r>
        <w:r>
          <w:fldChar w:fldCharType="separate"/>
        </w:r>
        <w:r>
          <w:t>21</w:t>
        </w:r>
        <w:r>
          <w:fldChar w:fldCharType="end"/>
        </w:r>
      </w:hyperlink>
    </w:p>
    <w:p w:rsidR="000E6BAE" w:rsidRDefault="00CD6463">
      <w:pPr>
        <w:pStyle w:val="23"/>
        <w:tabs>
          <w:tab w:val="clear" w:pos="1260"/>
          <w:tab w:val="clear" w:pos="9072"/>
          <w:tab w:val="right" w:leader="dot" w:pos="9070"/>
        </w:tabs>
        <w:ind w:left="420"/>
      </w:pPr>
      <w:hyperlink w:anchor="_Toc14581" w:history="1">
        <w:r>
          <w:rPr>
            <w:rFonts w:eastAsiaTheme="minorEastAsia"/>
          </w:rPr>
          <w:t xml:space="preserve">7.3 </w:t>
        </w:r>
        <w:r>
          <w:rPr>
            <w:rFonts w:eastAsiaTheme="minorEastAsia" w:hint="eastAsia"/>
          </w:rPr>
          <w:t>所有者权益（基金净值）变动表</w:t>
        </w:r>
        <w:r>
          <w:tab/>
        </w:r>
        <w:r>
          <w:fldChar w:fldCharType="begin"/>
        </w:r>
        <w:r>
          <w:instrText xml:space="preserve"> PAGEREF _Toc14581 \h</w:instrText>
        </w:r>
        <w:r>
          <w:instrText xml:space="preserve"> </w:instrText>
        </w:r>
        <w:r>
          <w:fldChar w:fldCharType="separate"/>
        </w:r>
        <w:r>
          <w:t>23</w:t>
        </w:r>
        <w:r>
          <w:fldChar w:fldCharType="end"/>
        </w:r>
      </w:hyperlink>
    </w:p>
    <w:p w:rsidR="000E6BAE" w:rsidRDefault="00CD6463">
      <w:pPr>
        <w:pStyle w:val="23"/>
        <w:tabs>
          <w:tab w:val="clear" w:pos="1260"/>
          <w:tab w:val="clear" w:pos="9072"/>
          <w:tab w:val="right" w:leader="dot" w:pos="9070"/>
        </w:tabs>
        <w:ind w:left="420"/>
      </w:pPr>
      <w:hyperlink w:anchor="_Toc3764" w:history="1">
        <w:r>
          <w:rPr>
            <w:rFonts w:eastAsiaTheme="minorEastAsia"/>
          </w:rPr>
          <w:t xml:space="preserve">7.4 </w:t>
        </w:r>
        <w:r>
          <w:rPr>
            <w:rFonts w:eastAsiaTheme="minorEastAsia" w:hint="eastAsia"/>
          </w:rPr>
          <w:t>报表附注</w:t>
        </w:r>
        <w:r>
          <w:tab/>
        </w:r>
        <w:r>
          <w:fldChar w:fldCharType="begin"/>
        </w:r>
        <w:r>
          <w:instrText xml:space="preserve"> PAGEREF _Toc3764 \h </w:instrText>
        </w:r>
        <w:r>
          <w:fldChar w:fldCharType="separate"/>
        </w:r>
        <w:r>
          <w:t>24</w:t>
        </w:r>
        <w:r>
          <w:fldChar w:fldCharType="end"/>
        </w:r>
      </w:hyperlink>
    </w:p>
    <w:p w:rsidR="000E6BAE" w:rsidRDefault="00CD6463">
      <w:pPr>
        <w:pStyle w:val="11"/>
        <w:tabs>
          <w:tab w:val="clear" w:pos="9072"/>
          <w:tab w:val="right" w:leader="dot" w:pos="9070"/>
        </w:tabs>
      </w:pPr>
      <w:hyperlink w:anchor="_Toc22932" w:history="1">
        <w:r>
          <w:rPr>
            <w:rFonts w:hint="eastAsia"/>
            <w:bCs/>
          </w:rPr>
          <w:t>§</w:t>
        </w:r>
        <w:r>
          <w:rPr>
            <w:bCs/>
          </w:rPr>
          <w:t>8</w:t>
        </w:r>
        <w:r>
          <w:rPr>
            <w:rFonts w:hint="eastAsia"/>
            <w:bCs/>
          </w:rPr>
          <w:t>投资组合报告</w:t>
        </w:r>
        <w:r>
          <w:tab/>
        </w:r>
        <w:r>
          <w:fldChar w:fldCharType="begin"/>
        </w:r>
        <w:r>
          <w:instrText xml:space="preserve"> PAGEREF _Toc22932 \h </w:instrText>
        </w:r>
        <w:r>
          <w:fldChar w:fldCharType="separate"/>
        </w:r>
        <w:r>
          <w:t>46</w:t>
        </w:r>
        <w:r>
          <w:fldChar w:fldCharType="end"/>
        </w:r>
      </w:hyperlink>
    </w:p>
    <w:p w:rsidR="000E6BAE" w:rsidRDefault="00CD6463">
      <w:pPr>
        <w:pStyle w:val="23"/>
        <w:tabs>
          <w:tab w:val="clear" w:pos="1260"/>
          <w:tab w:val="clear" w:pos="9072"/>
          <w:tab w:val="right" w:leader="dot" w:pos="9070"/>
        </w:tabs>
        <w:ind w:left="420"/>
      </w:pPr>
      <w:hyperlink w:anchor="_Toc12614" w:history="1">
        <w:r>
          <w:rPr>
            <w:rFonts w:eastAsiaTheme="minorEastAsia"/>
          </w:rPr>
          <w:t xml:space="preserve">8.1 </w:t>
        </w:r>
        <w:r>
          <w:rPr>
            <w:rFonts w:eastAsiaTheme="minorEastAsia"/>
          </w:rPr>
          <w:t>期末基金资产组合情况</w:t>
        </w:r>
        <w:r>
          <w:tab/>
        </w:r>
        <w:r>
          <w:fldChar w:fldCharType="begin"/>
        </w:r>
        <w:r>
          <w:instrText xml:space="preserve"> PAGEREF _Toc12614 \h </w:instrText>
        </w:r>
        <w:r>
          <w:fldChar w:fldCharType="separate"/>
        </w:r>
        <w:r>
          <w:t>46</w:t>
        </w:r>
        <w:r>
          <w:fldChar w:fldCharType="end"/>
        </w:r>
      </w:hyperlink>
    </w:p>
    <w:p w:rsidR="000E6BAE" w:rsidRDefault="00CD6463">
      <w:pPr>
        <w:pStyle w:val="23"/>
        <w:tabs>
          <w:tab w:val="clear" w:pos="1260"/>
          <w:tab w:val="clear" w:pos="9072"/>
          <w:tab w:val="right" w:leader="dot" w:pos="9070"/>
        </w:tabs>
        <w:ind w:left="420"/>
      </w:pPr>
      <w:hyperlink w:anchor="_Toc27436" w:history="1">
        <w:r>
          <w:rPr>
            <w:rFonts w:eastAsiaTheme="minorEastAsia"/>
          </w:rPr>
          <w:t>8.2</w:t>
        </w:r>
        <w:r>
          <w:rPr>
            <w:rFonts w:eastAsiaTheme="minorEastAsia" w:hint="eastAsia"/>
          </w:rPr>
          <w:t>期末按行业分类的股票投资组合</w:t>
        </w:r>
        <w:r>
          <w:tab/>
        </w:r>
        <w:r>
          <w:fldChar w:fldCharType="begin"/>
        </w:r>
        <w:r>
          <w:instrText xml:space="preserve"> PAGEREF _Toc27436 \h </w:instrText>
        </w:r>
        <w:r>
          <w:fldChar w:fldCharType="separate"/>
        </w:r>
        <w:r>
          <w:t>47</w:t>
        </w:r>
        <w:r>
          <w:fldChar w:fldCharType="end"/>
        </w:r>
      </w:hyperlink>
    </w:p>
    <w:p w:rsidR="000E6BAE" w:rsidRDefault="00CD6463">
      <w:pPr>
        <w:pStyle w:val="23"/>
        <w:tabs>
          <w:tab w:val="clear" w:pos="1260"/>
          <w:tab w:val="clear" w:pos="9072"/>
          <w:tab w:val="right" w:leader="dot" w:pos="9070"/>
        </w:tabs>
        <w:ind w:left="420"/>
      </w:pPr>
      <w:hyperlink w:anchor="_Toc31929" w:history="1">
        <w:r>
          <w:rPr>
            <w:rFonts w:eastAsiaTheme="minorEastAsia"/>
          </w:rPr>
          <w:t>8.3</w:t>
        </w:r>
        <w:r>
          <w:rPr>
            <w:rFonts w:eastAsiaTheme="minorEastAsia" w:hint="eastAsia"/>
          </w:rPr>
          <w:t>期末按公允价值占基金资产净值比例大小排序的所有股票投资明细</w:t>
        </w:r>
        <w:r>
          <w:tab/>
        </w:r>
        <w:r>
          <w:fldChar w:fldCharType="begin"/>
        </w:r>
        <w:r>
          <w:instrText xml:space="preserve"> PAGEREF _Toc31929 \h </w:instrText>
        </w:r>
        <w:r>
          <w:fldChar w:fldCharType="separate"/>
        </w:r>
        <w:r>
          <w:t>47</w:t>
        </w:r>
        <w:r>
          <w:fldChar w:fldCharType="end"/>
        </w:r>
      </w:hyperlink>
    </w:p>
    <w:p w:rsidR="000E6BAE" w:rsidRDefault="00CD6463">
      <w:pPr>
        <w:pStyle w:val="23"/>
        <w:tabs>
          <w:tab w:val="clear" w:pos="1260"/>
          <w:tab w:val="clear" w:pos="9072"/>
          <w:tab w:val="right" w:leader="dot" w:pos="9070"/>
        </w:tabs>
        <w:ind w:left="420"/>
      </w:pPr>
      <w:hyperlink w:anchor="_Toc17347" w:history="1">
        <w:r>
          <w:rPr>
            <w:rFonts w:eastAsiaTheme="minorEastAsia"/>
          </w:rPr>
          <w:t>8.4</w:t>
        </w:r>
        <w:r>
          <w:rPr>
            <w:rFonts w:eastAsiaTheme="minorEastAsia" w:hint="eastAsia"/>
          </w:rPr>
          <w:t>报告期内股票投资组合的重大</w:t>
        </w:r>
        <w:r>
          <w:rPr>
            <w:rFonts w:eastAsiaTheme="minorEastAsia" w:hint="eastAsia"/>
          </w:rPr>
          <w:t>变动</w:t>
        </w:r>
        <w:r>
          <w:tab/>
        </w:r>
        <w:r>
          <w:fldChar w:fldCharType="begin"/>
        </w:r>
        <w:r>
          <w:instrText xml:space="preserve"> PAGEREF _Toc17347 \h </w:instrText>
        </w:r>
        <w:r>
          <w:fldChar w:fldCharType="separate"/>
        </w:r>
        <w:r>
          <w:t>47</w:t>
        </w:r>
        <w:r>
          <w:fldChar w:fldCharType="end"/>
        </w:r>
      </w:hyperlink>
    </w:p>
    <w:p w:rsidR="000E6BAE" w:rsidRDefault="00CD6463">
      <w:pPr>
        <w:pStyle w:val="23"/>
        <w:tabs>
          <w:tab w:val="clear" w:pos="1260"/>
          <w:tab w:val="clear" w:pos="9072"/>
          <w:tab w:val="right" w:leader="dot" w:pos="9070"/>
        </w:tabs>
        <w:ind w:left="420"/>
      </w:pPr>
      <w:hyperlink w:anchor="_Toc3905" w:history="1">
        <w:r>
          <w:rPr>
            <w:rFonts w:eastAsiaTheme="minorEastAsia"/>
          </w:rPr>
          <w:t>8.5</w:t>
        </w:r>
        <w:r>
          <w:rPr>
            <w:rFonts w:eastAsiaTheme="minorEastAsia" w:hint="eastAsia"/>
          </w:rPr>
          <w:t>期末按债券品种分类的债券投资组合</w:t>
        </w:r>
        <w:r>
          <w:tab/>
        </w:r>
        <w:r>
          <w:fldChar w:fldCharType="begin"/>
        </w:r>
        <w:r>
          <w:instrText xml:space="preserve"> PAGEREF _Toc3905 \h </w:instrText>
        </w:r>
        <w:r>
          <w:fldChar w:fldCharType="separate"/>
        </w:r>
        <w:r>
          <w:t>47</w:t>
        </w:r>
        <w:r>
          <w:fldChar w:fldCharType="end"/>
        </w:r>
      </w:hyperlink>
    </w:p>
    <w:p w:rsidR="000E6BAE" w:rsidRDefault="00CD6463">
      <w:pPr>
        <w:pStyle w:val="23"/>
        <w:tabs>
          <w:tab w:val="clear" w:pos="1260"/>
          <w:tab w:val="clear" w:pos="9072"/>
          <w:tab w:val="right" w:leader="dot" w:pos="9070"/>
        </w:tabs>
        <w:ind w:left="420"/>
      </w:pPr>
      <w:hyperlink w:anchor="_Toc20450" w:history="1">
        <w:r>
          <w:rPr>
            <w:rFonts w:eastAsiaTheme="minorEastAsia"/>
          </w:rPr>
          <w:t>8.6</w:t>
        </w:r>
        <w:r>
          <w:rPr>
            <w:rFonts w:eastAsiaTheme="minorEastAsia" w:hint="eastAsia"/>
          </w:rPr>
          <w:t>期末</w:t>
        </w:r>
        <w:r>
          <w:rPr>
            <w:rFonts w:eastAsiaTheme="minorEastAsia" w:hint="eastAsia"/>
          </w:rPr>
          <w:t>按公允价值占基金资产净值比例大小排序的前五名债券投资明细</w:t>
        </w:r>
        <w:r>
          <w:tab/>
        </w:r>
        <w:r>
          <w:fldChar w:fldCharType="begin"/>
        </w:r>
        <w:r>
          <w:instrText xml:space="preserve"> PAGEREF _Toc20450 \h </w:instrText>
        </w:r>
        <w:r>
          <w:fldChar w:fldCharType="separate"/>
        </w:r>
        <w:r>
          <w:t>48</w:t>
        </w:r>
        <w:r>
          <w:fldChar w:fldCharType="end"/>
        </w:r>
      </w:hyperlink>
    </w:p>
    <w:p w:rsidR="000E6BAE" w:rsidRDefault="00CD6463">
      <w:pPr>
        <w:pStyle w:val="23"/>
        <w:tabs>
          <w:tab w:val="clear" w:pos="1260"/>
          <w:tab w:val="clear" w:pos="9072"/>
          <w:tab w:val="right" w:leader="dot" w:pos="9070"/>
        </w:tabs>
        <w:ind w:left="420"/>
      </w:pPr>
      <w:hyperlink w:anchor="_Toc21985" w:history="1">
        <w:r>
          <w:rPr>
            <w:rFonts w:eastAsiaTheme="minorEastAsia"/>
          </w:rPr>
          <w:t>8.7</w:t>
        </w:r>
        <w:r>
          <w:rPr>
            <w:rFonts w:eastAsiaTheme="minorEastAsia" w:hint="eastAsia"/>
          </w:rPr>
          <w:t>期末按公允价值占基金资产净值比例大小排序的所有资产支持证券投资明细</w:t>
        </w:r>
        <w:r>
          <w:tab/>
        </w:r>
        <w:r>
          <w:fldChar w:fldCharType="begin"/>
        </w:r>
        <w:r>
          <w:instrText xml:space="preserve"> PAGEREF _Toc21985 \h </w:instrText>
        </w:r>
        <w:r>
          <w:fldChar w:fldCharType="separate"/>
        </w:r>
        <w:r>
          <w:t>48</w:t>
        </w:r>
        <w:r>
          <w:fldChar w:fldCharType="end"/>
        </w:r>
      </w:hyperlink>
    </w:p>
    <w:p w:rsidR="000E6BAE" w:rsidRDefault="00CD6463">
      <w:pPr>
        <w:pStyle w:val="23"/>
        <w:tabs>
          <w:tab w:val="clear" w:pos="1260"/>
          <w:tab w:val="clear" w:pos="9072"/>
          <w:tab w:val="right" w:leader="dot" w:pos="9070"/>
        </w:tabs>
        <w:ind w:left="420"/>
      </w:pPr>
      <w:hyperlink w:anchor="_Toc6322" w:history="1">
        <w:r>
          <w:rPr>
            <w:rFonts w:eastAsiaTheme="minorEastAsia"/>
          </w:rPr>
          <w:t>8.8</w:t>
        </w:r>
        <w:r>
          <w:rPr>
            <w:rFonts w:eastAsiaTheme="minorEastAsia" w:hint="eastAsia"/>
          </w:rPr>
          <w:t>报告期末按公允价值占基金资产净值比例大小排序的前五名贵金属投资明细</w:t>
        </w:r>
        <w:r>
          <w:tab/>
        </w:r>
        <w:r>
          <w:fldChar w:fldCharType="begin"/>
        </w:r>
        <w:r>
          <w:instrText xml:space="preserve"> PAGEREF _Toc6322 \h </w:instrText>
        </w:r>
        <w:r>
          <w:fldChar w:fldCharType="separate"/>
        </w:r>
        <w:r>
          <w:t>48</w:t>
        </w:r>
        <w:r>
          <w:fldChar w:fldCharType="end"/>
        </w:r>
      </w:hyperlink>
    </w:p>
    <w:p w:rsidR="000E6BAE" w:rsidRDefault="00CD6463">
      <w:pPr>
        <w:pStyle w:val="23"/>
        <w:tabs>
          <w:tab w:val="clear" w:pos="1260"/>
          <w:tab w:val="clear" w:pos="9072"/>
          <w:tab w:val="right" w:leader="dot" w:pos="9070"/>
        </w:tabs>
        <w:ind w:left="420"/>
      </w:pPr>
      <w:hyperlink w:anchor="_Toc3201" w:history="1">
        <w:r>
          <w:rPr>
            <w:rFonts w:eastAsiaTheme="minorEastAsia"/>
          </w:rPr>
          <w:t>8.9</w:t>
        </w:r>
        <w:r>
          <w:rPr>
            <w:rFonts w:eastAsiaTheme="minorEastAsia" w:hint="eastAsia"/>
          </w:rPr>
          <w:t>期末按公允价值占基金资产净值比例大小排序的前五名权证投资明细</w:t>
        </w:r>
        <w:r>
          <w:tab/>
        </w:r>
        <w:r>
          <w:fldChar w:fldCharType="begin"/>
        </w:r>
        <w:r>
          <w:instrText xml:space="preserve"> PAGEREF _Toc3201 \h </w:instrText>
        </w:r>
        <w:r>
          <w:fldChar w:fldCharType="separate"/>
        </w:r>
        <w:r>
          <w:t>48</w:t>
        </w:r>
        <w:r>
          <w:fldChar w:fldCharType="end"/>
        </w:r>
      </w:hyperlink>
    </w:p>
    <w:p w:rsidR="000E6BAE" w:rsidRDefault="00CD6463">
      <w:pPr>
        <w:pStyle w:val="23"/>
        <w:tabs>
          <w:tab w:val="clear" w:pos="1260"/>
          <w:tab w:val="clear" w:pos="9072"/>
          <w:tab w:val="right" w:leader="dot" w:pos="9070"/>
        </w:tabs>
        <w:ind w:left="420"/>
      </w:pPr>
      <w:hyperlink w:anchor="_Toc3130" w:history="1">
        <w:r>
          <w:rPr>
            <w:rFonts w:eastAsiaTheme="minorEastAsia" w:hint="eastAsia"/>
          </w:rPr>
          <w:t xml:space="preserve">8.10 </w:t>
        </w:r>
        <w:r>
          <w:rPr>
            <w:rFonts w:eastAsiaTheme="minorEastAsia" w:hint="eastAsia"/>
          </w:rPr>
          <w:t>报告期末本基金投资的股指期货交易情况说明</w:t>
        </w:r>
        <w:r>
          <w:tab/>
        </w:r>
        <w:r>
          <w:fldChar w:fldCharType="begin"/>
        </w:r>
        <w:r>
          <w:instrText xml:space="preserve"> PAGEREF _Toc3130 \h </w:instrText>
        </w:r>
        <w:r>
          <w:fldChar w:fldCharType="separate"/>
        </w:r>
        <w:r>
          <w:t>48</w:t>
        </w:r>
        <w:r>
          <w:fldChar w:fldCharType="end"/>
        </w:r>
      </w:hyperlink>
    </w:p>
    <w:p w:rsidR="000E6BAE" w:rsidRDefault="00CD6463">
      <w:pPr>
        <w:pStyle w:val="23"/>
        <w:tabs>
          <w:tab w:val="clear" w:pos="1260"/>
          <w:tab w:val="clear" w:pos="9072"/>
          <w:tab w:val="right" w:leader="dot" w:pos="9070"/>
        </w:tabs>
        <w:ind w:left="420"/>
      </w:pPr>
      <w:hyperlink w:anchor="_Toc3021" w:history="1">
        <w:r>
          <w:rPr>
            <w:rFonts w:eastAsiaTheme="minorEastAsia" w:hint="eastAsia"/>
          </w:rPr>
          <w:t>8.11</w:t>
        </w:r>
        <w:r>
          <w:rPr>
            <w:rFonts w:eastAsiaTheme="minorEastAsia" w:hint="eastAsia"/>
          </w:rPr>
          <w:t>报告期末本基金投资的国债期货交易情况说明</w:t>
        </w:r>
        <w:r>
          <w:tab/>
        </w:r>
        <w:r>
          <w:fldChar w:fldCharType="begin"/>
        </w:r>
        <w:r>
          <w:instrText xml:space="preserve"> PAGEREF _Toc3021 \h </w:instrText>
        </w:r>
        <w:r>
          <w:fldChar w:fldCharType="separate"/>
        </w:r>
        <w:r>
          <w:t>48</w:t>
        </w:r>
        <w:r>
          <w:fldChar w:fldCharType="end"/>
        </w:r>
      </w:hyperlink>
    </w:p>
    <w:p w:rsidR="000E6BAE" w:rsidRDefault="00CD6463">
      <w:pPr>
        <w:pStyle w:val="23"/>
        <w:tabs>
          <w:tab w:val="clear" w:pos="1260"/>
          <w:tab w:val="clear" w:pos="9072"/>
          <w:tab w:val="right" w:leader="dot" w:pos="9070"/>
        </w:tabs>
        <w:ind w:left="420"/>
      </w:pPr>
      <w:hyperlink w:anchor="_Toc8271" w:history="1">
        <w:r>
          <w:rPr>
            <w:rFonts w:eastAsiaTheme="minorEastAsia"/>
          </w:rPr>
          <w:t xml:space="preserve">8.12 </w:t>
        </w:r>
        <w:r>
          <w:rPr>
            <w:rFonts w:eastAsiaTheme="minorEastAsia" w:hint="eastAsia"/>
          </w:rPr>
          <w:t>投资组合报告附注</w:t>
        </w:r>
        <w:r>
          <w:tab/>
        </w:r>
        <w:r>
          <w:fldChar w:fldCharType="begin"/>
        </w:r>
        <w:r>
          <w:instrText xml:space="preserve"> PAGEREF _Toc8271 \h </w:instrText>
        </w:r>
        <w:r>
          <w:fldChar w:fldCharType="separate"/>
        </w:r>
        <w:r>
          <w:t>48</w:t>
        </w:r>
        <w:r>
          <w:fldChar w:fldCharType="end"/>
        </w:r>
      </w:hyperlink>
    </w:p>
    <w:p w:rsidR="000E6BAE" w:rsidRDefault="00CD6463">
      <w:pPr>
        <w:pStyle w:val="11"/>
        <w:tabs>
          <w:tab w:val="clear" w:pos="9072"/>
          <w:tab w:val="right" w:leader="dot" w:pos="9070"/>
        </w:tabs>
      </w:pPr>
      <w:hyperlink w:anchor="_Toc15055" w:history="1">
        <w:r>
          <w:rPr>
            <w:rFonts w:hint="eastAsia"/>
            <w:bCs/>
          </w:rPr>
          <w:t>§</w:t>
        </w:r>
        <w:r>
          <w:rPr>
            <w:bCs/>
          </w:rPr>
          <w:t>9</w:t>
        </w:r>
        <w:r>
          <w:rPr>
            <w:rFonts w:hint="eastAsia"/>
            <w:bCs/>
          </w:rPr>
          <w:t>基金份额持有人信息</w:t>
        </w:r>
        <w:r>
          <w:tab/>
        </w:r>
        <w:r>
          <w:fldChar w:fldCharType="begin"/>
        </w:r>
        <w:r>
          <w:instrText xml:space="preserve"> PAGE</w:instrText>
        </w:r>
        <w:r>
          <w:instrText xml:space="preserve">REF _Toc15055 \h </w:instrText>
        </w:r>
        <w:r>
          <w:fldChar w:fldCharType="separate"/>
        </w:r>
        <w:r>
          <w:t>49</w:t>
        </w:r>
        <w:r>
          <w:fldChar w:fldCharType="end"/>
        </w:r>
      </w:hyperlink>
    </w:p>
    <w:p w:rsidR="000E6BAE" w:rsidRDefault="00CD6463">
      <w:pPr>
        <w:pStyle w:val="23"/>
        <w:tabs>
          <w:tab w:val="clear" w:pos="1260"/>
          <w:tab w:val="clear" w:pos="9072"/>
          <w:tab w:val="right" w:leader="dot" w:pos="9070"/>
        </w:tabs>
        <w:ind w:left="420"/>
      </w:pPr>
      <w:hyperlink w:anchor="_Toc28204" w:history="1">
        <w:r>
          <w:rPr>
            <w:rFonts w:eastAsiaTheme="minorEastAsia"/>
          </w:rPr>
          <w:t xml:space="preserve">9.1 </w:t>
        </w:r>
        <w:r>
          <w:rPr>
            <w:rFonts w:eastAsiaTheme="minorEastAsia" w:hint="eastAsia"/>
          </w:rPr>
          <w:t>期末基金份额持有人户数及持有人结构</w:t>
        </w:r>
        <w:r>
          <w:tab/>
        </w:r>
        <w:r>
          <w:fldChar w:fldCharType="begin"/>
        </w:r>
        <w:r>
          <w:instrText xml:space="preserve"> PAGEREF _Toc28204 \h </w:instrText>
        </w:r>
        <w:r>
          <w:fldChar w:fldCharType="separate"/>
        </w:r>
        <w:r>
          <w:t>49</w:t>
        </w:r>
        <w:r>
          <w:fldChar w:fldCharType="end"/>
        </w:r>
      </w:hyperlink>
    </w:p>
    <w:p w:rsidR="000E6BAE" w:rsidRDefault="00CD6463">
      <w:pPr>
        <w:pStyle w:val="23"/>
        <w:tabs>
          <w:tab w:val="clear" w:pos="1260"/>
          <w:tab w:val="clear" w:pos="9072"/>
          <w:tab w:val="right" w:leader="dot" w:pos="9070"/>
        </w:tabs>
        <w:ind w:left="420"/>
      </w:pPr>
      <w:hyperlink w:anchor="_Toc27305" w:history="1">
        <w:r>
          <w:rPr>
            <w:rFonts w:eastAsiaTheme="minorEastAsia"/>
          </w:rPr>
          <w:t>9.2</w:t>
        </w:r>
        <w:r>
          <w:rPr>
            <w:rFonts w:eastAsiaTheme="minorEastAsia" w:hint="eastAsia"/>
          </w:rPr>
          <w:t>期末基金管理人的从业人员持有本基金的情况</w:t>
        </w:r>
        <w:r>
          <w:tab/>
        </w:r>
        <w:r>
          <w:fldChar w:fldCharType="begin"/>
        </w:r>
        <w:r>
          <w:instrText xml:space="preserve"> PAGEREF _Toc27305 \h </w:instrText>
        </w:r>
        <w:r>
          <w:fldChar w:fldCharType="separate"/>
        </w:r>
        <w:r>
          <w:t>50</w:t>
        </w:r>
        <w:r>
          <w:fldChar w:fldCharType="end"/>
        </w:r>
      </w:hyperlink>
    </w:p>
    <w:p w:rsidR="000E6BAE" w:rsidRDefault="00CD6463">
      <w:pPr>
        <w:pStyle w:val="23"/>
        <w:tabs>
          <w:tab w:val="clear" w:pos="1260"/>
          <w:tab w:val="clear" w:pos="9072"/>
          <w:tab w:val="right" w:leader="dot" w:pos="9070"/>
        </w:tabs>
        <w:ind w:left="420"/>
      </w:pPr>
      <w:hyperlink w:anchor="_Toc5088" w:history="1">
        <w:r>
          <w:rPr>
            <w:rFonts w:eastAsiaTheme="minorEastAsia"/>
          </w:rPr>
          <w:t>9.3</w:t>
        </w:r>
        <w:r>
          <w:rPr>
            <w:rFonts w:eastAsiaTheme="minorEastAsia" w:hint="eastAsia"/>
          </w:rPr>
          <w:t>期末基金管理人的从业人员持有本开放式基金份额总量区间</w:t>
        </w:r>
        <w:r>
          <w:rPr>
            <w:rFonts w:eastAsiaTheme="minorEastAsia" w:hint="eastAsia"/>
          </w:rPr>
          <w:t>的情况</w:t>
        </w:r>
        <w:r>
          <w:tab/>
        </w:r>
        <w:r>
          <w:fldChar w:fldCharType="begin"/>
        </w:r>
        <w:r>
          <w:instrText xml:space="preserve"> PAGEREF _Toc5088 \h </w:instrText>
        </w:r>
        <w:r>
          <w:fldChar w:fldCharType="separate"/>
        </w:r>
        <w:r>
          <w:t>50</w:t>
        </w:r>
        <w:r>
          <w:fldChar w:fldCharType="end"/>
        </w:r>
      </w:hyperlink>
    </w:p>
    <w:p w:rsidR="000E6BAE" w:rsidRDefault="00CD6463">
      <w:pPr>
        <w:pStyle w:val="11"/>
        <w:tabs>
          <w:tab w:val="clear" w:pos="9072"/>
          <w:tab w:val="right" w:leader="dot" w:pos="9070"/>
        </w:tabs>
      </w:pPr>
      <w:hyperlink w:anchor="_Toc21728" w:history="1">
        <w:r>
          <w:rPr>
            <w:rFonts w:hint="eastAsia"/>
            <w:bCs/>
          </w:rPr>
          <w:t>§</w:t>
        </w:r>
        <w:r>
          <w:rPr>
            <w:bCs/>
          </w:rPr>
          <w:t>10</w:t>
        </w:r>
        <w:r>
          <w:rPr>
            <w:rFonts w:hint="eastAsia"/>
            <w:bCs/>
          </w:rPr>
          <w:t>开放式基金份额变动</w:t>
        </w:r>
        <w:r>
          <w:tab/>
        </w:r>
        <w:r>
          <w:fldChar w:fldCharType="begin"/>
        </w:r>
        <w:r>
          <w:instrText xml:space="preserve"> PAGEREF _Toc21728 \h </w:instrText>
        </w:r>
        <w:r>
          <w:fldChar w:fldCharType="separate"/>
        </w:r>
        <w:r>
          <w:t>50</w:t>
        </w:r>
        <w:r>
          <w:fldChar w:fldCharType="end"/>
        </w:r>
      </w:hyperlink>
    </w:p>
    <w:p w:rsidR="000E6BAE" w:rsidRDefault="00CD6463">
      <w:pPr>
        <w:pStyle w:val="11"/>
        <w:tabs>
          <w:tab w:val="clear" w:pos="9072"/>
          <w:tab w:val="right" w:leader="dot" w:pos="9070"/>
        </w:tabs>
      </w:pPr>
      <w:hyperlink w:anchor="_Toc20963" w:history="1">
        <w:r>
          <w:rPr>
            <w:rFonts w:hint="eastAsia"/>
            <w:bCs/>
          </w:rPr>
          <w:t>§</w:t>
        </w:r>
        <w:r>
          <w:rPr>
            <w:bCs/>
          </w:rPr>
          <w:t>11</w:t>
        </w:r>
        <w:r>
          <w:rPr>
            <w:rFonts w:hint="eastAsia"/>
            <w:bCs/>
          </w:rPr>
          <w:t>重大事件揭示</w:t>
        </w:r>
        <w:r>
          <w:tab/>
        </w:r>
        <w:r>
          <w:fldChar w:fldCharType="begin"/>
        </w:r>
        <w:r>
          <w:instrText xml:space="preserve"> PAGEREF _Toc20963 \h </w:instrText>
        </w:r>
        <w:r>
          <w:fldChar w:fldCharType="separate"/>
        </w:r>
        <w:r>
          <w:t>51</w:t>
        </w:r>
        <w:r>
          <w:fldChar w:fldCharType="end"/>
        </w:r>
      </w:hyperlink>
    </w:p>
    <w:p w:rsidR="000E6BAE" w:rsidRDefault="00CD6463">
      <w:pPr>
        <w:pStyle w:val="23"/>
        <w:tabs>
          <w:tab w:val="clear" w:pos="1260"/>
          <w:tab w:val="clear" w:pos="9072"/>
          <w:tab w:val="right" w:leader="dot" w:pos="9070"/>
        </w:tabs>
        <w:ind w:left="420"/>
      </w:pPr>
      <w:hyperlink w:anchor="_Toc30981" w:history="1">
        <w:r>
          <w:rPr>
            <w:rFonts w:eastAsiaTheme="minorEastAsia"/>
          </w:rPr>
          <w:t>11.1</w:t>
        </w:r>
        <w:r>
          <w:rPr>
            <w:rFonts w:eastAsiaTheme="minorEastAsia" w:hint="eastAsia"/>
          </w:rPr>
          <w:t>基金份额持有人大会决议</w:t>
        </w:r>
        <w:r>
          <w:tab/>
        </w:r>
        <w:r>
          <w:fldChar w:fldCharType="begin"/>
        </w:r>
        <w:r>
          <w:instrText xml:space="preserve"> PAGEREF _Toc30981 \h </w:instrText>
        </w:r>
        <w:r>
          <w:fldChar w:fldCharType="separate"/>
        </w:r>
        <w:r>
          <w:t>51</w:t>
        </w:r>
        <w:r>
          <w:fldChar w:fldCharType="end"/>
        </w:r>
      </w:hyperlink>
    </w:p>
    <w:p w:rsidR="000E6BAE" w:rsidRDefault="00CD6463">
      <w:pPr>
        <w:pStyle w:val="23"/>
        <w:tabs>
          <w:tab w:val="clear" w:pos="1260"/>
          <w:tab w:val="clear" w:pos="9072"/>
          <w:tab w:val="right" w:leader="dot" w:pos="9070"/>
        </w:tabs>
        <w:ind w:left="420"/>
      </w:pPr>
      <w:hyperlink w:anchor="_Toc20112" w:history="1">
        <w:r>
          <w:rPr>
            <w:rFonts w:eastAsiaTheme="minorEastAsia"/>
          </w:rPr>
          <w:t xml:space="preserve">11.2 </w:t>
        </w:r>
        <w:r>
          <w:rPr>
            <w:rFonts w:eastAsiaTheme="minorEastAsia" w:hint="eastAsia"/>
          </w:rPr>
          <w:t>基金管理人、基金托管人的专门基金托管部门的重大人事变动</w:t>
        </w:r>
        <w:r>
          <w:tab/>
        </w:r>
        <w:r>
          <w:fldChar w:fldCharType="begin"/>
        </w:r>
        <w:r>
          <w:instrText xml:space="preserve"> PAGEREF _Toc20112 \h </w:instrText>
        </w:r>
        <w:r>
          <w:fldChar w:fldCharType="separate"/>
        </w:r>
        <w:r>
          <w:t>51</w:t>
        </w:r>
        <w:r>
          <w:fldChar w:fldCharType="end"/>
        </w:r>
      </w:hyperlink>
    </w:p>
    <w:p w:rsidR="000E6BAE" w:rsidRDefault="00CD6463">
      <w:pPr>
        <w:pStyle w:val="23"/>
        <w:tabs>
          <w:tab w:val="clear" w:pos="1260"/>
          <w:tab w:val="clear" w:pos="9072"/>
          <w:tab w:val="right" w:leader="dot" w:pos="9070"/>
        </w:tabs>
        <w:ind w:left="420"/>
      </w:pPr>
      <w:hyperlink w:anchor="_Toc15567" w:history="1">
        <w:r>
          <w:rPr>
            <w:rFonts w:eastAsiaTheme="minorEastAsia"/>
          </w:rPr>
          <w:t xml:space="preserve">11.3 </w:t>
        </w:r>
        <w:r>
          <w:rPr>
            <w:rFonts w:eastAsiaTheme="minorEastAsia" w:hint="eastAsia"/>
          </w:rPr>
          <w:t>涉及基金管理人、基金财产、</w:t>
        </w:r>
        <w:r>
          <w:rPr>
            <w:rFonts w:eastAsiaTheme="minorEastAsia" w:hint="eastAsia"/>
          </w:rPr>
          <w:t>基金托管业务的诉讼</w:t>
        </w:r>
        <w:r>
          <w:tab/>
        </w:r>
        <w:r>
          <w:fldChar w:fldCharType="begin"/>
        </w:r>
        <w:r>
          <w:instrText xml:space="preserve"> PAGEREF _Toc15567 \h </w:instrText>
        </w:r>
        <w:r>
          <w:fldChar w:fldCharType="separate"/>
        </w:r>
        <w:r>
          <w:t>51</w:t>
        </w:r>
        <w:r>
          <w:fldChar w:fldCharType="end"/>
        </w:r>
      </w:hyperlink>
    </w:p>
    <w:p w:rsidR="000E6BAE" w:rsidRDefault="00CD6463">
      <w:pPr>
        <w:pStyle w:val="23"/>
        <w:tabs>
          <w:tab w:val="clear" w:pos="1260"/>
          <w:tab w:val="clear" w:pos="9072"/>
          <w:tab w:val="right" w:leader="dot" w:pos="9070"/>
        </w:tabs>
        <w:ind w:left="420"/>
      </w:pPr>
      <w:hyperlink w:anchor="_Toc30307" w:history="1">
        <w:r>
          <w:rPr>
            <w:rFonts w:eastAsiaTheme="minorEastAsia"/>
          </w:rPr>
          <w:t xml:space="preserve">11.4 </w:t>
        </w:r>
        <w:r>
          <w:rPr>
            <w:rFonts w:eastAsiaTheme="minorEastAsia" w:hint="eastAsia"/>
          </w:rPr>
          <w:t>基金投资策略的改变</w:t>
        </w:r>
        <w:r>
          <w:tab/>
        </w:r>
        <w:r>
          <w:fldChar w:fldCharType="begin"/>
        </w:r>
        <w:r>
          <w:instrText xml:space="preserve"> PAGEREF _Toc30307 \h </w:instrText>
        </w:r>
        <w:r>
          <w:fldChar w:fldCharType="separate"/>
        </w:r>
        <w:r>
          <w:t>51</w:t>
        </w:r>
        <w:r>
          <w:fldChar w:fldCharType="end"/>
        </w:r>
      </w:hyperlink>
    </w:p>
    <w:p w:rsidR="000E6BAE" w:rsidRDefault="00CD6463">
      <w:pPr>
        <w:pStyle w:val="23"/>
        <w:tabs>
          <w:tab w:val="clear" w:pos="1260"/>
          <w:tab w:val="clear" w:pos="9072"/>
          <w:tab w:val="right" w:leader="dot" w:pos="9070"/>
        </w:tabs>
        <w:ind w:left="420"/>
      </w:pPr>
      <w:hyperlink w:anchor="_Toc2528" w:history="1">
        <w:r>
          <w:rPr>
            <w:rFonts w:eastAsiaTheme="minorEastAsia"/>
            <w:szCs w:val="24"/>
          </w:rPr>
          <w:t>1</w:t>
        </w:r>
        <w:r>
          <w:rPr>
            <w:rFonts w:eastAsiaTheme="minorEastAsia"/>
            <w:szCs w:val="24"/>
          </w:rPr>
          <w:t>1.5</w:t>
        </w:r>
        <w:r>
          <w:rPr>
            <w:rFonts w:eastAsiaTheme="minorEastAsia"/>
            <w:szCs w:val="24"/>
          </w:rPr>
          <w:t>为基金进行审计的会计师事务所情况</w:t>
        </w:r>
        <w:r>
          <w:tab/>
        </w:r>
        <w:r>
          <w:fldChar w:fldCharType="begin"/>
        </w:r>
        <w:r>
          <w:instrText xml:space="preserve"> PAGEREF _Toc2528 \h </w:instrText>
        </w:r>
        <w:r>
          <w:fldChar w:fldCharType="separate"/>
        </w:r>
        <w:r>
          <w:t>51</w:t>
        </w:r>
        <w:r>
          <w:fldChar w:fldCharType="end"/>
        </w:r>
      </w:hyperlink>
    </w:p>
    <w:p w:rsidR="000E6BAE" w:rsidRDefault="00CD6463">
      <w:pPr>
        <w:pStyle w:val="23"/>
        <w:tabs>
          <w:tab w:val="clear" w:pos="1260"/>
          <w:tab w:val="clear" w:pos="9072"/>
          <w:tab w:val="right" w:leader="dot" w:pos="9070"/>
        </w:tabs>
        <w:ind w:left="420"/>
      </w:pPr>
      <w:hyperlink w:anchor="_Toc26407" w:history="1">
        <w:r>
          <w:rPr>
            <w:rFonts w:eastAsiaTheme="minorEastAsia"/>
            <w:szCs w:val="24"/>
          </w:rPr>
          <w:t xml:space="preserve">11.6 </w:t>
        </w:r>
        <w:r>
          <w:rPr>
            <w:rFonts w:eastAsiaTheme="minorEastAsia"/>
            <w:szCs w:val="24"/>
          </w:rPr>
          <w:t>管理人、托管人及其高级管理人员受稽查或处罚等情况</w:t>
        </w:r>
        <w:r>
          <w:tab/>
        </w:r>
        <w:r>
          <w:fldChar w:fldCharType="begin"/>
        </w:r>
        <w:r>
          <w:instrText xml:space="preserve"> PAGEREF _Toc26407 \h </w:instrText>
        </w:r>
        <w:r>
          <w:fldChar w:fldCharType="separate"/>
        </w:r>
        <w:r>
          <w:t>51</w:t>
        </w:r>
        <w:r>
          <w:fldChar w:fldCharType="end"/>
        </w:r>
      </w:hyperlink>
    </w:p>
    <w:p w:rsidR="000E6BAE" w:rsidRDefault="00CD6463">
      <w:pPr>
        <w:pStyle w:val="23"/>
        <w:tabs>
          <w:tab w:val="clear" w:pos="1260"/>
          <w:tab w:val="clear" w:pos="9072"/>
          <w:tab w:val="right" w:leader="dot" w:pos="9070"/>
        </w:tabs>
        <w:ind w:left="420"/>
      </w:pPr>
      <w:hyperlink w:anchor="_Toc16074" w:history="1">
        <w:r>
          <w:rPr>
            <w:rFonts w:eastAsiaTheme="minorEastAsia"/>
            <w:szCs w:val="24"/>
          </w:rPr>
          <w:t xml:space="preserve">11.7 </w:t>
        </w:r>
        <w:r>
          <w:rPr>
            <w:rFonts w:eastAsiaTheme="minorEastAsia"/>
            <w:szCs w:val="24"/>
          </w:rPr>
          <w:t>基金租用证券公司交易单元的有关情况</w:t>
        </w:r>
        <w:r>
          <w:tab/>
        </w:r>
        <w:r>
          <w:fldChar w:fldCharType="begin"/>
        </w:r>
        <w:r>
          <w:instrText xml:space="preserve"> PAGEREF _Toc16074 \h </w:instrText>
        </w:r>
        <w:r>
          <w:fldChar w:fldCharType="separate"/>
        </w:r>
        <w:r>
          <w:t>51</w:t>
        </w:r>
        <w:r>
          <w:fldChar w:fldCharType="end"/>
        </w:r>
      </w:hyperlink>
    </w:p>
    <w:p w:rsidR="000E6BAE" w:rsidRDefault="00CD6463">
      <w:pPr>
        <w:pStyle w:val="23"/>
        <w:tabs>
          <w:tab w:val="clear" w:pos="1260"/>
          <w:tab w:val="clear" w:pos="9072"/>
          <w:tab w:val="right" w:leader="dot" w:pos="9070"/>
        </w:tabs>
        <w:ind w:left="420"/>
      </w:pPr>
      <w:hyperlink w:anchor="_Toc1391" w:history="1">
        <w:r>
          <w:rPr>
            <w:szCs w:val="24"/>
          </w:rPr>
          <w:t>11.8</w:t>
        </w:r>
        <w:r>
          <w:rPr>
            <w:rFonts w:hint="eastAsia"/>
            <w:szCs w:val="24"/>
          </w:rPr>
          <w:t>其他重大事件</w:t>
        </w:r>
        <w:r>
          <w:tab/>
        </w:r>
        <w:r>
          <w:fldChar w:fldCharType="begin"/>
        </w:r>
        <w:r>
          <w:instrText xml:space="preserve"> PAGEREF _Toc1391 \h</w:instrText>
        </w:r>
        <w:r>
          <w:instrText xml:space="preserve"> </w:instrText>
        </w:r>
        <w:r>
          <w:fldChar w:fldCharType="separate"/>
        </w:r>
        <w:r>
          <w:t>52</w:t>
        </w:r>
        <w:r>
          <w:fldChar w:fldCharType="end"/>
        </w:r>
      </w:hyperlink>
    </w:p>
    <w:p w:rsidR="000E6BAE" w:rsidRDefault="00CD6463">
      <w:pPr>
        <w:pStyle w:val="11"/>
        <w:tabs>
          <w:tab w:val="clear" w:pos="9072"/>
          <w:tab w:val="right" w:leader="dot" w:pos="9070"/>
        </w:tabs>
      </w:pPr>
      <w:hyperlink w:anchor="_Toc13574" w:history="1">
        <w:r>
          <w:rPr>
            <w:rFonts w:eastAsiaTheme="minorEastAsia"/>
            <w:bCs/>
          </w:rPr>
          <w:t>§</w:t>
        </w:r>
        <w:r>
          <w:rPr>
            <w:rFonts w:eastAsiaTheme="minorEastAsia"/>
            <w:bCs/>
            <w:szCs w:val="21"/>
          </w:rPr>
          <w:t xml:space="preserve">12  </w:t>
        </w:r>
        <w:r>
          <w:rPr>
            <w:rFonts w:eastAsiaTheme="minorEastAsia"/>
            <w:bCs/>
            <w:szCs w:val="21"/>
          </w:rPr>
          <w:t>影响投资者决策的其他重要信息</w:t>
        </w:r>
        <w:r>
          <w:tab/>
        </w:r>
        <w:r>
          <w:fldChar w:fldCharType="begin"/>
        </w:r>
        <w:r>
          <w:instrText xml:space="preserve"> PAGEREF _Toc13574 \h </w:instrText>
        </w:r>
        <w:r>
          <w:fldChar w:fldCharType="separate"/>
        </w:r>
        <w:r>
          <w:t>55</w:t>
        </w:r>
        <w:r>
          <w:fldChar w:fldCharType="end"/>
        </w:r>
      </w:hyperlink>
    </w:p>
    <w:p w:rsidR="000E6BAE" w:rsidRDefault="00CD6463">
      <w:pPr>
        <w:pStyle w:val="23"/>
        <w:tabs>
          <w:tab w:val="clear" w:pos="1260"/>
          <w:tab w:val="clear" w:pos="9072"/>
          <w:tab w:val="right" w:leader="dot" w:pos="9070"/>
        </w:tabs>
        <w:ind w:left="420"/>
      </w:pPr>
      <w:hyperlink w:anchor="_Toc5913" w:history="1">
        <w:r>
          <w:rPr>
            <w:szCs w:val="24"/>
          </w:rPr>
          <w:t>12.</w:t>
        </w:r>
        <w:r>
          <w:rPr>
            <w:rFonts w:hint="eastAsia"/>
            <w:szCs w:val="24"/>
          </w:rPr>
          <w:t xml:space="preserve">1 </w:t>
        </w:r>
        <w:r>
          <w:rPr>
            <w:rFonts w:hint="eastAsia"/>
            <w:szCs w:val="24"/>
          </w:rPr>
          <w:t>报告期内单一</w:t>
        </w:r>
        <w:r>
          <w:rPr>
            <w:rFonts w:ascii="宋体" w:hAnsi="宋体" w:hint="eastAsia"/>
            <w:bCs/>
          </w:rPr>
          <w:t>投资者持有基金份额比例达到或超过</w:t>
        </w:r>
        <w:r>
          <w:rPr>
            <w:rFonts w:ascii="宋体" w:hAnsi="宋体" w:hint="eastAsia"/>
            <w:bCs/>
          </w:rPr>
          <w:t>20</w:t>
        </w:r>
        <w:r>
          <w:rPr>
            <w:rFonts w:ascii="宋体" w:hAnsi="宋体" w:hint="eastAsia"/>
            <w:bCs/>
          </w:rPr>
          <w:t>%</w:t>
        </w:r>
        <w:r>
          <w:rPr>
            <w:rFonts w:ascii="宋体" w:hAnsi="宋体" w:hint="eastAsia"/>
            <w:bCs/>
          </w:rPr>
          <w:t>的情况</w:t>
        </w:r>
        <w:r>
          <w:tab/>
        </w:r>
        <w:r>
          <w:fldChar w:fldCharType="begin"/>
        </w:r>
        <w:r>
          <w:instrText xml:space="preserve"> PAGEREF _Toc5913 \h </w:instrText>
        </w:r>
        <w:r>
          <w:fldChar w:fldCharType="separate"/>
        </w:r>
        <w:r>
          <w:t>55</w:t>
        </w:r>
        <w:r>
          <w:fldChar w:fldCharType="end"/>
        </w:r>
      </w:hyperlink>
    </w:p>
    <w:p w:rsidR="000E6BAE" w:rsidRDefault="00CD6463">
      <w:pPr>
        <w:pStyle w:val="11"/>
        <w:tabs>
          <w:tab w:val="clear" w:pos="9072"/>
          <w:tab w:val="right" w:leader="dot" w:pos="9070"/>
        </w:tabs>
      </w:pPr>
      <w:hyperlink w:anchor="_Toc27659" w:history="1">
        <w:r>
          <w:rPr>
            <w:rFonts w:hint="eastAsia"/>
            <w:bCs/>
          </w:rPr>
          <w:t>§</w:t>
        </w:r>
        <w:r>
          <w:rPr>
            <w:bCs/>
          </w:rPr>
          <w:t>13</w:t>
        </w:r>
        <w:r>
          <w:rPr>
            <w:rFonts w:hint="eastAsia"/>
            <w:bCs/>
          </w:rPr>
          <w:t>备查文件目录</w:t>
        </w:r>
        <w:r>
          <w:tab/>
        </w:r>
        <w:r>
          <w:fldChar w:fldCharType="begin"/>
        </w:r>
        <w:r>
          <w:instrText xml:space="preserve"> PAGEREF _Toc27659 \h </w:instrText>
        </w:r>
        <w:r>
          <w:fldChar w:fldCharType="separate"/>
        </w:r>
        <w:r>
          <w:t>55</w:t>
        </w:r>
        <w:r>
          <w:fldChar w:fldCharType="end"/>
        </w:r>
      </w:hyperlink>
    </w:p>
    <w:p w:rsidR="000E6BAE" w:rsidRDefault="00CD6463">
      <w:pPr>
        <w:pStyle w:val="23"/>
        <w:tabs>
          <w:tab w:val="clear" w:pos="1260"/>
          <w:tab w:val="clear" w:pos="9072"/>
          <w:tab w:val="right" w:leader="dot" w:pos="9070"/>
        </w:tabs>
        <w:ind w:left="420"/>
      </w:pPr>
      <w:hyperlink w:anchor="_Toc21162" w:history="1">
        <w:r>
          <w:rPr>
            <w:bCs/>
          </w:rPr>
          <w:t xml:space="preserve">13.1 </w:t>
        </w:r>
        <w:r>
          <w:rPr>
            <w:rFonts w:hint="eastAsia"/>
            <w:bCs/>
          </w:rPr>
          <w:t>备查文件目录</w:t>
        </w:r>
        <w:r>
          <w:tab/>
        </w:r>
        <w:r>
          <w:fldChar w:fldCharType="begin"/>
        </w:r>
        <w:r>
          <w:instrText xml:space="preserve"> PAGEREF _Toc21162 \h </w:instrText>
        </w:r>
        <w:r>
          <w:fldChar w:fldCharType="separate"/>
        </w:r>
        <w:r>
          <w:t>55</w:t>
        </w:r>
        <w:r>
          <w:fldChar w:fldCharType="end"/>
        </w:r>
      </w:hyperlink>
    </w:p>
    <w:p w:rsidR="000E6BAE" w:rsidRDefault="00CD6463">
      <w:pPr>
        <w:pStyle w:val="23"/>
        <w:tabs>
          <w:tab w:val="clear" w:pos="1260"/>
          <w:tab w:val="clear" w:pos="9072"/>
          <w:tab w:val="right" w:leader="dot" w:pos="9070"/>
        </w:tabs>
        <w:ind w:left="420"/>
      </w:pPr>
      <w:hyperlink w:anchor="_Toc10653" w:history="1">
        <w:r>
          <w:rPr>
            <w:bCs/>
          </w:rPr>
          <w:t>13.2</w:t>
        </w:r>
        <w:r>
          <w:rPr>
            <w:rFonts w:hint="eastAsia"/>
            <w:bCs/>
          </w:rPr>
          <w:t>存放地点</w:t>
        </w:r>
        <w:r>
          <w:tab/>
        </w:r>
        <w:r>
          <w:fldChar w:fldCharType="begin"/>
        </w:r>
        <w:r>
          <w:instrText xml:space="preserve"> PAGEREF _Toc10653 \h </w:instrText>
        </w:r>
        <w:r>
          <w:fldChar w:fldCharType="separate"/>
        </w:r>
        <w:r>
          <w:t>55</w:t>
        </w:r>
        <w:r>
          <w:fldChar w:fldCharType="end"/>
        </w:r>
      </w:hyperlink>
    </w:p>
    <w:p w:rsidR="000E6BAE" w:rsidRDefault="00CD6463">
      <w:pPr>
        <w:pStyle w:val="23"/>
        <w:tabs>
          <w:tab w:val="clear" w:pos="1260"/>
          <w:tab w:val="clear" w:pos="9072"/>
          <w:tab w:val="right" w:leader="dot" w:pos="9070"/>
        </w:tabs>
        <w:ind w:left="420"/>
      </w:pPr>
      <w:hyperlink w:anchor="_Toc4802" w:history="1">
        <w:r>
          <w:rPr>
            <w:bCs/>
          </w:rPr>
          <w:t>13.3</w:t>
        </w:r>
        <w:r>
          <w:rPr>
            <w:rFonts w:hint="eastAsia"/>
            <w:bCs/>
          </w:rPr>
          <w:t>查阅方式</w:t>
        </w:r>
        <w:r>
          <w:tab/>
        </w:r>
        <w:r>
          <w:fldChar w:fldCharType="begin"/>
        </w:r>
        <w:r>
          <w:instrText xml:space="preserve"> PAGEREF _Toc4802 \h </w:instrText>
        </w:r>
        <w:r>
          <w:fldChar w:fldCharType="separate"/>
        </w:r>
        <w:r>
          <w:t>55</w:t>
        </w:r>
        <w:r>
          <w:fldChar w:fldCharType="end"/>
        </w:r>
      </w:hyperlink>
    </w:p>
    <w:p w:rsidR="000E6BAE" w:rsidRDefault="00CD6463">
      <w:pPr>
        <w:spacing w:line="360" w:lineRule="auto"/>
        <w:ind w:firstLineChars="200" w:firstLine="420"/>
        <w:rPr>
          <w:rFonts w:asciiTheme="minorEastAsia" w:eastAsiaTheme="minorEastAsia" w:hAnsiTheme="minorEastAsia"/>
          <w:b/>
          <w:color w:val="000000"/>
          <w:kern w:val="0"/>
          <w:szCs w:val="21"/>
        </w:rPr>
      </w:pPr>
      <w:r>
        <w:rPr>
          <w:color w:val="000000"/>
          <w:kern w:val="0"/>
        </w:rPr>
        <w:fldChar w:fldCharType="end"/>
      </w:r>
    </w:p>
    <w:p w:rsidR="000E6BAE" w:rsidRDefault="000E6BAE">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0E6BAE" w:rsidRDefault="000E6BAE">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0E6BAE" w:rsidRDefault="000E6BAE">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0E6BAE" w:rsidRDefault="000E6BAE">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0E6BAE" w:rsidRDefault="000E6BAE">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0E6BAE" w:rsidRDefault="000E6BAE">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0E6BAE" w:rsidRDefault="000E6BAE">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0E6BAE" w:rsidRDefault="000E6BAE">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0E6BAE" w:rsidRDefault="000E6BAE">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0E6BAE" w:rsidRDefault="00CD6463">
      <w:pPr>
        <w:pStyle w:val="1"/>
        <w:keepNext/>
        <w:keepLines/>
        <w:widowControl w:val="0"/>
        <w:spacing w:beforeLines="100" w:before="312" w:afterLines="100" w:after="312" w:line="288" w:lineRule="auto"/>
        <w:jc w:val="center"/>
        <w:rPr>
          <w:b/>
          <w:bCs/>
          <w:szCs w:val="24"/>
          <w:lang w:val="en-US"/>
        </w:rPr>
      </w:pPr>
      <w:r>
        <w:rPr>
          <w:rFonts w:asciiTheme="minorEastAsia" w:eastAsiaTheme="minorEastAsia" w:hAnsiTheme="minorEastAsia"/>
          <w:color w:val="000000"/>
          <w:sz w:val="21"/>
          <w:szCs w:val="21"/>
        </w:rPr>
        <w:br w:type="page"/>
      </w:r>
      <w:bookmarkStart w:id="9" w:name="_Toc225498244"/>
      <w:bookmarkStart w:id="10" w:name="_Toc361324844"/>
      <w:bookmarkStart w:id="11" w:name="_Toc8435"/>
      <w:r>
        <w:rPr>
          <w:rFonts w:hint="eastAsia"/>
          <w:b/>
          <w:bCs/>
          <w:szCs w:val="24"/>
          <w:lang w:val="en-US"/>
        </w:rPr>
        <w:t>§</w:t>
      </w:r>
      <w:r>
        <w:rPr>
          <w:b/>
          <w:bCs/>
          <w:szCs w:val="24"/>
          <w:lang w:val="en-US"/>
        </w:rPr>
        <w:t xml:space="preserve">2  </w:t>
      </w:r>
      <w:r>
        <w:rPr>
          <w:rFonts w:hint="eastAsia"/>
          <w:b/>
          <w:bCs/>
          <w:szCs w:val="24"/>
          <w:lang w:val="en-US"/>
        </w:rPr>
        <w:t>基金简介</w:t>
      </w:r>
      <w:bookmarkEnd w:id="9"/>
      <w:bookmarkEnd w:id="10"/>
      <w:bookmarkEnd w:id="11"/>
    </w:p>
    <w:p w:rsidR="000E6BAE" w:rsidRDefault="000E6BAE"/>
    <w:p w:rsidR="000E6BAE" w:rsidRDefault="00CD6463">
      <w:pPr>
        <w:pStyle w:val="2"/>
        <w:spacing w:before="29" w:after="0" w:line="288" w:lineRule="auto"/>
        <w:rPr>
          <w:rFonts w:ascii="Times New Roman" w:hAnsi="Times New Roman"/>
          <w:kern w:val="0"/>
          <w:szCs w:val="24"/>
        </w:rPr>
      </w:pPr>
      <w:bookmarkStart w:id="12" w:name="_Toc361324845"/>
      <w:bookmarkStart w:id="13" w:name="_Toc8689"/>
      <w:r>
        <w:rPr>
          <w:rFonts w:ascii="Times New Roman" w:hAnsi="Times New Roman"/>
          <w:kern w:val="0"/>
          <w:szCs w:val="24"/>
        </w:rPr>
        <w:t>2.1</w:t>
      </w:r>
      <w:r>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80"/>
        <w:gridCol w:w="2999"/>
      </w:tblGrid>
      <w:tr w:rsidR="000E6BAE">
        <w:tc>
          <w:tcPr>
            <w:tcW w:w="3119" w:type="dxa"/>
            <w:vAlign w:val="center"/>
          </w:tcPr>
          <w:p w:rsidR="000E6BAE" w:rsidRDefault="00CD6463">
            <w:pPr>
              <w:spacing w:before="29" w:line="288" w:lineRule="auto"/>
              <w:jc w:val="left"/>
              <w:rPr>
                <w:sz w:val="24"/>
              </w:rPr>
            </w:pPr>
            <w:r>
              <w:rPr>
                <w:rFonts w:hint="eastAsia"/>
                <w:sz w:val="24"/>
              </w:rPr>
              <w:t>基金名称</w:t>
            </w:r>
          </w:p>
        </w:tc>
        <w:tc>
          <w:tcPr>
            <w:tcW w:w="5879" w:type="dxa"/>
            <w:gridSpan w:val="2"/>
            <w:vAlign w:val="center"/>
          </w:tcPr>
          <w:p w:rsidR="000E6BAE" w:rsidRDefault="00CD6463">
            <w:pPr>
              <w:spacing w:before="29" w:line="288" w:lineRule="auto"/>
              <w:jc w:val="center"/>
              <w:rPr>
                <w:sz w:val="24"/>
              </w:rPr>
            </w:pPr>
            <w:r>
              <w:rPr>
                <w:sz w:val="24"/>
              </w:rPr>
              <w:t>交银施罗德丰润收益债券型证券投资基金</w:t>
            </w:r>
          </w:p>
        </w:tc>
      </w:tr>
      <w:tr w:rsidR="000E6BAE">
        <w:tc>
          <w:tcPr>
            <w:tcW w:w="3119" w:type="dxa"/>
            <w:vAlign w:val="center"/>
          </w:tcPr>
          <w:p w:rsidR="000E6BAE" w:rsidRDefault="00CD6463">
            <w:pPr>
              <w:spacing w:before="29" w:line="288" w:lineRule="auto"/>
              <w:jc w:val="left"/>
              <w:rPr>
                <w:sz w:val="24"/>
              </w:rPr>
            </w:pPr>
            <w:r>
              <w:rPr>
                <w:rFonts w:hint="eastAsia"/>
                <w:sz w:val="24"/>
              </w:rPr>
              <w:t>基金简称</w:t>
            </w:r>
          </w:p>
        </w:tc>
        <w:tc>
          <w:tcPr>
            <w:tcW w:w="5879" w:type="dxa"/>
            <w:gridSpan w:val="2"/>
            <w:vAlign w:val="center"/>
          </w:tcPr>
          <w:p w:rsidR="000E6BAE" w:rsidRDefault="00CD6463">
            <w:pPr>
              <w:spacing w:before="29" w:line="288" w:lineRule="auto"/>
              <w:jc w:val="center"/>
              <w:rPr>
                <w:sz w:val="24"/>
              </w:rPr>
            </w:pPr>
            <w:r>
              <w:rPr>
                <w:sz w:val="24"/>
              </w:rPr>
              <w:t>交银丰润收益债券</w:t>
            </w:r>
          </w:p>
        </w:tc>
      </w:tr>
      <w:tr w:rsidR="000E6BAE">
        <w:tc>
          <w:tcPr>
            <w:tcW w:w="3119" w:type="dxa"/>
            <w:vAlign w:val="center"/>
          </w:tcPr>
          <w:p w:rsidR="000E6BAE" w:rsidRDefault="00CD6463">
            <w:pPr>
              <w:spacing w:before="29" w:line="288" w:lineRule="auto"/>
              <w:jc w:val="left"/>
              <w:rPr>
                <w:sz w:val="24"/>
              </w:rPr>
            </w:pPr>
            <w:r>
              <w:rPr>
                <w:rFonts w:hint="eastAsia"/>
                <w:sz w:val="24"/>
              </w:rPr>
              <w:t>基金主代码</w:t>
            </w:r>
          </w:p>
        </w:tc>
        <w:tc>
          <w:tcPr>
            <w:tcW w:w="5879" w:type="dxa"/>
            <w:gridSpan w:val="2"/>
            <w:vAlign w:val="center"/>
          </w:tcPr>
          <w:p w:rsidR="000E6BAE" w:rsidRDefault="00CD6463">
            <w:pPr>
              <w:spacing w:before="29" w:line="288" w:lineRule="auto"/>
              <w:jc w:val="center"/>
              <w:rPr>
                <w:sz w:val="24"/>
              </w:rPr>
            </w:pPr>
            <w:r>
              <w:rPr>
                <w:sz w:val="24"/>
              </w:rPr>
              <w:t>519743</w:t>
            </w:r>
          </w:p>
        </w:tc>
      </w:tr>
      <w:tr w:rsidR="000E6BAE">
        <w:tc>
          <w:tcPr>
            <w:tcW w:w="3119" w:type="dxa"/>
            <w:vAlign w:val="center"/>
          </w:tcPr>
          <w:p w:rsidR="000E6BAE" w:rsidRDefault="00CD6463">
            <w:pPr>
              <w:spacing w:before="29" w:line="288" w:lineRule="auto"/>
              <w:jc w:val="left"/>
              <w:rPr>
                <w:sz w:val="24"/>
              </w:rPr>
            </w:pPr>
            <w:r>
              <w:rPr>
                <w:rFonts w:hint="eastAsia"/>
                <w:sz w:val="24"/>
              </w:rPr>
              <w:t>基金运作方式</w:t>
            </w:r>
          </w:p>
        </w:tc>
        <w:tc>
          <w:tcPr>
            <w:tcW w:w="5879" w:type="dxa"/>
            <w:gridSpan w:val="2"/>
            <w:vAlign w:val="center"/>
          </w:tcPr>
          <w:p w:rsidR="000E6BAE" w:rsidRDefault="00CD6463">
            <w:pPr>
              <w:spacing w:before="29" w:line="288" w:lineRule="auto"/>
              <w:jc w:val="center"/>
              <w:rPr>
                <w:sz w:val="24"/>
              </w:rPr>
            </w:pPr>
            <w:r>
              <w:rPr>
                <w:sz w:val="24"/>
              </w:rPr>
              <w:t>契约型</w:t>
            </w:r>
            <w:r>
              <w:rPr>
                <w:sz w:val="24"/>
              </w:rPr>
              <w:t>,</w:t>
            </w:r>
            <w:r>
              <w:rPr>
                <w:sz w:val="24"/>
              </w:rPr>
              <w:t>本基金在基金合同生效之日起两年（含两年）的期间内封闭式运作（按照基金合同的约定提前转换基金运作方式的除外</w:t>
            </w:r>
            <w:r>
              <w:rPr>
                <w:sz w:val="24"/>
              </w:rPr>
              <w:t>)</w:t>
            </w:r>
            <w:r>
              <w:rPr>
                <w:sz w:val="24"/>
              </w:rPr>
              <w:t>，封闭期结束后转为开放式运作</w:t>
            </w:r>
          </w:p>
        </w:tc>
      </w:tr>
      <w:tr w:rsidR="000E6BAE">
        <w:tc>
          <w:tcPr>
            <w:tcW w:w="3119" w:type="dxa"/>
            <w:vAlign w:val="center"/>
          </w:tcPr>
          <w:p w:rsidR="000E6BAE" w:rsidRDefault="00CD6463">
            <w:pPr>
              <w:spacing w:before="29" w:line="288" w:lineRule="auto"/>
              <w:jc w:val="left"/>
              <w:rPr>
                <w:sz w:val="24"/>
              </w:rPr>
            </w:pPr>
            <w:r>
              <w:rPr>
                <w:rFonts w:hint="eastAsia"/>
                <w:sz w:val="24"/>
              </w:rPr>
              <w:t>基金合同生效日</w:t>
            </w:r>
          </w:p>
        </w:tc>
        <w:tc>
          <w:tcPr>
            <w:tcW w:w="5879" w:type="dxa"/>
            <w:gridSpan w:val="2"/>
            <w:vAlign w:val="center"/>
          </w:tcPr>
          <w:p w:rsidR="000E6BAE" w:rsidRDefault="00CD6463">
            <w:pPr>
              <w:spacing w:before="29" w:line="288" w:lineRule="auto"/>
              <w:jc w:val="center"/>
              <w:rPr>
                <w:sz w:val="24"/>
              </w:rPr>
            </w:pPr>
            <w:r>
              <w:rPr>
                <w:sz w:val="24"/>
              </w:rPr>
              <w:t>2014</w:t>
            </w:r>
            <w:r>
              <w:rPr>
                <w:sz w:val="24"/>
              </w:rPr>
              <w:t>年</w:t>
            </w:r>
            <w:r>
              <w:rPr>
                <w:sz w:val="24"/>
              </w:rPr>
              <w:t>12</w:t>
            </w:r>
            <w:r>
              <w:rPr>
                <w:sz w:val="24"/>
              </w:rPr>
              <w:t>月</w:t>
            </w:r>
            <w:r>
              <w:rPr>
                <w:sz w:val="24"/>
              </w:rPr>
              <w:t>15</w:t>
            </w:r>
            <w:r>
              <w:rPr>
                <w:sz w:val="24"/>
              </w:rPr>
              <w:t>日</w:t>
            </w:r>
          </w:p>
        </w:tc>
      </w:tr>
      <w:tr w:rsidR="000E6BAE">
        <w:tc>
          <w:tcPr>
            <w:tcW w:w="3119" w:type="dxa"/>
            <w:vAlign w:val="center"/>
          </w:tcPr>
          <w:p w:rsidR="000E6BAE" w:rsidRDefault="00CD6463">
            <w:pPr>
              <w:spacing w:before="29" w:line="288" w:lineRule="auto"/>
              <w:jc w:val="left"/>
              <w:rPr>
                <w:sz w:val="24"/>
              </w:rPr>
            </w:pPr>
            <w:r>
              <w:rPr>
                <w:rFonts w:hint="eastAsia"/>
                <w:sz w:val="24"/>
              </w:rPr>
              <w:t>基金管理人</w:t>
            </w:r>
          </w:p>
        </w:tc>
        <w:tc>
          <w:tcPr>
            <w:tcW w:w="5879" w:type="dxa"/>
            <w:gridSpan w:val="2"/>
            <w:vAlign w:val="center"/>
          </w:tcPr>
          <w:p w:rsidR="000E6BAE" w:rsidRDefault="00CD6463">
            <w:pPr>
              <w:spacing w:before="29" w:line="288" w:lineRule="auto"/>
              <w:jc w:val="center"/>
              <w:rPr>
                <w:sz w:val="24"/>
              </w:rPr>
            </w:pPr>
            <w:r>
              <w:rPr>
                <w:sz w:val="24"/>
              </w:rPr>
              <w:t>交银施罗德基金管理有限公司</w:t>
            </w:r>
          </w:p>
        </w:tc>
      </w:tr>
      <w:tr w:rsidR="000E6BAE">
        <w:tc>
          <w:tcPr>
            <w:tcW w:w="3119" w:type="dxa"/>
            <w:vAlign w:val="center"/>
          </w:tcPr>
          <w:p w:rsidR="000E6BAE" w:rsidRDefault="00CD6463">
            <w:pPr>
              <w:spacing w:before="29" w:line="288" w:lineRule="auto"/>
              <w:jc w:val="left"/>
              <w:rPr>
                <w:sz w:val="24"/>
              </w:rPr>
            </w:pPr>
            <w:r>
              <w:rPr>
                <w:rFonts w:hint="eastAsia"/>
                <w:sz w:val="24"/>
              </w:rPr>
              <w:t>基金托管人</w:t>
            </w:r>
          </w:p>
        </w:tc>
        <w:tc>
          <w:tcPr>
            <w:tcW w:w="5879" w:type="dxa"/>
            <w:gridSpan w:val="2"/>
            <w:vAlign w:val="center"/>
          </w:tcPr>
          <w:p w:rsidR="000E6BAE" w:rsidRDefault="00CD6463">
            <w:pPr>
              <w:spacing w:before="29" w:line="288" w:lineRule="auto"/>
              <w:jc w:val="center"/>
              <w:rPr>
                <w:sz w:val="24"/>
              </w:rPr>
            </w:pPr>
            <w:r>
              <w:rPr>
                <w:sz w:val="24"/>
              </w:rPr>
              <w:t>中信银行股份有限公司</w:t>
            </w:r>
          </w:p>
        </w:tc>
      </w:tr>
      <w:tr w:rsidR="000E6BAE">
        <w:tc>
          <w:tcPr>
            <w:tcW w:w="3119" w:type="dxa"/>
            <w:vAlign w:val="center"/>
          </w:tcPr>
          <w:p w:rsidR="000E6BAE" w:rsidRDefault="00CD6463">
            <w:pPr>
              <w:spacing w:before="29" w:line="288" w:lineRule="auto"/>
              <w:jc w:val="left"/>
              <w:rPr>
                <w:sz w:val="24"/>
              </w:rPr>
            </w:pPr>
            <w:r>
              <w:rPr>
                <w:rFonts w:hint="eastAsia"/>
                <w:sz w:val="24"/>
              </w:rPr>
              <w:t>报告期末基金份额总额</w:t>
            </w:r>
          </w:p>
        </w:tc>
        <w:tc>
          <w:tcPr>
            <w:tcW w:w="5879" w:type="dxa"/>
            <w:gridSpan w:val="2"/>
            <w:vAlign w:val="center"/>
          </w:tcPr>
          <w:p w:rsidR="000E6BAE" w:rsidRDefault="00CD6463">
            <w:pPr>
              <w:spacing w:before="29" w:line="288" w:lineRule="auto"/>
              <w:jc w:val="center"/>
              <w:rPr>
                <w:sz w:val="24"/>
              </w:rPr>
            </w:pPr>
            <w:r>
              <w:rPr>
                <w:sz w:val="24"/>
              </w:rPr>
              <w:t>1,326,085,679.52</w:t>
            </w:r>
            <w:r>
              <w:rPr>
                <w:rFonts w:hint="eastAsia"/>
                <w:sz w:val="24"/>
              </w:rPr>
              <w:t>份</w:t>
            </w:r>
          </w:p>
        </w:tc>
      </w:tr>
      <w:tr w:rsidR="000E6BAE">
        <w:tc>
          <w:tcPr>
            <w:tcW w:w="3119" w:type="dxa"/>
            <w:vAlign w:val="center"/>
          </w:tcPr>
          <w:p w:rsidR="000E6BAE" w:rsidRDefault="00CD6463">
            <w:pPr>
              <w:spacing w:before="29" w:line="288" w:lineRule="auto"/>
              <w:jc w:val="left"/>
              <w:rPr>
                <w:sz w:val="24"/>
              </w:rPr>
            </w:pPr>
            <w:r>
              <w:rPr>
                <w:rFonts w:hint="eastAsia"/>
                <w:sz w:val="24"/>
              </w:rPr>
              <w:t>基金合同存续期</w:t>
            </w:r>
          </w:p>
        </w:tc>
        <w:tc>
          <w:tcPr>
            <w:tcW w:w="5879" w:type="dxa"/>
            <w:gridSpan w:val="2"/>
            <w:vAlign w:val="center"/>
          </w:tcPr>
          <w:p w:rsidR="000E6BAE" w:rsidRDefault="00CD6463">
            <w:pPr>
              <w:spacing w:before="29" w:line="288" w:lineRule="auto"/>
              <w:jc w:val="center"/>
              <w:rPr>
                <w:sz w:val="24"/>
              </w:rPr>
            </w:pPr>
            <w:r>
              <w:rPr>
                <w:sz w:val="24"/>
              </w:rPr>
              <w:t>不定期</w:t>
            </w:r>
          </w:p>
        </w:tc>
      </w:tr>
      <w:tr w:rsidR="000E6BAE">
        <w:trPr>
          <w:trHeight w:val="369"/>
        </w:trPr>
        <w:tc>
          <w:tcPr>
            <w:tcW w:w="3119" w:type="dxa"/>
            <w:vAlign w:val="center"/>
          </w:tcPr>
          <w:p w:rsidR="000E6BAE" w:rsidRDefault="00CD6463">
            <w:pPr>
              <w:spacing w:before="29" w:line="288" w:lineRule="auto"/>
              <w:jc w:val="left"/>
              <w:rPr>
                <w:sz w:val="24"/>
              </w:rPr>
            </w:pPr>
            <w:r>
              <w:rPr>
                <w:rFonts w:hint="eastAsia"/>
                <w:sz w:val="24"/>
              </w:rPr>
              <w:t>下属分级基金的基金简称</w:t>
            </w:r>
          </w:p>
        </w:tc>
        <w:tc>
          <w:tcPr>
            <w:tcW w:w="2880" w:type="dxa"/>
            <w:vAlign w:val="center"/>
          </w:tcPr>
          <w:p w:rsidR="000E6BAE" w:rsidRDefault="00CD6463">
            <w:pPr>
              <w:spacing w:before="29" w:line="288" w:lineRule="auto"/>
              <w:jc w:val="center"/>
              <w:rPr>
                <w:sz w:val="24"/>
              </w:rPr>
            </w:pPr>
            <w:r>
              <w:rPr>
                <w:sz w:val="24"/>
              </w:rPr>
              <w:t>交银丰润收益债券</w:t>
            </w:r>
            <w:r>
              <w:rPr>
                <w:sz w:val="24"/>
              </w:rPr>
              <w:t>A</w:t>
            </w:r>
          </w:p>
        </w:tc>
        <w:tc>
          <w:tcPr>
            <w:tcW w:w="2999" w:type="dxa"/>
            <w:vAlign w:val="center"/>
          </w:tcPr>
          <w:p w:rsidR="000E6BAE" w:rsidRDefault="00CD6463">
            <w:pPr>
              <w:spacing w:before="29" w:line="288" w:lineRule="auto"/>
              <w:jc w:val="center"/>
              <w:rPr>
                <w:sz w:val="24"/>
              </w:rPr>
            </w:pPr>
            <w:r>
              <w:rPr>
                <w:sz w:val="24"/>
              </w:rPr>
              <w:t>交银丰润收益债券</w:t>
            </w:r>
            <w:r>
              <w:rPr>
                <w:sz w:val="24"/>
              </w:rPr>
              <w:t>C</w:t>
            </w:r>
          </w:p>
        </w:tc>
      </w:tr>
      <w:tr w:rsidR="000E6BAE">
        <w:trPr>
          <w:trHeight w:val="369"/>
        </w:trPr>
        <w:tc>
          <w:tcPr>
            <w:tcW w:w="3119" w:type="dxa"/>
            <w:vAlign w:val="center"/>
          </w:tcPr>
          <w:p w:rsidR="000E6BAE" w:rsidRDefault="00CD6463">
            <w:pPr>
              <w:spacing w:before="29" w:line="288" w:lineRule="auto"/>
              <w:jc w:val="left"/>
              <w:rPr>
                <w:sz w:val="24"/>
              </w:rPr>
            </w:pPr>
            <w:r>
              <w:rPr>
                <w:rFonts w:hint="eastAsia"/>
                <w:sz w:val="24"/>
              </w:rPr>
              <w:t>下属分级基金的交易代码</w:t>
            </w:r>
          </w:p>
        </w:tc>
        <w:tc>
          <w:tcPr>
            <w:tcW w:w="2880" w:type="dxa"/>
            <w:vAlign w:val="center"/>
          </w:tcPr>
          <w:p w:rsidR="000E6BAE" w:rsidRDefault="00CD6463">
            <w:pPr>
              <w:spacing w:before="29" w:line="288" w:lineRule="auto"/>
              <w:jc w:val="center"/>
              <w:rPr>
                <w:sz w:val="24"/>
              </w:rPr>
            </w:pPr>
            <w:r>
              <w:rPr>
                <w:color w:val="000000" w:themeColor="text1"/>
                <w:sz w:val="24"/>
              </w:rPr>
              <w:t>519743</w:t>
            </w:r>
          </w:p>
        </w:tc>
        <w:tc>
          <w:tcPr>
            <w:tcW w:w="2999" w:type="dxa"/>
            <w:vAlign w:val="center"/>
          </w:tcPr>
          <w:p w:rsidR="000E6BAE" w:rsidRDefault="00CD6463">
            <w:pPr>
              <w:spacing w:before="29" w:line="288" w:lineRule="auto"/>
              <w:jc w:val="center"/>
              <w:rPr>
                <w:sz w:val="24"/>
              </w:rPr>
            </w:pPr>
            <w:r>
              <w:rPr>
                <w:sz w:val="24"/>
              </w:rPr>
              <w:t>519745</w:t>
            </w:r>
          </w:p>
        </w:tc>
      </w:tr>
      <w:tr w:rsidR="000E6BAE">
        <w:trPr>
          <w:trHeight w:val="369"/>
        </w:trPr>
        <w:tc>
          <w:tcPr>
            <w:tcW w:w="3119" w:type="dxa"/>
            <w:vAlign w:val="center"/>
          </w:tcPr>
          <w:p w:rsidR="000E6BAE" w:rsidRDefault="00CD6463">
            <w:pPr>
              <w:spacing w:before="29" w:line="288" w:lineRule="auto"/>
              <w:jc w:val="left"/>
              <w:rPr>
                <w:sz w:val="24"/>
              </w:rPr>
            </w:pPr>
            <w:r>
              <w:rPr>
                <w:rFonts w:hint="eastAsia"/>
                <w:sz w:val="24"/>
              </w:rPr>
              <w:t>报告期末下属分级基金的份额总额</w:t>
            </w:r>
          </w:p>
        </w:tc>
        <w:tc>
          <w:tcPr>
            <w:tcW w:w="2880" w:type="dxa"/>
            <w:vAlign w:val="center"/>
          </w:tcPr>
          <w:p w:rsidR="000E6BAE" w:rsidRDefault="00CD6463">
            <w:pPr>
              <w:spacing w:before="29" w:line="288" w:lineRule="auto"/>
              <w:jc w:val="center"/>
              <w:rPr>
                <w:sz w:val="24"/>
              </w:rPr>
            </w:pPr>
            <w:r>
              <w:rPr>
                <w:sz w:val="24"/>
              </w:rPr>
              <w:t>1,324,056,593.52</w:t>
            </w:r>
            <w:r>
              <w:rPr>
                <w:rFonts w:hint="eastAsia"/>
                <w:sz w:val="24"/>
              </w:rPr>
              <w:t>份</w:t>
            </w:r>
          </w:p>
        </w:tc>
        <w:tc>
          <w:tcPr>
            <w:tcW w:w="2999" w:type="dxa"/>
            <w:vAlign w:val="center"/>
          </w:tcPr>
          <w:p w:rsidR="000E6BAE" w:rsidRDefault="00CD6463">
            <w:pPr>
              <w:spacing w:before="29" w:line="288" w:lineRule="auto"/>
              <w:jc w:val="center"/>
              <w:rPr>
                <w:sz w:val="24"/>
              </w:rPr>
            </w:pPr>
            <w:r>
              <w:rPr>
                <w:sz w:val="24"/>
              </w:rPr>
              <w:t>2,029,086.00</w:t>
            </w:r>
            <w:r>
              <w:rPr>
                <w:rFonts w:hint="eastAsia"/>
                <w:sz w:val="24"/>
              </w:rPr>
              <w:t>份</w:t>
            </w:r>
          </w:p>
        </w:tc>
      </w:tr>
    </w:tbl>
    <w:p w:rsidR="000E6BAE" w:rsidRDefault="000E6BAE">
      <w:pPr>
        <w:spacing w:before="29" w:line="288" w:lineRule="auto"/>
        <w:rPr>
          <w:rFonts w:eastAsiaTheme="minorEastAsia"/>
          <w:b/>
          <w:sz w:val="24"/>
        </w:rPr>
      </w:pPr>
    </w:p>
    <w:p w:rsidR="000E6BAE" w:rsidRDefault="00CD6463">
      <w:pPr>
        <w:pStyle w:val="2"/>
        <w:spacing w:before="29" w:after="0" w:line="288" w:lineRule="auto"/>
        <w:rPr>
          <w:rFonts w:eastAsiaTheme="minorEastAsia"/>
        </w:rPr>
      </w:pPr>
      <w:bookmarkStart w:id="14" w:name="_Toc361324846"/>
      <w:bookmarkStart w:id="15" w:name="_Toc31801"/>
      <w:r>
        <w:rPr>
          <w:rFonts w:eastAsiaTheme="minorEastAsia"/>
        </w:rPr>
        <w:t xml:space="preserve">2.2 </w:t>
      </w:r>
      <w:r>
        <w:rPr>
          <w:rFonts w:eastAsiaTheme="minorEastAsia" w:hint="eastAsia"/>
        </w:rPr>
        <w:t>基金产品说明</w:t>
      </w:r>
      <w:bookmarkEnd w:id="14"/>
      <w:bookmarkEnd w:id="1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79"/>
      </w:tblGrid>
      <w:tr w:rsidR="000E6BAE">
        <w:tc>
          <w:tcPr>
            <w:tcW w:w="3119" w:type="dxa"/>
            <w:vAlign w:val="center"/>
          </w:tcPr>
          <w:p w:rsidR="000E6BAE" w:rsidRDefault="00CD6463">
            <w:pPr>
              <w:spacing w:before="29" w:line="288" w:lineRule="auto"/>
              <w:rPr>
                <w:sz w:val="24"/>
              </w:rPr>
            </w:pPr>
            <w:r>
              <w:rPr>
                <w:rFonts w:hint="eastAsia"/>
                <w:sz w:val="24"/>
              </w:rPr>
              <w:t>投资目标</w:t>
            </w:r>
          </w:p>
        </w:tc>
        <w:tc>
          <w:tcPr>
            <w:tcW w:w="5879" w:type="dxa"/>
            <w:vAlign w:val="center"/>
          </w:tcPr>
          <w:p w:rsidR="000E6BAE" w:rsidRDefault="00CD6463">
            <w:pPr>
              <w:spacing w:before="29" w:line="288" w:lineRule="auto"/>
              <w:rPr>
                <w:sz w:val="24"/>
              </w:rPr>
            </w:pPr>
            <w:r>
              <w:rPr>
                <w:sz w:val="24"/>
              </w:rPr>
              <w:t>在严格控制风险的基础上</w:t>
            </w:r>
            <w:r>
              <w:rPr>
                <w:sz w:val="24"/>
              </w:rPr>
              <w:t>,</w:t>
            </w:r>
            <w:r>
              <w:rPr>
                <w:sz w:val="24"/>
              </w:rPr>
              <w:t>力求获得高于业绩基准的投资收益。</w:t>
            </w:r>
          </w:p>
        </w:tc>
      </w:tr>
      <w:tr w:rsidR="000E6BAE">
        <w:tc>
          <w:tcPr>
            <w:tcW w:w="3119" w:type="dxa"/>
            <w:vAlign w:val="center"/>
          </w:tcPr>
          <w:p w:rsidR="000E6BAE" w:rsidRDefault="00CD6463">
            <w:pPr>
              <w:spacing w:before="29" w:line="288" w:lineRule="auto"/>
              <w:rPr>
                <w:sz w:val="24"/>
              </w:rPr>
            </w:pPr>
            <w:r>
              <w:rPr>
                <w:rFonts w:hint="eastAsia"/>
                <w:sz w:val="24"/>
              </w:rPr>
              <w:t>投资策略</w:t>
            </w:r>
          </w:p>
        </w:tc>
        <w:tc>
          <w:tcPr>
            <w:tcW w:w="5879" w:type="dxa"/>
            <w:vAlign w:val="center"/>
          </w:tcPr>
          <w:p w:rsidR="000E6BAE" w:rsidRDefault="00CD6463">
            <w:pPr>
              <w:spacing w:before="29" w:line="288" w:lineRule="auto"/>
              <w:rPr>
                <w:sz w:val="24"/>
              </w:rPr>
            </w:pPr>
            <w:r>
              <w:rPr>
                <w:sz w:val="24"/>
              </w:rPr>
              <w:t>封闭期内投资策略：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个券。</w:t>
            </w:r>
          </w:p>
          <w:p w:rsidR="000E6BAE" w:rsidRDefault="00CD6463">
            <w:pPr>
              <w:spacing w:before="29" w:line="288" w:lineRule="auto"/>
              <w:rPr>
                <w:sz w:val="24"/>
              </w:rPr>
            </w:pPr>
            <w:r>
              <w:rPr>
                <w:sz w:val="24"/>
              </w:rPr>
              <w:t>开放期内投资策略：本基金充分发挥基金管理人的研究优势，融合规范化的基本面研究和严谨的信用分析，在分析和判断宏观经济运行状况和金融市场</w:t>
            </w:r>
            <w:r>
              <w:rPr>
                <w:sz w:val="24"/>
              </w:rPr>
              <w:t>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个券。</w:t>
            </w:r>
          </w:p>
        </w:tc>
      </w:tr>
      <w:tr w:rsidR="000E6BAE">
        <w:tc>
          <w:tcPr>
            <w:tcW w:w="3119" w:type="dxa"/>
            <w:vAlign w:val="center"/>
          </w:tcPr>
          <w:p w:rsidR="000E6BAE" w:rsidRDefault="00CD6463">
            <w:pPr>
              <w:spacing w:before="29" w:line="288" w:lineRule="auto"/>
              <w:rPr>
                <w:sz w:val="24"/>
              </w:rPr>
            </w:pPr>
            <w:r>
              <w:rPr>
                <w:rFonts w:hint="eastAsia"/>
                <w:sz w:val="24"/>
              </w:rPr>
              <w:t>业绩比较基准</w:t>
            </w:r>
          </w:p>
        </w:tc>
        <w:tc>
          <w:tcPr>
            <w:tcW w:w="5879" w:type="dxa"/>
            <w:vAlign w:val="center"/>
          </w:tcPr>
          <w:p w:rsidR="000E6BAE" w:rsidRDefault="00CD6463">
            <w:pPr>
              <w:spacing w:before="29" w:line="288" w:lineRule="auto"/>
              <w:rPr>
                <w:sz w:val="24"/>
              </w:rPr>
            </w:pPr>
            <w:r>
              <w:rPr>
                <w:sz w:val="24"/>
              </w:rPr>
              <w:t>封闭期内业绩比较基准：两年期银行定期存款税后收益率</w:t>
            </w:r>
            <w:r>
              <w:rPr>
                <w:sz w:val="24"/>
              </w:rPr>
              <w:t>+1.25%</w:t>
            </w:r>
          </w:p>
          <w:p w:rsidR="000E6BAE" w:rsidRDefault="00CD6463">
            <w:pPr>
              <w:spacing w:before="29" w:line="288" w:lineRule="auto"/>
              <w:rPr>
                <w:sz w:val="24"/>
              </w:rPr>
            </w:pPr>
            <w:r>
              <w:rPr>
                <w:sz w:val="24"/>
              </w:rPr>
              <w:t>开放期内业绩比较基准：中债综合全价指数</w:t>
            </w:r>
          </w:p>
        </w:tc>
      </w:tr>
      <w:tr w:rsidR="000E6BAE">
        <w:tc>
          <w:tcPr>
            <w:tcW w:w="3119" w:type="dxa"/>
            <w:vAlign w:val="center"/>
          </w:tcPr>
          <w:p w:rsidR="000E6BAE" w:rsidRDefault="00CD6463">
            <w:pPr>
              <w:spacing w:before="29" w:line="288" w:lineRule="auto"/>
              <w:rPr>
                <w:sz w:val="24"/>
              </w:rPr>
            </w:pPr>
            <w:r>
              <w:rPr>
                <w:rFonts w:hint="eastAsia"/>
                <w:sz w:val="24"/>
              </w:rPr>
              <w:t>风险收益特征</w:t>
            </w:r>
          </w:p>
        </w:tc>
        <w:tc>
          <w:tcPr>
            <w:tcW w:w="5879" w:type="dxa"/>
            <w:vAlign w:val="center"/>
          </w:tcPr>
          <w:p w:rsidR="000E6BAE" w:rsidRDefault="00CD6463">
            <w:pPr>
              <w:spacing w:before="29" w:line="288" w:lineRule="auto"/>
              <w:rPr>
                <w:sz w:val="24"/>
              </w:rPr>
            </w:pPr>
            <w:r>
              <w:rPr>
                <w:sz w:val="24"/>
              </w:rPr>
              <w:t>本基金是一只债券型基金，其风险与预期收益高于货币市场基金，低于混合型基金和股票型基金，属于证券投资基金中中等风险的品种。</w:t>
            </w:r>
          </w:p>
        </w:tc>
      </w:tr>
    </w:tbl>
    <w:p w:rsidR="000E6BAE" w:rsidRDefault="000E6BAE">
      <w:pPr>
        <w:tabs>
          <w:tab w:val="left" w:pos="426"/>
        </w:tabs>
        <w:spacing w:line="360" w:lineRule="auto"/>
        <w:jc w:val="left"/>
        <w:rPr>
          <w:rFonts w:asciiTheme="minorEastAsia" w:eastAsiaTheme="minorEastAsia" w:hAnsiTheme="minorEastAsia" w:cs="宋体"/>
          <w:kern w:val="0"/>
          <w:szCs w:val="21"/>
        </w:rPr>
      </w:pPr>
    </w:p>
    <w:p w:rsidR="000E6BAE" w:rsidRDefault="00CD6463">
      <w:pPr>
        <w:pStyle w:val="2"/>
        <w:spacing w:before="29" w:after="0" w:line="288" w:lineRule="auto"/>
        <w:rPr>
          <w:rFonts w:eastAsiaTheme="minorEastAsia"/>
        </w:rPr>
      </w:pPr>
      <w:bookmarkStart w:id="16" w:name="_Toc225498247"/>
      <w:bookmarkStart w:id="17" w:name="_Toc361324847"/>
      <w:bookmarkStart w:id="18" w:name="_Toc31307"/>
      <w:r>
        <w:rPr>
          <w:rFonts w:eastAsiaTheme="minorEastAsia"/>
        </w:rPr>
        <w:t xml:space="preserve">2.3 </w:t>
      </w:r>
      <w:r>
        <w:rPr>
          <w:rFonts w:eastAsiaTheme="minorEastAsia" w:hint="eastAsia"/>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3260"/>
        <w:gridCol w:w="3186"/>
      </w:tblGrid>
      <w:tr w:rsidR="000E6BAE">
        <w:tc>
          <w:tcPr>
            <w:tcW w:w="2552" w:type="dxa"/>
            <w:gridSpan w:val="2"/>
            <w:vAlign w:val="center"/>
          </w:tcPr>
          <w:p w:rsidR="000E6BAE" w:rsidRDefault="00CD6463">
            <w:pPr>
              <w:autoSpaceDE w:val="0"/>
              <w:autoSpaceDN w:val="0"/>
              <w:adjustRightInd w:val="0"/>
              <w:spacing w:before="29" w:line="288" w:lineRule="auto"/>
              <w:ind w:left="15"/>
              <w:jc w:val="center"/>
              <w:rPr>
                <w:color w:val="000000"/>
                <w:kern w:val="0"/>
                <w:sz w:val="24"/>
              </w:rPr>
            </w:pPr>
            <w:r>
              <w:rPr>
                <w:rFonts w:hint="eastAsia"/>
                <w:color w:val="000000"/>
                <w:kern w:val="0"/>
                <w:sz w:val="24"/>
              </w:rPr>
              <w:t>项目</w:t>
            </w:r>
          </w:p>
        </w:tc>
        <w:tc>
          <w:tcPr>
            <w:tcW w:w="3260" w:type="dxa"/>
            <w:vAlign w:val="center"/>
          </w:tcPr>
          <w:p w:rsidR="000E6BAE" w:rsidRDefault="00CD6463">
            <w:pPr>
              <w:spacing w:line="288" w:lineRule="auto"/>
              <w:jc w:val="center"/>
              <w:rPr>
                <w:color w:val="000000"/>
                <w:kern w:val="0"/>
                <w:sz w:val="24"/>
              </w:rPr>
            </w:pPr>
            <w:r>
              <w:rPr>
                <w:rFonts w:hint="eastAsia"/>
                <w:color w:val="000000"/>
                <w:kern w:val="0"/>
                <w:sz w:val="24"/>
              </w:rPr>
              <w:t>基金管理人</w:t>
            </w:r>
          </w:p>
        </w:tc>
        <w:tc>
          <w:tcPr>
            <w:tcW w:w="3186" w:type="dxa"/>
            <w:vAlign w:val="center"/>
          </w:tcPr>
          <w:p w:rsidR="000E6BAE" w:rsidRDefault="00CD6463">
            <w:pPr>
              <w:spacing w:line="288" w:lineRule="auto"/>
              <w:jc w:val="center"/>
              <w:rPr>
                <w:color w:val="000000"/>
                <w:kern w:val="0"/>
                <w:sz w:val="24"/>
              </w:rPr>
            </w:pPr>
            <w:r>
              <w:rPr>
                <w:rFonts w:hint="eastAsia"/>
                <w:color w:val="000000"/>
                <w:kern w:val="0"/>
                <w:sz w:val="24"/>
              </w:rPr>
              <w:t>基金托管人</w:t>
            </w:r>
          </w:p>
        </w:tc>
      </w:tr>
      <w:tr w:rsidR="000E6BAE">
        <w:tc>
          <w:tcPr>
            <w:tcW w:w="2552" w:type="dxa"/>
            <w:gridSpan w:val="2"/>
            <w:vAlign w:val="center"/>
          </w:tcPr>
          <w:p w:rsidR="000E6BAE" w:rsidRDefault="00CD6463">
            <w:pPr>
              <w:autoSpaceDE w:val="0"/>
              <w:autoSpaceDN w:val="0"/>
              <w:adjustRightInd w:val="0"/>
              <w:spacing w:before="29" w:line="288" w:lineRule="auto"/>
              <w:ind w:left="15"/>
              <w:rPr>
                <w:color w:val="000000"/>
                <w:kern w:val="0"/>
                <w:sz w:val="24"/>
              </w:rPr>
            </w:pPr>
            <w:r>
              <w:rPr>
                <w:rFonts w:hint="eastAsia"/>
                <w:color w:val="000000"/>
                <w:kern w:val="0"/>
                <w:sz w:val="24"/>
              </w:rPr>
              <w:t>名称</w:t>
            </w:r>
          </w:p>
        </w:tc>
        <w:tc>
          <w:tcPr>
            <w:tcW w:w="3260"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交银施罗德基金管理有限公司</w:t>
            </w:r>
          </w:p>
        </w:tc>
        <w:tc>
          <w:tcPr>
            <w:tcW w:w="3186"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中信银行股份有限公司</w:t>
            </w:r>
          </w:p>
        </w:tc>
      </w:tr>
      <w:tr w:rsidR="000E6BAE">
        <w:tc>
          <w:tcPr>
            <w:tcW w:w="1276" w:type="dxa"/>
            <w:vMerge w:val="restart"/>
            <w:vAlign w:val="center"/>
          </w:tcPr>
          <w:p w:rsidR="000E6BAE" w:rsidRDefault="00CD6463">
            <w:pPr>
              <w:spacing w:line="288" w:lineRule="auto"/>
              <w:jc w:val="center"/>
              <w:rPr>
                <w:color w:val="000000"/>
                <w:kern w:val="0"/>
                <w:sz w:val="24"/>
              </w:rPr>
            </w:pPr>
            <w:r>
              <w:rPr>
                <w:rFonts w:hint="eastAsia"/>
                <w:color w:val="000000"/>
                <w:kern w:val="0"/>
                <w:sz w:val="24"/>
              </w:rPr>
              <w:t>信息披露负责人</w:t>
            </w:r>
          </w:p>
        </w:tc>
        <w:tc>
          <w:tcPr>
            <w:tcW w:w="1276" w:type="dxa"/>
            <w:vAlign w:val="center"/>
          </w:tcPr>
          <w:p w:rsidR="000E6BAE" w:rsidRDefault="00CD6463">
            <w:pPr>
              <w:spacing w:line="288" w:lineRule="auto"/>
              <w:jc w:val="center"/>
              <w:rPr>
                <w:color w:val="000000"/>
                <w:kern w:val="0"/>
                <w:sz w:val="24"/>
              </w:rPr>
            </w:pPr>
            <w:r>
              <w:rPr>
                <w:rFonts w:hint="eastAsia"/>
                <w:color w:val="000000"/>
                <w:kern w:val="0"/>
                <w:sz w:val="24"/>
              </w:rPr>
              <w:t>姓名</w:t>
            </w:r>
          </w:p>
        </w:tc>
        <w:tc>
          <w:tcPr>
            <w:tcW w:w="3260"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王晚婷</w:t>
            </w:r>
          </w:p>
        </w:tc>
        <w:tc>
          <w:tcPr>
            <w:tcW w:w="3186"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徐静</w:t>
            </w:r>
          </w:p>
        </w:tc>
      </w:tr>
      <w:tr w:rsidR="000E6BAE">
        <w:tc>
          <w:tcPr>
            <w:tcW w:w="1276" w:type="dxa"/>
            <w:vMerge/>
            <w:vAlign w:val="center"/>
          </w:tcPr>
          <w:p w:rsidR="000E6BAE" w:rsidRDefault="000E6BAE">
            <w:pPr>
              <w:autoSpaceDE w:val="0"/>
              <w:autoSpaceDN w:val="0"/>
              <w:adjustRightInd w:val="0"/>
              <w:spacing w:before="29" w:line="288" w:lineRule="auto"/>
              <w:ind w:left="15"/>
              <w:rPr>
                <w:color w:val="000000"/>
                <w:kern w:val="0"/>
                <w:sz w:val="24"/>
              </w:rPr>
            </w:pPr>
          </w:p>
        </w:tc>
        <w:tc>
          <w:tcPr>
            <w:tcW w:w="1276" w:type="dxa"/>
            <w:vAlign w:val="center"/>
          </w:tcPr>
          <w:p w:rsidR="000E6BAE" w:rsidRDefault="00CD6463">
            <w:pPr>
              <w:autoSpaceDE w:val="0"/>
              <w:autoSpaceDN w:val="0"/>
              <w:adjustRightInd w:val="0"/>
              <w:spacing w:before="29" w:line="288" w:lineRule="auto"/>
              <w:ind w:left="15"/>
              <w:rPr>
                <w:color w:val="000000"/>
                <w:kern w:val="0"/>
                <w:sz w:val="24"/>
              </w:rPr>
            </w:pPr>
            <w:r>
              <w:rPr>
                <w:rFonts w:hint="eastAsia"/>
                <w:color w:val="000000"/>
                <w:kern w:val="0"/>
                <w:sz w:val="24"/>
              </w:rPr>
              <w:t>联系电话</w:t>
            </w:r>
          </w:p>
        </w:tc>
        <w:tc>
          <w:tcPr>
            <w:tcW w:w="3260"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w:t>
            </w:r>
            <w:r>
              <w:rPr>
                <w:color w:val="000000"/>
                <w:kern w:val="0"/>
                <w:sz w:val="24"/>
              </w:rPr>
              <w:t>021</w:t>
            </w:r>
            <w:r>
              <w:rPr>
                <w:color w:val="000000"/>
                <w:kern w:val="0"/>
                <w:sz w:val="24"/>
              </w:rPr>
              <w:t>）</w:t>
            </w:r>
            <w:r>
              <w:rPr>
                <w:color w:val="000000"/>
                <w:kern w:val="0"/>
                <w:sz w:val="24"/>
              </w:rPr>
              <w:t>61055050</w:t>
            </w:r>
          </w:p>
        </w:tc>
        <w:tc>
          <w:tcPr>
            <w:tcW w:w="3186"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4006800000</w:t>
            </w:r>
          </w:p>
        </w:tc>
      </w:tr>
      <w:tr w:rsidR="000E6BAE">
        <w:tc>
          <w:tcPr>
            <w:tcW w:w="1276" w:type="dxa"/>
            <w:vMerge/>
            <w:vAlign w:val="center"/>
          </w:tcPr>
          <w:p w:rsidR="000E6BAE" w:rsidRDefault="000E6BAE">
            <w:pPr>
              <w:autoSpaceDE w:val="0"/>
              <w:autoSpaceDN w:val="0"/>
              <w:adjustRightInd w:val="0"/>
              <w:spacing w:before="29" w:line="288" w:lineRule="auto"/>
              <w:ind w:left="15"/>
              <w:rPr>
                <w:color w:val="000000"/>
                <w:kern w:val="0"/>
                <w:sz w:val="24"/>
              </w:rPr>
            </w:pPr>
          </w:p>
        </w:tc>
        <w:tc>
          <w:tcPr>
            <w:tcW w:w="1276" w:type="dxa"/>
            <w:vAlign w:val="center"/>
          </w:tcPr>
          <w:p w:rsidR="000E6BAE" w:rsidRDefault="00CD6463">
            <w:pPr>
              <w:autoSpaceDE w:val="0"/>
              <w:autoSpaceDN w:val="0"/>
              <w:adjustRightInd w:val="0"/>
              <w:spacing w:before="29" w:line="288" w:lineRule="auto"/>
              <w:ind w:left="15"/>
              <w:rPr>
                <w:color w:val="000000"/>
                <w:kern w:val="0"/>
                <w:sz w:val="24"/>
              </w:rPr>
            </w:pPr>
            <w:r>
              <w:rPr>
                <w:rFonts w:hint="eastAsia"/>
                <w:color w:val="000000"/>
                <w:kern w:val="0"/>
                <w:sz w:val="24"/>
              </w:rPr>
              <w:t>电子邮箱</w:t>
            </w:r>
          </w:p>
        </w:tc>
        <w:tc>
          <w:tcPr>
            <w:tcW w:w="3260"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xxpl@jysld.com,disclosure@jysld.com</w:t>
            </w:r>
          </w:p>
        </w:tc>
        <w:tc>
          <w:tcPr>
            <w:tcW w:w="3186"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xjing@citicbank.com</w:t>
            </w:r>
          </w:p>
        </w:tc>
      </w:tr>
      <w:tr w:rsidR="000E6BAE">
        <w:tc>
          <w:tcPr>
            <w:tcW w:w="2552" w:type="dxa"/>
            <w:gridSpan w:val="2"/>
            <w:vAlign w:val="center"/>
          </w:tcPr>
          <w:p w:rsidR="000E6BAE" w:rsidRDefault="00CD6463">
            <w:pPr>
              <w:autoSpaceDE w:val="0"/>
              <w:autoSpaceDN w:val="0"/>
              <w:adjustRightInd w:val="0"/>
              <w:spacing w:before="29" w:line="288" w:lineRule="auto"/>
              <w:ind w:left="15"/>
              <w:rPr>
                <w:color w:val="000000"/>
                <w:kern w:val="0"/>
                <w:sz w:val="24"/>
              </w:rPr>
            </w:pPr>
            <w:r>
              <w:rPr>
                <w:rFonts w:hint="eastAsia"/>
                <w:color w:val="000000"/>
                <w:kern w:val="0"/>
                <w:sz w:val="24"/>
              </w:rPr>
              <w:t>客户服务电话</w:t>
            </w:r>
          </w:p>
        </w:tc>
        <w:tc>
          <w:tcPr>
            <w:tcW w:w="3260"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400-700-5000</w:t>
            </w:r>
            <w:r>
              <w:rPr>
                <w:color w:val="000000"/>
                <w:kern w:val="0"/>
                <w:sz w:val="24"/>
              </w:rPr>
              <w:t>，</w:t>
            </w:r>
            <w:r>
              <w:rPr>
                <w:color w:val="000000"/>
                <w:kern w:val="0"/>
                <w:sz w:val="24"/>
              </w:rPr>
              <w:t>021-61055000</w:t>
            </w:r>
          </w:p>
        </w:tc>
        <w:tc>
          <w:tcPr>
            <w:tcW w:w="3186"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95558</w:t>
            </w:r>
          </w:p>
        </w:tc>
      </w:tr>
      <w:tr w:rsidR="000E6BAE">
        <w:tc>
          <w:tcPr>
            <w:tcW w:w="2552" w:type="dxa"/>
            <w:gridSpan w:val="2"/>
            <w:vAlign w:val="center"/>
          </w:tcPr>
          <w:p w:rsidR="000E6BAE" w:rsidRDefault="00CD6463">
            <w:pPr>
              <w:autoSpaceDE w:val="0"/>
              <w:autoSpaceDN w:val="0"/>
              <w:adjustRightInd w:val="0"/>
              <w:spacing w:before="29" w:line="288" w:lineRule="auto"/>
              <w:ind w:left="15"/>
              <w:rPr>
                <w:color w:val="000000"/>
                <w:kern w:val="0"/>
                <w:sz w:val="24"/>
              </w:rPr>
            </w:pPr>
            <w:r>
              <w:rPr>
                <w:rFonts w:hint="eastAsia"/>
                <w:color w:val="000000"/>
                <w:kern w:val="0"/>
                <w:sz w:val="24"/>
              </w:rPr>
              <w:t>传真</w:t>
            </w:r>
          </w:p>
        </w:tc>
        <w:tc>
          <w:tcPr>
            <w:tcW w:w="3260"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w:t>
            </w:r>
            <w:r>
              <w:rPr>
                <w:color w:val="000000"/>
                <w:kern w:val="0"/>
                <w:sz w:val="24"/>
              </w:rPr>
              <w:t>021</w:t>
            </w:r>
            <w:r>
              <w:rPr>
                <w:color w:val="000000"/>
                <w:kern w:val="0"/>
                <w:sz w:val="24"/>
              </w:rPr>
              <w:t>）</w:t>
            </w:r>
            <w:r>
              <w:rPr>
                <w:color w:val="000000"/>
                <w:kern w:val="0"/>
                <w:sz w:val="24"/>
              </w:rPr>
              <w:t>61055054</w:t>
            </w:r>
          </w:p>
        </w:tc>
        <w:tc>
          <w:tcPr>
            <w:tcW w:w="3186"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010-85230024</w:t>
            </w:r>
          </w:p>
        </w:tc>
      </w:tr>
      <w:tr w:rsidR="000E6BAE">
        <w:tc>
          <w:tcPr>
            <w:tcW w:w="2552" w:type="dxa"/>
            <w:gridSpan w:val="2"/>
            <w:vAlign w:val="center"/>
          </w:tcPr>
          <w:p w:rsidR="000E6BAE" w:rsidRDefault="00CD6463">
            <w:pPr>
              <w:autoSpaceDE w:val="0"/>
              <w:autoSpaceDN w:val="0"/>
              <w:adjustRightInd w:val="0"/>
              <w:spacing w:before="29" w:line="288" w:lineRule="auto"/>
              <w:ind w:left="15"/>
              <w:rPr>
                <w:color w:val="000000"/>
                <w:kern w:val="0"/>
                <w:sz w:val="24"/>
              </w:rPr>
            </w:pPr>
            <w:r>
              <w:rPr>
                <w:rFonts w:hint="eastAsia"/>
                <w:color w:val="000000"/>
                <w:kern w:val="0"/>
                <w:sz w:val="24"/>
              </w:rPr>
              <w:t>注册地址</w:t>
            </w:r>
          </w:p>
        </w:tc>
        <w:tc>
          <w:tcPr>
            <w:tcW w:w="3260"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中国（上海）自由贸易试验区银城中路</w:t>
            </w:r>
            <w:r>
              <w:rPr>
                <w:color w:val="000000"/>
                <w:kern w:val="0"/>
                <w:sz w:val="24"/>
              </w:rPr>
              <w:t>188</w:t>
            </w:r>
            <w:r>
              <w:rPr>
                <w:color w:val="000000"/>
                <w:kern w:val="0"/>
                <w:sz w:val="24"/>
              </w:rPr>
              <w:t>号交通银行大楼二层（裙）</w:t>
            </w:r>
          </w:p>
        </w:tc>
        <w:tc>
          <w:tcPr>
            <w:tcW w:w="3186"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北京市朝阳区光华路</w:t>
            </w:r>
            <w:r>
              <w:rPr>
                <w:color w:val="000000"/>
                <w:kern w:val="0"/>
                <w:sz w:val="24"/>
              </w:rPr>
              <w:t>10</w:t>
            </w:r>
            <w:r>
              <w:rPr>
                <w:color w:val="000000"/>
                <w:kern w:val="0"/>
                <w:sz w:val="24"/>
              </w:rPr>
              <w:t>号院</w:t>
            </w:r>
            <w:r>
              <w:rPr>
                <w:color w:val="000000"/>
                <w:kern w:val="0"/>
                <w:sz w:val="24"/>
              </w:rPr>
              <w:t>1</w:t>
            </w:r>
            <w:r>
              <w:rPr>
                <w:color w:val="000000"/>
                <w:kern w:val="0"/>
                <w:sz w:val="24"/>
              </w:rPr>
              <w:t>号楼</w:t>
            </w:r>
            <w:r>
              <w:rPr>
                <w:color w:val="000000"/>
                <w:kern w:val="0"/>
                <w:sz w:val="24"/>
              </w:rPr>
              <w:t>6-30</w:t>
            </w:r>
            <w:r>
              <w:rPr>
                <w:color w:val="000000"/>
                <w:kern w:val="0"/>
                <w:sz w:val="24"/>
              </w:rPr>
              <w:t>层、</w:t>
            </w:r>
            <w:r>
              <w:rPr>
                <w:color w:val="000000"/>
                <w:kern w:val="0"/>
                <w:sz w:val="24"/>
              </w:rPr>
              <w:t>32-42</w:t>
            </w:r>
            <w:r>
              <w:rPr>
                <w:color w:val="000000"/>
                <w:kern w:val="0"/>
                <w:sz w:val="24"/>
              </w:rPr>
              <w:t>层</w:t>
            </w:r>
          </w:p>
        </w:tc>
      </w:tr>
      <w:tr w:rsidR="000E6BAE">
        <w:tc>
          <w:tcPr>
            <w:tcW w:w="2552" w:type="dxa"/>
            <w:gridSpan w:val="2"/>
            <w:vAlign w:val="center"/>
          </w:tcPr>
          <w:p w:rsidR="000E6BAE" w:rsidRDefault="00CD6463">
            <w:pPr>
              <w:autoSpaceDE w:val="0"/>
              <w:autoSpaceDN w:val="0"/>
              <w:adjustRightInd w:val="0"/>
              <w:spacing w:before="29" w:line="288" w:lineRule="auto"/>
              <w:ind w:left="15"/>
              <w:rPr>
                <w:color w:val="000000"/>
                <w:kern w:val="0"/>
                <w:sz w:val="24"/>
              </w:rPr>
            </w:pPr>
            <w:r>
              <w:rPr>
                <w:rFonts w:hint="eastAsia"/>
                <w:color w:val="000000"/>
                <w:kern w:val="0"/>
                <w:sz w:val="24"/>
              </w:rPr>
              <w:t>办公地址</w:t>
            </w:r>
          </w:p>
        </w:tc>
        <w:tc>
          <w:tcPr>
            <w:tcW w:w="3260"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上海市浦东新区世纪大道</w:t>
            </w:r>
            <w:r>
              <w:rPr>
                <w:color w:val="000000"/>
                <w:kern w:val="0"/>
                <w:sz w:val="24"/>
              </w:rPr>
              <w:t>8</w:t>
            </w:r>
            <w:r>
              <w:rPr>
                <w:color w:val="000000"/>
                <w:kern w:val="0"/>
                <w:sz w:val="24"/>
              </w:rPr>
              <w:t>号国金中心二期</w:t>
            </w:r>
            <w:r>
              <w:rPr>
                <w:color w:val="000000"/>
                <w:kern w:val="0"/>
                <w:sz w:val="24"/>
              </w:rPr>
              <w:t>21-22</w:t>
            </w:r>
            <w:r>
              <w:rPr>
                <w:color w:val="000000"/>
                <w:kern w:val="0"/>
                <w:sz w:val="24"/>
              </w:rPr>
              <w:t>楼</w:t>
            </w:r>
          </w:p>
        </w:tc>
        <w:tc>
          <w:tcPr>
            <w:tcW w:w="3186"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北京市朝阳区光华路</w:t>
            </w:r>
            <w:r>
              <w:rPr>
                <w:color w:val="000000"/>
                <w:kern w:val="0"/>
                <w:sz w:val="24"/>
              </w:rPr>
              <w:t>10</w:t>
            </w:r>
            <w:r>
              <w:rPr>
                <w:color w:val="000000"/>
                <w:kern w:val="0"/>
                <w:sz w:val="24"/>
              </w:rPr>
              <w:t>号院</w:t>
            </w:r>
            <w:r>
              <w:rPr>
                <w:color w:val="000000"/>
                <w:kern w:val="0"/>
                <w:sz w:val="24"/>
              </w:rPr>
              <w:t>1</w:t>
            </w:r>
            <w:r>
              <w:rPr>
                <w:color w:val="000000"/>
                <w:kern w:val="0"/>
                <w:sz w:val="24"/>
              </w:rPr>
              <w:t>号楼</w:t>
            </w:r>
            <w:r>
              <w:rPr>
                <w:color w:val="000000"/>
                <w:kern w:val="0"/>
                <w:sz w:val="24"/>
              </w:rPr>
              <w:t>6-30</w:t>
            </w:r>
            <w:r>
              <w:rPr>
                <w:color w:val="000000"/>
                <w:kern w:val="0"/>
                <w:sz w:val="24"/>
              </w:rPr>
              <w:t>层、</w:t>
            </w:r>
            <w:r>
              <w:rPr>
                <w:color w:val="000000"/>
                <w:kern w:val="0"/>
                <w:sz w:val="24"/>
              </w:rPr>
              <w:t>32-42</w:t>
            </w:r>
            <w:r>
              <w:rPr>
                <w:color w:val="000000"/>
                <w:kern w:val="0"/>
                <w:sz w:val="24"/>
              </w:rPr>
              <w:t>层</w:t>
            </w:r>
          </w:p>
        </w:tc>
      </w:tr>
      <w:tr w:rsidR="000E6BAE">
        <w:tc>
          <w:tcPr>
            <w:tcW w:w="2552" w:type="dxa"/>
            <w:gridSpan w:val="2"/>
            <w:vAlign w:val="center"/>
          </w:tcPr>
          <w:p w:rsidR="000E6BAE" w:rsidRDefault="00CD6463">
            <w:pPr>
              <w:autoSpaceDE w:val="0"/>
              <w:autoSpaceDN w:val="0"/>
              <w:adjustRightInd w:val="0"/>
              <w:spacing w:before="29" w:line="288" w:lineRule="auto"/>
              <w:ind w:left="15"/>
              <w:rPr>
                <w:color w:val="000000"/>
                <w:kern w:val="0"/>
                <w:sz w:val="24"/>
              </w:rPr>
            </w:pPr>
            <w:r>
              <w:rPr>
                <w:rFonts w:hint="eastAsia"/>
                <w:color w:val="000000"/>
                <w:kern w:val="0"/>
                <w:sz w:val="24"/>
              </w:rPr>
              <w:t>邮政编码</w:t>
            </w:r>
          </w:p>
        </w:tc>
        <w:tc>
          <w:tcPr>
            <w:tcW w:w="3260"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186"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100020</w:t>
            </w:r>
          </w:p>
        </w:tc>
      </w:tr>
      <w:tr w:rsidR="000E6BAE">
        <w:tc>
          <w:tcPr>
            <w:tcW w:w="2552" w:type="dxa"/>
            <w:gridSpan w:val="2"/>
            <w:vAlign w:val="center"/>
          </w:tcPr>
          <w:p w:rsidR="000E6BAE" w:rsidRDefault="00CD6463">
            <w:pPr>
              <w:autoSpaceDE w:val="0"/>
              <w:autoSpaceDN w:val="0"/>
              <w:adjustRightInd w:val="0"/>
              <w:spacing w:before="29" w:line="288" w:lineRule="auto"/>
              <w:ind w:left="15"/>
              <w:rPr>
                <w:color w:val="000000"/>
                <w:kern w:val="0"/>
                <w:sz w:val="24"/>
              </w:rPr>
            </w:pPr>
            <w:r>
              <w:rPr>
                <w:rFonts w:hint="eastAsia"/>
                <w:color w:val="000000"/>
                <w:kern w:val="0"/>
                <w:sz w:val="24"/>
              </w:rPr>
              <w:t>法定代表人</w:t>
            </w:r>
          </w:p>
        </w:tc>
        <w:tc>
          <w:tcPr>
            <w:tcW w:w="3260"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阮红</w:t>
            </w:r>
          </w:p>
        </w:tc>
        <w:tc>
          <w:tcPr>
            <w:tcW w:w="3186" w:type="dxa"/>
            <w:vAlign w:val="center"/>
          </w:tcPr>
          <w:p w:rsidR="000E6BAE" w:rsidRDefault="00CD6463">
            <w:pPr>
              <w:autoSpaceDE w:val="0"/>
              <w:autoSpaceDN w:val="0"/>
              <w:adjustRightInd w:val="0"/>
              <w:spacing w:before="29" w:line="288" w:lineRule="auto"/>
              <w:ind w:left="15"/>
              <w:jc w:val="center"/>
              <w:rPr>
                <w:color w:val="000000"/>
                <w:kern w:val="0"/>
                <w:sz w:val="24"/>
              </w:rPr>
            </w:pPr>
            <w:r>
              <w:rPr>
                <w:color w:val="000000"/>
                <w:kern w:val="0"/>
                <w:sz w:val="24"/>
              </w:rPr>
              <w:t>李庆萍</w:t>
            </w:r>
          </w:p>
        </w:tc>
      </w:tr>
    </w:tbl>
    <w:p w:rsidR="000E6BAE" w:rsidRDefault="000E6BAE">
      <w:pPr>
        <w:tabs>
          <w:tab w:val="left" w:pos="1740"/>
        </w:tabs>
        <w:spacing w:line="360" w:lineRule="auto"/>
        <w:rPr>
          <w:rFonts w:asciiTheme="minorEastAsia" w:eastAsiaTheme="minorEastAsia" w:hAnsiTheme="minorEastAsia"/>
          <w:color w:val="000000"/>
          <w:szCs w:val="21"/>
        </w:rPr>
      </w:pPr>
    </w:p>
    <w:p w:rsidR="000E6BAE" w:rsidRDefault="00CD6463">
      <w:pPr>
        <w:pStyle w:val="2"/>
        <w:spacing w:before="29" w:after="0" w:line="288" w:lineRule="auto"/>
        <w:rPr>
          <w:rFonts w:eastAsiaTheme="minorEastAsia"/>
        </w:rPr>
      </w:pPr>
      <w:bookmarkStart w:id="19" w:name="_Toc361324848"/>
      <w:bookmarkStart w:id="20" w:name="_Toc225498248"/>
      <w:bookmarkStart w:id="21" w:name="_Toc11073"/>
      <w:r>
        <w:rPr>
          <w:rFonts w:eastAsiaTheme="minorEastAsia"/>
        </w:rPr>
        <w:t xml:space="preserve">2.4 </w:t>
      </w:r>
      <w:r>
        <w:rPr>
          <w:rFonts w:eastAsiaTheme="minorEastAsia" w:hint="eastAsia"/>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0E6BAE">
        <w:tc>
          <w:tcPr>
            <w:tcW w:w="3459" w:type="dxa"/>
            <w:vAlign w:val="center"/>
          </w:tcPr>
          <w:p w:rsidR="000E6BAE" w:rsidRDefault="00CD6463">
            <w:pPr>
              <w:tabs>
                <w:tab w:val="left" w:pos="1740"/>
              </w:tabs>
              <w:spacing w:before="29" w:line="288" w:lineRule="auto"/>
              <w:rPr>
                <w:color w:val="000000"/>
                <w:sz w:val="24"/>
              </w:rPr>
            </w:pPr>
            <w:r>
              <w:rPr>
                <w:rFonts w:hint="eastAsia"/>
                <w:color w:val="000000"/>
                <w:sz w:val="24"/>
              </w:rPr>
              <w:t>本基金选定的信息披露报纸名称</w:t>
            </w:r>
          </w:p>
        </w:tc>
        <w:tc>
          <w:tcPr>
            <w:tcW w:w="3459" w:type="dxa"/>
            <w:vAlign w:val="center"/>
          </w:tcPr>
          <w:p w:rsidR="000E6BAE" w:rsidRDefault="00CD6463">
            <w:pPr>
              <w:tabs>
                <w:tab w:val="left" w:pos="1740"/>
              </w:tabs>
              <w:spacing w:before="29" w:line="288" w:lineRule="auto"/>
              <w:jc w:val="left"/>
              <w:rPr>
                <w:color w:val="000000"/>
                <w:sz w:val="24"/>
              </w:rPr>
            </w:pPr>
            <w:r>
              <w:rPr>
                <w:color w:val="000000"/>
                <w:sz w:val="24"/>
              </w:rPr>
              <w:t>《上海证券报》</w:t>
            </w:r>
          </w:p>
        </w:tc>
      </w:tr>
      <w:tr w:rsidR="000E6BAE">
        <w:tc>
          <w:tcPr>
            <w:tcW w:w="3459" w:type="dxa"/>
            <w:vAlign w:val="center"/>
          </w:tcPr>
          <w:p w:rsidR="000E6BAE" w:rsidRDefault="00CD6463">
            <w:pPr>
              <w:tabs>
                <w:tab w:val="left" w:pos="1740"/>
              </w:tabs>
              <w:spacing w:before="29" w:line="288" w:lineRule="auto"/>
              <w:rPr>
                <w:color w:val="000000"/>
                <w:sz w:val="24"/>
              </w:rPr>
            </w:pPr>
            <w:r>
              <w:rPr>
                <w:rFonts w:hint="eastAsia"/>
                <w:color w:val="000000"/>
                <w:sz w:val="24"/>
              </w:rPr>
              <w:t>登载基金年度报告正文的管理人互联网网址</w:t>
            </w:r>
          </w:p>
        </w:tc>
        <w:tc>
          <w:tcPr>
            <w:tcW w:w="3459" w:type="dxa"/>
            <w:vAlign w:val="center"/>
          </w:tcPr>
          <w:p w:rsidR="000E6BAE" w:rsidRDefault="00CD6463">
            <w:pPr>
              <w:tabs>
                <w:tab w:val="left" w:pos="1740"/>
              </w:tabs>
              <w:spacing w:before="29" w:line="288" w:lineRule="auto"/>
              <w:jc w:val="left"/>
              <w:rPr>
                <w:color w:val="000000"/>
                <w:sz w:val="24"/>
              </w:rPr>
            </w:pPr>
            <w:r>
              <w:rPr>
                <w:color w:val="000000"/>
                <w:sz w:val="24"/>
              </w:rPr>
              <w:t>www.fund001.com</w:t>
            </w:r>
          </w:p>
        </w:tc>
      </w:tr>
      <w:tr w:rsidR="000E6BAE">
        <w:tc>
          <w:tcPr>
            <w:tcW w:w="3459" w:type="dxa"/>
            <w:vAlign w:val="center"/>
          </w:tcPr>
          <w:p w:rsidR="000E6BAE" w:rsidRDefault="00CD6463">
            <w:pPr>
              <w:tabs>
                <w:tab w:val="left" w:pos="1740"/>
              </w:tabs>
              <w:spacing w:before="29" w:line="288" w:lineRule="auto"/>
              <w:rPr>
                <w:color w:val="000000"/>
                <w:sz w:val="24"/>
              </w:rPr>
            </w:pPr>
            <w:r>
              <w:rPr>
                <w:rFonts w:hint="eastAsia"/>
                <w:color w:val="000000"/>
                <w:sz w:val="24"/>
              </w:rPr>
              <w:t>基金年度报告备置地点</w:t>
            </w:r>
          </w:p>
        </w:tc>
        <w:tc>
          <w:tcPr>
            <w:tcW w:w="3459" w:type="dxa"/>
            <w:vAlign w:val="center"/>
          </w:tcPr>
          <w:p w:rsidR="000E6BAE" w:rsidRDefault="00CD6463">
            <w:pPr>
              <w:tabs>
                <w:tab w:val="left" w:pos="1740"/>
              </w:tabs>
              <w:spacing w:before="29" w:line="288" w:lineRule="auto"/>
              <w:jc w:val="left"/>
              <w:rPr>
                <w:color w:val="000000"/>
                <w:sz w:val="24"/>
              </w:rPr>
            </w:pPr>
            <w:r>
              <w:rPr>
                <w:color w:val="000000"/>
                <w:sz w:val="24"/>
              </w:rPr>
              <w:t>基金管理人的办公场所</w:t>
            </w:r>
          </w:p>
        </w:tc>
      </w:tr>
    </w:tbl>
    <w:p w:rsidR="000E6BAE" w:rsidRDefault="000E6BAE">
      <w:pPr>
        <w:spacing w:line="360" w:lineRule="auto"/>
        <w:rPr>
          <w:rFonts w:asciiTheme="minorEastAsia" w:eastAsiaTheme="minorEastAsia" w:hAnsiTheme="minorEastAsia"/>
          <w:color w:val="000000"/>
          <w:szCs w:val="21"/>
        </w:rPr>
      </w:pPr>
    </w:p>
    <w:p w:rsidR="000E6BAE" w:rsidRDefault="00CD6463">
      <w:pPr>
        <w:pStyle w:val="2"/>
        <w:spacing w:before="29" w:after="0" w:line="288" w:lineRule="auto"/>
        <w:rPr>
          <w:rFonts w:eastAsiaTheme="minorEastAsia"/>
        </w:rPr>
      </w:pPr>
      <w:bookmarkStart w:id="22" w:name="_Toc361324849"/>
      <w:bookmarkStart w:id="23" w:name="_Toc225498249"/>
      <w:bookmarkStart w:id="24" w:name="_Toc24842"/>
      <w:r>
        <w:rPr>
          <w:rFonts w:eastAsiaTheme="minorEastAsia"/>
        </w:rPr>
        <w:t xml:space="preserve">2.5 </w:t>
      </w:r>
      <w:r>
        <w:rPr>
          <w:rFonts w:eastAsiaTheme="minorEastAsia" w:hint="eastAsia"/>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402"/>
        <w:gridCol w:w="3328"/>
      </w:tblGrid>
      <w:tr w:rsidR="000E6BAE">
        <w:tc>
          <w:tcPr>
            <w:tcW w:w="2268" w:type="dxa"/>
            <w:vAlign w:val="center"/>
          </w:tcPr>
          <w:p w:rsidR="000E6BAE" w:rsidRDefault="00CD6463">
            <w:pPr>
              <w:tabs>
                <w:tab w:val="left" w:pos="1740"/>
              </w:tabs>
              <w:spacing w:before="29" w:line="288" w:lineRule="auto"/>
              <w:jc w:val="center"/>
              <w:rPr>
                <w:color w:val="000000"/>
                <w:sz w:val="24"/>
              </w:rPr>
            </w:pPr>
            <w:r>
              <w:rPr>
                <w:rFonts w:hint="eastAsia"/>
                <w:color w:val="000000"/>
                <w:sz w:val="24"/>
              </w:rPr>
              <w:t>项目</w:t>
            </w:r>
          </w:p>
        </w:tc>
        <w:tc>
          <w:tcPr>
            <w:tcW w:w="3402" w:type="dxa"/>
            <w:vAlign w:val="center"/>
          </w:tcPr>
          <w:p w:rsidR="000E6BAE" w:rsidRDefault="00CD6463">
            <w:pPr>
              <w:tabs>
                <w:tab w:val="left" w:pos="1740"/>
              </w:tabs>
              <w:spacing w:before="29" w:line="288" w:lineRule="auto"/>
              <w:jc w:val="center"/>
              <w:rPr>
                <w:color w:val="000000"/>
                <w:sz w:val="24"/>
              </w:rPr>
            </w:pPr>
            <w:r>
              <w:rPr>
                <w:rFonts w:hint="eastAsia"/>
                <w:color w:val="000000"/>
                <w:sz w:val="24"/>
              </w:rPr>
              <w:t>名称</w:t>
            </w:r>
          </w:p>
        </w:tc>
        <w:tc>
          <w:tcPr>
            <w:tcW w:w="3328" w:type="dxa"/>
            <w:vAlign w:val="center"/>
          </w:tcPr>
          <w:p w:rsidR="000E6BAE" w:rsidRDefault="00CD6463">
            <w:pPr>
              <w:tabs>
                <w:tab w:val="left" w:pos="1740"/>
              </w:tabs>
              <w:spacing w:before="29" w:line="288" w:lineRule="auto"/>
              <w:jc w:val="center"/>
              <w:rPr>
                <w:color w:val="000000"/>
                <w:sz w:val="24"/>
              </w:rPr>
            </w:pPr>
            <w:r>
              <w:rPr>
                <w:rFonts w:hint="eastAsia"/>
                <w:color w:val="000000"/>
                <w:sz w:val="24"/>
              </w:rPr>
              <w:t>办公地址</w:t>
            </w:r>
          </w:p>
        </w:tc>
      </w:tr>
      <w:tr w:rsidR="000E6BAE">
        <w:tc>
          <w:tcPr>
            <w:tcW w:w="2268" w:type="dxa"/>
            <w:vAlign w:val="center"/>
          </w:tcPr>
          <w:p w:rsidR="000E6BAE" w:rsidRDefault="00CD6463">
            <w:pPr>
              <w:tabs>
                <w:tab w:val="left" w:pos="1740"/>
              </w:tabs>
              <w:spacing w:before="29" w:line="288" w:lineRule="auto"/>
              <w:rPr>
                <w:color w:val="000000"/>
                <w:sz w:val="24"/>
              </w:rPr>
            </w:pPr>
            <w:r>
              <w:rPr>
                <w:rFonts w:hint="eastAsia"/>
                <w:color w:val="000000"/>
                <w:sz w:val="24"/>
              </w:rPr>
              <w:t>会计师事务所</w:t>
            </w:r>
          </w:p>
        </w:tc>
        <w:tc>
          <w:tcPr>
            <w:tcW w:w="3402" w:type="dxa"/>
            <w:vAlign w:val="center"/>
          </w:tcPr>
          <w:p w:rsidR="000E6BAE" w:rsidRDefault="00CD6463">
            <w:pPr>
              <w:tabs>
                <w:tab w:val="left" w:pos="1740"/>
              </w:tabs>
              <w:spacing w:before="29" w:line="288" w:lineRule="auto"/>
              <w:rPr>
                <w:color w:val="000000"/>
                <w:sz w:val="24"/>
              </w:rPr>
            </w:pPr>
            <w:r>
              <w:rPr>
                <w:color w:val="000000"/>
                <w:sz w:val="24"/>
              </w:rPr>
              <w:t>普华永道中天会计师事务所（特殊普通合伙）</w:t>
            </w:r>
          </w:p>
        </w:tc>
        <w:tc>
          <w:tcPr>
            <w:tcW w:w="3328" w:type="dxa"/>
            <w:vAlign w:val="center"/>
          </w:tcPr>
          <w:p w:rsidR="000E6BAE" w:rsidRDefault="00CD6463">
            <w:pPr>
              <w:tabs>
                <w:tab w:val="left" w:pos="1740"/>
              </w:tabs>
              <w:spacing w:before="29" w:line="288" w:lineRule="auto"/>
              <w:rPr>
                <w:color w:val="000000"/>
                <w:sz w:val="24"/>
              </w:rPr>
            </w:pPr>
            <w:r>
              <w:rPr>
                <w:color w:val="000000"/>
                <w:sz w:val="24"/>
              </w:rPr>
              <w:t>上海市湖滨路</w:t>
            </w:r>
            <w:r>
              <w:rPr>
                <w:color w:val="000000"/>
                <w:sz w:val="24"/>
              </w:rPr>
              <w:t>202</w:t>
            </w:r>
            <w:r>
              <w:rPr>
                <w:color w:val="000000"/>
                <w:sz w:val="24"/>
              </w:rPr>
              <w:t>号普华永道中心</w:t>
            </w:r>
            <w:r>
              <w:rPr>
                <w:color w:val="000000"/>
                <w:sz w:val="24"/>
              </w:rPr>
              <w:t>11</w:t>
            </w:r>
            <w:r>
              <w:rPr>
                <w:color w:val="000000"/>
                <w:sz w:val="24"/>
              </w:rPr>
              <w:t>楼</w:t>
            </w:r>
          </w:p>
        </w:tc>
      </w:tr>
      <w:tr w:rsidR="000E6BAE">
        <w:tc>
          <w:tcPr>
            <w:tcW w:w="2268" w:type="dxa"/>
            <w:vAlign w:val="center"/>
          </w:tcPr>
          <w:p w:rsidR="000E6BAE" w:rsidRDefault="00CD6463">
            <w:pPr>
              <w:tabs>
                <w:tab w:val="left" w:pos="1740"/>
              </w:tabs>
              <w:spacing w:before="29" w:line="288" w:lineRule="auto"/>
              <w:rPr>
                <w:color w:val="000000"/>
                <w:sz w:val="24"/>
              </w:rPr>
            </w:pPr>
            <w:r>
              <w:rPr>
                <w:rFonts w:hint="eastAsia"/>
                <w:color w:val="000000"/>
                <w:sz w:val="24"/>
              </w:rPr>
              <w:t>注册登记机构</w:t>
            </w:r>
          </w:p>
        </w:tc>
        <w:tc>
          <w:tcPr>
            <w:tcW w:w="3402" w:type="dxa"/>
            <w:vAlign w:val="center"/>
          </w:tcPr>
          <w:p w:rsidR="000E6BAE" w:rsidRDefault="00CD6463">
            <w:pPr>
              <w:tabs>
                <w:tab w:val="left" w:pos="1740"/>
              </w:tabs>
              <w:spacing w:before="29" w:line="288" w:lineRule="auto"/>
              <w:rPr>
                <w:color w:val="000000"/>
                <w:sz w:val="24"/>
              </w:rPr>
            </w:pPr>
            <w:r>
              <w:rPr>
                <w:color w:val="000000"/>
                <w:sz w:val="24"/>
              </w:rPr>
              <w:t>中国证券登记结算有限责任公司</w:t>
            </w:r>
          </w:p>
        </w:tc>
        <w:tc>
          <w:tcPr>
            <w:tcW w:w="3328" w:type="dxa"/>
            <w:vAlign w:val="center"/>
          </w:tcPr>
          <w:p w:rsidR="000E6BAE" w:rsidRDefault="00CD6463">
            <w:pPr>
              <w:tabs>
                <w:tab w:val="left" w:pos="1740"/>
              </w:tabs>
              <w:spacing w:before="29" w:line="288" w:lineRule="auto"/>
              <w:rPr>
                <w:color w:val="000000"/>
                <w:sz w:val="24"/>
              </w:rPr>
            </w:pPr>
            <w:r>
              <w:rPr>
                <w:color w:val="000000"/>
                <w:sz w:val="24"/>
              </w:rPr>
              <w:t>北京市西城区太平桥大街</w:t>
            </w:r>
            <w:r>
              <w:rPr>
                <w:color w:val="000000"/>
                <w:sz w:val="24"/>
              </w:rPr>
              <w:t>17</w:t>
            </w:r>
            <w:r>
              <w:rPr>
                <w:color w:val="000000"/>
                <w:sz w:val="24"/>
              </w:rPr>
              <w:t>号</w:t>
            </w:r>
          </w:p>
        </w:tc>
      </w:tr>
    </w:tbl>
    <w:p w:rsidR="000E6BAE" w:rsidRDefault="000E6BAE">
      <w:pPr>
        <w:tabs>
          <w:tab w:val="left" w:pos="426"/>
        </w:tabs>
        <w:spacing w:line="360" w:lineRule="auto"/>
        <w:jc w:val="left"/>
        <w:rPr>
          <w:rFonts w:asciiTheme="minorEastAsia" w:eastAsiaTheme="minorEastAsia" w:hAnsiTheme="minorEastAsia"/>
          <w:color w:val="000000"/>
          <w:szCs w:val="21"/>
        </w:rPr>
      </w:pPr>
    </w:p>
    <w:p w:rsidR="000E6BAE" w:rsidRDefault="00CD6463">
      <w:pPr>
        <w:pStyle w:val="1"/>
        <w:keepNext/>
        <w:keepLines/>
        <w:widowControl w:val="0"/>
        <w:spacing w:beforeLines="100" w:before="312" w:afterLines="100" w:after="312" w:line="288" w:lineRule="auto"/>
        <w:jc w:val="center"/>
        <w:rPr>
          <w:b/>
          <w:bCs/>
          <w:szCs w:val="24"/>
          <w:lang w:val="en-US"/>
        </w:rPr>
      </w:pPr>
      <w:bookmarkStart w:id="25" w:name="_Toc225498250"/>
      <w:bookmarkStart w:id="26" w:name="_Toc361324850"/>
      <w:bookmarkStart w:id="27" w:name="_Toc18210"/>
      <w:bookmarkStart w:id="28" w:name="_Toc194312019"/>
      <w:bookmarkStart w:id="29" w:name="_Toc193947512"/>
      <w:r>
        <w:rPr>
          <w:rFonts w:hint="eastAsia"/>
          <w:b/>
          <w:bCs/>
          <w:szCs w:val="24"/>
          <w:lang w:val="en-US"/>
        </w:rPr>
        <w:t>§</w:t>
      </w:r>
      <w:r>
        <w:rPr>
          <w:b/>
          <w:bCs/>
          <w:szCs w:val="24"/>
          <w:lang w:val="en-US"/>
        </w:rPr>
        <w:t xml:space="preserve">3 </w:t>
      </w:r>
      <w:r>
        <w:rPr>
          <w:rFonts w:hint="eastAsia"/>
          <w:b/>
          <w:bCs/>
          <w:szCs w:val="24"/>
          <w:lang w:val="en-US"/>
        </w:rPr>
        <w:t>主要财务指标、基金净值表现</w:t>
      </w:r>
      <w:bookmarkEnd w:id="25"/>
      <w:r>
        <w:rPr>
          <w:rFonts w:hint="eastAsia"/>
          <w:b/>
          <w:bCs/>
          <w:szCs w:val="24"/>
          <w:lang w:val="en-US"/>
        </w:rPr>
        <w:t>及利润分配情况</w:t>
      </w:r>
      <w:bookmarkEnd w:id="26"/>
      <w:bookmarkEnd w:id="27"/>
    </w:p>
    <w:p w:rsidR="000E6BAE" w:rsidRDefault="000E6BAE"/>
    <w:p w:rsidR="000E6BAE" w:rsidRDefault="00CD6463">
      <w:pPr>
        <w:pStyle w:val="2"/>
        <w:spacing w:before="29" w:after="0" w:line="288" w:lineRule="auto"/>
        <w:rPr>
          <w:rFonts w:eastAsiaTheme="minorEastAsia"/>
        </w:rPr>
      </w:pPr>
      <w:bookmarkStart w:id="30" w:name="_Toc361324851"/>
      <w:bookmarkStart w:id="31" w:name="_Toc286996129"/>
      <w:bookmarkStart w:id="32" w:name="_Toc6704"/>
      <w:r>
        <w:rPr>
          <w:rFonts w:eastAsiaTheme="minorEastAsia"/>
        </w:rPr>
        <w:t xml:space="preserve">3.1 </w:t>
      </w:r>
      <w:r>
        <w:rPr>
          <w:rFonts w:eastAsiaTheme="minorEastAsia" w:hint="eastAsia"/>
        </w:rPr>
        <w:t>主要会计数据和财务指标</w:t>
      </w:r>
      <w:bookmarkEnd w:id="30"/>
      <w:bookmarkEnd w:id="31"/>
      <w:bookmarkEnd w:id="32"/>
    </w:p>
    <w:p w:rsidR="000E6BAE" w:rsidRDefault="00CD6463">
      <w:pPr>
        <w:autoSpaceDE w:val="0"/>
        <w:autoSpaceDN w:val="0"/>
        <w:adjustRightInd w:val="0"/>
        <w:spacing w:before="29" w:line="288" w:lineRule="auto"/>
        <w:ind w:left="15"/>
        <w:jc w:val="right"/>
        <w:rPr>
          <w:color w:val="000000"/>
          <w:kern w:val="0"/>
          <w:sz w:val="24"/>
        </w:rPr>
      </w:pPr>
      <w:r>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8"/>
        <w:gridCol w:w="1276"/>
        <w:gridCol w:w="1276"/>
        <w:gridCol w:w="1278"/>
        <w:gridCol w:w="1278"/>
        <w:gridCol w:w="1278"/>
        <w:gridCol w:w="1372"/>
      </w:tblGrid>
      <w:tr w:rsidR="000E6BAE">
        <w:trPr>
          <w:trHeight w:val="487"/>
        </w:trPr>
        <w:tc>
          <w:tcPr>
            <w:tcW w:w="823" w:type="pct"/>
            <w:vMerge w:val="restart"/>
            <w:vAlign w:val="center"/>
          </w:tcPr>
          <w:bookmarkEnd w:id="28"/>
          <w:bookmarkEnd w:id="29"/>
          <w:p w:rsidR="000E6BAE" w:rsidRDefault="00CD6463">
            <w:pPr>
              <w:spacing w:before="29" w:line="288" w:lineRule="auto"/>
              <w:jc w:val="center"/>
              <w:rPr>
                <w:b/>
                <w:szCs w:val="21"/>
              </w:rPr>
            </w:pPr>
            <w:r>
              <w:rPr>
                <w:b/>
                <w:szCs w:val="21"/>
              </w:rPr>
              <w:t>3.1.1</w:t>
            </w:r>
            <w:r>
              <w:rPr>
                <w:rFonts w:hint="eastAsia"/>
                <w:b/>
                <w:szCs w:val="21"/>
              </w:rPr>
              <w:t>期间数据和指标</w:t>
            </w:r>
          </w:p>
        </w:tc>
        <w:tc>
          <w:tcPr>
            <w:tcW w:w="1372" w:type="pct"/>
            <w:gridSpan w:val="2"/>
            <w:vAlign w:val="center"/>
          </w:tcPr>
          <w:p w:rsidR="000E6BAE" w:rsidRDefault="00CD6463">
            <w:pPr>
              <w:spacing w:before="29" w:line="288" w:lineRule="auto"/>
              <w:jc w:val="center"/>
              <w:rPr>
                <w:b/>
                <w:szCs w:val="21"/>
              </w:rPr>
            </w:pPr>
            <w:r>
              <w:rPr>
                <w:b/>
                <w:szCs w:val="21"/>
              </w:rPr>
              <w:t>2020</w:t>
            </w:r>
            <w:r>
              <w:rPr>
                <w:b/>
                <w:szCs w:val="21"/>
              </w:rPr>
              <w:t>年</w:t>
            </w:r>
          </w:p>
        </w:tc>
        <w:tc>
          <w:tcPr>
            <w:tcW w:w="1374" w:type="pct"/>
            <w:gridSpan w:val="2"/>
            <w:vAlign w:val="center"/>
          </w:tcPr>
          <w:p w:rsidR="000E6BAE" w:rsidRDefault="00CD6463">
            <w:pPr>
              <w:spacing w:before="29" w:line="288" w:lineRule="auto"/>
              <w:jc w:val="center"/>
              <w:rPr>
                <w:b/>
                <w:szCs w:val="21"/>
              </w:rPr>
            </w:pPr>
            <w:r>
              <w:rPr>
                <w:b/>
                <w:szCs w:val="21"/>
              </w:rPr>
              <w:t>2019</w:t>
            </w:r>
            <w:r>
              <w:rPr>
                <w:b/>
                <w:szCs w:val="21"/>
              </w:rPr>
              <w:t>年</w:t>
            </w:r>
          </w:p>
        </w:tc>
        <w:tc>
          <w:tcPr>
            <w:tcW w:w="1431" w:type="pct"/>
            <w:gridSpan w:val="2"/>
            <w:vAlign w:val="center"/>
          </w:tcPr>
          <w:p w:rsidR="000E6BAE" w:rsidRDefault="00CD6463">
            <w:pPr>
              <w:spacing w:before="29" w:line="288" w:lineRule="auto"/>
              <w:jc w:val="center"/>
              <w:rPr>
                <w:b/>
                <w:szCs w:val="21"/>
              </w:rPr>
            </w:pPr>
            <w:r>
              <w:rPr>
                <w:b/>
                <w:szCs w:val="21"/>
              </w:rPr>
              <w:t>2018</w:t>
            </w:r>
            <w:r>
              <w:rPr>
                <w:b/>
                <w:szCs w:val="21"/>
              </w:rPr>
              <w:t>年</w:t>
            </w:r>
          </w:p>
        </w:tc>
      </w:tr>
      <w:tr w:rsidR="000E6BAE">
        <w:trPr>
          <w:trHeight w:val="487"/>
        </w:trPr>
        <w:tc>
          <w:tcPr>
            <w:tcW w:w="823" w:type="pct"/>
            <w:vMerge/>
            <w:vAlign w:val="center"/>
          </w:tcPr>
          <w:p w:rsidR="000E6BAE" w:rsidRDefault="000E6BAE">
            <w:pPr>
              <w:spacing w:before="29" w:line="288" w:lineRule="auto"/>
              <w:jc w:val="right"/>
              <w:rPr>
                <w:szCs w:val="21"/>
              </w:rPr>
            </w:pPr>
          </w:p>
        </w:tc>
        <w:tc>
          <w:tcPr>
            <w:tcW w:w="686" w:type="pct"/>
            <w:vAlign w:val="center"/>
          </w:tcPr>
          <w:p w:rsidR="000E6BAE" w:rsidRDefault="00CD6463">
            <w:pPr>
              <w:spacing w:before="29" w:line="288" w:lineRule="auto"/>
              <w:rPr>
                <w:szCs w:val="21"/>
              </w:rPr>
            </w:pPr>
            <w:r>
              <w:rPr>
                <w:szCs w:val="21"/>
              </w:rPr>
              <w:t>交银丰润收益债券</w:t>
            </w:r>
            <w:r>
              <w:rPr>
                <w:szCs w:val="21"/>
              </w:rPr>
              <w:t>A</w:t>
            </w:r>
          </w:p>
        </w:tc>
        <w:tc>
          <w:tcPr>
            <w:tcW w:w="686" w:type="pct"/>
            <w:vAlign w:val="center"/>
          </w:tcPr>
          <w:p w:rsidR="000E6BAE" w:rsidRDefault="00CD6463">
            <w:pPr>
              <w:spacing w:before="29" w:line="288" w:lineRule="auto"/>
              <w:rPr>
                <w:szCs w:val="21"/>
              </w:rPr>
            </w:pPr>
            <w:r>
              <w:rPr>
                <w:szCs w:val="21"/>
              </w:rPr>
              <w:t>交银丰润收益债券</w:t>
            </w:r>
            <w:r>
              <w:rPr>
                <w:szCs w:val="21"/>
              </w:rPr>
              <w:t>C</w:t>
            </w:r>
          </w:p>
        </w:tc>
        <w:tc>
          <w:tcPr>
            <w:tcW w:w="687" w:type="pct"/>
            <w:vAlign w:val="center"/>
          </w:tcPr>
          <w:p w:rsidR="000E6BAE" w:rsidRDefault="00CD6463">
            <w:pPr>
              <w:spacing w:before="29" w:line="288" w:lineRule="auto"/>
              <w:rPr>
                <w:szCs w:val="21"/>
              </w:rPr>
            </w:pPr>
            <w:r>
              <w:rPr>
                <w:szCs w:val="21"/>
              </w:rPr>
              <w:t>交银丰润收益债券</w:t>
            </w:r>
            <w:r>
              <w:rPr>
                <w:szCs w:val="21"/>
              </w:rPr>
              <w:t>A</w:t>
            </w:r>
          </w:p>
        </w:tc>
        <w:tc>
          <w:tcPr>
            <w:tcW w:w="687" w:type="pct"/>
            <w:vAlign w:val="center"/>
          </w:tcPr>
          <w:p w:rsidR="000E6BAE" w:rsidRDefault="00CD6463">
            <w:pPr>
              <w:spacing w:before="29" w:line="288" w:lineRule="auto"/>
              <w:rPr>
                <w:szCs w:val="21"/>
              </w:rPr>
            </w:pPr>
            <w:r>
              <w:rPr>
                <w:szCs w:val="21"/>
              </w:rPr>
              <w:t>交银丰润收益债券</w:t>
            </w:r>
            <w:r>
              <w:rPr>
                <w:szCs w:val="21"/>
              </w:rPr>
              <w:t>C</w:t>
            </w:r>
          </w:p>
        </w:tc>
        <w:tc>
          <w:tcPr>
            <w:tcW w:w="688" w:type="pct"/>
            <w:vAlign w:val="center"/>
          </w:tcPr>
          <w:p w:rsidR="000E6BAE" w:rsidRDefault="00CD6463">
            <w:pPr>
              <w:spacing w:before="29" w:line="288" w:lineRule="auto"/>
              <w:rPr>
                <w:szCs w:val="21"/>
              </w:rPr>
            </w:pPr>
            <w:r>
              <w:rPr>
                <w:szCs w:val="21"/>
              </w:rPr>
              <w:t>交银丰润收益债券</w:t>
            </w:r>
            <w:r>
              <w:rPr>
                <w:szCs w:val="21"/>
              </w:rPr>
              <w:t>A</w:t>
            </w:r>
          </w:p>
        </w:tc>
        <w:tc>
          <w:tcPr>
            <w:tcW w:w="744" w:type="pct"/>
            <w:vAlign w:val="center"/>
          </w:tcPr>
          <w:p w:rsidR="000E6BAE" w:rsidRDefault="00CD6463">
            <w:pPr>
              <w:spacing w:before="29" w:line="288" w:lineRule="auto"/>
              <w:rPr>
                <w:szCs w:val="21"/>
              </w:rPr>
            </w:pPr>
            <w:r>
              <w:rPr>
                <w:szCs w:val="21"/>
              </w:rPr>
              <w:t>交银丰润收益债券</w:t>
            </w:r>
            <w:r>
              <w:rPr>
                <w:szCs w:val="21"/>
              </w:rPr>
              <w:t>C</w:t>
            </w:r>
          </w:p>
        </w:tc>
      </w:tr>
      <w:tr w:rsidR="000E6BAE">
        <w:tc>
          <w:tcPr>
            <w:tcW w:w="823" w:type="pct"/>
            <w:vAlign w:val="center"/>
          </w:tcPr>
          <w:p w:rsidR="000E6BAE" w:rsidRDefault="00CD6463">
            <w:pPr>
              <w:spacing w:before="29" w:line="288" w:lineRule="auto"/>
              <w:rPr>
                <w:szCs w:val="21"/>
              </w:rPr>
            </w:pPr>
            <w:r>
              <w:rPr>
                <w:rFonts w:hint="eastAsia"/>
                <w:szCs w:val="21"/>
              </w:rPr>
              <w:t>本期已实现收益</w:t>
            </w:r>
          </w:p>
        </w:tc>
        <w:tc>
          <w:tcPr>
            <w:tcW w:w="686" w:type="pct"/>
            <w:vAlign w:val="center"/>
          </w:tcPr>
          <w:p w:rsidR="000E6BAE" w:rsidRDefault="00CD6463">
            <w:pPr>
              <w:spacing w:before="29" w:line="288" w:lineRule="auto"/>
              <w:jc w:val="right"/>
              <w:rPr>
                <w:szCs w:val="21"/>
              </w:rPr>
            </w:pPr>
            <w:r>
              <w:rPr>
                <w:szCs w:val="21"/>
              </w:rPr>
              <w:t>13,357,539.06</w:t>
            </w:r>
          </w:p>
        </w:tc>
        <w:tc>
          <w:tcPr>
            <w:tcW w:w="686" w:type="pct"/>
            <w:vAlign w:val="center"/>
          </w:tcPr>
          <w:p w:rsidR="000E6BAE" w:rsidRDefault="00CD6463">
            <w:pPr>
              <w:spacing w:before="29" w:line="288" w:lineRule="auto"/>
              <w:jc w:val="right"/>
              <w:rPr>
                <w:szCs w:val="21"/>
              </w:rPr>
            </w:pPr>
            <w:r>
              <w:rPr>
                <w:szCs w:val="21"/>
              </w:rPr>
              <w:t>27,993.31</w:t>
            </w:r>
          </w:p>
        </w:tc>
        <w:tc>
          <w:tcPr>
            <w:tcW w:w="687" w:type="pct"/>
            <w:vAlign w:val="center"/>
          </w:tcPr>
          <w:p w:rsidR="000E6BAE" w:rsidRDefault="00CD6463">
            <w:pPr>
              <w:spacing w:before="29" w:line="288" w:lineRule="auto"/>
              <w:jc w:val="right"/>
              <w:rPr>
                <w:szCs w:val="21"/>
              </w:rPr>
            </w:pPr>
            <w:r>
              <w:rPr>
                <w:szCs w:val="21"/>
              </w:rPr>
              <w:t>68,835,936.47</w:t>
            </w:r>
          </w:p>
        </w:tc>
        <w:tc>
          <w:tcPr>
            <w:tcW w:w="687" w:type="pct"/>
            <w:vAlign w:val="center"/>
          </w:tcPr>
          <w:p w:rsidR="000E6BAE" w:rsidRDefault="00CD6463">
            <w:pPr>
              <w:spacing w:before="29" w:line="288" w:lineRule="auto"/>
              <w:jc w:val="right"/>
              <w:rPr>
                <w:szCs w:val="21"/>
              </w:rPr>
            </w:pPr>
            <w:r>
              <w:rPr>
                <w:szCs w:val="21"/>
              </w:rPr>
              <w:t>34,621.63</w:t>
            </w:r>
          </w:p>
        </w:tc>
        <w:tc>
          <w:tcPr>
            <w:tcW w:w="688" w:type="pct"/>
            <w:vAlign w:val="center"/>
          </w:tcPr>
          <w:p w:rsidR="000E6BAE" w:rsidRDefault="00CD6463">
            <w:pPr>
              <w:spacing w:before="29" w:line="288" w:lineRule="auto"/>
              <w:jc w:val="right"/>
              <w:rPr>
                <w:szCs w:val="21"/>
              </w:rPr>
            </w:pPr>
            <w:r>
              <w:rPr>
                <w:szCs w:val="21"/>
              </w:rPr>
              <w:t>199,574,618.30</w:t>
            </w:r>
          </w:p>
        </w:tc>
        <w:tc>
          <w:tcPr>
            <w:tcW w:w="744" w:type="pct"/>
            <w:vAlign w:val="center"/>
          </w:tcPr>
          <w:p w:rsidR="000E6BAE" w:rsidRDefault="00CD6463">
            <w:pPr>
              <w:spacing w:before="29" w:line="288" w:lineRule="auto"/>
              <w:jc w:val="right"/>
              <w:rPr>
                <w:szCs w:val="21"/>
              </w:rPr>
            </w:pPr>
            <w:r>
              <w:rPr>
                <w:szCs w:val="21"/>
              </w:rPr>
              <w:t>137,220.01</w:t>
            </w:r>
          </w:p>
        </w:tc>
      </w:tr>
      <w:tr w:rsidR="000E6BAE">
        <w:trPr>
          <w:trHeight w:val="754"/>
        </w:trPr>
        <w:tc>
          <w:tcPr>
            <w:tcW w:w="823" w:type="pct"/>
            <w:vAlign w:val="center"/>
          </w:tcPr>
          <w:p w:rsidR="000E6BAE" w:rsidRDefault="00CD6463">
            <w:pPr>
              <w:spacing w:before="29" w:line="288" w:lineRule="auto"/>
              <w:rPr>
                <w:szCs w:val="21"/>
              </w:rPr>
            </w:pPr>
            <w:r>
              <w:rPr>
                <w:rFonts w:hint="eastAsia"/>
                <w:szCs w:val="21"/>
              </w:rPr>
              <w:t>本期利润</w:t>
            </w:r>
          </w:p>
        </w:tc>
        <w:tc>
          <w:tcPr>
            <w:tcW w:w="686" w:type="pct"/>
            <w:vAlign w:val="center"/>
          </w:tcPr>
          <w:p w:rsidR="000E6BAE" w:rsidRDefault="00CD6463">
            <w:pPr>
              <w:spacing w:before="29" w:line="288" w:lineRule="auto"/>
              <w:jc w:val="right"/>
              <w:rPr>
                <w:szCs w:val="21"/>
              </w:rPr>
            </w:pPr>
            <w:r>
              <w:rPr>
                <w:szCs w:val="21"/>
              </w:rPr>
              <w:t>1,964,651.14</w:t>
            </w:r>
          </w:p>
        </w:tc>
        <w:tc>
          <w:tcPr>
            <w:tcW w:w="686" w:type="pct"/>
            <w:vAlign w:val="center"/>
          </w:tcPr>
          <w:p w:rsidR="000E6BAE" w:rsidRDefault="00CD6463">
            <w:pPr>
              <w:spacing w:before="29" w:line="288" w:lineRule="auto"/>
              <w:jc w:val="right"/>
              <w:rPr>
                <w:szCs w:val="21"/>
              </w:rPr>
            </w:pPr>
            <w:r>
              <w:rPr>
                <w:szCs w:val="21"/>
              </w:rPr>
              <w:t>-21,642.49</w:t>
            </w:r>
          </w:p>
        </w:tc>
        <w:tc>
          <w:tcPr>
            <w:tcW w:w="687" w:type="pct"/>
            <w:vAlign w:val="center"/>
          </w:tcPr>
          <w:p w:rsidR="000E6BAE" w:rsidRDefault="00CD6463">
            <w:pPr>
              <w:spacing w:before="29" w:line="288" w:lineRule="auto"/>
              <w:jc w:val="right"/>
              <w:rPr>
                <w:szCs w:val="21"/>
              </w:rPr>
            </w:pPr>
            <w:r>
              <w:rPr>
                <w:szCs w:val="21"/>
              </w:rPr>
              <w:t>63,743,942.09</w:t>
            </w:r>
          </w:p>
        </w:tc>
        <w:tc>
          <w:tcPr>
            <w:tcW w:w="687" w:type="pct"/>
            <w:vAlign w:val="center"/>
          </w:tcPr>
          <w:p w:rsidR="000E6BAE" w:rsidRDefault="00CD6463">
            <w:pPr>
              <w:spacing w:before="29" w:line="288" w:lineRule="auto"/>
              <w:jc w:val="right"/>
              <w:rPr>
                <w:szCs w:val="21"/>
              </w:rPr>
            </w:pPr>
            <w:r>
              <w:rPr>
                <w:szCs w:val="21"/>
              </w:rPr>
              <w:t>31,939.92</w:t>
            </w:r>
          </w:p>
        </w:tc>
        <w:tc>
          <w:tcPr>
            <w:tcW w:w="688" w:type="pct"/>
            <w:vAlign w:val="center"/>
          </w:tcPr>
          <w:p w:rsidR="000E6BAE" w:rsidRDefault="00CD6463">
            <w:pPr>
              <w:spacing w:before="29" w:line="288" w:lineRule="auto"/>
              <w:jc w:val="right"/>
              <w:rPr>
                <w:szCs w:val="21"/>
              </w:rPr>
            </w:pPr>
            <w:r>
              <w:rPr>
                <w:szCs w:val="21"/>
              </w:rPr>
              <w:t>213,361,933.93</w:t>
            </w:r>
          </w:p>
        </w:tc>
        <w:tc>
          <w:tcPr>
            <w:tcW w:w="744" w:type="pct"/>
            <w:vAlign w:val="center"/>
          </w:tcPr>
          <w:p w:rsidR="000E6BAE" w:rsidRDefault="00CD6463">
            <w:pPr>
              <w:spacing w:before="29" w:line="288" w:lineRule="auto"/>
              <w:jc w:val="right"/>
              <w:rPr>
                <w:szCs w:val="21"/>
              </w:rPr>
            </w:pPr>
            <w:r>
              <w:rPr>
                <w:szCs w:val="21"/>
              </w:rPr>
              <w:t>53,180.40</w:t>
            </w:r>
          </w:p>
        </w:tc>
      </w:tr>
      <w:tr w:rsidR="000E6BAE">
        <w:tc>
          <w:tcPr>
            <w:tcW w:w="823" w:type="pct"/>
            <w:vAlign w:val="center"/>
          </w:tcPr>
          <w:p w:rsidR="000E6BAE" w:rsidRDefault="00CD6463">
            <w:pPr>
              <w:spacing w:before="29" w:line="288" w:lineRule="auto"/>
              <w:rPr>
                <w:szCs w:val="21"/>
              </w:rPr>
            </w:pPr>
            <w:r>
              <w:rPr>
                <w:rFonts w:hint="eastAsia"/>
                <w:szCs w:val="21"/>
              </w:rPr>
              <w:t>加权平均基金份额本期利润</w:t>
            </w:r>
          </w:p>
        </w:tc>
        <w:tc>
          <w:tcPr>
            <w:tcW w:w="686" w:type="pct"/>
            <w:vAlign w:val="center"/>
          </w:tcPr>
          <w:p w:rsidR="000E6BAE" w:rsidRDefault="00CD6463">
            <w:pPr>
              <w:spacing w:before="29" w:line="288" w:lineRule="auto"/>
              <w:jc w:val="right"/>
              <w:rPr>
                <w:szCs w:val="21"/>
              </w:rPr>
            </w:pPr>
            <w:r>
              <w:rPr>
                <w:szCs w:val="21"/>
              </w:rPr>
              <w:t>0.0007</w:t>
            </w:r>
          </w:p>
        </w:tc>
        <w:tc>
          <w:tcPr>
            <w:tcW w:w="686" w:type="pct"/>
            <w:vAlign w:val="center"/>
          </w:tcPr>
          <w:p w:rsidR="000E6BAE" w:rsidRDefault="00CD6463">
            <w:pPr>
              <w:spacing w:before="29" w:line="288" w:lineRule="auto"/>
              <w:jc w:val="right"/>
              <w:rPr>
                <w:szCs w:val="21"/>
              </w:rPr>
            </w:pPr>
            <w:r>
              <w:rPr>
                <w:szCs w:val="21"/>
              </w:rPr>
              <w:t>-0.0088</w:t>
            </w:r>
          </w:p>
        </w:tc>
        <w:tc>
          <w:tcPr>
            <w:tcW w:w="687" w:type="pct"/>
            <w:vAlign w:val="center"/>
          </w:tcPr>
          <w:p w:rsidR="000E6BAE" w:rsidRDefault="00CD6463">
            <w:pPr>
              <w:spacing w:before="29" w:line="288" w:lineRule="auto"/>
              <w:jc w:val="right"/>
              <w:rPr>
                <w:szCs w:val="21"/>
              </w:rPr>
            </w:pPr>
            <w:r>
              <w:rPr>
                <w:szCs w:val="21"/>
              </w:rPr>
              <w:t>0.0386</w:t>
            </w:r>
          </w:p>
        </w:tc>
        <w:tc>
          <w:tcPr>
            <w:tcW w:w="687" w:type="pct"/>
            <w:vAlign w:val="center"/>
          </w:tcPr>
          <w:p w:rsidR="000E6BAE" w:rsidRDefault="00CD6463">
            <w:pPr>
              <w:spacing w:before="29" w:line="288" w:lineRule="auto"/>
              <w:jc w:val="right"/>
              <w:rPr>
                <w:szCs w:val="21"/>
              </w:rPr>
            </w:pPr>
            <w:r>
              <w:rPr>
                <w:szCs w:val="21"/>
              </w:rPr>
              <w:t>0.0360</w:t>
            </w:r>
          </w:p>
        </w:tc>
        <w:tc>
          <w:tcPr>
            <w:tcW w:w="688" w:type="pct"/>
            <w:vAlign w:val="center"/>
          </w:tcPr>
          <w:p w:rsidR="000E6BAE" w:rsidRDefault="00CD6463">
            <w:pPr>
              <w:spacing w:before="29" w:line="288" w:lineRule="auto"/>
              <w:jc w:val="right"/>
              <w:rPr>
                <w:szCs w:val="21"/>
              </w:rPr>
            </w:pPr>
            <w:r>
              <w:rPr>
                <w:szCs w:val="21"/>
              </w:rPr>
              <w:t>0.0729</w:t>
            </w:r>
          </w:p>
        </w:tc>
        <w:tc>
          <w:tcPr>
            <w:tcW w:w="744" w:type="pct"/>
            <w:vAlign w:val="center"/>
          </w:tcPr>
          <w:p w:rsidR="000E6BAE" w:rsidRDefault="00CD6463">
            <w:pPr>
              <w:spacing w:before="29" w:line="288" w:lineRule="auto"/>
              <w:jc w:val="right"/>
              <w:rPr>
                <w:szCs w:val="21"/>
              </w:rPr>
            </w:pPr>
            <w:r>
              <w:rPr>
                <w:szCs w:val="21"/>
              </w:rPr>
              <w:t>0.0506</w:t>
            </w:r>
          </w:p>
        </w:tc>
      </w:tr>
      <w:tr w:rsidR="000E6BAE">
        <w:tc>
          <w:tcPr>
            <w:tcW w:w="823" w:type="pct"/>
            <w:vAlign w:val="center"/>
          </w:tcPr>
          <w:p w:rsidR="000E6BAE" w:rsidRDefault="00CD6463">
            <w:pPr>
              <w:spacing w:before="29" w:line="288" w:lineRule="auto"/>
              <w:rPr>
                <w:szCs w:val="21"/>
              </w:rPr>
            </w:pPr>
            <w:r>
              <w:rPr>
                <w:rFonts w:hint="eastAsia"/>
                <w:szCs w:val="21"/>
              </w:rPr>
              <w:t>本期加权平均净值利润率</w:t>
            </w:r>
          </w:p>
        </w:tc>
        <w:tc>
          <w:tcPr>
            <w:tcW w:w="686" w:type="pct"/>
            <w:vAlign w:val="center"/>
          </w:tcPr>
          <w:p w:rsidR="000E6BAE" w:rsidRDefault="00CD6463">
            <w:pPr>
              <w:spacing w:before="29" w:line="288" w:lineRule="auto"/>
              <w:jc w:val="right"/>
              <w:rPr>
                <w:szCs w:val="21"/>
              </w:rPr>
            </w:pPr>
            <w:r>
              <w:rPr>
                <w:szCs w:val="21"/>
              </w:rPr>
              <w:t>0.07%</w:t>
            </w:r>
          </w:p>
        </w:tc>
        <w:tc>
          <w:tcPr>
            <w:tcW w:w="686" w:type="pct"/>
            <w:vAlign w:val="center"/>
          </w:tcPr>
          <w:p w:rsidR="000E6BAE" w:rsidRDefault="00CD6463">
            <w:pPr>
              <w:spacing w:before="29" w:line="288" w:lineRule="auto"/>
              <w:jc w:val="right"/>
              <w:rPr>
                <w:szCs w:val="21"/>
              </w:rPr>
            </w:pPr>
            <w:r>
              <w:rPr>
                <w:szCs w:val="21"/>
              </w:rPr>
              <w:t>-0.81%</w:t>
            </w:r>
          </w:p>
        </w:tc>
        <w:tc>
          <w:tcPr>
            <w:tcW w:w="687" w:type="pct"/>
            <w:vAlign w:val="center"/>
          </w:tcPr>
          <w:p w:rsidR="000E6BAE" w:rsidRDefault="00CD6463">
            <w:pPr>
              <w:spacing w:before="29" w:line="288" w:lineRule="auto"/>
              <w:jc w:val="right"/>
              <w:rPr>
                <w:szCs w:val="21"/>
              </w:rPr>
            </w:pPr>
            <w:r>
              <w:rPr>
                <w:szCs w:val="21"/>
              </w:rPr>
              <w:t>3.70%</w:t>
            </w:r>
          </w:p>
        </w:tc>
        <w:tc>
          <w:tcPr>
            <w:tcW w:w="687" w:type="pct"/>
            <w:vAlign w:val="center"/>
          </w:tcPr>
          <w:p w:rsidR="000E6BAE" w:rsidRDefault="00CD6463">
            <w:pPr>
              <w:spacing w:before="29" w:line="288" w:lineRule="auto"/>
              <w:jc w:val="right"/>
              <w:rPr>
                <w:szCs w:val="21"/>
              </w:rPr>
            </w:pPr>
            <w:r>
              <w:rPr>
                <w:szCs w:val="21"/>
              </w:rPr>
              <w:t>3.39%</w:t>
            </w:r>
          </w:p>
        </w:tc>
        <w:tc>
          <w:tcPr>
            <w:tcW w:w="688" w:type="pct"/>
            <w:vAlign w:val="center"/>
          </w:tcPr>
          <w:p w:rsidR="000E6BAE" w:rsidRDefault="00CD6463">
            <w:pPr>
              <w:spacing w:before="29" w:line="288" w:lineRule="auto"/>
              <w:jc w:val="right"/>
              <w:rPr>
                <w:szCs w:val="21"/>
              </w:rPr>
            </w:pPr>
            <w:r>
              <w:rPr>
                <w:szCs w:val="21"/>
              </w:rPr>
              <w:t>7.08%</w:t>
            </w:r>
          </w:p>
        </w:tc>
        <w:tc>
          <w:tcPr>
            <w:tcW w:w="744" w:type="pct"/>
            <w:vAlign w:val="center"/>
          </w:tcPr>
          <w:p w:rsidR="000E6BAE" w:rsidRDefault="00CD6463">
            <w:pPr>
              <w:spacing w:before="29" w:line="288" w:lineRule="auto"/>
              <w:jc w:val="right"/>
              <w:rPr>
                <w:szCs w:val="21"/>
              </w:rPr>
            </w:pPr>
            <w:r>
              <w:rPr>
                <w:szCs w:val="21"/>
              </w:rPr>
              <w:t>4.98%</w:t>
            </w:r>
          </w:p>
        </w:tc>
      </w:tr>
      <w:tr w:rsidR="000E6BAE">
        <w:tc>
          <w:tcPr>
            <w:tcW w:w="823" w:type="pct"/>
            <w:vAlign w:val="center"/>
          </w:tcPr>
          <w:p w:rsidR="000E6BAE" w:rsidRDefault="00CD6463">
            <w:pPr>
              <w:spacing w:before="29" w:line="288" w:lineRule="auto"/>
              <w:rPr>
                <w:szCs w:val="21"/>
              </w:rPr>
            </w:pPr>
            <w:r>
              <w:rPr>
                <w:rFonts w:hint="eastAsia"/>
                <w:szCs w:val="21"/>
              </w:rPr>
              <w:t>本期基金份额净值增长率</w:t>
            </w:r>
          </w:p>
        </w:tc>
        <w:tc>
          <w:tcPr>
            <w:tcW w:w="686" w:type="pct"/>
            <w:vAlign w:val="center"/>
          </w:tcPr>
          <w:p w:rsidR="000E6BAE" w:rsidRDefault="00CD6463">
            <w:pPr>
              <w:spacing w:before="29" w:line="288" w:lineRule="auto"/>
              <w:jc w:val="right"/>
              <w:rPr>
                <w:szCs w:val="21"/>
              </w:rPr>
            </w:pPr>
            <w:r>
              <w:rPr>
                <w:szCs w:val="21"/>
              </w:rPr>
              <w:t>2.44%</w:t>
            </w:r>
          </w:p>
        </w:tc>
        <w:tc>
          <w:tcPr>
            <w:tcW w:w="686" w:type="pct"/>
            <w:vAlign w:val="center"/>
          </w:tcPr>
          <w:p w:rsidR="000E6BAE" w:rsidRDefault="00CD6463">
            <w:pPr>
              <w:spacing w:before="29" w:line="288" w:lineRule="auto"/>
              <w:jc w:val="right"/>
              <w:rPr>
                <w:szCs w:val="21"/>
              </w:rPr>
            </w:pPr>
            <w:r>
              <w:rPr>
                <w:szCs w:val="21"/>
              </w:rPr>
              <w:t>2.02%</w:t>
            </w:r>
          </w:p>
        </w:tc>
        <w:tc>
          <w:tcPr>
            <w:tcW w:w="687" w:type="pct"/>
            <w:vAlign w:val="center"/>
          </w:tcPr>
          <w:p w:rsidR="000E6BAE" w:rsidRDefault="00CD6463">
            <w:pPr>
              <w:spacing w:before="29" w:line="288" w:lineRule="auto"/>
              <w:jc w:val="right"/>
              <w:rPr>
                <w:szCs w:val="21"/>
              </w:rPr>
            </w:pPr>
            <w:r>
              <w:rPr>
                <w:szCs w:val="21"/>
              </w:rPr>
              <w:t>3.86%</w:t>
            </w:r>
          </w:p>
        </w:tc>
        <w:tc>
          <w:tcPr>
            <w:tcW w:w="687" w:type="pct"/>
            <w:vAlign w:val="center"/>
          </w:tcPr>
          <w:p w:rsidR="000E6BAE" w:rsidRDefault="00CD6463">
            <w:pPr>
              <w:spacing w:before="29" w:line="288" w:lineRule="auto"/>
              <w:jc w:val="right"/>
              <w:rPr>
                <w:szCs w:val="21"/>
              </w:rPr>
            </w:pPr>
            <w:r>
              <w:rPr>
                <w:szCs w:val="21"/>
              </w:rPr>
              <w:t>3.46%</w:t>
            </w:r>
          </w:p>
        </w:tc>
        <w:tc>
          <w:tcPr>
            <w:tcW w:w="688" w:type="pct"/>
            <w:vAlign w:val="center"/>
          </w:tcPr>
          <w:p w:rsidR="000E6BAE" w:rsidRDefault="00CD6463">
            <w:pPr>
              <w:spacing w:before="29" w:line="288" w:lineRule="auto"/>
              <w:jc w:val="right"/>
              <w:rPr>
                <w:szCs w:val="21"/>
              </w:rPr>
            </w:pPr>
            <w:r>
              <w:rPr>
                <w:szCs w:val="21"/>
              </w:rPr>
              <w:t>6.06%</w:t>
            </w:r>
          </w:p>
        </w:tc>
        <w:tc>
          <w:tcPr>
            <w:tcW w:w="744" w:type="pct"/>
            <w:vAlign w:val="center"/>
          </w:tcPr>
          <w:p w:rsidR="000E6BAE" w:rsidRDefault="00CD6463">
            <w:pPr>
              <w:spacing w:before="29" w:line="288" w:lineRule="auto"/>
              <w:jc w:val="right"/>
              <w:rPr>
                <w:szCs w:val="21"/>
              </w:rPr>
            </w:pPr>
            <w:r>
              <w:rPr>
                <w:szCs w:val="21"/>
              </w:rPr>
              <w:t>5.30%</w:t>
            </w:r>
          </w:p>
        </w:tc>
      </w:tr>
      <w:tr w:rsidR="000E6BAE">
        <w:tc>
          <w:tcPr>
            <w:tcW w:w="822" w:type="pct"/>
            <w:vMerge w:val="restart"/>
            <w:vAlign w:val="center"/>
          </w:tcPr>
          <w:p w:rsidR="000E6BAE" w:rsidRDefault="00CD6463">
            <w:pPr>
              <w:spacing w:before="29" w:line="288" w:lineRule="auto"/>
              <w:ind w:leftChars="-51" w:left="-107" w:rightChars="-51" w:right="-107"/>
              <w:rPr>
                <w:b/>
                <w:color w:val="000000"/>
                <w:szCs w:val="21"/>
              </w:rPr>
            </w:pPr>
            <w:r>
              <w:rPr>
                <w:b/>
                <w:color w:val="000000"/>
                <w:szCs w:val="21"/>
              </w:rPr>
              <w:t>3.1.2</w:t>
            </w:r>
            <w:r>
              <w:rPr>
                <w:rFonts w:hint="eastAsia"/>
                <w:b/>
                <w:color w:val="000000"/>
                <w:szCs w:val="21"/>
              </w:rPr>
              <w:t>期末数据和指标</w:t>
            </w:r>
          </w:p>
        </w:tc>
        <w:tc>
          <w:tcPr>
            <w:tcW w:w="1374" w:type="pct"/>
            <w:gridSpan w:val="2"/>
            <w:vAlign w:val="center"/>
          </w:tcPr>
          <w:p w:rsidR="000E6BAE" w:rsidRDefault="00CD6463">
            <w:pPr>
              <w:spacing w:before="29" w:line="288" w:lineRule="auto"/>
              <w:jc w:val="center"/>
              <w:rPr>
                <w:b/>
                <w:color w:val="000000"/>
                <w:szCs w:val="21"/>
              </w:rPr>
            </w:pPr>
            <w:r>
              <w:rPr>
                <w:b/>
                <w:color w:val="000000"/>
                <w:szCs w:val="21"/>
              </w:rPr>
              <w:t>2020</w:t>
            </w:r>
            <w:r>
              <w:rPr>
                <w:rFonts w:hint="eastAsia"/>
                <w:b/>
                <w:color w:val="000000"/>
                <w:szCs w:val="21"/>
              </w:rPr>
              <w:t>年末</w:t>
            </w:r>
          </w:p>
        </w:tc>
        <w:tc>
          <w:tcPr>
            <w:tcW w:w="1376" w:type="pct"/>
            <w:gridSpan w:val="2"/>
            <w:vAlign w:val="center"/>
          </w:tcPr>
          <w:p w:rsidR="000E6BAE" w:rsidRDefault="00CD6463">
            <w:pPr>
              <w:spacing w:before="29" w:line="288" w:lineRule="auto"/>
              <w:jc w:val="center"/>
              <w:rPr>
                <w:b/>
                <w:color w:val="000000"/>
                <w:szCs w:val="21"/>
              </w:rPr>
            </w:pPr>
            <w:r>
              <w:rPr>
                <w:b/>
                <w:color w:val="000000"/>
                <w:szCs w:val="21"/>
              </w:rPr>
              <w:t>2019</w:t>
            </w:r>
            <w:r>
              <w:rPr>
                <w:rFonts w:hint="eastAsia"/>
                <w:b/>
                <w:color w:val="000000"/>
                <w:szCs w:val="21"/>
              </w:rPr>
              <w:t>年末</w:t>
            </w:r>
          </w:p>
        </w:tc>
        <w:tc>
          <w:tcPr>
            <w:tcW w:w="1428" w:type="pct"/>
            <w:gridSpan w:val="2"/>
            <w:vAlign w:val="center"/>
          </w:tcPr>
          <w:p w:rsidR="000E6BAE" w:rsidRDefault="00CD6463">
            <w:pPr>
              <w:spacing w:before="29" w:line="288" w:lineRule="auto"/>
              <w:jc w:val="center"/>
              <w:rPr>
                <w:b/>
                <w:color w:val="000000"/>
                <w:szCs w:val="21"/>
              </w:rPr>
            </w:pPr>
            <w:r>
              <w:rPr>
                <w:b/>
                <w:color w:val="000000"/>
                <w:szCs w:val="21"/>
              </w:rPr>
              <w:t>2018</w:t>
            </w:r>
            <w:r>
              <w:rPr>
                <w:rFonts w:hint="eastAsia"/>
                <w:b/>
                <w:color w:val="000000"/>
                <w:szCs w:val="21"/>
              </w:rPr>
              <w:t>年末</w:t>
            </w:r>
          </w:p>
        </w:tc>
      </w:tr>
      <w:tr w:rsidR="000E6BAE">
        <w:trPr>
          <w:trHeight w:val="373"/>
        </w:trPr>
        <w:tc>
          <w:tcPr>
            <w:tcW w:w="822" w:type="pct"/>
            <w:vMerge/>
            <w:vAlign w:val="center"/>
          </w:tcPr>
          <w:p w:rsidR="000E6BAE" w:rsidRDefault="000E6BAE">
            <w:pPr>
              <w:widowControl/>
              <w:spacing w:line="360" w:lineRule="auto"/>
              <w:jc w:val="left"/>
              <w:rPr>
                <w:rFonts w:asciiTheme="minorEastAsia" w:eastAsiaTheme="minorEastAsia" w:hAnsiTheme="minorEastAsia"/>
                <w:b/>
                <w:color w:val="000000"/>
                <w:szCs w:val="21"/>
              </w:rPr>
            </w:pPr>
          </w:p>
        </w:tc>
        <w:tc>
          <w:tcPr>
            <w:tcW w:w="687" w:type="pct"/>
            <w:vAlign w:val="center"/>
          </w:tcPr>
          <w:p w:rsidR="000E6BAE" w:rsidRDefault="00CD6463">
            <w:pPr>
              <w:spacing w:before="29" w:line="288" w:lineRule="auto"/>
              <w:rPr>
                <w:szCs w:val="21"/>
              </w:rPr>
            </w:pPr>
            <w:r>
              <w:rPr>
                <w:szCs w:val="21"/>
              </w:rPr>
              <w:t>交银丰润收益债券</w:t>
            </w:r>
            <w:r>
              <w:rPr>
                <w:szCs w:val="21"/>
              </w:rPr>
              <w:t>A</w:t>
            </w:r>
          </w:p>
        </w:tc>
        <w:tc>
          <w:tcPr>
            <w:tcW w:w="687" w:type="pct"/>
            <w:vAlign w:val="center"/>
          </w:tcPr>
          <w:p w:rsidR="000E6BAE" w:rsidRDefault="00CD6463">
            <w:pPr>
              <w:spacing w:before="29" w:line="288" w:lineRule="auto"/>
              <w:rPr>
                <w:szCs w:val="21"/>
              </w:rPr>
            </w:pPr>
            <w:r>
              <w:rPr>
                <w:szCs w:val="21"/>
              </w:rPr>
              <w:t>交银丰润收益债券</w:t>
            </w:r>
            <w:r>
              <w:rPr>
                <w:szCs w:val="21"/>
              </w:rPr>
              <w:t>C</w:t>
            </w:r>
          </w:p>
        </w:tc>
        <w:tc>
          <w:tcPr>
            <w:tcW w:w="688" w:type="pct"/>
            <w:vAlign w:val="center"/>
          </w:tcPr>
          <w:p w:rsidR="000E6BAE" w:rsidRDefault="00CD6463">
            <w:pPr>
              <w:spacing w:before="29" w:line="288" w:lineRule="auto"/>
              <w:rPr>
                <w:szCs w:val="21"/>
              </w:rPr>
            </w:pPr>
            <w:r>
              <w:rPr>
                <w:szCs w:val="21"/>
              </w:rPr>
              <w:t>交银丰润收益债券</w:t>
            </w:r>
            <w:r>
              <w:rPr>
                <w:szCs w:val="21"/>
              </w:rPr>
              <w:t>A</w:t>
            </w:r>
          </w:p>
        </w:tc>
        <w:tc>
          <w:tcPr>
            <w:tcW w:w="688" w:type="pct"/>
            <w:vAlign w:val="center"/>
          </w:tcPr>
          <w:p w:rsidR="000E6BAE" w:rsidRDefault="00CD6463">
            <w:pPr>
              <w:spacing w:before="29" w:line="288" w:lineRule="auto"/>
              <w:rPr>
                <w:szCs w:val="21"/>
              </w:rPr>
            </w:pPr>
            <w:r>
              <w:rPr>
                <w:szCs w:val="21"/>
              </w:rPr>
              <w:t>交银丰润收益债券</w:t>
            </w:r>
            <w:r>
              <w:rPr>
                <w:szCs w:val="21"/>
              </w:rPr>
              <w:t>C</w:t>
            </w:r>
          </w:p>
        </w:tc>
        <w:tc>
          <w:tcPr>
            <w:tcW w:w="684" w:type="pct"/>
            <w:vAlign w:val="center"/>
          </w:tcPr>
          <w:p w:rsidR="000E6BAE" w:rsidRDefault="00CD6463">
            <w:pPr>
              <w:spacing w:before="29" w:line="288" w:lineRule="auto"/>
              <w:rPr>
                <w:szCs w:val="21"/>
              </w:rPr>
            </w:pPr>
            <w:r>
              <w:rPr>
                <w:szCs w:val="21"/>
              </w:rPr>
              <w:t>交银丰润收益债券</w:t>
            </w:r>
            <w:r>
              <w:rPr>
                <w:szCs w:val="21"/>
              </w:rPr>
              <w:t>A</w:t>
            </w:r>
          </w:p>
        </w:tc>
        <w:tc>
          <w:tcPr>
            <w:tcW w:w="744" w:type="pct"/>
            <w:vAlign w:val="center"/>
          </w:tcPr>
          <w:p w:rsidR="000E6BAE" w:rsidRDefault="00CD6463">
            <w:pPr>
              <w:spacing w:before="29" w:line="288" w:lineRule="auto"/>
              <w:rPr>
                <w:szCs w:val="21"/>
              </w:rPr>
            </w:pPr>
            <w:r>
              <w:rPr>
                <w:szCs w:val="21"/>
              </w:rPr>
              <w:t>交银丰润收益债券</w:t>
            </w:r>
            <w:r>
              <w:rPr>
                <w:szCs w:val="21"/>
              </w:rPr>
              <w:t>C</w:t>
            </w:r>
          </w:p>
        </w:tc>
      </w:tr>
      <w:tr w:rsidR="000E6BAE">
        <w:tc>
          <w:tcPr>
            <w:tcW w:w="822" w:type="pct"/>
            <w:vAlign w:val="center"/>
          </w:tcPr>
          <w:p w:rsidR="000E6BAE" w:rsidRDefault="00CD6463">
            <w:pPr>
              <w:spacing w:before="29" w:line="288" w:lineRule="auto"/>
              <w:rPr>
                <w:szCs w:val="21"/>
              </w:rPr>
            </w:pPr>
            <w:r>
              <w:rPr>
                <w:rFonts w:hint="eastAsia"/>
                <w:szCs w:val="21"/>
              </w:rPr>
              <w:t>期末可供分配利润</w:t>
            </w:r>
          </w:p>
        </w:tc>
        <w:tc>
          <w:tcPr>
            <w:tcW w:w="687" w:type="pct"/>
            <w:vAlign w:val="center"/>
          </w:tcPr>
          <w:p w:rsidR="000E6BAE" w:rsidRDefault="00CD6463">
            <w:pPr>
              <w:spacing w:before="29" w:line="288" w:lineRule="auto"/>
              <w:jc w:val="right"/>
              <w:rPr>
                <w:szCs w:val="21"/>
              </w:rPr>
            </w:pPr>
            <w:r>
              <w:rPr>
                <w:szCs w:val="21"/>
              </w:rPr>
              <w:t>21,664,339.10</w:t>
            </w:r>
          </w:p>
        </w:tc>
        <w:tc>
          <w:tcPr>
            <w:tcW w:w="687" w:type="pct"/>
            <w:vAlign w:val="center"/>
          </w:tcPr>
          <w:p w:rsidR="000E6BAE" w:rsidRDefault="00CD6463">
            <w:pPr>
              <w:spacing w:before="29" w:line="288" w:lineRule="auto"/>
              <w:jc w:val="right"/>
              <w:rPr>
                <w:szCs w:val="21"/>
              </w:rPr>
            </w:pPr>
            <w:r>
              <w:rPr>
                <w:szCs w:val="21"/>
              </w:rPr>
              <w:t>179,098.79</w:t>
            </w:r>
          </w:p>
        </w:tc>
        <w:tc>
          <w:tcPr>
            <w:tcW w:w="688" w:type="pct"/>
            <w:vAlign w:val="center"/>
          </w:tcPr>
          <w:p w:rsidR="000E6BAE" w:rsidRDefault="00CD6463">
            <w:pPr>
              <w:spacing w:before="29" w:line="288" w:lineRule="auto"/>
              <w:jc w:val="right"/>
              <w:rPr>
                <w:szCs w:val="21"/>
              </w:rPr>
            </w:pPr>
            <w:r>
              <w:rPr>
                <w:szCs w:val="21"/>
              </w:rPr>
              <w:t>160,839,141.24</w:t>
            </w:r>
          </w:p>
        </w:tc>
        <w:tc>
          <w:tcPr>
            <w:tcW w:w="688" w:type="pct"/>
            <w:vAlign w:val="center"/>
          </w:tcPr>
          <w:p w:rsidR="000E6BAE" w:rsidRDefault="00CD6463">
            <w:pPr>
              <w:spacing w:before="29" w:line="288" w:lineRule="auto"/>
              <w:jc w:val="right"/>
              <w:rPr>
                <w:szCs w:val="21"/>
              </w:rPr>
            </w:pPr>
            <w:r>
              <w:rPr>
                <w:szCs w:val="21"/>
              </w:rPr>
              <w:t>69,822.97</w:t>
            </w:r>
          </w:p>
        </w:tc>
        <w:tc>
          <w:tcPr>
            <w:tcW w:w="684" w:type="pct"/>
            <w:vAlign w:val="center"/>
          </w:tcPr>
          <w:p w:rsidR="000E6BAE" w:rsidRDefault="00CD6463">
            <w:pPr>
              <w:spacing w:before="29" w:line="288" w:lineRule="auto"/>
              <w:jc w:val="right"/>
              <w:rPr>
                <w:szCs w:val="21"/>
              </w:rPr>
            </w:pPr>
            <w:r>
              <w:rPr>
                <w:szCs w:val="21"/>
              </w:rPr>
              <w:t>53,731,801.97</w:t>
            </w:r>
          </w:p>
        </w:tc>
        <w:tc>
          <w:tcPr>
            <w:tcW w:w="744" w:type="pct"/>
            <w:vAlign w:val="center"/>
          </w:tcPr>
          <w:p w:rsidR="000E6BAE" w:rsidRDefault="00CD6463">
            <w:pPr>
              <w:spacing w:before="29" w:line="288" w:lineRule="auto"/>
              <w:jc w:val="right"/>
              <w:rPr>
                <w:szCs w:val="21"/>
              </w:rPr>
            </w:pPr>
            <w:r>
              <w:rPr>
                <w:szCs w:val="21"/>
              </w:rPr>
              <w:t>39,980.54</w:t>
            </w:r>
          </w:p>
        </w:tc>
      </w:tr>
      <w:tr w:rsidR="000E6BAE">
        <w:tc>
          <w:tcPr>
            <w:tcW w:w="822" w:type="pct"/>
            <w:vAlign w:val="center"/>
          </w:tcPr>
          <w:p w:rsidR="000E6BAE" w:rsidRDefault="00CD6463">
            <w:pPr>
              <w:spacing w:before="29" w:line="288" w:lineRule="auto"/>
              <w:rPr>
                <w:szCs w:val="21"/>
              </w:rPr>
            </w:pPr>
            <w:r>
              <w:rPr>
                <w:rFonts w:hint="eastAsia"/>
                <w:szCs w:val="21"/>
              </w:rPr>
              <w:t>期末可供分配基金份额利润</w:t>
            </w:r>
          </w:p>
        </w:tc>
        <w:tc>
          <w:tcPr>
            <w:tcW w:w="687" w:type="pct"/>
            <w:vAlign w:val="center"/>
          </w:tcPr>
          <w:p w:rsidR="000E6BAE" w:rsidRDefault="00CD6463">
            <w:pPr>
              <w:spacing w:before="29" w:line="288" w:lineRule="auto"/>
              <w:jc w:val="right"/>
              <w:rPr>
                <w:szCs w:val="21"/>
              </w:rPr>
            </w:pPr>
            <w:r>
              <w:rPr>
                <w:szCs w:val="21"/>
              </w:rPr>
              <w:t>0.0164</w:t>
            </w:r>
          </w:p>
        </w:tc>
        <w:tc>
          <w:tcPr>
            <w:tcW w:w="687" w:type="pct"/>
            <w:vAlign w:val="center"/>
          </w:tcPr>
          <w:p w:rsidR="000E6BAE" w:rsidRDefault="00CD6463">
            <w:pPr>
              <w:spacing w:before="29" w:line="288" w:lineRule="auto"/>
              <w:jc w:val="right"/>
              <w:rPr>
                <w:szCs w:val="21"/>
              </w:rPr>
            </w:pPr>
            <w:r>
              <w:rPr>
                <w:szCs w:val="21"/>
              </w:rPr>
              <w:t>0.0883</w:t>
            </w:r>
          </w:p>
        </w:tc>
        <w:tc>
          <w:tcPr>
            <w:tcW w:w="688" w:type="pct"/>
            <w:vAlign w:val="center"/>
          </w:tcPr>
          <w:p w:rsidR="000E6BAE" w:rsidRDefault="00CD6463">
            <w:pPr>
              <w:spacing w:before="29" w:line="288" w:lineRule="auto"/>
              <w:jc w:val="right"/>
              <w:rPr>
                <w:szCs w:val="21"/>
              </w:rPr>
            </w:pPr>
            <w:r>
              <w:rPr>
                <w:szCs w:val="21"/>
              </w:rPr>
              <w:t>0.0493</w:t>
            </w:r>
          </w:p>
        </w:tc>
        <w:tc>
          <w:tcPr>
            <w:tcW w:w="688" w:type="pct"/>
            <w:vAlign w:val="center"/>
          </w:tcPr>
          <w:p w:rsidR="000E6BAE" w:rsidRDefault="00CD6463">
            <w:pPr>
              <w:spacing w:before="29" w:line="288" w:lineRule="auto"/>
              <w:jc w:val="right"/>
              <w:rPr>
                <w:szCs w:val="21"/>
              </w:rPr>
            </w:pPr>
            <w:r>
              <w:rPr>
                <w:szCs w:val="21"/>
              </w:rPr>
              <w:t>0.0746</w:t>
            </w:r>
          </w:p>
        </w:tc>
        <w:tc>
          <w:tcPr>
            <w:tcW w:w="684" w:type="pct"/>
            <w:vAlign w:val="center"/>
          </w:tcPr>
          <w:p w:rsidR="000E6BAE" w:rsidRDefault="00CD6463">
            <w:pPr>
              <w:spacing w:before="29" w:line="288" w:lineRule="auto"/>
              <w:jc w:val="right"/>
              <w:rPr>
                <w:szCs w:val="21"/>
              </w:rPr>
            </w:pPr>
            <w:r>
              <w:rPr>
                <w:szCs w:val="21"/>
              </w:rPr>
              <w:t>0.0500</w:t>
            </w:r>
          </w:p>
        </w:tc>
        <w:tc>
          <w:tcPr>
            <w:tcW w:w="744" w:type="pct"/>
            <w:vAlign w:val="center"/>
          </w:tcPr>
          <w:p w:rsidR="000E6BAE" w:rsidRDefault="00CD6463">
            <w:pPr>
              <w:spacing w:before="29" w:line="288" w:lineRule="auto"/>
              <w:jc w:val="right"/>
              <w:rPr>
                <w:szCs w:val="21"/>
              </w:rPr>
            </w:pPr>
            <w:r>
              <w:rPr>
                <w:szCs w:val="21"/>
              </w:rPr>
              <w:t>0.0440</w:t>
            </w:r>
          </w:p>
        </w:tc>
      </w:tr>
      <w:tr w:rsidR="000E6BAE">
        <w:tc>
          <w:tcPr>
            <w:tcW w:w="822" w:type="pct"/>
            <w:vAlign w:val="center"/>
          </w:tcPr>
          <w:p w:rsidR="000E6BAE" w:rsidRDefault="00CD6463">
            <w:pPr>
              <w:spacing w:before="29" w:line="288" w:lineRule="auto"/>
              <w:rPr>
                <w:szCs w:val="21"/>
              </w:rPr>
            </w:pPr>
            <w:r>
              <w:rPr>
                <w:rFonts w:hint="eastAsia"/>
                <w:szCs w:val="21"/>
              </w:rPr>
              <w:t>期末基金资产净值</w:t>
            </w:r>
          </w:p>
        </w:tc>
        <w:tc>
          <w:tcPr>
            <w:tcW w:w="687" w:type="pct"/>
            <w:vAlign w:val="center"/>
          </w:tcPr>
          <w:p w:rsidR="000E6BAE" w:rsidRDefault="00CD6463">
            <w:pPr>
              <w:spacing w:before="29" w:line="288" w:lineRule="auto"/>
              <w:jc w:val="right"/>
              <w:rPr>
                <w:szCs w:val="21"/>
              </w:rPr>
            </w:pPr>
            <w:r>
              <w:rPr>
                <w:szCs w:val="21"/>
              </w:rPr>
              <w:t>1,345,720,932.62</w:t>
            </w:r>
          </w:p>
        </w:tc>
        <w:tc>
          <w:tcPr>
            <w:tcW w:w="687" w:type="pct"/>
            <w:vAlign w:val="center"/>
          </w:tcPr>
          <w:p w:rsidR="000E6BAE" w:rsidRDefault="00CD6463">
            <w:pPr>
              <w:spacing w:before="29" w:line="288" w:lineRule="auto"/>
              <w:jc w:val="right"/>
              <w:rPr>
                <w:szCs w:val="21"/>
              </w:rPr>
            </w:pPr>
            <w:r>
              <w:rPr>
                <w:szCs w:val="21"/>
              </w:rPr>
              <w:t>2,208,184.79</w:t>
            </w:r>
          </w:p>
        </w:tc>
        <w:tc>
          <w:tcPr>
            <w:tcW w:w="688" w:type="pct"/>
            <w:vAlign w:val="center"/>
          </w:tcPr>
          <w:p w:rsidR="000E6BAE" w:rsidRDefault="00CD6463">
            <w:pPr>
              <w:spacing w:before="29" w:line="288" w:lineRule="auto"/>
              <w:jc w:val="right"/>
              <w:rPr>
                <w:szCs w:val="21"/>
              </w:rPr>
            </w:pPr>
            <w:r>
              <w:rPr>
                <w:szCs w:val="21"/>
              </w:rPr>
              <w:t>3,421,515,517.04</w:t>
            </w:r>
          </w:p>
        </w:tc>
        <w:tc>
          <w:tcPr>
            <w:tcW w:w="688" w:type="pct"/>
            <w:vAlign w:val="center"/>
          </w:tcPr>
          <w:p w:rsidR="000E6BAE" w:rsidRDefault="00CD6463">
            <w:pPr>
              <w:spacing w:before="29" w:line="288" w:lineRule="auto"/>
              <w:jc w:val="right"/>
              <w:rPr>
                <w:szCs w:val="21"/>
              </w:rPr>
            </w:pPr>
            <w:r>
              <w:rPr>
                <w:szCs w:val="21"/>
              </w:rPr>
              <w:t>1,005,999.16</w:t>
            </w:r>
          </w:p>
        </w:tc>
        <w:tc>
          <w:tcPr>
            <w:tcW w:w="684" w:type="pct"/>
            <w:vAlign w:val="center"/>
          </w:tcPr>
          <w:p w:rsidR="000E6BAE" w:rsidRDefault="00CD6463">
            <w:pPr>
              <w:spacing w:before="29" w:line="288" w:lineRule="auto"/>
              <w:jc w:val="right"/>
              <w:rPr>
                <w:szCs w:val="21"/>
              </w:rPr>
            </w:pPr>
            <w:r>
              <w:rPr>
                <w:szCs w:val="21"/>
              </w:rPr>
              <w:t>1,132,106,669.78</w:t>
            </w:r>
          </w:p>
        </w:tc>
        <w:tc>
          <w:tcPr>
            <w:tcW w:w="744" w:type="pct"/>
            <w:vAlign w:val="center"/>
          </w:tcPr>
          <w:p w:rsidR="000E6BAE" w:rsidRDefault="00CD6463">
            <w:pPr>
              <w:spacing w:before="29" w:line="288" w:lineRule="auto"/>
              <w:jc w:val="right"/>
              <w:rPr>
                <w:szCs w:val="21"/>
              </w:rPr>
            </w:pPr>
            <w:r>
              <w:rPr>
                <w:szCs w:val="21"/>
              </w:rPr>
              <w:t>958,929.55</w:t>
            </w:r>
          </w:p>
        </w:tc>
      </w:tr>
      <w:tr w:rsidR="000E6BAE">
        <w:tc>
          <w:tcPr>
            <w:tcW w:w="822" w:type="pct"/>
            <w:vAlign w:val="center"/>
          </w:tcPr>
          <w:p w:rsidR="000E6BAE" w:rsidRDefault="00CD6463">
            <w:pPr>
              <w:spacing w:before="29" w:line="288" w:lineRule="auto"/>
              <w:rPr>
                <w:szCs w:val="21"/>
              </w:rPr>
            </w:pPr>
            <w:r>
              <w:rPr>
                <w:rFonts w:hint="eastAsia"/>
                <w:szCs w:val="21"/>
              </w:rPr>
              <w:t>期末基金份额净值</w:t>
            </w:r>
          </w:p>
        </w:tc>
        <w:tc>
          <w:tcPr>
            <w:tcW w:w="687" w:type="pct"/>
            <w:vAlign w:val="center"/>
          </w:tcPr>
          <w:p w:rsidR="000E6BAE" w:rsidRDefault="00CD6463">
            <w:pPr>
              <w:spacing w:before="29" w:line="288" w:lineRule="auto"/>
              <w:jc w:val="right"/>
              <w:rPr>
                <w:szCs w:val="21"/>
              </w:rPr>
            </w:pPr>
            <w:r>
              <w:rPr>
                <w:szCs w:val="21"/>
              </w:rPr>
              <w:t>1.0164</w:t>
            </w:r>
          </w:p>
        </w:tc>
        <w:tc>
          <w:tcPr>
            <w:tcW w:w="687" w:type="pct"/>
            <w:vAlign w:val="center"/>
          </w:tcPr>
          <w:p w:rsidR="000E6BAE" w:rsidRDefault="00CD6463">
            <w:pPr>
              <w:spacing w:before="29" w:line="288" w:lineRule="auto"/>
              <w:jc w:val="right"/>
              <w:rPr>
                <w:szCs w:val="21"/>
              </w:rPr>
            </w:pPr>
            <w:r>
              <w:rPr>
                <w:szCs w:val="21"/>
              </w:rPr>
              <w:t>1.0883</w:t>
            </w:r>
          </w:p>
        </w:tc>
        <w:tc>
          <w:tcPr>
            <w:tcW w:w="688" w:type="pct"/>
            <w:vAlign w:val="center"/>
          </w:tcPr>
          <w:p w:rsidR="000E6BAE" w:rsidRDefault="00CD6463">
            <w:pPr>
              <w:spacing w:before="29" w:line="288" w:lineRule="auto"/>
              <w:jc w:val="right"/>
              <w:rPr>
                <w:szCs w:val="21"/>
              </w:rPr>
            </w:pPr>
            <w:r>
              <w:rPr>
                <w:szCs w:val="21"/>
              </w:rPr>
              <w:t>1.0493</w:t>
            </w:r>
          </w:p>
        </w:tc>
        <w:tc>
          <w:tcPr>
            <w:tcW w:w="688" w:type="pct"/>
            <w:vAlign w:val="center"/>
          </w:tcPr>
          <w:p w:rsidR="000E6BAE" w:rsidRDefault="00CD6463">
            <w:pPr>
              <w:spacing w:before="29" w:line="288" w:lineRule="auto"/>
              <w:jc w:val="right"/>
              <w:rPr>
                <w:szCs w:val="21"/>
              </w:rPr>
            </w:pPr>
            <w:r>
              <w:rPr>
                <w:szCs w:val="21"/>
              </w:rPr>
              <w:t>1.0746</w:t>
            </w:r>
          </w:p>
        </w:tc>
        <w:tc>
          <w:tcPr>
            <w:tcW w:w="684" w:type="pct"/>
            <w:vAlign w:val="center"/>
          </w:tcPr>
          <w:p w:rsidR="000E6BAE" w:rsidRDefault="00CD6463">
            <w:pPr>
              <w:spacing w:before="29" w:line="288" w:lineRule="auto"/>
              <w:jc w:val="right"/>
              <w:rPr>
                <w:szCs w:val="21"/>
              </w:rPr>
            </w:pPr>
            <w:r>
              <w:rPr>
                <w:szCs w:val="21"/>
              </w:rPr>
              <w:t>1.0498</w:t>
            </w:r>
          </w:p>
        </w:tc>
        <w:tc>
          <w:tcPr>
            <w:tcW w:w="744" w:type="pct"/>
            <w:vAlign w:val="center"/>
          </w:tcPr>
          <w:p w:rsidR="000E6BAE" w:rsidRDefault="00CD6463">
            <w:pPr>
              <w:spacing w:before="29" w:line="288" w:lineRule="auto"/>
              <w:jc w:val="right"/>
              <w:rPr>
                <w:szCs w:val="21"/>
              </w:rPr>
            </w:pPr>
            <w:r>
              <w:rPr>
                <w:szCs w:val="21"/>
              </w:rPr>
              <w:t>1.0435</w:t>
            </w:r>
          </w:p>
        </w:tc>
      </w:tr>
      <w:tr w:rsidR="000E6BAE">
        <w:tc>
          <w:tcPr>
            <w:tcW w:w="822" w:type="pct"/>
            <w:vMerge w:val="restart"/>
            <w:vAlign w:val="center"/>
          </w:tcPr>
          <w:p w:rsidR="000E6BAE" w:rsidRDefault="00CD6463">
            <w:pPr>
              <w:spacing w:before="29" w:line="288" w:lineRule="auto"/>
              <w:ind w:leftChars="-51" w:left="-107" w:rightChars="-51" w:right="-107"/>
              <w:rPr>
                <w:b/>
                <w:color w:val="000000"/>
                <w:szCs w:val="21"/>
              </w:rPr>
            </w:pPr>
            <w:r>
              <w:rPr>
                <w:b/>
                <w:color w:val="000000"/>
                <w:szCs w:val="21"/>
              </w:rPr>
              <w:t>3.1.3</w:t>
            </w:r>
            <w:r>
              <w:rPr>
                <w:rFonts w:hint="eastAsia"/>
                <w:b/>
                <w:color w:val="000000"/>
                <w:szCs w:val="21"/>
              </w:rPr>
              <w:t>累计期末指标</w:t>
            </w:r>
          </w:p>
        </w:tc>
        <w:tc>
          <w:tcPr>
            <w:tcW w:w="1374" w:type="pct"/>
            <w:gridSpan w:val="2"/>
            <w:vAlign w:val="center"/>
          </w:tcPr>
          <w:p w:rsidR="000E6BAE" w:rsidRDefault="00CD6463">
            <w:pPr>
              <w:spacing w:before="29" w:line="288" w:lineRule="auto"/>
              <w:jc w:val="center"/>
              <w:rPr>
                <w:b/>
                <w:color w:val="000000"/>
                <w:szCs w:val="21"/>
              </w:rPr>
            </w:pPr>
            <w:r>
              <w:rPr>
                <w:b/>
                <w:color w:val="000000"/>
                <w:szCs w:val="21"/>
              </w:rPr>
              <w:t>2020</w:t>
            </w:r>
            <w:r>
              <w:rPr>
                <w:rFonts w:hint="eastAsia"/>
                <w:b/>
                <w:color w:val="000000"/>
                <w:szCs w:val="21"/>
              </w:rPr>
              <w:t>年末</w:t>
            </w:r>
          </w:p>
        </w:tc>
        <w:tc>
          <w:tcPr>
            <w:tcW w:w="1375" w:type="pct"/>
            <w:gridSpan w:val="2"/>
            <w:vAlign w:val="center"/>
          </w:tcPr>
          <w:p w:rsidR="000E6BAE" w:rsidRDefault="00CD6463">
            <w:pPr>
              <w:spacing w:before="29" w:line="288" w:lineRule="auto"/>
              <w:jc w:val="center"/>
              <w:rPr>
                <w:b/>
                <w:color w:val="000000"/>
                <w:szCs w:val="21"/>
              </w:rPr>
            </w:pPr>
            <w:r>
              <w:rPr>
                <w:b/>
                <w:color w:val="000000"/>
                <w:szCs w:val="21"/>
              </w:rPr>
              <w:t>2019</w:t>
            </w:r>
            <w:r>
              <w:rPr>
                <w:rFonts w:hint="eastAsia"/>
                <w:b/>
                <w:color w:val="000000"/>
                <w:szCs w:val="21"/>
              </w:rPr>
              <w:t>年末</w:t>
            </w:r>
          </w:p>
        </w:tc>
        <w:tc>
          <w:tcPr>
            <w:tcW w:w="1430" w:type="pct"/>
            <w:gridSpan w:val="2"/>
            <w:vAlign w:val="center"/>
          </w:tcPr>
          <w:p w:rsidR="000E6BAE" w:rsidRDefault="00CD6463">
            <w:pPr>
              <w:spacing w:before="29" w:line="288" w:lineRule="auto"/>
              <w:jc w:val="center"/>
              <w:rPr>
                <w:b/>
                <w:color w:val="000000"/>
                <w:szCs w:val="21"/>
              </w:rPr>
            </w:pPr>
            <w:r>
              <w:rPr>
                <w:b/>
                <w:color w:val="000000"/>
                <w:szCs w:val="21"/>
              </w:rPr>
              <w:t>2018</w:t>
            </w:r>
            <w:r>
              <w:rPr>
                <w:rFonts w:hint="eastAsia"/>
                <w:b/>
                <w:color w:val="000000"/>
                <w:szCs w:val="21"/>
              </w:rPr>
              <w:t>年末</w:t>
            </w:r>
          </w:p>
        </w:tc>
      </w:tr>
      <w:tr w:rsidR="000E6BAE">
        <w:tc>
          <w:tcPr>
            <w:tcW w:w="822" w:type="pct"/>
            <w:vMerge/>
            <w:vAlign w:val="center"/>
          </w:tcPr>
          <w:p w:rsidR="000E6BAE" w:rsidRDefault="000E6BAE">
            <w:pPr>
              <w:widowControl/>
              <w:spacing w:line="360" w:lineRule="auto"/>
              <w:jc w:val="left"/>
              <w:rPr>
                <w:rFonts w:asciiTheme="minorEastAsia" w:eastAsiaTheme="minorEastAsia" w:hAnsiTheme="minorEastAsia"/>
                <w:b/>
                <w:color w:val="000000"/>
                <w:szCs w:val="21"/>
              </w:rPr>
            </w:pPr>
          </w:p>
        </w:tc>
        <w:tc>
          <w:tcPr>
            <w:tcW w:w="687" w:type="pct"/>
            <w:vAlign w:val="center"/>
          </w:tcPr>
          <w:p w:rsidR="000E6BAE" w:rsidRDefault="00CD6463">
            <w:pPr>
              <w:spacing w:before="29" w:line="288" w:lineRule="auto"/>
              <w:rPr>
                <w:szCs w:val="21"/>
              </w:rPr>
            </w:pPr>
            <w:r>
              <w:rPr>
                <w:szCs w:val="21"/>
              </w:rPr>
              <w:t>交银丰润收益债券</w:t>
            </w:r>
            <w:r>
              <w:rPr>
                <w:szCs w:val="21"/>
              </w:rPr>
              <w:t>A</w:t>
            </w:r>
          </w:p>
        </w:tc>
        <w:tc>
          <w:tcPr>
            <w:tcW w:w="687" w:type="pct"/>
            <w:vAlign w:val="center"/>
          </w:tcPr>
          <w:p w:rsidR="000E6BAE" w:rsidRDefault="00CD6463">
            <w:pPr>
              <w:spacing w:before="29" w:line="288" w:lineRule="auto"/>
              <w:rPr>
                <w:szCs w:val="21"/>
              </w:rPr>
            </w:pPr>
            <w:r>
              <w:rPr>
                <w:szCs w:val="21"/>
              </w:rPr>
              <w:t>交银丰润收益债券</w:t>
            </w:r>
            <w:r>
              <w:rPr>
                <w:szCs w:val="21"/>
              </w:rPr>
              <w:t>C</w:t>
            </w:r>
          </w:p>
        </w:tc>
        <w:tc>
          <w:tcPr>
            <w:tcW w:w="687" w:type="pct"/>
            <w:vAlign w:val="center"/>
          </w:tcPr>
          <w:p w:rsidR="000E6BAE" w:rsidRDefault="00CD6463">
            <w:pPr>
              <w:spacing w:before="29" w:line="288" w:lineRule="auto"/>
              <w:rPr>
                <w:szCs w:val="21"/>
              </w:rPr>
            </w:pPr>
            <w:r>
              <w:rPr>
                <w:szCs w:val="21"/>
              </w:rPr>
              <w:t>交银丰润收益债券</w:t>
            </w:r>
            <w:r>
              <w:rPr>
                <w:szCs w:val="21"/>
              </w:rPr>
              <w:t>A</w:t>
            </w:r>
          </w:p>
        </w:tc>
        <w:tc>
          <w:tcPr>
            <w:tcW w:w="688" w:type="pct"/>
            <w:vAlign w:val="center"/>
          </w:tcPr>
          <w:p w:rsidR="000E6BAE" w:rsidRDefault="00CD6463">
            <w:pPr>
              <w:spacing w:before="29" w:line="288" w:lineRule="auto"/>
              <w:rPr>
                <w:szCs w:val="21"/>
              </w:rPr>
            </w:pPr>
            <w:r>
              <w:rPr>
                <w:szCs w:val="21"/>
              </w:rPr>
              <w:t>交银丰润收益债券</w:t>
            </w:r>
            <w:r>
              <w:rPr>
                <w:szCs w:val="21"/>
              </w:rPr>
              <w:t>C</w:t>
            </w:r>
          </w:p>
        </w:tc>
        <w:tc>
          <w:tcPr>
            <w:tcW w:w="687" w:type="pct"/>
            <w:vAlign w:val="center"/>
          </w:tcPr>
          <w:p w:rsidR="000E6BAE" w:rsidRDefault="00CD6463">
            <w:pPr>
              <w:spacing w:before="29" w:line="288" w:lineRule="auto"/>
              <w:rPr>
                <w:szCs w:val="21"/>
              </w:rPr>
            </w:pPr>
            <w:r>
              <w:rPr>
                <w:szCs w:val="21"/>
              </w:rPr>
              <w:t>交银丰润收益债券</w:t>
            </w:r>
            <w:r>
              <w:rPr>
                <w:szCs w:val="21"/>
              </w:rPr>
              <w:t>A</w:t>
            </w:r>
          </w:p>
        </w:tc>
        <w:tc>
          <w:tcPr>
            <w:tcW w:w="743" w:type="pct"/>
            <w:vAlign w:val="center"/>
          </w:tcPr>
          <w:p w:rsidR="000E6BAE" w:rsidRDefault="00CD6463">
            <w:pPr>
              <w:spacing w:before="29" w:line="288" w:lineRule="auto"/>
              <w:rPr>
                <w:szCs w:val="21"/>
              </w:rPr>
            </w:pPr>
            <w:r>
              <w:rPr>
                <w:szCs w:val="21"/>
              </w:rPr>
              <w:t>交银丰润收益债券</w:t>
            </w:r>
            <w:r>
              <w:rPr>
                <w:szCs w:val="21"/>
              </w:rPr>
              <w:t>C</w:t>
            </w:r>
          </w:p>
        </w:tc>
      </w:tr>
      <w:tr w:rsidR="000E6BAE">
        <w:tc>
          <w:tcPr>
            <w:tcW w:w="822" w:type="pct"/>
            <w:vAlign w:val="center"/>
          </w:tcPr>
          <w:p w:rsidR="000E6BAE" w:rsidRDefault="00CD6463">
            <w:pPr>
              <w:spacing w:before="29" w:line="288" w:lineRule="auto"/>
              <w:rPr>
                <w:rFonts w:asciiTheme="minorEastAsia" w:eastAsiaTheme="minorEastAsia" w:hAnsiTheme="minorEastAsia"/>
                <w:szCs w:val="21"/>
              </w:rPr>
            </w:pPr>
            <w:r>
              <w:rPr>
                <w:rFonts w:hint="eastAsia"/>
                <w:szCs w:val="21"/>
              </w:rPr>
              <w:t>基金份额累计净值增长率</w:t>
            </w:r>
          </w:p>
        </w:tc>
        <w:tc>
          <w:tcPr>
            <w:tcW w:w="687" w:type="pct"/>
            <w:vAlign w:val="center"/>
          </w:tcPr>
          <w:p w:rsidR="000E6BAE" w:rsidRDefault="00CD6463">
            <w:pPr>
              <w:spacing w:before="29" w:line="288" w:lineRule="auto"/>
              <w:jc w:val="right"/>
              <w:rPr>
                <w:szCs w:val="21"/>
              </w:rPr>
            </w:pPr>
            <w:r>
              <w:rPr>
                <w:szCs w:val="21"/>
              </w:rPr>
              <w:t>31.25%</w:t>
            </w:r>
          </w:p>
        </w:tc>
        <w:tc>
          <w:tcPr>
            <w:tcW w:w="687" w:type="pct"/>
            <w:vAlign w:val="center"/>
          </w:tcPr>
          <w:p w:rsidR="000E6BAE" w:rsidRDefault="00CD6463">
            <w:pPr>
              <w:spacing w:before="29" w:line="288" w:lineRule="auto"/>
              <w:jc w:val="right"/>
              <w:rPr>
                <w:szCs w:val="21"/>
              </w:rPr>
            </w:pPr>
            <w:r>
              <w:rPr>
                <w:szCs w:val="21"/>
              </w:rPr>
              <w:t>23.51%</w:t>
            </w:r>
          </w:p>
        </w:tc>
        <w:tc>
          <w:tcPr>
            <w:tcW w:w="687" w:type="pct"/>
            <w:vAlign w:val="center"/>
          </w:tcPr>
          <w:p w:rsidR="000E6BAE" w:rsidRDefault="00CD6463">
            <w:pPr>
              <w:spacing w:before="29" w:line="288" w:lineRule="auto"/>
              <w:jc w:val="right"/>
              <w:rPr>
                <w:szCs w:val="21"/>
              </w:rPr>
            </w:pPr>
            <w:r>
              <w:rPr>
                <w:szCs w:val="21"/>
              </w:rPr>
              <w:t>28.13%</w:t>
            </w:r>
          </w:p>
        </w:tc>
        <w:tc>
          <w:tcPr>
            <w:tcW w:w="688" w:type="pct"/>
            <w:vAlign w:val="center"/>
          </w:tcPr>
          <w:p w:rsidR="000E6BAE" w:rsidRDefault="00CD6463">
            <w:pPr>
              <w:spacing w:before="29" w:line="288" w:lineRule="auto"/>
              <w:jc w:val="right"/>
              <w:rPr>
                <w:szCs w:val="21"/>
              </w:rPr>
            </w:pPr>
            <w:r>
              <w:rPr>
                <w:szCs w:val="21"/>
              </w:rPr>
              <w:t>21.06%</w:t>
            </w:r>
          </w:p>
        </w:tc>
        <w:tc>
          <w:tcPr>
            <w:tcW w:w="687" w:type="pct"/>
            <w:vAlign w:val="center"/>
          </w:tcPr>
          <w:p w:rsidR="000E6BAE" w:rsidRDefault="00CD6463">
            <w:pPr>
              <w:spacing w:before="29" w:line="288" w:lineRule="auto"/>
              <w:jc w:val="right"/>
              <w:rPr>
                <w:szCs w:val="21"/>
              </w:rPr>
            </w:pPr>
            <w:r>
              <w:rPr>
                <w:szCs w:val="21"/>
              </w:rPr>
              <w:t>23.36%</w:t>
            </w:r>
          </w:p>
        </w:tc>
        <w:tc>
          <w:tcPr>
            <w:tcW w:w="743" w:type="pct"/>
            <w:vAlign w:val="center"/>
          </w:tcPr>
          <w:p w:rsidR="000E6BAE" w:rsidRDefault="00CD6463">
            <w:pPr>
              <w:spacing w:before="29" w:line="288" w:lineRule="auto"/>
              <w:jc w:val="right"/>
              <w:rPr>
                <w:szCs w:val="21"/>
              </w:rPr>
            </w:pPr>
            <w:r>
              <w:rPr>
                <w:szCs w:val="21"/>
              </w:rPr>
              <w:t>17.01%</w:t>
            </w:r>
          </w:p>
        </w:tc>
      </w:tr>
    </w:tbl>
    <w:p w:rsidR="000E6BAE" w:rsidRDefault="00CD6463">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类业绩指标不包括持有人认购或交易基金的各项费用，计入费用后的实际收益水平要低于所列数字；</w:t>
      </w:r>
    </w:p>
    <w:p w:rsidR="000E6BAE" w:rsidRDefault="00CD6463">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0E6BAE" w:rsidRDefault="000E6BAE">
      <w:pPr>
        <w:spacing w:line="360" w:lineRule="auto"/>
        <w:rPr>
          <w:rFonts w:asciiTheme="minorEastAsia" w:eastAsiaTheme="minorEastAsia" w:hAnsiTheme="minorEastAsia"/>
          <w:color w:val="000000"/>
          <w:szCs w:val="21"/>
        </w:rPr>
      </w:pPr>
    </w:p>
    <w:p w:rsidR="000E6BAE" w:rsidRDefault="00CD6463">
      <w:pPr>
        <w:pStyle w:val="2"/>
        <w:spacing w:before="29" w:after="0" w:line="288" w:lineRule="auto"/>
        <w:rPr>
          <w:rFonts w:eastAsiaTheme="minorEastAsia"/>
        </w:rPr>
      </w:pPr>
      <w:bookmarkStart w:id="33" w:name="_Toc225498252"/>
      <w:bookmarkStart w:id="34" w:name="_Toc361324852"/>
      <w:bookmarkStart w:id="35" w:name="_Toc32242"/>
      <w:r>
        <w:rPr>
          <w:rFonts w:eastAsiaTheme="minorEastAsia"/>
        </w:rPr>
        <w:t xml:space="preserve">3.2 </w:t>
      </w:r>
      <w:r>
        <w:rPr>
          <w:rFonts w:eastAsiaTheme="minorEastAsia" w:hint="eastAsia"/>
        </w:rPr>
        <w:t>基金净值表现</w:t>
      </w:r>
      <w:bookmarkEnd w:id="33"/>
      <w:bookmarkEnd w:id="34"/>
      <w:bookmarkEnd w:id="35"/>
    </w:p>
    <w:p w:rsidR="000E6BAE" w:rsidRDefault="00CD6463">
      <w:pPr>
        <w:spacing w:before="29" w:line="288" w:lineRule="auto"/>
        <w:rPr>
          <w:rFonts w:eastAsiaTheme="minorEastAsia"/>
          <w:b/>
          <w:sz w:val="24"/>
        </w:rPr>
      </w:pPr>
      <w:r>
        <w:rPr>
          <w:rFonts w:eastAsiaTheme="minorEastAsia"/>
          <w:b/>
          <w:sz w:val="24"/>
        </w:rPr>
        <w:t xml:space="preserve">3.2.1 </w:t>
      </w:r>
      <w:r>
        <w:rPr>
          <w:rFonts w:eastAsiaTheme="minorEastAsia" w:hint="eastAsia"/>
          <w:b/>
          <w:sz w:val="24"/>
        </w:rPr>
        <w:t>基金份额净值增长率及其与同期业绩比较基准收益率的比较</w:t>
      </w:r>
    </w:p>
    <w:p w:rsidR="000E6BAE" w:rsidRDefault="00CD6463">
      <w:pPr>
        <w:pStyle w:val="21"/>
        <w:spacing w:before="29" w:line="288" w:lineRule="auto"/>
        <w:ind w:firstLineChars="0" w:firstLine="0"/>
        <w:rPr>
          <w:rFonts w:ascii="Times New Roman" w:hAnsi="Times New Roman"/>
          <w:color w:val="auto"/>
        </w:rPr>
      </w:pPr>
      <w:r>
        <w:rPr>
          <w:rFonts w:ascii="Times New Roman" w:hAnsi="Times New Roman"/>
          <w:color w:val="auto"/>
        </w:rPr>
        <w:t>1</w:t>
      </w:r>
      <w:r>
        <w:rPr>
          <w:rFonts w:ascii="Times New Roman" w:hAnsi="Times New Roman" w:hint="eastAsia"/>
          <w:color w:val="auto"/>
        </w:rPr>
        <w:t>．</w:t>
      </w:r>
      <w:r>
        <w:rPr>
          <w:rFonts w:ascii="Times New Roman" w:hAnsi="Times New Roman"/>
          <w:color w:val="auto"/>
        </w:rPr>
        <w:t>交银丰润收益债券</w:t>
      </w:r>
      <w:r>
        <w:rPr>
          <w:rFonts w:ascii="Times New Roman" w:hAnsi="Times New Roman"/>
          <w:color w:val="auto"/>
        </w:rPr>
        <w:t>A</w:t>
      </w:r>
      <w:r>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0E6BAE">
        <w:tc>
          <w:tcPr>
            <w:tcW w:w="3459" w:type="dxa"/>
            <w:vAlign w:val="center"/>
          </w:tcPr>
          <w:p w:rsidR="000E6BAE" w:rsidRDefault="00CD6463">
            <w:pPr>
              <w:spacing w:before="29" w:line="288" w:lineRule="auto"/>
              <w:jc w:val="center"/>
              <w:rPr>
                <w:color w:val="000000"/>
                <w:sz w:val="24"/>
              </w:rPr>
            </w:pPr>
            <w:r>
              <w:rPr>
                <w:rFonts w:hint="eastAsia"/>
                <w:color w:val="000000"/>
                <w:sz w:val="24"/>
              </w:rPr>
              <w:t>阶段</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份额净值增长率①</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份额净值增长率标准差②</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业绩比较基准收益率③</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业绩比较基准收益率标准差④</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①－③</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②－④</w:t>
            </w:r>
          </w:p>
        </w:tc>
      </w:tr>
      <w:tr w:rsidR="000E6BAE">
        <w:tc>
          <w:tcPr>
            <w:tcW w:w="1286" w:type="dxa"/>
            <w:vAlign w:val="center"/>
          </w:tcPr>
          <w:p w:rsidR="000E6BAE" w:rsidRDefault="00CD6463">
            <w:pPr>
              <w:jc w:val="left"/>
            </w:pPr>
            <w:r>
              <w:rPr>
                <w:color w:val="000000"/>
                <w:sz w:val="24"/>
              </w:rPr>
              <w:t>过去三个月</w:t>
            </w:r>
          </w:p>
        </w:tc>
        <w:tc>
          <w:tcPr>
            <w:tcW w:w="1286" w:type="dxa"/>
            <w:vAlign w:val="center"/>
          </w:tcPr>
          <w:p w:rsidR="000E6BAE" w:rsidRDefault="00CD6463">
            <w:pPr>
              <w:jc w:val="center"/>
            </w:pPr>
            <w:r>
              <w:rPr>
                <w:color w:val="000000"/>
                <w:sz w:val="24"/>
              </w:rPr>
              <w:t>1.31%</w:t>
            </w:r>
          </w:p>
        </w:tc>
        <w:tc>
          <w:tcPr>
            <w:tcW w:w="1286" w:type="dxa"/>
            <w:vAlign w:val="center"/>
          </w:tcPr>
          <w:p w:rsidR="000E6BAE" w:rsidRDefault="00CD6463">
            <w:pPr>
              <w:jc w:val="center"/>
            </w:pPr>
            <w:r>
              <w:rPr>
                <w:color w:val="000000"/>
                <w:sz w:val="24"/>
              </w:rPr>
              <w:t>0.04%</w:t>
            </w:r>
          </w:p>
        </w:tc>
        <w:tc>
          <w:tcPr>
            <w:tcW w:w="1285" w:type="dxa"/>
            <w:vAlign w:val="center"/>
          </w:tcPr>
          <w:p w:rsidR="000E6BAE" w:rsidRDefault="00CD6463">
            <w:pPr>
              <w:jc w:val="center"/>
            </w:pPr>
            <w:r>
              <w:rPr>
                <w:color w:val="000000"/>
                <w:sz w:val="24"/>
              </w:rPr>
              <w:t>0.64%</w:t>
            </w:r>
          </w:p>
        </w:tc>
        <w:tc>
          <w:tcPr>
            <w:tcW w:w="1285" w:type="dxa"/>
            <w:vAlign w:val="center"/>
          </w:tcPr>
          <w:p w:rsidR="000E6BAE" w:rsidRDefault="00CD6463">
            <w:pPr>
              <w:jc w:val="center"/>
            </w:pPr>
            <w:r>
              <w:rPr>
                <w:color w:val="000000"/>
                <w:sz w:val="24"/>
              </w:rPr>
              <w:t>0.04%</w:t>
            </w:r>
          </w:p>
        </w:tc>
        <w:tc>
          <w:tcPr>
            <w:tcW w:w="1285" w:type="dxa"/>
            <w:vAlign w:val="center"/>
          </w:tcPr>
          <w:p w:rsidR="000E6BAE" w:rsidRDefault="00CD6463">
            <w:pPr>
              <w:jc w:val="center"/>
            </w:pPr>
            <w:r>
              <w:rPr>
                <w:color w:val="000000"/>
                <w:sz w:val="24"/>
              </w:rPr>
              <w:t>0.67%</w:t>
            </w:r>
          </w:p>
        </w:tc>
        <w:tc>
          <w:tcPr>
            <w:tcW w:w="1285" w:type="dxa"/>
            <w:vAlign w:val="center"/>
          </w:tcPr>
          <w:p w:rsidR="000E6BAE" w:rsidRDefault="00CD6463">
            <w:pPr>
              <w:jc w:val="center"/>
            </w:pPr>
            <w:r>
              <w:rPr>
                <w:color w:val="000000"/>
                <w:sz w:val="24"/>
              </w:rPr>
              <w:t>0.00%</w:t>
            </w:r>
          </w:p>
        </w:tc>
      </w:tr>
      <w:tr w:rsidR="000E6BAE">
        <w:tc>
          <w:tcPr>
            <w:tcW w:w="1286" w:type="dxa"/>
            <w:vAlign w:val="center"/>
          </w:tcPr>
          <w:p w:rsidR="000E6BAE" w:rsidRDefault="00CD6463">
            <w:pPr>
              <w:jc w:val="left"/>
            </w:pPr>
            <w:r>
              <w:rPr>
                <w:color w:val="000000"/>
                <w:sz w:val="24"/>
              </w:rPr>
              <w:t>过去六个月</w:t>
            </w:r>
          </w:p>
        </w:tc>
        <w:tc>
          <w:tcPr>
            <w:tcW w:w="1286" w:type="dxa"/>
            <w:vAlign w:val="center"/>
          </w:tcPr>
          <w:p w:rsidR="000E6BAE" w:rsidRDefault="00CD6463">
            <w:pPr>
              <w:jc w:val="center"/>
            </w:pPr>
            <w:r>
              <w:rPr>
                <w:color w:val="000000"/>
                <w:sz w:val="24"/>
              </w:rPr>
              <w:t>0.67%</w:t>
            </w:r>
          </w:p>
        </w:tc>
        <w:tc>
          <w:tcPr>
            <w:tcW w:w="1286" w:type="dxa"/>
            <w:vAlign w:val="center"/>
          </w:tcPr>
          <w:p w:rsidR="000E6BAE" w:rsidRDefault="00CD6463">
            <w:pPr>
              <w:jc w:val="center"/>
            </w:pPr>
            <w:r>
              <w:rPr>
                <w:color w:val="000000"/>
                <w:sz w:val="24"/>
              </w:rPr>
              <w:t>0.08%</w:t>
            </w:r>
          </w:p>
        </w:tc>
        <w:tc>
          <w:tcPr>
            <w:tcW w:w="1285" w:type="dxa"/>
            <w:vAlign w:val="center"/>
          </w:tcPr>
          <w:p w:rsidR="000E6BAE" w:rsidRDefault="00CD6463">
            <w:pPr>
              <w:jc w:val="center"/>
            </w:pPr>
            <w:r>
              <w:rPr>
                <w:color w:val="000000"/>
                <w:sz w:val="24"/>
              </w:rPr>
              <w:t>-0.85%</w:t>
            </w:r>
          </w:p>
        </w:tc>
        <w:tc>
          <w:tcPr>
            <w:tcW w:w="1285"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1.52%</w:t>
            </w:r>
          </w:p>
        </w:tc>
        <w:tc>
          <w:tcPr>
            <w:tcW w:w="1285" w:type="dxa"/>
            <w:vAlign w:val="center"/>
          </w:tcPr>
          <w:p w:rsidR="000E6BAE" w:rsidRDefault="00CD6463">
            <w:pPr>
              <w:jc w:val="center"/>
            </w:pPr>
            <w:r>
              <w:rPr>
                <w:color w:val="000000"/>
                <w:sz w:val="24"/>
              </w:rPr>
              <w:t>0.01%</w:t>
            </w:r>
          </w:p>
        </w:tc>
      </w:tr>
      <w:tr w:rsidR="000E6BAE">
        <w:tc>
          <w:tcPr>
            <w:tcW w:w="1286" w:type="dxa"/>
            <w:vAlign w:val="center"/>
          </w:tcPr>
          <w:p w:rsidR="000E6BAE" w:rsidRDefault="00CD6463">
            <w:pPr>
              <w:jc w:val="left"/>
            </w:pPr>
            <w:r>
              <w:rPr>
                <w:color w:val="000000"/>
                <w:sz w:val="24"/>
              </w:rPr>
              <w:t>过去一年</w:t>
            </w:r>
          </w:p>
        </w:tc>
        <w:tc>
          <w:tcPr>
            <w:tcW w:w="1286" w:type="dxa"/>
            <w:vAlign w:val="center"/>
          </w:tcPr>
          <w:p w:rsidR="000E6BAE" w:rsidRDefault="00CD6463">
            <w:pPr>
              <w:jc w:val="center"/>
            </w:pPr>
            <w:r>
              <w:rPr>
                <w:color w:val="000000"/>
                <w:sz w:val="24"/>
              </w:rPr>
              <w:t>2.44%</w:t>
            </w:r>
          </w:p>
        </w:tc>
        <w:tc>
          <w:tcPr>
            <w:tcW w:w="1286" w:type="dxa"/>
            <w:vAlign w:val="center"/>
          </w:tcPr>
          <w:p w:rsidR="000E6BAE" w:rsidRDefault="00CD6463">
            <w:pPr>
              <w:jc w:val="center"/>
            </w:pPr>
            <w:r>
              <w:rPr>
                <w:color w:val="000000"/>
                <w:sz w:val="24"/>
              </w:rPr>
              <w:t>0.10%</w:t>
            </w:r>
          </w:p>
        </w:tc>
        <w:tc>
          <w:tcPr>
            <w:tcW w:w="1285"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0.09%</w:t>
            </w:r>
          </w:p>
        </w:tc>
        <w:tc>
          <w:tcPr>
            <w:tcW w:w="1285" w:type="dxa"/>
            <w:vAlign w:val="center"/>
          </w:tcPr>
          <w:p w:rsidR="000E6BAE" w:rsidRDefault="00CD6463">
            <w:pPr>
              <w:jc w:val="center"/>
            </w:pPr>
            <w:r>
              <w:rPr>
                <w:color w:val="000000"/>
                <w:sz w:val="24"/>
              </w:rPr>
              <w:t>2.51%</w:t>
            </w:r>
          </w:p>
        </w:tc>
        <w:tc>
          <w:tcPr>
            <w:tcW w:w="1285" w:type="dxa"/>
            <w:vAlign w:val="center"/>
          </w:tcPr>
          <w:p w:rsidR="000E6BAE" w:rsidRDefault="00CD6463">
            <w:pPr>
              <w:jc w:val="center"/>
            </w:pPr>
            <w:r>
              <w:rPr>
                <w:color w:val="000000"/>
                <w:sz w:val="24"/>
              </w:rPr>
              <w:t>0.01%</w:t>
            </w:r>
          </w:p>
        </w:tc>
      </w:tr>
      <w:tr w:rsidR="000E6BAE">
        <w:tc>
          <w:tcPr>
            <w:tcW w:w="1286" w:type="dxa"/>
            <w:vAlign w:val="center"/>
          </w:tcPr>
          <w:p w:rsidR="000E6BAE" w:rsidRDefault="00CD6463">
            <w:pPr>
              <w:jc w:val="left"/>
            </w:pPr>
            <w:r>
              <w:rPr>
                <w:color w:val="000000"/>
                <w:sz w:val="24"/>
              </w:rPr>
              <w:t>过去三年</w:t>
            </w:r>
          </w:p>
        </w:tc>
        <w:tc>
          <w:tcPr>
            <w:tcW w:w="1286" w:type="dxa"/>
            <w:vAlign w:val="center"/>
          </w:tcPr>
          <w:p w:rsidR="000E6BAE" w:rsidRDefault="00CD6463">
            <w:pPr>
              <w:jc w:val="center"/>
            </w:pPr>
            <w:r>
              <w:rPr>
                <w:color w:val="000000"/>
                <w:sz w:val="24"/>
              </w:rPr>
              <w:t>12.84%</w:t>
            </w:r>
          </w:p>
        </w:tc>
        <w:tc>
          <w:tcPr>
            <w:tcW w:w="1286"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6.09%</w:t>
            </w:r>
          </w:p>
        </w:tc>
        <w:tc>
          <w:tcPr>
            <w:tcW w:w="1285"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6.75%</w:t>
            </w:r>
          </w:p>
        </w:tc>
        <w:tc>
          <w:tcPr>
            <w:tcW w:w="1285" w:type="dxa"/>
            <w:vAlign w:val="center"/>
          </w:tcPr>
          <w:p w:rsidR="000E6BAE" w:rsidRDefault="00CD6463">
            <w:pPr>
              <w:jc w:val="center"/>
            </w:pPr>
            <w:r>
              <w:rPr>
                <w:color w:val="000000"/>
                <w:sz w:val="24"/>
              </w:rPr>
              <w:t>0.00%</w:t>
            </w:r>
          </w:p>
        </w:tc>
      </w:tr>
      <w:tr w:rsidR="000E6BAE">
        <w:tc>
          <w:tcPr>
            <w:tcW w:w="1286" w:type="dxa"/>
            <w:vAlign w:val="center"/>
          </w:tcPr>
          <w:p w:rsidR="000E6BAE" w:rsidRDefault="00CD6463">
            <w:pPr>
              <w:jc w:val="left"/>
            </w:pPr>
            <w:r>
              <w:rPr>
                <w:color w:val="000000"/>
                <w:sz w:val="24"/>
              </w:rPr>
              <w:t>过去五年</w:t>
            </w:r>
          </w:p>
        </w:tc>
        <w:tc>
          <w:tcPr>
            <w:tcW w:w="1286" w:type="dxa"/>
            <w:vAlign w:val="center"/>
          </w:tcPr>
          <w:p w:rsidR="000E6BAE" w:rsidRDefault="00CD6463">
            <w:pPr>
              <w:jc w:val="center"/>
            </w:pPr>
            <w:r>
              <w:rPr>
                <w:color w:val="000000"/>
                <w:sz w:val="24"/>
              </w:rPr>
              <w:t>18.88%</w:t>
            </w:r>
          </w:p>
        </w:tc>
        <w:tc>
          <w:tcPr>
            <w:tcW w:w="1286"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6.51%</w:t>
            </w:r>
          </w:p>
        </w:tc>
        <w:tc>
          <w:tcPr>
            <w:tcW w:w="1285"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12.37%</w:t>
            </w:r>
          </w:p>
        </w:tc>
        <w:tc>
          <w:tcPr>
            <w:tcW w:w="1285" w:type="dxa"/>
            <w:vAlign w:val="center"/>
          </w:tcPr>
          <w:p w:rsidR="000E6BAE" w:rsidRDefault="00CD6463">
            <w:pPr>
              <w:jc w:val="center"/>
            </w:pPr>
            <w:r>
              <w:rPr>
                <w:color w:val="000000"/>
                <w:sz w:val="24"/>
              </w:rPr>
              <w:t>0.00%</w:t>
            </w:r>
          </w:p>
        </w:tc>
      </w:tr>
      <w:tr w:rsidR="000E6BAE">
        <w:tc>
          <w:tcPr>
            <w:tcW w:w="1286" w:type="dxa"/>
            <w:vAlign w:val="center"/>
          </w:tcPr>
          <w:p w:rsidR="000E6BAE" w:rsidRDefault="00CD6463">
            <w:pPr>
              <w:jc w:val="left"/>
            </w:pPr>
            <w:r>
              <w:rPr>
                <w:color w:val="000000"/>
                <w:sz w:val="24"/>
              </w:rPr>
              <w:t>自基金合同生效至今</w:t>
            </w:r>
          </w:p>
        </w:tc>
        <w:tc>
          <w:tcPr>
            <w:tcW w:w="1286" w:type="dxa"/>
            <w:vAlign w:val="center"/>
          </w:tcPr>
          <w:p w:rsidR="000E6BAE" w:rsidRDefault="00CD6463">
            <w:pPr>
              <w:jc w:val="center"/>
            </w:pPr>
            <w:r>
              <w:rPr>
                <w:color w:val="000000"/>
                <w:sz w:val="24"/>
              </w:rPr>
              <w:t>31.25%</w:t>
            </w:r>
          </w:p>
        </w:tc>
        <w:tc>
          <w:tcPr>
            <w:tcW w:w="1286" w:type="dxa"/>
            <w:vAlign w:val="center"/>
          </w:tcPr>
          <w:p w:rsidR="000E6BAE" w:rsidRDefault="00CD6463">
            <w:pPr>
              <w:jc w:val="center"/>
            </w:pPr>
            <w:r>
              <w:rPr>
                <w:color w:val="000000"/>
                <w:sz w:val="24"/>
              </w:rPr>
              <w:t>0.09%</w:t>
            </w:r>
          </w:p>
        </w:tc>
        <w:tc>
          <w:tcPr>
            <w:tcW w:w="1285" w:type="dxa"/>
            <w:vAlign w:val="center"/>
          </w:tcPr>
          <w:p w:rsidR="000E6BAE" w:rsidRDefault="00CD6463">
            <w:pPr>
              <w:jc w:val="center"/>
            </w:pPr>
            <w:r>
              <w:rPr>
                <w:color w:val="000000"/>
                <w:sz w:val="24"/>
              </w:rPr>
              <w:t>11.02%</w:t>
            </w:r>
          </w:p>
        </w:tc>
        <w:tc>
          <w:tcPr>
            <w:tcW w:w="1285" w:type="dxa"/>
            <w:vAlign w:val="center"/>
          </w:tcPr>
          <w:p w:rsidR="000E6BAE" w:rsidRDefault="00CD6463">
            <w:pPr>
              <w:jc w:val="center"/>
            </w:pPr>
            <w:r>
              <w:rPr>
                <w:color w:val="000000"/>
                <w:sz w:val="24"/>
              </w:rPr>
              <w:t>0.06%</w:t>
            </w:r>
          </w:p>
        </w:tc>
        <w:tc>
          <w:tcPr>
            <w:tcW w:w="1285" w:type="dxa"/>
            <w:vAlign w:val="center"/>
          </w:tcPr>
          <w:p w:rsidR="000E6BAE" w:rsidRDefault="00CD6463">
            <w:pPr>
              <w:jc w:val="center"/>
            </w:pPr>
            <w:r>
              <w:rPr>
                <w:color w:val="000000"/>
                <w:sz w:val="24"/>
              </w:rPr>
              <w:t>20.23%</w:t>
            </w:r>
          </w:p>
        </w:tc>
        <w:tc>
          <w:tcPr>
            <w:tcW w:w="1285" w:type="dxa"/>
            <w:vAlign w:val="center"/>
          </w:tcPr>
          <w:p w:rsidR="000E6BAE" w:rsidRDefault="00CD6463">
            <w:pPr>
              <w:jc w:val="center"/>
            </w:pPr>
            <w:r>
              <w:rPr>
                <w:color w:val="000000"/>
                <w:sz w:val="24"/>
              </w:rPr>
              <w:t>0.03%</w:t>
            </w:r>
          </w:p>
        </w:tc>
      </w:tr>
    </w:tbl>
    <w:p w:rsidR="000E6BAE" w:rsidRDefault="00CD6463">
      <w:pPr>
        <w:tabs>
          <w:tab w:val="left" w:pos="426"/>
        </w:tabs>
        <w:spacing w:before="29" w:line="288" w:lineRule="auto"/>
        <w:jc w:val="left"/>
        <w:rPr>
          <w:kern w:val="0"/>
          <w:sz w:val="24"/>
        </w:rPr>
      </w:pPr>
      <w:r>
        <w:rPr>
          <w:kern w:val="0"/>
          <w:sz w:val="24"/>
        </w:rPr>
        <w:t>注：本基金封闭期内的业绩比较基准为两年期银行定期存款税后收益率</w:t>
      </w:r>
      <w:r>
        <w:rPr>
          <w:kern w:val="0"/>
          <w:sz w:val="24"/>
        </w:rPr>
        <w:t>+1.25%</w:t>
      </w:r>
      <w:r>
        <w:rPr>
          <w:kern w:val="0"/>
          <w:sz w:val="24"/>
        </w:rPr>
        <w:t>，开放期内业绩比较基准：中债综合全价指数。</w:t>
      </w:r>
    </w:p>
    <w:p w:rsidR="000E6BAE" w:rsidRDefault="000E6BAE">
      <w:pPr>
        <w:tabs>
          <w:tab w:val="left" w:pos="426"/>
        </w:tabs>
        <w:spacing w:before="29" w:line="288" w:lineRule="auto"/>
        <w:jc w:val="left"/>
        <w:rPr>
          <w:kern w:val="0"/>
          <w:sz w:val="24"/>
        </w:rPr>
      </w:pPr>
    </w:p>
    <w:p w:rsidR="000E6BAE" w:rsidRDefault="00CD6463">
      <w:pPr>
        <w:pStyle w:val="21"/>
        <w:spacing w:before="29" w:line="288" w:lineRule="auto"/>
        <w:ind w:firstLineChars="0" w:firstLine="0"/>
        <w:rPr>
          <w:rFonts w:ascii="Times New Roman" w:hAnsi="Times New Roman"/>
          <w:color w:val="auto"/>
        </w:rPr>
      </w:pPr>
      <w:r>
        <w:rPr>
          <w:rFonts w:ascii="Times New Roman" w:hAnsi="Times New Roman"/>
          <w:color w:val="auto"/>
        </w:rPr>
        <w:t>2</w:t>
      </w:r>
      <w:r>
        <w:rPr>
          <w:rFonts w:ascii="Times New Roman" w:hAnsi="Times New Roman" w:hint="eastAsia"/>
          <w:color w:val="auto"/>
        </w:rPr>
        <w:t>．</w:t>
      </w:r>
      <w:r>
        <w:rPr>
          <w:rFonts w:ascii="Times New Roman" w:hAnsi="Times New Roman"/>
          <w:color w:val="auto"/>
        </w:rPr>
        <w:t>交银丰润收益债券</w:t>
      </w:r>
      <w:r>
        <w:rPr>
          <w:rFonts w:ascii="Times New Roman" w:hAnsi="Times New Roman"/>
          <w:color w:val="auto"/>
        </w:rPr>
        <w:t>C</w:t>
      </w:r>
      <w:r>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0E6BAE">
        <w:tc>
          <w:tcPr>
            <w:tcW w:w="3459" w:type="dxa"/>
            <w:vAlign w:val="center"/>
          </w:tcPr>
          <w:p w:rsidR="000E6BAE" w:rsidRDefault="00CD6463">
            <w:pPr>
              <w:spacing w:before="29" w:line="288" w:lineRule="auto"/>
              <w:jc w:val="center"/>
              <w:rPr>
                <w:color w:val="000000"/>
                <w:sz w:val="24"/>
              </w:rPr>
            </w:pPr>
            <w:r>
              <w:rPr>
                <w:rFonts w:hint="eastAsia"/>
                <w:color w:val="000000"/>
                <w:sz w:val="24"/>
              </w:rPr>
              <w:t>阶段</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份额净值增长率①</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份额净值增长率标准差②</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业绩比较基准收益率③</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业绩比较基准收益率标准差④</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①－③</w:t>
            </w:r>
          </w:p>
        </w:tc>
        <w:tc>
          <w:tcPr>
            <w:tcW w:w="3459" w:type="dxa"/>
            <w:vAlign w:val="center"/>
          </w:tcPr>
          <w:p w:rsidR="000E6BAE" w:rsidRDefault="00CD6463">
            <w:pPr>
              <w:spacing w:before="29" w:line="288" w:lineRule="auto"/>
              <w:jc w:val="center"/>
              <w:rPr>
                <w:color w:val="000000"/>
                <w:sz w:val="24"/>
              </w:rPr>
            </w:pPr>
            <w:r>
              <w:rPr>
                <w:rFonts w:hint="eastAsia"/>
                <w:color w:val="000000"/>
                <w:sz w:val="24"/>
              </w:rPr>
              <w:t>②－④</w:t>
            </w:r>
          </w:p>
        </w:tc>
      </w:tr>
      <w:tr w:rsidR="000E6BAE">
        <w:tc>
          <w:tcPr>
            <w:tcW w:w="1286" w:type="dxa"/>
            <w:vAlign w:val="center"/>
          </w:tcPr>
          <w:p w:rsidR="000E6BAE" w:rsidRDefault="00CD6463">
            <w:pPr>
              <w:jc w:val="left"/>
            </w:pPr>
            <w:r>
              <w:rPr>
                <w:color w:val="000000"/>
                <w:sz w:val="24"/>
              </w:rPr>
              <w:t>过去三个月</w:t>
            </w:r>
          </w:p>
        </w:tc>
        <w:tc>
          <w:tcPr>
            <w:tcW w:w="1286" w:type="dxa"/>
            <w:vAlign w:val="center"/>
          </w:tcPr>
          <w:p w:rsidR="000E6BAE" w:rsidRDefault="00CD6463">
            <w:pPr>
              <w:jc w:val="center"/>
            </w:pPr>
            <w:r>
              <w:rPr>
                <w:color w:val="000000"/>
                <w:sz w:val="24"/>
              </w:rPr>
              <w:t>1.20%</w:t>
            </w:r>
          </w:p>
        </w:tc>
        <w:tc>
          <w:tcPr>
            <w:tcW w:w="1286" w:type="dxa"/>
            <w:vAlign w:val="center"/>
          </w:tcPr>
          <w:p w:rsidR="000E6BAE" w:rsidRDefault="00CD6463">
            <w:pPr>
              <w:jc w:val="center"/>
            </w:pPr>
            <w:r>
              <w:rPr>
                <w:color w:val="000000"/>
                <w:sz w:val="24"/>
              </w:rPr>
              <w:t>0.04%</w:t>
            </w:r>
          </w:p>
        </w:tc>
        <w:tc>
          <w:tcPr>
            <w:tcW w:w="1285" w:type="dxa"/>
            <w:vAlign w:val="center"/>
          </w:tcPr>
          <w:p w:rsidR="000E6BAE" w:rsidRDefault="00CD6463">
            <w:pPr>
              <w:jc w:val="center"/>
            </w:pPr>
            <w:r>
              <w:rPr>
                <w:color w:val="000000"/>
                <w:sz w:val="24"/>
              </w:rPr>
              <w:t>0.64%</w:t>
            </w:r>
          </w:p>
        </w:tc>
        <w:tc>
          <w:tcPr>
            <w:tcW w:w="1285" w:type="dxa"/>
            <w:vAlign w:val="center"/>
          </w:tcPr>
          <w:p w:rsidR="000E6BAE" w:rsidRDefault="00CD6463">
            <w:pPr>
              <w:jc w:val="center"/>
            </w:pPr>
            <w:r>
              <w:rPr>
                <w:color w:val="000000"/>
                <w:sz w:val="24"/>
              </w:rPr>
              <w:t>0.04%</w:t>
            </w:r>
          </w:p>
        </w:tc>
        <w:tc>
          <w:tcPr>
            <w:tcW w:w="1285" w:type="dxa"/>
            <w:vAlign w:val="center"/>
          </w:tcPr>
          <w:p w:rsidR="000E6BAE" w:rsidRDefault="00CD6463">
            <w:pPr>
              <w:jc w:val="center"/>
            </w:pPr>
            <w:r>
              <w:rPr>
                <w:color w:val="000000"/>
                <w:sz w:val="24"/>
              </w:rPr>
              <w:t>0.56%</w:t>
            </w:r>
          </w:p>
        </w:tc>
        <w:tc>
          <w:tcPr>
            <w:tcW w:w="1285" w:type="dxa"/>
            <w:vAlign w:val="center"/>
          </w:tcPr>
          <w:p w:rsidR="000E6BAE" w:rsidRDefault="00CD6463">
            <w:pPr>
              <w:jc w:val="center"/>
            </w:pPr>
            <w:r>
              <w:rPr>
                <w:color w:val="000000"/>
                <w:sz w:val="24"/>
              </w:rPr>
              <w:t>0.00%</w:t>
            </w:r>
          </w:p>
        </w:tc>
      </w:tr>
      <w:tr w:rsidR="000E6BAE">
        <w:tc>
          <w:tcPr>
            <w:tcW w:w="1286" w:type="dxa"/>
            <w:vAlign w:val="center"/>
          </w:tcPr>
          <w:p w:rsidR="000E6BAE" w:rsidRDefault="00CD6463">
            <w:pPr>
              <w:jc w:val="left"/>
            </w:pPr>
            <w:r>
              <w:rPr>
                <w:color w:val="000000"/>
                <w:sz w:val="24"/>
              </w:rPr>
              <w:t>过去六个月</w:t>
            </w:r>
          </w:p>
        </w:tc>
        <w:tc>
          <w:tcPr>
            <w:tcW w:w="1286" w:type="dxa"/>
            <w:vAlign w:val="center"/>
          </w:tcPr>
          <w:p w:rsidR="000E6BAE" w:rsidRDefault="00CD6463">
            <w:pPr>
              <w:jc w:val="center"/>
            </w:pPr>
            <w:r>
              <w:rPr>
                <w:color w:val="000000"/>
                <w:sz w:val="24"/>
              </w:rPr>
              <w:t>0.47%</w:t>
            </w:r>
          </w:p>
        </w:tc>
        <w:tc>
          <w:tcPr>
            <w:tcW w:w="1286" w:type="dxa"/>
            <w:vAlign w:val="center"/>
          </w:tcPr>
          <w:p w:rsidR="000E6BAE" w:rsidRDefault="00CD6463">
            <w:pPr>
              <w:jc w:val="center"/>
            </w:pPr>
            <w:r>
              <w:rPr>
                <w:color w:val="000000"/>
                <w:sz w:val="24"/>
              </w:rPr>
              <w:t>0.08%</w:t>
            </w:r>
          </w:p>
        </w:tc>
        <w:tc>
          <w:tcPr>
            <w:tcW w:w="1285" w:type="dxa"/>
            <w:vAlign w:val="center"/>
          </w:tcPr>
          <w:p w:rsidR="000E6BAE" w:rsidRDefault="00CD6463">
            <w:pPr>
              <w:jc w:val="center"/>
            </w:pPr>
            <w:r>
              <w:rPr>
                <w:color w:val="000000"/>
                <w:sz w:val="24"/>
              </w:rPr>
              <w:t>-0.85%</w:t>
            </w:r>
          </w:p>
        </w:tc>
        <w:tc>
          <w:tcPr>
            <w:tcW w:w="1285"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1.32%</w:t>
            </w:r>
          </w:p>
        </w:tc>
        <w:tc>
          <w:tcPr>
            <w:tcW w:w="1285" w:type="dxa"/>
            <w:vAlign w:val="center"/>
          </w:tcPr>
          <w:p w:rsidR="000E6BAE" w:rsidRDefault="00CD6463">
            <w:pPr>
              <w:jc w:val="center"/>
            </w:pPr>
            <w:r>
              <w:rPr>
                <w:color w:val="000000"/>
                <w:sz w:val="24"/>
              </w:rPr>
              <w:t>0.01%</w:t>
            </w:r>
          </w:p>
        </w:tc>
      </w:tr>
      <w:tr w:rsidR="000E6BAE">
        <w:tc>
          <w:tcPr>
            <w:tcW w:w="1286" w:type="dxa"/>
            <w:vAlign w:val="center"/>
          </w:tcPr>
          <w:p w:rsidR="000E6BAE" w:rsidRDefault="00CD6463">
            <w:pPr>
              <w:jc w:val="left"/>
            </w:pPr>
            <w:r>
              <w:rPr>
                <w:color w:val="000000"/>
                <w:sz w:val="24"/>
              </w:rPr>
              <w:t>过去一年</w:t>
            </w:r>
          </w:p>
        </w:tc>
        <w:tc>
          <w:tcPr>
            <w:tcW w:w="1286" w:type="dxa"/>
            <w:vAlign w:val="center"/>
          </w:tcPr>
          <w:p w:rsidR="000E6BAE" w:rsidRDefault="00CD6463">
            <w:pPr>
              <w:jc w:val="center"/>
            </w:pPr>
            <w:r>
              <w:rPr>
                <w:color w:val="000000"/>
                <w:sz w:val="24"/>
              </w:rPr>
              <w:t>2.02%</w:t>
            </w:r>
          </w:p>
        </w:tc>
        <w:tc>
          <w:tcPr>
            <w:tcW w:w="1286" w:type="dxa"/>
            <w:vAlign w:val="center"/>
          </w:tcPr>
          <w:p w:rsidR="000E6BAE" w:rsidRDefault="00CD6463">
            <w:pPr>
              <w:jc w:val="center"/>
            </w:pPr>
            <w:r>
              <w:rPr>
                <w:color w:val="000000"/>
                <w:sz w:val="24"/>
              </w:rPr>
              <w:t>0.10%</w:t>
            </w:r>
          </w:p>
        </w:tc>
        <w:tc>
          <w:tcPr>
            <w:tcW w:w="1285"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0.09%</w:t>
            </w:r>
          </w:p>
        </w:tc>
        <w:tc>
          <w:tcPr>
            <w:tcW w:w="1285" w:type="dxa"/>
            <w:vAlign w:val="center"/>
          </w:tcPr>
          <w:p w:rsidR="000E6BAE" w:rsidRDefault="00CD6463">
            <w:pPr>
              <w:jc w:val="center"/>
            </w:pPr>
            <w:r>
              <w:rPr>
                <w:color w:val="000000"/>
                <w:sz w:val="24"/>
              </w:rPr>
              <w:t>2.09%</w:t>
            </w:r>
          </w:p>
        </w:tc>
        <w:tc>
          <w:tcPr>
            <w:tcW w:w="1285" w:type="dxa"/>
            <w:vAlign w:val="center"/>
          </w:tcPr>
          <w:p w:rsidR="000E6BAE" w:rsidRDefault="00CD6463">
            <w:pPr>
              <w:jc w:val="center"/>
            </w:pPr>
            <w:r>
              <w:rPr>
                <w:color w:val="000000"/>
                <w:sz w:val="24"/>
              </w:rPr>
              <w:t>0.01%</w:t>
            </w:r>
          </w:p>
        </w:tc>
      </w:tr>
      <w:tr w:rsidR="000E6BAE">
        <w:tc>
          <w:tcPr>
            <w:tcW w:w="1286" w:type="dxa"/>
            <w:vAlign w:val="center"/>
          </w:tcPr>
          <w:p w:rsidR="000E6BAE" w:rsidRDefault="00CD6463">
            <w:pPr>
              <w:jc w:val="left"/>
            </w:pPr>
            <w:r>
              <w:rPr>
                <w:color w:val="000000"/>
                <w:sz w:val="24"/>
              </w:rPr>
              <w:t>过去三年</w:t>
            </w:r>
          </w:p>
        </w:tc>
        <w:tc>
          <w:tcPr>
            <w:tcW w:w="1286" w:type="dxa"/>
            <w:vAlign w:val="center"/>
          </w:tcPr>
          <w:p w:rsidR="000E6BAE" w:rsidRDefault="00CD6463">
            <w:pPr>
              <w:jc w:val="center"/>
            </w:pPr>
            <w:r>
              <w:rPr>
                <w:color w:val="000000"/>
                <w:sz w:val="24"/>
              </w:rPr>
              <w:t>11.15%</w:t>
            </w:r>
          </w:p>
        </w:tc>
        <w:tc>
          <w:tcPr>
            <w:tcW w:w="1286"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6.09%</w:t>
            </w:r>
          </w:p>
        </w:tc>
        <w:tc>
          <w:tcPr>
            <w:tcW w:w="1285"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5.06%</w:t>
            </w:r>
          </w:p>
        </w:tc>
        <w:tc>
          <w:tcPr>
            <w:tcW w:w="1285" w:type="dxa"/>
            <w:vAlign w:val="center"/>
          </w:tcPr>
          <w:p w:rsidR="000E6BAE" w:rsidRDefault="00CD6463">
            <w:pPr>
              <w:jc w:val="center"/>
            </w:pPr>
            <w:r>
              <w:rPr>
                <w:color w:val="000000"/>
                <w:sz w:val="24"/>
              </w:rPr>
              <w:t>0.00%</w:t>
            </w:r>
          </w:p>
        </w:tc>
      </w:tr>
      <w:tr w:rsidR="000E6BAE">
        <w:tc>
          <w:tcPr>
            <w:tcW w:w="1286" w:type="dxa"/>
            <w:vAlign w:val="center"/>
          </w:tcPr>
          <w:p w:rsidR="000E6BAE" w:rsidRDefault="00CD6463">
            <w:pPr>
              <w:jc w:val="left"/>
            </w:pPr>
            <w:r>
              <w:rPr>
                <w:color w:val="000000"/>
                <w:sz w:val="24"/>
              </w:rPr>
              <w:t>过去五年</w:t>
            </w:r>
          </w:p>
        </w:tc>
        <w:tc>
          <w:tcPr>
            <w:tcW w:w="1286" w:type="dxa"/>
            <w:vAlign w:val="center"/>
          </w:tcPr>
          <w:p w:rsidR="000E6BAE" w:rsidRDefault="00CD6463">
            <w:pPr>
              <w:jc w:val="center"/>
            </w:pPr>
            <w:r>
              <w:rPr>
                <w:color w:val="000000"/>
                <w:sz w:val="24"/>
              </w:rPr>
              <w:t>12.49%</w:t>
            </w:r>
          </w:p>
        </w:tc>
        <w:tc>
          <w:tcPr>
            <w:tcW w:w="1286" w:type="dxa"/>
            <w:vAlign w:val="center"/>
          </w:tcPr>
          <w:p w:rsidR="000E6BAE" w:rsidRDefault="00CD6463">
            <w:pPr>
              <w:jc w:val="center"/>
            </w:pPr>
            <w:r>
              <w:rPr>
                <w:color w:val="000000"/>
                <w:sz w:val="24"/>
              </w:rPr>
              <w:t>0.10%</w:t>
            </w:r>
          </w:p>
        </w:tc>
        <w:tc>
          <w:tcPr>
            <w:tcW w:w="1285" w:type="dxa"/>
            <w:vAlign w:val="center"/>
          </w:tcPr>
          <w:p w:rsidR="000E6BAE" w:rsidRDefault="00CD6463">
            <w:pPr>
              <w:jc w:val="center"/>
            </w:pPr>
            <w:r>
              <w:rPr>
                <w:color w:val="000000"/>
                <w:sz w:val="24"/>
              </w:rPr>
              <w:t>6.51%</w:t>
            </w:r>
          </w:p>
        </w:tc>
        <w:tc>
          <w:tcPr>
            <w:tcW w:w="1285" w:type="dxa"/>
            <w:vAlign w:val="center"/>
          </w:tcPr>
          <w:p w:rsidR="000E6BAE" w:rsidRDefault="00CD6463">
            <w:pPr>
              <w:jc w:val="center"/>
            </w:pPr>
            <w:r>
              <w:rPr>
                <w:color w:val="000000"/>
                <w:sz w:val="24"/>
              </w:rPr>
              <w:t>0.07%</w:t>
            </w:r>
          </w:p>
        </w:tc>
        <w:tc>
          <w:tcPr>
            <w:tcW w:w="1285" w:type="dxa"/>
            <w:vAlign w:val="center"/>
          </w:tcPr>
          <w:p w:rsidR="000E6BAE" w:rsidRDefault="00CD6463">
            <w:pPr>
              <w:jc w:val="center"/>
            </w:pPr>
            <w:r>
              <w:rPr>
                <w:color w:val="000000"/>
                <w:sz w:val="24"/>
              </w:rPr>
              <w:t>5.98%</w:t>
            </w:r>
          </w:p>
        </w:tc>
        <w:tc>
          <w:tcPr>
            <w:tcW w:w="1285" w:type="dxa"/>
            <w:vAlign w:val="center"/>
          </w:tcPr>
          <w:p w:rsidR="000E6BAE" w:rsidRDefault="00CD6463">
            <w:pPr>
              <w:jc w:val="center"/>
            </w:pPr>
            <w:r>
              <w:rPr>
                <w:color w:val="000000"/>
                <w:sz w:val="24"/>
              </w:rPr>
              <w:t>0.03%</w:t>
            </w:r>
          </w:p>
        </w:tc>
      </w:tr>
      <w:tr w:rsidR="000E6BAE">
        <w:tc>
          <w:tcPr>
            <w:tcW w:w="1286" w:type="dxa"/>
            <w:vAlign w:val="center"/>
          </w:tcPr>
          <w:p w:rsidR="000E6BAE" w:rsidRDefault="00CD6463">
            <w:pPr>
              <w:jc w:val="left"/>
            </w:pPr>
            <w:r>
              <w:rPr>
                <w:color w:val="000000"/>
                <w:sz w:val="24"/>
              </w:rPr>
              <w:t>自基金合同生效至今</w:t>
            </w:r>
          </w:p>
        </w:tc>
        <w:tc>
          <w:tcPr>
            <w:tcW w:w="1286" w:type="dxa"/>
            <w:vAlign w:val="center"/>
          </w:tcPr>
          <w:p w:rsidR="000E6BAE" w:rsidRDefault="00CD6463">
            <w:pPr>
              <w:jc w:val="center"/>
            </w:pPr>
            <w:r>
              <w:rPr>
                <w:color w:val="000000"/>
                <w:sz w:val="24"/>
              </w:rPr>
              <w:t>23.51%</w:t>
            </w:r>
          </w:p>
        </w:tc>
        <w:tc>
          <w:tcPr>
            <w:tcW w:w="1286" w:type="dxa"/>
            <w:vAlign w:val="center"/>
          </w:tcPr>
          <w:p w:rsidR="000E6BAE" w:rsidRDefault="00CD6463">
            <w:pPr>
              <w:jc w:val="center"/>
            </w:pPr>
            <w:r>
              <w:rPr>
                <w:color w:val="000000"/>
                <w:sz w:val="24"/>
              </w:rPr>
              <w:t>0.11%</w:t>
            </w:r>
          </w:p>
        </w:tc>
        <w:tc>
          <w:tcPr>
            <w:tcW w:w="1285" w:type="dxa"/>
            <w:vAlign w:val="center"/>
          </w:tcPr>
          <w:p w:rsidR="000E6BAE" w:rsidRDefault="00CD6463">
            <w:pPr>
              <w:jc w:val="center"/>
            </w:pPr>
            <w:r>
              <w:rPr>
                <w:color w:val="000000"/>
                <w:sz w:val="24"/>
              </w:rPr>
              <w:t>11.02%</w:t>
            </w:r>
          </w:p>
        </w:tc>
        <w:tc>
          <w:tcPr>
            <w:tcW w:w="1285" w:type="dxa"/>
            <w:vAlign w:val="center"/>
          </w:tcPr>
          <w:p w:rsidR="000E6BAE" w:rsidRDefault="00CD6463">
            <w:pPr>
              <w:jc w:val="center"/>
            </w:pPr>
            <w:r>
              <w:rPr>
                <w:color w:val="000000"/>
                <w:sz w:val="24"/>
              </w:rPr>
              <w:t>0.06%</w:t>
            </w:r>
          </w:p>
        </w:tc>
        <w:tc>
          <w:tcPr>
            <w:tcW w:w="1285" w:type="dxa"/>
            <w:vAlign w:val="center"/>
          </w:tcPr>
          <w:p w:rsidR="000E6BAE" w:rsidRDefault="00CD6463">
            <w:pPr>
              <w:jc w:val="center"/>
            </w:pPr>
            <w:r>
              <w:rPr>
                <w:color w:val="000000"/>
                <w:sz w:val="24"/>
              </w:rPr>
              <w:t>12.49%</w:t>
            </w:r>
          </w:p>
        </w:tc>
        <w:tc>
          <w:tcPr>
            <w:tcW w:w="1285" w:type="dxa"/>
            <w:vAlign w:val="center"/>
          </w:tcPr>
          <w:p w:rsidR="000E6BAE" w:rsidRDefault="00CD6463">
            <w:pPr>
              <w:jc w:val="center"/>
            </w:pPr>
            <w:r>
              <w:rPr>
                <w:color w:val="000000"/>
                <w:sz w:val="24"/>
              </w:rPr>
              <w:t>0.05%</w:t>
            </w:r>
          </w:p>
        </w:tc>
      </w:tr>
    </w:tbl>
    <w:p w:rsidR="000E6BAE" w:rsidRDefault="00CD6463">
      <w:pPr>
        <w:tabs>
          <w:tab w:val="left" w:pos="426"/>
        </w:tabs>
        <w:spacing w:before="29" w:line="288" w:lineRule="auto"/>
        <w:jc w:val="left"/>
        <w:rPr>
          <w:kern w:val="0"/>
          <w:sz w:val="24"/>
        </w:rPr>
      </w:pPr>
      <w:r>
        <w:rPr>
          <w:kern w:val="0"/>
          <w:sz w:val="24"/>
        </w:rPr>
        <w:t>注：本基金封闭期内的业绩比较基准为两年期银行定期存款税后收益率</w:t>
      </w:r>
      <w:r>
        <w:rPr>
          <w:kern w:val="0"/>
          <w:sz w:val="24"/>
        </w:rPr>
        <w:t>+1.25%</w:t>
      </w:r>
      <w:r>
        <w:rPr>
          <w:kern w:val="0"/>
          <w:sz w:val="24"/>
        </w:rPr>
        <w:t>，开放期内业绩比较基准：中债综合全价指数。</w:t>
      </w:r>
    </w:p>
    <w:p w:rsidR="000E6BAE" w:rsidRDefault="00CD6463">
      <w:pPr>
        <w:spacing w:before="29" w:line="288" w:lineRule="auto"/>
        <w:rPr>
          <w:rFonts w:eastAsiaTheme="minorEastAsia"/>
          <w:b/>
          <w:sz w:val="24"/>
        </w:rPr>
      </w:pPr>
      <w:r>
        <w:rPr>
          <w:rFonts w:eastAsiaTheme="minorEastAsia" w:hint="eastAsia"/>
          <w:b/>
          <w:sz w:val="24"/>
        </w:rPr>
        <w:t xml:space="preserve">3.2.2 </w:t>
      </w:r>
      <w:r>
        <w:rPr>
          <w:rFonts w:eastAsiaTheme="minorEastAsia"/>
          <w:b/>
          <w:sz w:val="24"/>
        </w:rPr>
        <w:t>自基金合同生效以来基金份额累计净值增长率变动及其与同期业绩比较基准收益率变动的比较</w:t>
      </w:r>
    </w:p>
    <w:p w:rsidR="000E6BAE" w:rsidRDefault="00CD6463">
      <w:pPr>
        <w:pStyle w:val="21"/>
        <w:spacing w:before="29" w:line="288" w:lineRule="auto"/>
        <w:ind w:firstLineChars="0" w:firstLine="0"/>
        <w:rPr>
          <w:rFonts w:ascii="Times New Roman" w:hAnsi="Times New Roman"/>
          <w:color w:val="auto"/>
        </w:rPr>
      </w:pPr>
      <w:r>
        <w:rPr>
          <w:rFonts w:ascii="Times New Roman" w:hAnsi="Times New Roman"/>
          <w:color w:val="auto"/>
        </w:rPr>
        <w:t>1</w:t>
      </w:r>
      <w:r>
        <w:rPr>
          <w:rFonts w:ascii="Times New Roman" w:hAnsi="Times New Roman" w:hint="eastAsia"/>
          <w:color w:val="auto"/>
        </w:rPr>
        <w:t>、</w:t>
      </w:r>
      <w:r>
        <w:rPr>
          <w:rFonts w:ascii="Times New Roman" w:hAnsi="Times New Roman"/>
          <w:color w:val="auto"/>
        </w:rPr>
        <w:t>交银丰润收益债券</w:t>
      </w:r>
      <w:r>
        <w:rPr>
          <w:rFonts w:ascii="Times New Roman" w:hAnsi="Times New Roman"/>
          <w:color w:val="auto"/>
        </w:rPr>
        <w:t>A</w:t>
      </w:r>
    </w:p>
    <w:p w:rsidR="000E6BAE" w:rsidRDefault="00CD6463">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53100" cy="3371850"/>
                    </a:xfrm>
                    <a:prstGeom prst="rect">
                      <a:avLst/>
                    </a:prstGeom>
                    <a:noFill/>
                    <a:ln>
                      <a:noFill/>
                    </a:ln>
                  </pic:spPr>
                </pic:pic>
              </a:graphicData>
            </a:graphic>
          </wp:inline>
        </w:drawing>
      </w:r>
    </w:p>
    <w:p w:rsidR="000E6BAE" w:rsidRDefault="00CD6463">
      <w:pPr>
        <w:tabs>
          <w:tab w:val="left" w:pos="426"/>
        </w:tabs>
        <w:spacing w:before="29" w:line="288" w:lineRule="auto"/>
        <w:jc w:val="left"/>
        <w:rPr>
          <w:kern w:val="0"/>
          <w:sz w:val="24"/>
        </w:rPr>
      </w:pPr>
      <w:r>
        <w:rPr>
          <w:kern w:val="0"/>
          <w:sz w:val="24"/>
        </w:rPr>
        <w:t>注：本基金建仓期为自基金合同生效日起的</w:t>
      </w:r>
      <w:r>
        <w:rPr>
          <w:kern w:val="0"/>
          <w:sz w:val="24"/>
        </w:rPr>
        <w:t>6</w:t>
      </w:r>
      <w:r>
        <w:rPr>
          <w:kern w:val="0"/>
          <w:sz w:val="24"/>
        </w:rPr>
        <w:t>个月。截至建仓期结束，本基金各项资产配置比例符合基金合同及招募说明书有关投资比例的约定。</w:t>
      </w:r>
    </w:p>
    <w:p w:rsidR="000E6BAE" w:rsidRDefault="000E6BAE">
      <w:pPr>
        <w:tabs>
          <w:tab w:val="left" w:pos="426"/>
        </w:tabs>
        <w:spacing w:before="29" w:line="288" w:lineRule="auto"/>
        <w:jc w:val="left"/>
        <w:rPr>
          <w:kern w:val="0"/>
          <w:sz w:val="24"/>
        </w:rPr>
      </w:pPr>
    </w:p>
    <w:p w:rsidR="000E6BAE" w:rsidRDefault="00CD6463">
      <w:pPr>
        <w:pStyle w:val="21"/>
        <w:spacing w:before="29" w:line="288" w:lineRule="auto"/>
        <w:ind w:firstLineChars="0" w:firstLine="0"/>
        <w:rPr>
          <w:rFonts w:ascii="Times New Roman" w:hAnsi="Times New Roman"/>
          <w:color w:val="auto"/>
        </w:rPr>
      </w:pPr>
      <w:r>
        <w:rPr>
          <w:rFonts w:ascii="Times New Roman" w:hAnsi="Times New Roman"/>
          <w:color w:val="auto"/>
        </w:rPr>
        <w:t>2</w:t>
      </w:r>
      <w:r>
        <w:rPr>
          <w:rFonts w:ascii="Times New Roman" w:hAnsi="Times New Roman" w:hint="eastAsia"/>
          <w:color w:val="auto"/>
        </w:rPr>
        <w:t>、</w:t>
      </w:r>
      <w:r>
        <w:rPr>
          <w:rFonts w:ascii="Times New Roman" w:hAnsi="Times New Roman"/>
          <w:color w:val="auto"/>
        </w:rPr>
        <w:t>交银丰润收益债券</w:t>
      </w:r>
      <w:r>
        <w:rPr>
          <w:rFonts w:ascii="Times New Roman" w:hAnsi="Times New Roman"/>
          <w:color w:val="auto"/>
        </w:rPr>
        <w:t>C</w:t>
      </w:r>
    </w:p>
    <w:p w:rsidR="000E6BAE" w:rsidRDefault="00CD6463">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485"/>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bonnieliu\Desktop\走势图柱状图\走势图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59450" cy="3372734"/>
                    </a:xfrm>
                    <a:prstGeom prst="rect">
                      <a:avLst/>
                    </a:prstGeom>
                    <a:noFill/>
                    <a:ln>
                      <a:noFill/>
                    </a:ln>
                  </pic:spPr>
                </pic:pic>
              </a:graphicData>
            </a:graphic>
          </wp:inline>
        </w:drawing>
      </w:r>
    </w:p>
    <w:p w:rsidR="000E6BAE" w:rsidRDefault="00CD6463">
      <w:pPr>
        <w:tabs>
          <w:tab w:val="left" w:pos="426"/>
        </w:tabs>
        <w:spacing w:before="29" w:line="288" w:lineRule="auto"/>
        <w:jc w:val="left"/>
        <w:rPr>
          <w:kern w:val="0"/>
          <w:sz w:val="24"/>
        </w:rPr>
      </w:pPr>
      <w:r>
        <w:rPr>
          <w:kern w:val="0"/>
          <w:sz w:val="24"/>
        </w:rPr>
        <w:t>注：本基金建仓期为自基金合同生效日起的</w:t>
      </w:r>
      <w:r>
        <w:rPr>
          <w:kern w:val="0"/>
          <w:sz w:val="24"/>
        </w:rPr>
        <w:t>6</w:t>
      </w:r>
      <w:r>
        <w:rPr>
          <w:kern w:val="0"/>
          <w:sz w:val="24"/>
        </w:rPr>
        <w:t>个月。截至建仓期结束，本基金各项资产配置比例符合基金合同及招募说明书有关投资比例的约定。</w:t>
      </w:r>
    </w:p>
    <w:p w:rsidR="000E6BAE" w:rsidRDefault="000E6BAE">
      <w:pPr>
        <w:tabs>
          <w:tab w:val="left" w:pos="426"/>
        </w:tabs>
        <w:spacing w:before="29" w:line="288" w:lineRule="auto"/>
        <w:jc w:val="left"/>
        <w:rPr>
          <w:kern w:val="0"/>
          <w:sz w:val="24"/>
        </w:rPr>
      </w:pP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 xml:space="preserve">3.2.3 </w:t>
      </w:r>
      <w:r>
        <w:rPr>
          <w:rFonts w:eastAsiaTheme="minorEastAsia" w:hint="eastAsia"/>
          <w:b/>
          <w:sz w:val="24"/>
        </w:rPr>
        <w:t>过去五年基金每年净值增长率及其与同期业绩比较基准收益率的比较</w:t>
      </w:r>
    </w:p>
    <w:p w:rsidR="000E6BAE" w:rsidRDefault="00CD6463">
      <w:pPr>
        <w:pStyle w:val="21"/>
        <w:spacing w:before="29" w:line="288" w:lineRule="auto"/>
        <w:ind w:firstLineChars="0" w:firstLine="0"/>
        <w:rPr>
          <w:rFonts w:ascii="Times New Roman" w:hAnsi="Times New Roman"/>
          <w:color w:val="auto"/>
        </w:rPr>
      </w:pPr>
      <w:r>
        <w:rPr>
          <w:rFonts w:ascii="Times New Roman" w:hAnsi="Times New Roman" w:hint="eastAsia"/>
          <w:color w:val="auto"/>
        </w:rPr>
        <w:t>1</w:t>
      </w:r>
      <w:r>
        <w:rPr>
          <w:rFonts w:ascii="Times New Roman" w:hAnsi="Times New Roman" w:hint="eastAsia"/>
          <w:color w:val="auto"/>
        </w:rPr>
        <w:t>、</w:t>
      </w:r>
      <w:r>
        <w:rPr>
          <w:rFonts w:ascii="Times New Roman" w:hAnsi="Times New Roman"/>
          <w:color w:val="auto"/>
        </w:rPr>
        <w:t>交银丰润收益债券</w:t>
      </w:r>
      <w:r>
        <w:rPr>
          <w:rFonts w:ascii="Times New Roman" w:hAnsi="Times New Roman"/>
          <w:color w:val="auto"/>
        </w:rPr>
        <w:t>A</w:t>
      </w:r>
    </w:p>
    <w:p w:rsidR="000E6BAE" w:rsidRDefault="00CD6463">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485"/>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bonnieliu\Desktop\走势图柱状图\柱状图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59450" cy="3372734"/>
                    </a:xfrm>
                    <a:prstGeom prst="rect">
                      <a:avLst/>
                    </a:prstGeom>
                    <a:noFill/>
                    <a:ln>
                      <a:noFill/>
                    </a:ln>
                  </pic:spPr>
                </pic:pic>
              </a:graphicData>
            </a:graphic>
          </wp:inline>
        </w:drawing>
      </w:r>
    </w:p>
    <w:p w:rsidR="000E6BAE" w:rsidRDefault="000E6BAE">
      <w:pPr>
        <w:tabs>
          <w:tab w:val="left" w:pos="426"/>
        </w:tabs>
        <w:spacing w:before="29" w:line="288" w:lineRule="auto"/>
        <w:jc w:val="left"/>
        <w:rPr>
          <w:kern w:val="0"/>
          <w:sz w:val="24"/>
        </w:rPr>
      </w:pPr>
    </w:p>
    <w:p w:rsidR="000E6BAE" w:rsidRDefault="00CD6463">
      <w:pPr>
        <w:pStyle w:val="21"/>
        <w:spacing w:before="29" w:line="288" w:lineRule="auto"/>
        <w:ind w:firstLineChars="0" w:firstLine="0"/>
        <w:rPr>
          <w:rFonts w:asciiTheme="minorEastAsia" w:eastAsiaTheme="minorEastAsia" w:hAnsiTheme="minorEastAsia"/>
          <w:b/>
          <w:szCs w:val="21"/>
        </w:rPr>
      </w:pPr>
      <w:r>
        <w:rPr>
          <w:rFonts w:ascii="Times New Roman" w:hAnsi="Times New Roman"/>
          <w:color w:val="auto"/>
        </w:rPr>
        <w:t>2</w:t>
      </w:r>
      <w:r>
        <w:rPr>
          <w:rFonts w:ascii="Times New Roman" w:hAnsi="Times New Roman" w:hint="eastAsia"/>
          <w:color w:val="auto"/>
        </w:rPr>
        <w:t>、</w:t>
      </w:r>
      <w:r>
        <w:rPr>
          <w:rFonts w:ascii="Times New Roman" w:hAnsi="Times New Roman"/>
          <w:color w:val="auto"/>
        </w:rPr>
        <w:t>交银丰润收益债券</w:t>
      </w:r>
      <w:r>
        <w:rPr>
          <w:rFonts w:ascii="Times New Roman" w:hAnsi="Times New Roman"/>
          <w:color w:val="auto"/>
        </w:rPr>
        <w:t>C</w:t>
      </w:r>
    </w:p>
    <w:p w:rsidR="000E6BAE" w:rsidRDefault="00CD6463">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485"/>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bonnieliu\Desktop\走势图柱状图\柱状图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59450" cy="3372734"/>
                    </a:xfrm>
                    <a:prstGeom prst="rect">
                      <a:avLst/>
                    </a:prstGeom>
                    <a:noFill/>
                    <a:ln>
                      <a:noFill/>
                    </a:ln>
                  </pic:spPr>
                </pic:pic>
              </a:graphicData>
            </a:graphic>
          </wp:inline>
        </w:drawing>
      </w:r>
    </w:p>
    <w:p w:rsidR="000E6BAE" w:rsidRDefault="000E6BAE">
      <w:pPr>
        <w:tabs>
          <w:tab w:val="left" w:pos="426"/>
        </w:tabs>
        <w:spacing w:before="29" w:line="288" w:lineRule="auto"/>
        <w:jc w:val="left"/>
        <w:rPr>
          <w:kern w:val="0"/>
          <w:sz w:val="24"/>
        </w:rPr>
      </w:pPr>
    </w:p>
    <w:p w:rsidR="000E6BAE" w:rsidRDefault="000E6BAE">
      <w:pPr>
        <w:spacing w:line="360" w:lineRule="auto"/>
        <w:ind w:firstLine="420"/>
        <w:jc w:val="left"/>
        <w:rPr>
          <w:rFonts w:asciiTheme="minorEastAsia" w:eastAsiaTheme="minorEastAsia" w:hAnsiTheme="minorEastAsia"/>
          <w:color w:val="000000"/>
          <w:szCs w:val="21"/>
        </w:rPr>
      </w:pPr>
    </w:p>
    <w:p w:rsidR="000E6BAE" w:rsidRDefault="00CD6463">
      <w:pPr>
        <w:pStyle w:val="2"/>
        <w:spacing w:before="29" w:after="0" w:line="288" w:lineRule="auto"/>
        <w:rPr>
          <w:rFonts w:eastAsiaTheme="minorEastAsia"/>
        </w:rPr>
      </w:pPr>
      <w:bookmarkStart w:id="36" w:name="_Toc249760033"/>
      <w:bookmarkStart w:id="37" w:name="_Toc361324853"/>
      <w:bookmarkStart w:id="38" w:name="_Toc13592"/>
      <w:r>
        <w:rPr>
          <w:rFonts w:eastAsiaTheme="minorEastAsia"/>
        </w:rPr>
        <w:t>3.3</w:t>
      </w:r>
      <w:r>
        <w:rPr>
          <w:rFonts w:eastAsiaTheme="minorEastAsia" w:hint="eastAsia"/>
        </w:rPr>
        <w:t>过去三年基金的利润分配情况</w:t>
      </w:r>
      <w:bookmarkEnd w:id="36"/>
      <w:bookmarkEnd w:id="37"/>
      <w:bookmarkEnd w:id="38"/>
    </w:p>
    <w:p w:rsidR="000E6BAE" w:rsidRDefault="00CD6463">
      <w:pPr>
        <w:pStyle w:val="21"/>
        <w:spacing w:before="29" w:line="288" w:lineRule="auto"/>
        <w:ind w:firstLineChars="0" w:firstLine="0"/>
        <w:rPr>
          <w:rFonts w:ascii="Times New Roman" w:hAnsi="Times New Roman"/>
          <w:color w:val="auto"/>
        </w:rPr>
      </w:pPr>
      <w:r>
        <w:rPr>
          <w:rFonts w:ascii="Times New Roman" w:hAnsi="Times New Roman" w:hint="eastAsia"/>
          <w:color w:val="auto"/>
        </w:rPr>
        <w:t>1</w:t>
      </w:r>
      <w:r>
        <w:rPr>
          <w:rFonts w:ascii="Times New Roman" w:hAnsi="Times New Roman" w:hint="eastAsia"/>
          <w:color w:val="auto"/>
        </w:rPr>
        <w:t>、</w:t>
      </w:r>
      <w:r>
        <w:rPr>
          <w:rFonts w:ascii="Times New Roman" w:hAnsi="Times New Roman"/>
          <w:color w:val="auto"/>
        </w:rPr>
        <w:t>交银丰润收益债券</w:t>
      </w:r>
      <w:r>
        <w:rPr>
          <w:rFonts w:ascii="Times New Roman" w:hAnsi="Times New Roman"/>
          <w:color w:val="auto"/>
        </w:rPr>
        <w:t>A</w:t>
      </w:r>
      <w:r>
        <w:rPr>
          <w:rFonts w:ascii="Times New Roman" w:hAnsi="Times New Roman" w:hint="eastAsia"/>
          <w:color w:val="auto"/>
        </w:rPr>
        <w:t>：</w:t>
      </w:r>
    </w:p>
    <w:p w:rsidR="000E6BAE" w:rsidRDefault="00CD6463">
      <w:pPr>
        <w:pStyle w:val="a0"/>
        <w:spacing w:line="360" w:lineRule="auto"/>
        <w:ind w:firstLine="480"/>
        <w:jc w:val="right"/>
        <w:rPr>
          <w:color w:val="000000"/>
          <w:kern w:val="0"/>
          <w:sz w:val="24"/>
        </w:rPr>
      </w:pPr>
      <w:r>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378"/>
        <w:gridCol w:w="1839"/>
        <w:gridCol w:w="1950"/>
        <w:gridCol w:w="1894"/>
        <w:gridCol w:w="1068"/>
      </w:tblGrid>
      <w:tr w:rsidR="000E6BAE">
        <w:trPr>
          <w:jc w:val="center"/>
        </w:trPr>
        <w:tc>
          <w:tcPr>
            <w:tcW w:w="1157" w:type="dxa"/>
            <w:vAlign w:val="center"/>
          </w:tcPr>
          <w:p w:rsidR="000E6BAE" w:rsidRDefault="00CD6463">
            <w:pPr>
              <w:spacing w:before="29" w:line="288" w:lineRule="auto"/>
              <w:jc w:val="center"/>
              <w:rPr>
                <w:color w:val="000000"/>
                <w:sz w:val="24"/>
              </w:rPr>
            </w:pPr>
            <w:r>
              <w:rPr>
                <w:rFonts w:hint="eastAsia"/>
                <w:color w:val="000000"/>
                <w:sz w:val="24"/>
              </w:rPr>
              <w:t>年度</w:t>
            </w:r>
          </w:p>
        </w:tc>
        <w:tc>
          <w:tcPr>
            <w:tcW w:w="1378" w:type="dxa"/>
            <w:vAlign w:val="center"/>
          </w:tcPr>
          <w:p w:rsidR="000E6BAE" w:rsidRDefault="00CD6463">
            <w:pPr>
              <w:spacing w:before="29" w:line="288" w:lineRule="auto"/>
              <w:jc w:val="center"/>
              <w:rPr>
                <w:color w:val="000000"/>
                <w:sz w:val="24"/>
              </w:rPr>
            </w:pPr>
            <w:r>
              <w:rPr>
                <w:rFonts w:hint="eastAsia"/>
                <w:color w:val="000000"/>
                <w:sz w:val="24"/>
              </w:rPr>
              <w:t>每</w:t>
            </w:r>
            <w:r>
              <w:rPr>
                <w:color w:val="000000"/>
                <w:sz w:val="24"/>
              </w:rPr>
              <w:t>10</w:t>
            </w:r>
            <w:r>
              <w:rPr>
                <w:rFonts w:hint="eastAsia"/>
                <w:color w:val="000000"/>
                <w:sz w:val="24"/>
              </w:rPr>
              <w:t>份基金份额分红数</w:t>
            </w:r>
          </w:p>
        </w:tc>
        <w:tc>
          <w:tcPr>
            <w:tcW w:w="1839" w:type="dxa"/>
            <w:vAlign w:val="center"/>
          </w:tcPr>
          <w:p w:rsidR="000E6BAE" w:rsidRDefault="00CD6463">
            <w:pPr>
              <w:spacing w:before="29" w:line="288" w:lineRule="auto"/>
              <w:jc w:val="center"/>
              <w:rPr>
                <w:color w:val="000000"/>
                <w:sz w:val="24"/>
              </w:rPr>
            </w:pPr>
            <w:r>
              <w:rPr>
                <w:rFonts w:hint="eastAsia"/>
                <w:color w:val="000000"/>
                <w:sz w:val="24"/>
              </w:rPr>
              <w:t>现金形式发放总额</w:t>
            </w:r>
          </w:p>
        </w:tc>
        <w:tc>
          <w:tcPr>
            <w:tcW w:w="1950" w:type="dxa"/>
            <w:vAlign w:val="center"/>
          </w:tcPr>
          <w:p w:rsidR="000E6BAE" w:rsidRDefault="00CD6463">
            <w:pPr>
              <w:spacing w:before="29" w:line="288" w:lineRule="auto"/>
              <w:jc w:val="center"/>
              <w:rPr>
                <w:color w:val="000000"/>
                <w:sz w:val="24"/>
              </w:rPr>
            </w:pPr>
            <w:r>
              <w:rPr>
                <w:rFonts w:hint="eastAsia"/>
                <w:color w:val="000000"/>
                <w:sz w:val="24"/>
              </w:rPr>
              <w:t>再投资形式发放总额</w:t>
            </w:r>
          </w:p>
        </w:tc>
        <w:tc>
          <w:tcPr>
            <w:tcW w:w="1894" w:type="dxa"/>
            <w:vAlign w:val="center"/>
          </w:tcPr>
          <w:p w:rsidR="000E6BAE" w:rsidRDefault="00CD6463">
            <w:pPr>
              <w:spacing w:before="29" w:line="288" w:lineRule="auto"/>
              <w:jc w:val="center"/>
              <w:rPr>
                <w:color w:val="000000"/>
                <w:sz w:val="24"/>
              </w:rPr>
            </w:pPr>
            <w:r>
              <w:rPr>
                <w:rFonts w:hint="eastAsia"/>
                <w:color w:val="000000"/>
                <w:sz w:val="24"/>
              </w:rPr>
              <w:t>年度利润分配合计</w:t>
            </w:r>
          </w:p>
        </w:tc>
        <w:tc>
          <w:tcPr>
            <w:tcW w:w="1068" w:type="dxa"/>
            <w:vAlign w:val="center"/>
          </w:tcPr>
          <w:p w:rsidR="000E6BAE" w:rsidRDefault="00CD6463">
            <w:pPr>
              <w:spacing w:before="29" w:line="288" w:lineRule="auto"/>
              <w:jc w:val="center"/>
              <w:rPr>
                <w:color w:val="000000"/>
                <w:sz w:val="24"/>
              </w:rPr>
            </w:pPr>
            <w:r>
              <w:rPr>
                <w:rFonts w:hint="eastAsia"/>
                <w:color w:val="000000"/>
                <w:sz w:val="24"/>
              </w:rPr>
              <w:t>备注</w:t>
            </w:r>
          </w:p>
        </w:tc>
      </w:tr>
      <w:tr w:rsidR="000E6BAE">
        <w:trPr>
          <w:jc w:val="center"/>
        </w:trPr>
        <w:tc>
          <w:tcPr>
            <w:tcW w:w="1157" w:type="dxa"/>
            <w:vAlign w:val="center"/>
          </w:tcPr>
          <w:p w:rsidR="000E6BAE" w:rsidRDefault="00CD6463">
            <w:pPr>
              <w:jc w:val="center"/>
            </w:pPr>
            <w:r>
              <w:rPr>
                <w:color w:val="000000"/>
                <w:sz w:val="24"/>
              </w:rPr>
              <w:t>2020</w:t>
            </w:r>
            <w:r>
              <w:rPr>
                <w:color w:val="000000"/>
                <w:sz w:val="24"/>
              </w:rPr>
              <w:t>年</w:t>
            </w:r>
          </w:p>
        </w:tc>
        <w:tc>
          <w:tcPr>
            <w:tcW w:w="1378" w:type="dxa"/>
            <w:vAlign w:val="center"/>
          </w:tcPr>
          <w:p w:rsidR="000E6BAE" w:rsidRDefault="00CD6463">
            <w:pPr>
              <w:jc w:val="right"/>
            </w:pPr>
            <w:r>
              <w:rPr>
                <w:color w:val="000000"/>
                <w:sz w:val="24"/>
              </w:rPr>
              <w:t>0.580</w:t>
            </w:r>
          </w:p>
        </w:tc>
        <w:tc>
          <w:tcPr>
            <w:tcW w:w="1839" w:type="dxa"/>
            <w:vAlign w:val="center"/>
          </w:tcPr>
          <w:p w:rsidR="000E6BAE" w:rsidRDefault="00CD6463">
            <w:pPr>
              <w:jc w:val="right"/>
            </w:pPr>
            <w:r>
              <w:rPr>
                <w:color w:val="000000"/>
                <w:sz w:val="24"/>
              </w:rPr>
              <w:t>319,815,924.38</w:t>
            </w:r>
          </w:p>
        </w:tc>
        <w:tc>
          <w:tcPr>
            <w:tcW w:w="1950" w:type="dxa"/>
            <w:vAlign w:val="center"/>
          </w:tcPr>
          <w:p w:rsidR="000E6BAE" w:rsidRDefault="00CD6463">
            <w:pPr>
              <w:jc w:val="right"/>
            </w:pPr>
            <w:r>
              <w:rPr>
                <w:color w:val="000000"/>
                <w:sz w:val="24"/>
              </w:rPr>
              <w:t>27,681,410.62</w:t>
            </w:r>
          </w:p>
        </w:tc>
        <w:tc>
          <w:tcPr>
            <w:tcW w:w="1894" w:type="dxa"/>
            <w:vAlign w:val="center"/>
          </w:tcPr>
          <w:p w:rsidR="000E6BAE" w:rsidRDefault="00CD6463">
            <w:pPr>
              <w:jc w:val="right"/>
            </w:pPr>
            <w:r>
              <w:rPr>
                <w:color w:val="000000"/>
                <w:sz w:val="24"/>
              </w:rPr>
              <w:t>347,497,335.00</w:t>
            </w:r>
          </w:p>
        </w:tc>
        <w:tc>
          <w:tcPr>
            <w:tcW w:w="1068" w:type="dxa"/>
            <w:vAlign w:val="center"/>
          </w:tcPr>
          <w:p w:rsidR="000E6BAE" w:rsidRDefault="00CD6463">
            <w:pPr>
              <w:jc w:val="left"/>
            </w:pPr>
            <w:r>
              <w:rPr>
                <w:color w:val="000000"/>
                <w:sz w:val="24"/>
              </w:rPr>
              <w:t>-</w:t>
            </w:r>
          </w:p>
        </w:tc>
      </w:tr>
      <w:tr w:rsidR="000E6BAE">
        <w:trPr>
          <w:jc w:val="center"/>
        </w:trPr>
        <w:tc>
          <w:tcPr>
            <w:tcW w:w="1157" w:type="dxa"/>
            <w:vAlign w:val="center"/>
          </w:tcPr>
          <w:p w:rsidR="000E6BAE" w:rsidRDefault="00CD6463">
            <w:pPr>
              <w:jc w:val="center"/>
            </w:pPr>
            <w:r>
              <w:rPr>
                <w:color w:val="000000"/>
                <w:sz w:val="24"/>
              </w:rPr>
              <w:t>2019</w:t>
            </w:r>
            <w:r>
              <w:rPr>
                <w:color w:val="000000"/>
                <w:sz w:val="24"/>
              </w:rPr>
              <w:t>年</w:t>
            </w:r>
          </w:p>
        </w:tc>
        <w:tc>
          <w:tcPr>
            <w:tcW w:w="1378" w:type="dxa"/>
            <w:vAlign w:val="center"/>
          </w:tcPr>
          <w:p w:rsidR="000E6BAE" w:rsidRDefault="00CD6463">
            <w:pPr>
              <w:jc w:val="right"/>
            </w:pPr>
            <w:r>
              <w:rPr>
                <w:color w:val="000000"/>
                <w:sz w:val="24"/>
              </w:rPr>
              <w:t>0.400</w:t>
            </w:r>
          </w:p>
        </w:tc>
        <w:tc>
          <w:tcPr>
            <w:tcW w:w="1839" w:type="dxa"/>
            <w:vAlign w:val="center"/>
          </w:tcPr>
          <w:p w:rsidR="000E6BAE" w:rsidRDefault="00CD6463">
            <w:pPr>
              <w:jc w:val="right"/>
            </w:pPr>
            <w:r>
              <w:rPr>
                <w:color w:val="000000"/>
                <w:sz w:val="24"/>
              </w:rPr>
              <w:t>61,320,534.84</w:t>
            </w:r>
          </w:p>
        </w:tc>
        <w:tc>
          <w:tcPr>
            <w:tcW w:w="1950" w:type="dxa"/>
            <w:vAlign w:val="center"/>
          </w:tcPr>
          <w:p w:rsidR="000E6BAE" w:rsidRDefault="00CD6463">
            <w:pPr>
              <w:jc w:val="right"/>
            </w:pPr>
            <w:r>
              <w:rPr>
                <w:color w:val="000000"/>
                <w:sz w:val="24"/>
              </w:rPr>
              <w:t>563,003.03</w:t>
            </w:r>
          </w:p>
        </w:tc>
        <w:tc>
          <w:tcPr>
            <w:tcW w:w="1894" w:type="dxa"/>
            <w:vAlign w:val="center"/>
          </w:tcPr>
          <w:p w:rsidR="000E6BAE" w:rsidRDefault="00CD6463">
            <w:pPr>
              <w:jc w:val="right"/>
            </w:pPr>
            <w:r>
              <w:rPr>
                <w:color w:val="000000"/>
                <w:sz w:val="24"/>
              </w:rPr>
              <w:t>61,883,537.87</w:t>
            </w:r>
          </w:p>
        </w:tc>
        <w:tc>
          <w:tcPr>
            <w:tcW w:w="1068" w:type="dxa"/>
            <w:vAlign w:val="center"/>
          </w:tcPr>
          <w:p w:rsidR="000E6BAE" w:rsidRDefault="00CD6463">
            <w:pPr>
              <w:jc w:val="left"/>
            </w:pPr>
            <w:r>
              <w:rPr>
                <w:color w:val="000000"/>
                <w:sz w:val="24"/>
              </w:rPr>
              <w:t>-</w:t>
            </w:r>
          </w:p>
        </w:tc>
      </w:tr>
      <w:tr w:rsidR="000E6BAE">
        <w:trPr>
          <w:jc w:val="center"/>
        </w:trPr>
        <w:tc>
          <w:tcPr>
            <w:tcW w:w="1157" w:type="dxa"/>
            <w:vAlign w:val="center"/>
          </w:tcPr>
          <w:p w:rsidR="000E6BAE" w:rsidRDefault="00CD6463">
            <w:pPr>
              <w:jc w:val="center"/>
            </w:pPr>
            <w:r>
              <w:rPr>
                <w:color w:val="000000"/>
                <w:sz w:val="24"/>
              </w:rPr>
              <w:t>2018</w:t>
            </w:r>
            <w:r>
              <w:rPr>
                <w:color w:val="000000"/>
                <w:sz w:val="24"/>
              </w:rPr>
              <w:t>年</w:t>
            </w:r>
          </w:p>
        </w:tc>
        <w:tc>
          <w:tcPr>
            <w:tcW w:w="1378" w:type="dxa"/>
            <w:vAlign w:val="center"/>
          </w:tcPr>
          <w:p w:rsidR="000E6BAE" w:rsidRDefault="00CD6463">
            <w:pPr>
              <w:jc w:val="right"/>
            </w:pPr>
            <w:r>
              <w:rPr>
                <w:color w:val="000000"/>
                <w:sz w:val="24"/>
              </w:rPr>
              <w:t>0.370</w:t>
            </w:r>
          </w:p>
        </w:tc>
        <w:tc>
          <w:tcPr>
            <w:tcW w:w="1839" w:type="dxa"/>
            <w:vAlign w:val="center"/>
          </w:tcPr>
          <w:p w:rsidR="000E6BAE" w:rsidRDefault="00CD6463">
            <w:pPr>
              <w:jc w:val="right"/>
            </w:pPr>
            <w:r>
              <w:rPr>
                <w:color w:val="000000"/>
                <w:sz w:val="24"/>
              </w:rPr>
              <w:t>181,562,428.86</w:t>
            </w:r>
          </w:p>
        </w:tc>
        <w:tc>
          <w:tcPr>
            <w:tcW w:w="1950" w:type="dxa"/>
            <w:vAlign w:val="center"/>
          </w:tcPr>
          <w:p w:rsidR="000E6BAE" w:rsidRDefault="00CD6463">
            <w:pPr>
              <w:jc w:val="right"/>
            </w:pPr>
            <w:r>
              <w:rPr>
                <w:color w:val="000000"/>
                <w:sz w:val="24"/>
              </w:rPr>
              <w:t>55,260.25</w:t>
            </w:r>
          </w:p>
        </w:tc>
        <w:tc>
          <w:tcPr>
            <w:tcW w:w="1894" w:type="dxa"/>
            <w:vAlign w:val="center"/>
          </w:tcPr>
          <w:p w:rsidR="000E6BAE" w:rsidRDefault="00CD6463">
            <w:pPr>
              <w:jc w:val="right"/>
            </w:pPr>
            <w:r>
              <w:rPr>
                <w:color w:val="000000"/>
                <w:sz w:val="24"/>
              </w:rPr>
              <w:t>181,617,689.11</w:t>
            </w:r>
          </w:p>
        </w:tc>
        <w:tc>
          <w:tcPr>
            <w:tcW w:w="1068" w:type="dxa"/>
            <w:vAlign w:val="center"/>
          </w:tcPr>
          <w:p w:rsidR="000E6BAE" w:rsidRDefault="00CD6463">
            <w:pPr>
              <w:jc w:val="left"/>
            </w:pPr>
            <w:r>
              <w:rPr>
                <w:color w:val="000000"/>
                <w:sz w:val="24"/>
              </w:rPr>
              <w:t>-</w:t>
            </w:r>
          </w:p>
        </w:tc>
      </w:tr>
      <w:tr w:rsidR="000E6BAE">
        <w:trPr>
          <w:jc w:val="center"/>
        </w:trPr>
        <w:tc>
          <w:tcPr>
            <w:tcW w:w="1157" w:type="dxa"/>
            <w:vAlign w:val="center"/>
          </w:tcPr>
          <w:p w:rsidR="000E6BAE" w:rsidRDefault="00CD6463">
            <w:pPr>
              <w:autoSpaceDE w:val="0"/>
              <w:autoSpaceDN w:val="0"/>
              <w:adjustRightInd w:val="0"/>
              <w:spacing w:before="29" w:line="288" w:lineRule="auto"/>
              <w:ind w:left="15"/>
              <w:jc w:val="center"/>
              <w:rPr>
                <w:rFonts w:asciiTheme="minorEastAsia" w:eastAsiaTheme="minorEastAsia" w:hAnsiTheme="minorEastAsia"/>
                <w:color w:val="000000"/>
                <w:szCs w:val="21"/>
              </w:rPr>
            </w:pPr>
            <w:r>
              <w:rPr>
                <w:rFonts w:hint="eastAsia"/>
                <w:color w:val="000000"/>
                <w:sz w:val="24"/>
              </w:rPr>
              <w:t>合计</w:t>
            </w:r>
          </w:p>
        </w:tc>
        <w:tc>
          <w:tcPr>
            <w:tcW w:w="1378" w:type="dxa"/>
            <w:vAlign w:val="center"/>
          </w:tcPr>
          <w:p w:rsidR="000E6BAE" w:rsidRDefault="00CD6463">
            <w:pPr>
              <w:autoSpaceDE w:val="0"/>
              <w:autoSpaceDN w:val="0"/>
              <w:adjustRightInd w:val="0"/>
              <w:spacing w:before="29" w:line="288" w:lineRule="auto"/>
              <w:ind w:left="15"/>
              <w:jc w:val="right"/>
              <w:rPr>
                <w:color w:val="000000"/>
                <w:kern w:val="0"/>
                <w:sz w:val="24"/>
              </w:rPr>
            </w:pPr>
            <w:r>
              <w:rPr>
                <w:color w:val="000000"/>
                <w:kern w:val="0"/>
                <w:sz w:val="24"/>
              </w:rPr>
              <w:t>1.350</w:t>
            </w:r>
          </w:p>
        </w:tc>
        <w:tc>
          <w:tcPr>
            <w:tcW w:w="1839" w:type="dxa"/>
            <w:vAlign w:val="center"/>
          </w:tcPr>
          <w:p w:rsidR="000E6BAE" w:rsidRDefault="00CD6463">
            <w:pPr>
              <w:autoSpaceDE w:val="0"/>
              <w:autoSpaceDN w:val="0"/>
              <w:adjustRightInd w:val="0"/>
              <w:spacing w:before="29" w:line="288" w:lineRule="auto"/>
              <w:ind w:left="15"/>
              <w:jc w:val="right"/>
              <w:rPr>
                <w:color w:val="000000"/>
                <w:kern w:val="0"/>
                <w:sz w:val="24"/>
              </w:rPr>
            </w:pPr>
            <w:r>
              <w:rPr>
                <w:color w:val="000000"/>
                <w:kern w:val="0"/>
                <w:sz w:val="24"/>
              </w:rPr>
              <w:t>562,698,888.08</w:t>
            </w:r>
          </w:p>
        </w:tc>
        <w:tc>
          <w:tcPr>
            <w:tcW w:w="1950" w:type="dxa"/>
            <w:vAlign w:val="center"/>
          </w:tcPr>
          <w:p w:rsidR="000E6BAE" w:rsidRDefault="00CD6463">
            <w:pPr>
              <w:autoSpaceDE w:val="0"/>
              <w:autoSpaceDN w:val="0"/>
              <w:adjustRightInd w:val="0"/>
              <w:spacing w:before="29" w:line="288" w:lineRule="auto"/>
              <w:ind w:left="15"/>
              <w:jc w:val="right"/>
              <w:rPr>
                <w:color w:val="000000"/>
                <w:kern w:val="0"/>
                <w:sz w:val="24"/>
              </w:rPr>
            </w:pPr>
            <w:r>
              <w:rPr>
                <w:color w:val="000000"/>
                <w:kern w:val="0"/>
                <w:sz w:val="24"/>
              </w:rPr>
              <w:t>28,299,673.90</w:t>
            </w:r>
          </w:p>
        </w:tc>
        <w:tc>
          <w:tcPr>
            <w:tcW w:w="1894" w:type="dxa"/>
            <w:vAlign w:val="center"/>
          </w:tcPr>
          <w:p w:rsidR="000E6BAE" w:rsidRDefault="00CD6463">
            <w:pPr>
              <w:autoSpaceDE w:val="0"/>
              <w:autoSpaceDN w:val="0"/>
              <w:adjustRightInd w:val="0"/>
              <w:spacing w:before="29" w:line="288" w:lineRule="auto"/>
              <w:ind w:left="15"/>
              <w:jc w:val="right"/>
              <w:rPr>
                <w:color w:val="000000"/>
                <w:kern w:val="0"/>
                <w:sz w:val="24"/>
              </w:rPr>
            </w:pPr>
            <w:r>
              <w:rPr>
                <w:color w:val="000000"/>
                <w:kern w:val="0"/>
                <w:sz w:val="24"/>
              </w:rPr>
              <w:t>590,998,561.98</w:t>
            </w:r>
          </w:p>
        </w:tc>
        <w:tc>
          <w:tcPr>
            <w:tcW w:w="1068" w:type="dxa"/>
            <w:vAlign w:val="center"/>
          </w:tcPr>
          <w:p w:rsidR="000E6BAE" w:rsidRDefault="00CD6463">
            <w:pPr>
              <w:autoSpaceDE w:val="0"/>
              <w:autoSpaceDN w:val="0"/>
              <w:adjustRightInd w:val="0"/>
              <w:spacing w:before="29" w:line="288" w:lineRule="auto"/>
              <w:ind w:left="15"/>
              <w:jc w:val="right"/>
              <w:rPr>
                <w:color w:val="000000"/>
                <w:kern w:val="0"/>
                <w:sz w:val="24"/>
              </w:rPr>
            </w:pPr>
            <w:r>
              <w:rPr>
                <w:color w:val="000000"/>
                <w:kern w:val="0"/>
                <w:sz w:val="24"/>
              </w:rPr>
              <w:t>-</w:t>
            </w:r>
          </w:p>
        </w:tc>
      </w:tr>
    </w:tbl>
    <w:p w:rsidR="000E6BAE" w:rsidRDefault="000E6BAE">
      <w:pPr>
        <w:tabs>
          <w:tab w:val="left" w:pos="426"/>
        </w:tabs>
        <w:spacing w:before="29" w:line="288" w:lineRule="auto"/>
        <w:jc w:val="left"/>
        <w:rPr>
          <w:kern w:val="0"/>
          <w:sz w:val="24"/>
        </w:rPr>
      </w:pPr>
    </w:p>
    <w:p w:rsidR="000E6BAE" w:rsidRDefault="00CD6463">
      <w:pPr>
        <w:pStyle w:val="21"/>
        <w:spacing w:before="29" w:line="288" w:lineRule="auto"/>
        <w:ind w:firstLineChars="0" w:firstLine="0"/>
        <w:rPr>
          <w:rFonts w:ascii="Times New Roman" w:hAnsi="Times New Roman"/>
          <w:color w:val="auto"/>
        </w:rPr>
      </w:pPr>
      <w:r>
        <w:rPr>
          <w:rFonts w:ascii="Times New Roman" w:hAnsi="Times New Roman" w:hint="eastAsia"/>
          <w:color w:val="auto"/>
        </w:rPr>
        <w:t>2</w:t>
      </w:r>
      <w:r>
        <w:rPr>
          <w:rFonts w:ascii="Times New Roman" w:hAnsi="Times New Roman" w:hint="eastAsia"/>
          <w:color w:val="auto"/>
        </w:rPr>
        <w:t>、</w:t>
      </w:r>
      <w:r>
        <w:rPr>
          <w:rFonts w:ascii="Times New Roman" w:hAnsi="Times New Roman"/>
          <w:color w:val="auto"/>
        </w:rPr>
        <w:t>交银丰润收益债券</w:t>
      </w:r>
      <w:r>
        <w:rPr>
          <w:rFonts w:ascii="Times New Roman" w:hAnsi="Times New Roman"/>
          <w:color w:val="auto"/>
        </w:rPr>
        <w:t>C</w:t>
      </w:r>
      <w:r>
        <w:rPr>
          <w:rFonts w:ascii="Times New Roman" w:hAnsi="Times New Roman" w:hint="eastAsia"/>
          <w:color w:val="auto"/>
        </w:rPr>
        <w:t>：</w:t>
      </w:r>
    </w:p>
    <w:p w:rsidR="000E6BAE" w:rsidRDefault="00CD6463">
      <w:pPr>
        <w:pStyle w:val="a0"/>
        <w:spacing w:line="360" w:lineRule="auto"/>
        <w:ind w:firstLine="480"/>
        <w:jc w:val="right"/>
        <w:rPr>
          <w:color w:val="000000"/>
          <w:kern w:val="0"/>
          <w:sz w:val="24"/>
        </w:rPr>
      </w:pPr>
      <w:r>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378"/>
        <w:gridCol w:w="1839"/>
        <w:gridCol w:w="1950"/>
        <w:gridCol w:w="1894"/>
        <w:gridCol w:w="1068"/>
      </w:tblGrid>
      <w:tr w:rsidR="000E6BAE">
        <w:trPr>
          <w:jc w:val="center"/>
        </w:trPr>
        <w:tc>
          <w:tcPr>
            <w:tcW w:w="1157" w:type="dxa"/>
            <w:vAlign w:val="center"/>
          </w:tcPr>
          <w:p w:rsidR="000E6BAE" w:rsidRDefault="00CD6463">
            <w:pPr>
              <w:spacing w:before="29" w:line="288" w:lineRule="auto"/>
              <w:jc w:val="center"/>
              <w:rPr>
                <w:color w:val="000000"/>
                <w:sz w:val="24"/>
              </w:rPr>
            </w:pPr>
            <w:r>
              <w:rPr>
                <w:rFonts w:hint="eastAsia"/>
                <w:color w:val="000000"/>
                <w:sz w:val="24"/>
              </w:rPr>
              <w:t>年度</w:t>
            </w:r>
          </w:p>
        </w:tc>
        <w:tc>
          <w:tcPr>
            <w:tcW w:w="1378" w:type="dxa"/>
            <w:vAlign w:val="center"/>
          </w:tcPr>
          <w:p w:rsidR="000E6BAE" w:rsidRDefault="00CD6463">
            <w:pPr>
              <w:spacing w:before="29" w:line="288" w:lineRule="auto"/>
              <w:jc w:val="center"/>
              <w:rPr>
                <w:color w:val="000000"/>
                <w:sz w:val="24"/>
              </w:rPr>
            </w:pPr>
            <w:r>
              <w:rPr>
                <w:rFonts w:hint="eastAsia"/>
                <w:color w:val="000000"/>
                <w:sz w:val="24"/>
              </w:rPr>
              <w:t>每</w:t>
            </w:r>
            <w:r>
              <w:rPr>
                <w:color w:val="000000"/>
                <w:sz w:val="24"/>
              </w:rPr>
              <w:t>10</w:t>
            </w:r>
            <w:r>
              <w:rPr>
                <w:rFonts w:hint="eastAsia"/>
                <w:color w:val="000000"/>
                <w:sz w:val="24"/>
              </w:rPr>
              <w:t>份基金份额分红数</w:t>
            </w:r>
          </w:p>
        </w:tc>
        <w:tc>
          <w:tcPr>
            <w:tcW w:w="1839" w:type="dxa"/>
            <w:vAlign w:val="center"/>
          </w:tcPr>
          <w:p w:rsidR="000E6BAE" w:rsidRDefault="00CD6463">
            <w:pPr>
              <w:spacing w:before="29" w:line="288" w:lineRule="auto"/>
              <w:jc w:val="center"/>
              <w:rPr>
                <w:color w:val="000000"/>
                <w:sz w:val="24"/>
              </w:rPr>
            </w:pPr>
            <w:r>
              <w:rPr>
                <w:rFonts w:hint="eastAsia"/>
                <w:color w:val="000000"/>
                <w:sz w:val="24"/>
              </w:rPr>
              <w:t>现金形式发放总额</w:t>
            </w:r>
          </w:p>
        </w:tc>
        <w:tc>
          <w:tcPr>
            <w:tcW w:w="1950" w:type="dxa"/>
            <w:vAlign w:val="center"/>
          </w:tcPr>
          <w:p w:rsidR="000E6BAE" w:rsidRDefault="00CD6463">
            <w:pPr>
              <w:spacing w:before="29" w:line="288" w:lineRule="auto"/>
              <w:jc w:val="center"/>
              <w:rPr>
                <w:color w:val="000000"/>
                <w:sz w:val="24"/>
              </w:rPr>
            </w:pPr>
            <w:r>
              <w:rPr>
                <w:rFonts w:hint="eastAsia"/>
                <w:color w:val="000000"/>
                <w:sz w:val="24"/>
              </w:rPr>
              <w:t>再投资形式发放总额</w:t>
            </w:r>
          </w:p>
        </w:tc>
        <w:tc>
          <w:tcPr>
            <w:tcW w:w="1894" w:type="dxa"/>
            <w:vAlign w:val="center"/>
          </w:tcPr>
          <w:p w:rsidR="000E6BAE" w:rsidRDefault="00CD6463">
            <w:pPr>
              <w:spacing w:before="29" w:line="288" w:lineRule="auto"/>
              <w:jc w:val="center"/>
              <w:rPr>
                <w:color w:val="000000"/>
                <w:sz w:val="24"/>
              </w:rPr>
            </w:pPr>
            <w:r>
              <w:rPr>
                <w:rFonts w:hint="eastAsia"/>
                <w:color w:val="000000"/>
                <w:sz w:val="24"/>
              </w:rPr>
              <w:t>年度利润分配合计</w:t>
            </w:r>
          </w:p>
        </w:tc>
        <w:tc>
          <w:tcPr>
            <w:tcW w:w="1068" w:type="dxa"/>
            <w:vAlign w:val="center"/>
          </w:tcPr>
          <w:p w:rsidR="000E6BAE" w:rsidRDefault="00CD6463">
            <w:pPr>
              <w:spacing w:before="29" w:line="288" w:lineRule="auto"/>
              <w:jc w:val="center"/>
              <w:rPr>
                <w:color w:val="000000"/>
                <w:sz w:val="24"/>
              </w:rPr>
            </w:pPr>
            <w:r>
              <w:rPr>
                <w:rFonts w:hint="eastAsia"/>
                <w:color w:val="000000"/>
                <w:sz w:val="24"/>
              </w:rPr>
              <w:t>备注</w:t>
            </w:r>
          </w:p>
        </w:tc>
      </w:tr>
      <w:tr w:rsidR="000E6BAE">
        <w:trPr>
          <w:jc w:val="center"/>
        </w:trPr>
        <w:tc>
          <w:tcPr>
            <w:tcW w:w="1157" w:type="dxa"/>
            <w:vAlign w:val="center"/>
          </w:tcPr>
          <w:p w:rsidR="000E6BAE" w:rsidRDefault="00CD6463">
            <w:pPr>
              <w:jc w:val="center"/>
            </w:pPr>
            <w:r>
              <w:rPr>
                <w:color w:val="000000"/>
                <w:sz w:val="24"/>
              </w:rPr>
              <w:t>2020</w:t>
            </w:r>
            <w:r>
              <w:rPr>
                <w:color w:val="000000"/>
                <w:sz w:val="24"/>
              </w:rPr>
              <w:t>年</w:t>
            </w:r>
          </w:p>
        </w:tc>
        <w:tc>
          <w:tcPr>
            <w:tcW w:w="1378" w:type="dxa"/>
            <w:vAlign w:val="center"/>
          </w:tcPr>
          <w:p w:rsidR="000E6BAE" w:rsidRDefault="00CD6463">
            <w:pPr>
              <w:jc w:val="right"/>
            </w:pPr>
            <w:r>
              <w:rPr>
                <w:color w:val="000000"/>
                <w:sz w:val="24"/>
              </w:rPr>
              <w:t>0.080</w:t>
            </w:r>
          </w:p>
        </w:tc>
        <w:tc>
          <w:tcPr>
            <w:tcW w:w="1839" w:type="dxa"/>
            <w:vAlign w:val="center"/>
          </w:tcPr>
          <w:p w:rsidR="000E6BAE" w:rsidRDefault="00CD6463">
            <w:pPr>
              <w:jc w:val="right"/>
            </w:pPr>
            <w:r>
              <w:rPr>
                <w:color w:val="000000"/>
                <w:sz w:val="24"/>
              </w:rPr>
              <w:t>6,884.53</w:t>
            </w:r>
          </w:p>
        </w:tc>
        <w:tc>
          <w:tcPr>
            <w:tcW w:w="1950" w:type="dxa"/>
            <w:vAlign w:val="center"/>
          </w:tcPr>
          <w:p w:rsidR="000E6BAE" w:rsidRDefault="00CD6463">
            <w:pPr>
              <w:jc w:val="right"/>
            </w:pPr>
            <w:r>
              <w:rPr>
                <w:color w:val="000000"/>
                <w:sz w:val="24"/>
              </w:rPr>
              <w:t>1,070.35</w:t>
            </w:r>
          </w:p>
        </w:tc>
        <w:tc>
          <w:tcPr>
            <w:tcW w:w="1894" w:type="dxa"/>
            <w:vAlign w:val="center"/>
          </w:tcPr>
          <w:p w:rsidR="000E6BAE" w:rsidRDefault="00CD6463">
            <w:pPr>
              <w:jc w:val="right"/>
            </w:pPr>
            <w:r>
              <w:rPr>
                <w:color w:val="000000"/>
                <w:sz w:val="24"/>
              </w:rPr>
              <w:t>7,954.88</w:t>
            </w:r>
          </w:p>
        </w:tc>
        <w:tc>
          <w:tcPr>
            <w:tcW w:w="1068" w:type="dxa"/>
            <w:vAlign w:val="center"/>
          </w:tcPr>
          <w:p w:rsidR="000E6BAE" w:rsidRDefault="00CD6463">
            <w:pPr>
              <w:jc w:val="left"/>
            </w:pPr>
            <w:r>
              <w:rPr>
                <w:color w:val="000000"/>
                <w:sz w:val="24"/>
              </w:rPr>
              <w:t>-</w:t>
            </w:r>
          </w:p>
        </w:tc>
      </w:tr>
      <w:tr w:rsidR="000E6BAE">
        <w:trPr>
          <w:jc w:val="center"/>
        </w:trPr>
        <w:tc>
          <w:tcPr>
            <w:tcW w:w="1157" w:type="dxa"/>
            <w:vAlign w:val="center"/>
          </w:tcPr>
          <w:p w:rsidR="000E6BAE" w:rsidRDefault="00CD6463">
            <w:pPr>
              <w:jc w:val="center"/>
            </w:pPr>
            <w:r>
              <w:rPr>
                <w:color w:val="000000"/>
                <w:sz w:val="24"/>
              </w:rPr>
              <w:t>2019</w:t>
            </w:r>
            <w:r>
              <w:rPr>
                <w:color w:val="000000"/>
                <w:sz w:val="24"/>
              </w:rPr>
              <w:t>年</w:t>
            </w:r>
          </w:p>
        </w:tc>
        <w:tc>
          <w:tcPr>
            <w:tcW w:w="1378" w:type="dxa"/>
            <w:vAlign w:val="center"/>
          </w:tcPr>
          <w:p w:rsidR="000E6BAE" w:rsidRDefault="00CD6463">
            <w:pPr>
              <w:jc w:val="right"/>
            </w:pPr>
            <w:r>
              <w:rPr>
                <w:color w:val="000000"/>
                <w:sz w:val="24"/>
              </w:rPr>
              <w:t>0.050</w:t>
            </w:r>
          </w:p>
        </w:tc>
        <w:tc>
          <w:tcPr>
            <w:tcW w:w="1839" w:type="dxa"/>
            <w:vAlign w:val="center"/>
          </w:tcPr>
          <w:p w:rsidR="000E6BAE" w:rsidRDefault="00CD6463">
            <w:pPr>
              <w:jc w:val="right"/>
            </w:pPr>
            <w:r>
              <w:rPr>
                <w:color w:val="000000"/>
                <w:sz w:val="24"/>
              </w:rPr>
              <w:t>4,397.80</w:t>
            </w:r>
          </w:p>
        </w:tc>
        <w:tc>
          <w:tcPr>
            <w:tcW w:w="1950" w:type="dxa"/>
            <w:vAlign w:val="center"/>
          </w:tcPr>
          <w:p w:rsidR="000E6BAE" w:rsidRDefault="00CD6463">
            <w:pPr>
              <w:jc w:val="right"/>
            </w:pPr>
            <w:r>
              <w:rPr>
                <w:color w:val="000000"/>
                <w:sz w:val="24"/>
              </w:rPr>
              <w:t>533.83</w:t>
            </w:r>
          </w:p>
        </w:tc>
        <w:tc>
          <w:tcPr>
            <w:tcW w:w="1894" w:type="dxa"/>
            <w:vAlign w:val="center"/>
          </w:tcPr>
          <w:p w:rsidR="000E6BAE" w:rsidRDefault="00CD6463">
            <w:pPr>
              <w:jc w:val="right"/>
            </w:pPr>
            <w:r>
              <w:rPr>
                <w:color w:val="000000"/>
                <w:sz w:val="24"/>
              </w:rPr>
              <w:t>4,931.63</w:t>
            </w:r>
          </w:p>
        </w:tc>
        <w:tc>
          <w:tcPr>
            <w:tcW w:w="1068" w:type="dxa"/>
            <w:vAlign w:val="center"/>
          </w:tcPr>
          <w:p w:rsidR="000E6BAE" w:rsidRDefault="00CD6463">
            <w:pPr>
              <w:jc w:val="left"/>
            </w:pPr>
            <w:r>
              <w:rPr>
                <w:color w:val="000000"/>
                <w:sz w:val="24"/>
              </w:rPr>
              <w:t>-</w:t>
            </w:r>
          </w:p>
        </w:tc>
      </w:tr>
      <w:tr w:rsidR="000E6BAE">
        <w:trPr>
          <w:jc w:val="center"/>
        </w:trPr>
        <w:tc>
          <w:tcPr>
            <w:tcW w:w="1157" w:type="dxa"/>
            <w:vAlign w:val="center"/>
          </w:tcPr>
          <w:p w:rsidR="000E6BAE" w:rsidRDefault="00CD6463">
            <w:pPr>
              <w:jc w:val="center"/>
            </w:pPr>
            <w:r>
              <w:rPr>
                <w:color w:val="000000"/>
                <w:sz w:val="24"/>
              </w:rPr>
              <w:t>2018</w:t>
            </w:r>
            <w:r>
              <w:rPr>
                <w:color w:val="000000"/>
                <w:sz w:val="24"/>
              </w:rPr>
              <w:t>年</w:t>
            </w:r>
          </w:p>
        </w:tc>
        <w:tc>
          <w:tcPr>
            <w:tcW w:w="1378" w:type="dxa"/>
            <w:vAlign w:val="center"/>
          </w:tcPr>
          <w:p w:rsidR="000E6BAE" w:rsidRDefault="00CD6463">
            <w:pPr>
              <w:jc w:val="right"/>
            </w:pPr>
            <w:r>
              <w:rPr>
                <w:color w:val="000000"/>
                <w:sz w:val="24"/>
              </w:rPr>
              <w:t>-</w:t>
            </w:r>
          </w:p>
        </w:tc>
        <w:tc>
          <w:tcPr>
            <w:tcW w:w="1839" w:type="dxa"/>
            <w:vAlign w:val="center"/>
          </w:tcPr>
          <w:p w:rsidR="000E6BAE" w:rsidRDefault="00CD6463">
            <w:pPr>
              <w:jc w:val="right"/>
            </w:pPr>
            <w:r>
              <w:rPr>
                <w:color w:val="000000"/>
                <w:sz w:val="24"/>
              </w:rPr>
              <w:t>-</w:t>
            </w:r>
          </w:p>
        </w:tc>
        <w:tc>
          <w:tcPr>
            <w:tcW w:w="1950" w:type="dxa"/>
            <w:vAlign w:val="center"/>
          </w:tcPr>
          <w:p w:rsidR="000E6BAE" w:rsidRDefault="00CD6463">
            <w:pPr>
              <w:jc w:val="right"/>
            </w:pPr>
            <w:r>
              <w:rPr>
                <w:color w:val="000000"/>
                <w:sz w:val="24"/>
              </w:rPr>
              <w:t>-</w:t>
            </w:r>
          </w:p>
        </w:tc>
        <w:tc>
          <w:tcPr>
            <w:tcW w:w="1894" w:type="dxa"/>
            <w:vAlign w:val="center"/>
          </w:tcPr>
          <w:p w:rsidR="000E6BAE" w:rsidRDefault="00CD6463">
            <w:pPr>
              <w:jc w:val="right"/>
            </w:pPr>
            <w:r>
              <w:rPr>
                <w:color w:val="000000"/>
                <w:sz w:val="24"/>
              </w:rPr>
              <w:t>-</w:t>
            </w:r>
          </w:p>
        </w:tc>
        <w:tc>
          <w:tcPr>
            <w:tcW w:w="1068" w:type="dxa"/>
            <w:vAlign w:val="center"/>
          </w:tcPr>
          <w:p w:rsidR="000E6BAE" w:rsidRDefault="00CD6463">
            <w:pPr>
              <w:jc w:val="left"/>
            </w:pPr>
            <w:r>
              <w:rPr>
                <w:color w:val="000000"/>
                <w:sz w:val="24"/>
              </w:rPr>
              <w:t>-</w:t>
            </w:r>
          </w:p>
        </w:tc>
      </w:tr>
      <w:tr w:rsidR="000E6BAE">
        <w:trPr>
          <w:jc w:val="center"/>
        </w:trPr>
        <w:tc>
          <w:tcPr>
            <w:tcW w:w="1157" w:type="dxa"/>
            <w:vAlign w:val="center"/>
          </w:tcPr>
          <w:p w:rsidR="000E6BAE" w:rsidRDefault="00CD6463">
            <w:pPr>
              <w:autoSpaceDE w:val="0"/>
              <w:autoSpaceDN w:val="0"/>
              <w:adjustRightInd w:val="0"/>
              <w:spacing w:before="29" w:line="288" w:lineRule="auto"/>
              <w:ind w:left="15"/>
              <w:jc w:val="center"/>
              <w:rPr>
                <w:rFonts w:asciiTheme="minorEastAsia" w:eastAsiaTheme="minorEastAsia" w:hAnsiTheme="minorEastAsia"/>
                <w:color w:val="000000"/>
                <w:szCs w:val="21"/>
              </w:rPr>
            </w:pPr>
            <w:r>
              <w:rPr>
                <w:rFonts w:hint="eastAsia"/>
                <w:color w:val="000000"/>
                <w:sz w:val="24"/>
              </w:rPr>
              <w:t>合计</w:t>
            </w:r>
          </w:p>
        </w:tc>
        <w:tc>
          <w:tcPr>
            <w:tcW w:w="1378" w:type="dxa"/>
            <w:vAlign w:val="center"/>
          </w:tcPr>
          <w:p w:rsidR="000E6BAE" w:rsidRDefault="00CD6463">
            <w:pPr>
              <w:autoSpaceDE w:val="0"/>
              <w:autoSpaceDN w:val="0"/>
              <w:adjustRightInd w:val="0"/>
              <w:spacing w:before="29" w:line="288" w:lineRule="auto"/>
              <w:ind w:left="15"/>
              <w:jc w:val="right"/>
              <w:rPr>
                <w:color w:val="000000"/>
                <w:kern w:val="0"/>
                <w:sz w:val="24"/>
              </w:rPr>
            </w:pPr>
            <w:r>
              <w:rPr>
                <w:color w:val="000000"/>
                <w:kern w:val="0"/>
                <w:sz w:val="24"/>
              </w:rPr>
              <w:t>0.130</w:t>
            </w:r>
          </w:p>
        </w:tc>
        <w:tc>
          <w:tcPr>
            <w:tcW w:w="1839" w:type="dxa"/>
            <w:vAlign w:val="center"/>
          </w:tcPr>
          <w:p w:rsidR="000E6BAE" w:rsidRDefault="00CD6463">
            <w:pPr>
              <w:autoSpaceDE w:val="0"/>
              <w:autoSpaceDN w:val="0"/>
              <w:adjustRightInd w:val="0"/>
              <w:spacing w:before="29" w:line="288" w:lineRule="auto"/>
              <w:ind w:left="15"/>
              <w:jc w:val="right"/>
              <w:rPr>
                <w:color w:val="000000"/>
                <w:kern w:val="0"/>
                <w:sz w:val="24"/>
              </w:rPr>
            </w:pPr>
            <w:r>
              <w:rPr>
                <w:color w:val="000000"/>
                <w:kern w:val="0"/>
                <w:sz w:val="24"/>
              </w:rPr>
              <w:t>11,282.33</w:t>
            </w:r>
          </w:p>
        </w:tc>
        <w:tc>
          <w:tcPr>
            <w:tcW w:w="1950" w:type="dxa"/>
            <w:vAlign w:val="center"/>
          </w:tcPr>
          <w:p w:rsidR="000E6BAE" w:rsidRDefault="00CD6463">
            <w:pPr>
              <w:autoSpaceDE w:val="0"/>
              <w:autoSpaceDN w:val="0"/>
              <w:adjustRightInd w:val="0"/>
              <w:spacing w:before="29" w:line="288" w:lineRule="auto"/>
              <w:ind w:left="15"/>
              <w:jc w:val="right"/>
              <w:rPr>
                <w:color w:val="000000"/>
                <w:kern w:val="0"/>
                <w:sz w:val="24"/>
              </w:rPr>
            </w:pPr>
            <w:r>
              <w:rPr>
                <w:color w:val="000000"/>
                <w:kern w:val="0"/>
                <w:sz w:val="24"/>
              </w:rPr>
              <w:t>1,604.18</w:t>
            </w:r>
          </w:p>
        </w:tc>
        <w:tc>
          <w:tcPr>
            <w:tcW w:w="1894" w:type="dxa"/>
            <w:vAlign w:val="center"/>
          </w:tcPr>
          <w:p w:rsidR="000E6BAE" w:rsidRDefault="00CD6463">
            <w:pPr>
              <w:autoSpaceDE w:val="0"/>
              <w:autoSpaceDN w:val="0"/>
              <w:adjustRightInd w:val="0"/>
              <w:spacing w:before="29" w:line="288" w:lineRule="auto"/>
              <w:ind w:left="15"/>
              <w:jc w:val="right"/>
              <w:rPr>
                <w:color w:val="000000"/>
                <w:kern w:val="0"/>
                <w:sz w:val="24"/>
              </w:rPr>
            </w:pPr>
            <w:r>
              <w:rPr>
                <w:color w:val="000000"/>
                <w:kern w:val="0"/>
                <w:sz w:val="24"/>
              </w:rPr>
              <w:t>12,886.51</w:t>
            </w:r>
          </w:p>
        </w:tc>
        <w:tc>
          <w:tcPr>
            <w:tcW w:w="1068" w:type="dxa"/>
            <w:vAlign w:val="center"/>
          </w:tcPr>
          <w:p w:rsidR="000E6BAE" w:rsidRDefault="00CD6463">
            <w:pPr>
              <w:autoSpaceDE w:val="0"/>
              <w:autoSpaceDN w:val="0"/>
              <w:adjustRightInd w:val="0"/>
              <w:spacing w:before="29" w:line="288" w:lineRule="auto"/>
              <w:ind w:left="15"/>
              <w:jc w:val="right"/>
              <w:rPr>
                <w:color w:val="000000"/>
                <w:kern w:val="0"/>
                <w:sz w:val="24"/>
              </w:rPr>
            </w:pPr>
            <w:r>
              <w:rPr>
                <w:color w:val="000000"/>
                <w:kern w:val="0"/>
                <w:sz w:val="24"/>
              </w:rPr>
              <w:t>-</w:t>
            </w:r>
          </w:p>
        </w:tc>
      </w:tr>
    </w:tbl>
    <w:p w:rsidR="000E6BAE" w:rsidRDefault="000E6BAE">
      <w:pPr>
        <w:spacing w:line="360" w:lineRule="auto"/>
        <w:jc w:val="left"/>
        <w:rPr>
          <w:rFonts w:asciiTheme="minorEastAsia" w:eastAsiaTheme="minorEastAsia" w:hAnsiTheme="minorEastAsia"/>
          <w:color w:val="000000"/>
          <w:szCs w:val="21"/>
        </w:rPr>
      </w:pPr>
    </w:p>
    <w:p w:rsidR="000E6BAE" w:rsidRDefault="00CD6463">
      <w:pPr>
        <w:pStyle w:val="1"/>
        <w:keepNext/>
        <w:keepLines/>
        <w:widowControl w:val="0"/>
        <w:spacing w:beforeLines="100" w:before="312" w:afterLines="100" w:after="312" w:line="288" w:lineRule="auto"/>
        <w:jc w:val="center"/>
        <w:rPr>
          <w:b/>
          <w:bCs/>
          <w:szCs w:val="24"/>
          <w:lang w:val="en-US"/>
        </w:rPr>
      </w:pPr>
      <w:bookmarkStart w:id="39" w:name="_Toc225498254"/>
      <w:bookmarkStart w:id="40" w:name="_Toc361324854"/>
      <w:bookmarkStart w:id="41" w:name="_Toc15575"/>
      <w:r>
        <w:rPr>
          <w:rFonts w:hint="eastAsia"/>
          <w:b/>
          <w:bCs/>
          <w:szCs w:val="24"/>
          <w:lang w:val="en-US"/>
        </w:rPr>
        <w:t>§</w:t>
      </w:r>
      <w:r>
        <w:rPr>
          <w:b/>
          <w:bCs/>
          <w:szCs w:val="24"/>
          <w:lang w:val="en-US"/>
        </w:rPr>
        <w:t xml:space="preserve">4  </w:t>
      </w:r>
      <w:r>
        <w:rPr>
          <w:rFonts w:hint="eastAsia"/>
          <w:b/>
          <w:bCs/>
          <w:szCs w:val="24"/>
          <w:lang w:val="en-US"/>
        </w:rPr>
        <w:t>管理人报告</w:t>
      </w:r>
      <w:bookmarkEnd w:id="39"/>
      <w:bookmarkEnd w:id="40"/>
      <w:bookmarkEnd w:id="41"/>
    </w:p>
    <w:p w:rsidR="000E6BAE" w:rsidRDefault="000E6BAE"/>
    <w:p w:rsidR="000E6BAE" w:rsidRDefault="00CD6463">
      <w:pPr>
        <w:pStyle w:val="2"/>
        <w:spacing w:before="29" w:after="0" w:line="288" w:lineRule="auto"/>
        <w:rPr>
          <w:rFonts w:eastAsiaTheme="minorEastAsia"/>
        </w:rPr>
      </w:pPr>
      <w:bookmarkStart w:id="42" w:name="_Toc361324855"/>
      <w:bookmarkStart w:id="43" w:name="_Toc24758"/>
      <w:r>
        <w:rPr>
          <w:rFonts w:eastAsiaTheme="minorEastAsia"/>
        </w:rPr>
        <w:t xml:space="preserve">4.1 </w:t>
      </w:r>
      <w:r>
        <w:rPr>
          <w:rFonts w:eastAsiaTheme="minorEastAsia" w:hint="eastAsia"/>
        </w:rPr>
        <w:t>基金管理人及基金经理情况</w:t>
      </w:r>
      <w:bookmarkEnd w:id="42"/>
      <w:bookmarkEnd w:id="43"/>
    </w:p>
    <w:p w:rsidR="000E6BAE" w:rsidRDefault="00CD6463">
      <w:pPr>
        <w:spacing w:before="29" w:line="288" w:lineRule="auto"/>
        <w:rPr>
          <w:rFonts w:eastAsiaTheme="minorEastAsia"/>
          <w:b/>
          <w:sz w:val="24"/>
        </w:rPr>
      </w:pPr>
      <w:r>
        <w:rPr>
          <w:rFonts w:eastAsiaTheme="minorEastAsia"/>
          <w:b/>
          <w:sz w:val="24"/>
        </w:rPr>
        <w:t>4.1.1</w:t>
      </w:r>
      <w:r>
        <w:rPr>
          <w:rFonts w:eastAsiaTheme="minorEastAsia" w:hint="eastAsia"/>
          <w:b/>
          <w:sz w:val="24"/>
        </w:rPr>
        <w:t>基金管理人及其管理基金的经验</w:t>
      </w:r>
    </w:p>
    <w:p w:rsidR="000E6BAE" w:rsidRDefault="00CD6463">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0E6BAE" w:rsidRDefault="00CD6463">
      <w:pPr>
        <w:spacing w:before="29" w:line="288" w:lineRule="auto"/>
        <w:ind w:firstLineChars="200" w:firstLine="480"/>
        <w:rPr>
          <w:kern w:val="0"/>
          <w:sz w:val="24"/>
        </w:rPr>
      </w:pPr>
      <w:r>
        <w:rPr>
          <w:kern w:val="0"/>
          <w:sz w:val="24"/>
        </w:rPr>
        <w:t>截至报告期末，公司管理了包括货币型、债券型、混</w:t>
      </w:r>
      <w:r>
        <w:rPr>
          <w:kern w:val="0"/>
          <w:sz w:val="24"/>
        </w:rPr>
        <w:t>合型和股票型在内的</w:t>
      </w:r>
      <w:r>
        <w:rPr>
          <w:kern w:val="0"/>
          <w:sz w:val="24"/>
        </w:rPr>
        <w:t>94</w:t>
      </w:r>
      <w:r>
        <w:rPr>
          <w:kern w:val="0"/>
          <w:sz w:val="24"/>
        </w:rPr>
        <w:t>只基金，其中股票型涵盖普通指数型、交易型开放式（</w:t>
      </w:r>
      <w:r>
        <w:rPr>
          <w:kern w:val="0"/>
          <w:sz w:val="24"/>
        </w:rPr>
        <w:t>ETF</w:t>
      </w:r>
      <w:r>
        <w:rPr>
          <w:kern w:val="0"/>
          <w:sz w:val="24"/>
        </w:rPr>
        <w:t>）、</w:t>
      </w:r>
      <w:r>
        <w:rPr>
          <w:kern w:val="0"/>
          <w:sz w:val="24"/>
        </w:rPr>
        <w:t>QDII</w:t>
      </w:r>
      <w:r>
        <w:rPr>
          <w:kern w:val="0"/>
          <w:sz w:val="24"/>
        </w:rPr>
        <w:t>等不同类型基金。</w:t>
      </w:r>
    </w:p>
    <w:p w:rsidR="000E6BAE" w:rsidRDefault="000E6BAE">
      <w:pPr>
        <w:spacing w:before="29" w:line="288" w:lineRule="auto"/>
        <w:rPr>
          <w:rFonts w:eastAsiaTheme="minorEastAsia"/>
          <w:b/>
          <w:sz w:val="24"/>
        </w:rPr>
      </w:pPr>
    </w:p>
    <w:p w:rsidR="000E6BAE" w:rsidRDefault="00CD6463">
      <w:pPr>
        <w:spacing w:before="29" w:line="288" w:lineRule="auto"/>
        <w:rPr>
          <w:rFonts w:eastAsiaTheme="minorEastAsia"/>
          <w:b/>
          <w:sz w:val="24"/>
        </w:rPr>
      </w:pPr>
      <w:r>
        <w:rPr>
          <w:rFonts w:eastAsiaTheme="minorEastAsia"/>
          <w:b/>
          <w:sz w:val="24"/>
        </w:rPr>
        <w:t>4.1.2</w:t>
      </w:r>
      <w:r>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418"/>
        <w:gridCol w:w="1275"/>
        <w:gridCol w:w="993"/>
        <w:gridCol w:w="2902"/>
      </w:tblGrid>
      <w:tr w:rsidR="000E6BAE">
        <w:tc>
          <w:tcPr>
            <w:tcW w:w="1276" w:type="dxa"/>
            <w:vMerge w:val="restart"/>
            <w:vAlign w:val="center"/>
          </w:tcPr>
          <w:p w:rsidR="000E6BAE" w:rsidRDefault="00CD6463">
            <w:pPr>
              <w:spacing w:before="29" w:line="288" w:lineRule="auto"/>
              <w:jc w:val="center"/>
              <w:rPr>
                <w:color w:val="000000"/>
                <w:sz w:val="24"/>
              </w:rPr>
            </w:pPr>
            <w:r>
              <w:rPr>
                <w:rFonts w:hint="eastAsia"/>
                <w:color w:val="000000"/>
                <w:sz w:val="24"/>
              </w:rPr>
              <w:t>姓名</w:t>
            </w:r>
          </w:p>
        </w:tc>
        <w:tc>
          <w:tcPr>
            <w:tcW w:w="1134" w:type="dxa"/>
            <w:vMerge w:val="restart"/>
            <w:vAlign w:val="center"/>
          </w:tcPr>
          <w:p w:rsidR="000E6BAE" w:rsidRDefault="00CD6463">
            <w:pPr>
              <w:spacing w:before="29" w:line="288" w:lineRule="auto"/>
              <w:jc w:val="center"/>
              <w:rPr>
                <w:color w:val="000000"/>
                <w:sz w:val="24"/>
              </w:rPr>
            </w:pPr>
            <w:r>
              <w:rPr>
                <w:rFonts w:hint="eastAsia"/>
                <w:color w:val="000000"/>
                <w:sz w:val="24"/>
              </w:rPr>
              <w:t>职务</w:t>
            </w:r>
          </w:p>
        </w:tc>
        <w:tc>
          <w:tcPr>
            <w:tcW w:w="2693" w:type="dxa"/>
            <w:gridSpan w:val="2"/>
            <w:vAlign w:val="center"/>
          </w:tcPr>
          <w:p w:rsidR="000E6BAE" w:rsidRDefault="00CD6463">
            <w:pPr>
              <w:spacing w:before="29" w:line="288" w:lineRule="auto"/>
              <w:jc w:val="center"/>
              <w:rPr>
                <w:color w:val="000000"/>
                <w:sz w:val="24"/>
              </w:rPr>
            </w:pPr>
            <w:r>
              <w:rPr>
                <w:rFonts w:hint="eastAsia"/>
                <w:color w:val="000000"/>
                <w:sz w:val="24"/>
              </w:rPr>
              <w:t>任本基金的基金经理（助理）期限</w:t>
            </w:r>
          </w:p>
        </w:tc>
        <w:tc>
          <w:tcPr>
            <w:tcW w:w="993" w:type="dxa"/>
            <w:vMerge w:val="restart"/>
            <w:vAlign w:val="center"/>
          </w:tcPr>
          <w:p w:rsidR="000E6BAE" w:rsidRDefault="00CD6463">
            <w:pPr>
              <w:spacing w:before="29" w:line="288" w:lineRule="auto"/>
              <w:jc w:val="center"/>
              <w:rPr>
                <w:color w:val="000000"/>
                <w:sz w:val="24"/>
              </w:rPr>
            </w:pPr>
            <w:r>
              <w:rPr>
                <w:rFonts w:hint="eastAsia"/>
                <w:color w:val="000000"/>
                <w:sz w:val="24"/>
              </w:rPr>
              <w:t>证券从业年限</w:t>
            </w:r>
          </w:p>
        </w:tc>
        <w:tc>
          <w:tcPr>
            <w:tcW w:w="2902" w:type="dxa"/>
            <w:vMerge w:val="restart"/>
            <w:vAlign w:val="center"/>
          </w:tcPr>
          <w:p w:rsidR="000E6BAE" w:rsidRDefault="00CD6463">
            <w:pPr>
              <w:spacing w:before="29" w:line="288" w:lineRule="auto"/>
              <w:jc w:val="center"/>
              <w:rPr>
                <w:color w:val="000000"/>
                <w:sz w:val="24"/>
              </w:rPr>
            </w:pPr>
            <w:r>
              <w:rPr>
                <w:rFonts w:hint="eastAsia"/>
                <w:color w:val="000000"/>
                <w:sz w:val="24"/>
              </w:rPr>
              <w:t>说明</w:t>
            </w:r>
          </w:p>
        </w:tc>
      </w:tr>
      <w:tr w:rsidR="000E6BAE">
        <w:tc>
          <w:tcPr>
            <w:tcW w:w="1276" w:type="dxa"/>
            <w:vMerge/>
            <w:vAlign w:val="center"/>
          </w:tcPr>
          <w:p w:rsidR="000E6BAE" w:rsidRDefault="000E6BAE">
            <w:pPr>
              <w:widowControl/>
              <w:spacing w:line="360" w:lineRule="auto"/>
              <w:jc w:val="left"/>
              <w:rPr>
                <w:rFonts w:asciiTheme="minorEastAsia" w:eastAsiaTheme="minorEastAsia" w:hAnsiTheme="minorEastAsia"/>
                <w:color w:val="000000"/>
                <w:szCs w:val="21"/>
              </w:rPr>
            </w:pPr>
          </w:p>
        </w:tc>
        <w:tc>
          <w:tcPr>
            <w:tcW w:w="1134" w:type="dxa"/>
            <w:vMerge/>
            <w:vAlign w:val="center"/>
          </w:tcPr>
          <w:p w:rsidR="000E6BAE" w:rsidRDefault="000E6BAE">
            <w:pPr>
              <w:spacing w:before="29" w:line="288" w:lineRule="auto"/>
              <w:jc w:val="center"/>
              <w:rPr>
                <w:color w:val="000000"/>
                <w:sz w:val="24"/>
              </w:rPr>
            </w:pPr>
          </w:p>
        </w:tc>
        <w:tc>
          <w:tcPr>
            <w:tcW w:w="1418" w:type="dxa"/>
            <w:vAlign w:val="center"/>
          </w:tcPr>
          <w:p w:rsidR="000E6BAE" w:rsidRDefault="00CD6463">
            <w:pPr>
              <w:spacing w:before="29" w:line="288" w:lineRule="auto"/>
              <w:jc w:val="center"/>
              <w:rPr>
                <w:color w:val="000000"/>
                <w:sz w:val="24"/>
              </w:rPr>
            </w:pPr>
            <w:r>
              <w:rPr>
                <w:rFonts w:hint="eastAsia"/>
                <w:color w:val="000000"/>
                <w:sz w:val="24"/>
              </w:rPr>
              <w:t>任职日期</w:t>
            </w:r>
          </w:p>
        </w:tc>
        <w:tc>
          <w:tcPr>
            <w:tcW w:w="1275" w:type="dxa"/>
            <w:vAlign w:val="center"/>
          </w:tcPr>
          <w:p w:rsidR="000E6BAE" w:rsidRDefault="00CD6463">
            <w:pPr>
              <w:spacing w:before="29" w:line="288" w:lineRule="auto"/>
              <w:jc w:val="center"/>
              <w:rPr>
                <w:color w:val="000000"/>
                <w:sz w:val="24"/>
              </w:rPr>
            </w:pPr>
            <w:r>
              <w:rPr>
                <w:rFonts w:hint="eastAsia"/>
                <w:color w:val="000000"/>
                <w:sz w:val="24"/>
              </w:rPr>
              <w:t>离任日期</w:t>
            </w:r>
          </w:p>
        </w:tc>
        <w:tc>
          <w:tcPr>
            <w:tcW w:w="993" w:type="dxa"/>
            <w:vMerge/>
            <w:vAlign w:val="center"/>
          </w:tcPr>
          <w:p w:rsidR="000E6BAE" w:rsidRDefault="000E6BAE">
            <w:pPr>
              <w:widowControl/>
              <w:spacing w:line="360" w:lineRule="auto"/>
              <w:jc w:val="left"/>
              <w:rPr>
                <w:rFonts w:asciiTheme="minorEastAsia" w:eastAsiaTheme="minorEastAsia" w:hAnsiTheme="minorEastAsia"/>
                <w:color w:val="000000"/>
                <w:szCs w:val="21"/>
              </w:rPr>
            </w:pPr>
          </w:p>
        </w:tc>
        <w:tc>
          <w:tcPr>
            <w:tcW w:w="2902" w:type="dxa"/>
            <w:vMerge/>
            <w:vAlign w:val="center"/>
          </w:tcPr>
          <w:p w:rsidR="000E6BAE" w:rsidRDefault="000E6BAE">
            <w:pPr>
              <w:widowControl/>
              <w:spacing w:line="360" w:lineRule="auto"/>
              <w:jc w:val="left"/>
              <w:rPr>
                <w:rFonts w:asciiTheme="minorEastAsia" w:eastAsiaTheme="minorEastAsia" w:hAnsiTheme="minorEastAsia"/>
                <w:color w:val="000000"/>
                <w:szCs w:val="21"/>
              </w:rPr>
            </w:pPr>
          </w:p>
        </w:tc>
      </w:tr>
      <w:tr w:rsidR="000E6BAE">
        <w:tc>
          <w:tcPr>
            <w:tcW w:w="1276" w:type="dxa"/>
            <w:vAlign w:val="center"/>
          </w:tcPr>
          <w:p w:rsidR="000E6BAE" w:rsidRDefault="00CD6463">
            <w:pPr>
              <w:jc w:val="center"/>
            </w:pPr>
            <w:r>
              <w:rPr>
                <w:color w:val="000000"/>
                <w:sz w:val="24"/>
              </w:rPr>
              <w:t>魏玉敏</w:t>
            </w:r>
          </w:p>
        </w:tc>
        <w:tc>
          <w:tcPr>
            <w:tcW w:w="1134" w:type="dxa"/>
            <w:vAlign w:val="center"/>
          </w:tcPr>
          <w:p w:rsidR="000E6BAE" w:rsidRDefault="00CD6463">
            <w:pPr>
              <w:jc w:val="center"/>
            </w:pPr>
            <w:r>
              <w:rPr>
                <w:color w:val="000000"/>
                <w:sz w:val="24"/>
              </w:rPr>
              <w:t>交银增利债券、交银纯债债券发起、交银丰润收益债券、交银增利增强债券、交银裕如纯债债券、交银中债</w:t>
            </w:r>
            <w:r>
              <w:rPr>
                <w:color w:val="000000"/>
                <w:sz w:val="24"/>
              </w:rPr>
              <w:t>1-3</w:t>
            </w:r>
            <w:r>
              <w:rPr>
                <w:color w:val="000000"/>
                <w:sz w:val="24"/>
              </w:rPr>
              <w:t>年农发债指数、交银可转债债券、交银裕泰两年定期开放债券的基金经理</w:t>
            </w:r>
          </w:p>
        </w:tc>
        <w:tc>
          <w:tcPr>
            <w:tcW w:w="1418" w:type="dxa"/>
            <w:vAlign w:val="center"/>
          </w:tcPr>
          <w:p w:rsidR="000E6BAE" w:rsidRDefault="00CD6463">
            <w:pPr>
              <w:jc w:val="center"/>
            </w:pPr>
            <w:r>
              <w:rPr>
                <w:color w:val="000000"/>
                <w:sz w:val="24"/>
              </w:rPr>
              <w:t>2018-11-02</w:t>
            </w:r>
          </w:p>
        </w:tc>
        <w:tc>
          <w:tcPr>
            <w:tcW w:w="1275" w:type="dxa"/>
            <w:vAlign w:val="center"/>
          </w:tcPr>
          <w:p w:rsidR="000E6BAE" w:rsidRDefault="00CD6463">
            <w:pPr>
              <w:jc w:val="center"/>
            </w:pPr>
            <w:r>
              <w:rPr>
                <w:color w:val="000000"/>
                <w:sz w:val="24"/>
              </w:rPr>
              <w:t>-</w:t>
            </w:r>
          </w:p>
        </w:tc>
        <w:tc>
          <w:tcPr>
            <w:tcW w:w="993" w:type="dxa"/>
            <w:vAlign w:val="center"/>
          </w:tcPr>
          <w:p w:rsidR="000E6BAE" w:rsidRDefault="00CD6463">
            <w:pPr>
              <w:jc w:val="center"/>
            </w:pPr>
            <w:r>
              <w:rPr>
                <w:color w:val="000000"/>
                <w:sz w:val="24"/>
              </w:rPr>
              <w:t>8</w:t>
            </w:r>
            <w:r>
              <w:rPr>
                <w:color w:val="000000"/>
                <w:sz w:val="24"/>
              </w:rPr>
              <w:t>年</w:t>
            </w:r>
          </w:p>
        </w:tc>
        <w:tc>
          <w:tcPr>
            <w:tcW w:w="2902" w:type="dxa"/>
            <w:vAlign w:val="center"/>
          </w:tcPr>
          <w:p w:rsidR="000E6BAE" w:rsidRDefault="00CD6463">
            <w:r>
              <w:rPr>
                <w:color w:val="000000"/>
                <w:sz w:val="24"/>
              </w:rPr>
              <w:t>魏玉敏女士，厦门大学金融学硕士、学士。</w:t>
            </w:r>
            <w:r>
              <w:rPr>
                <w:color w:val="000000"/>
                <w:sz w:val="24"/>
              </w:rPr>
              <w:t>2012</w:t>
            </w:r>
            <w:r>
              <w:rPr>
                <w:color w:val="000000"/>
                <w:sz w:val="24"/>
              </w:rPr>
              <w:t>年至</w:t>
            </w:r>
            <w:r>
              <w:rPr>
                <w:color w:val="000000"/>
                <w:sz w:val="24"/>
              </w:rPr>
              <w:t>2013</w:t>
            </w:r>
            <w:r>
              <w:rPr>
                <w:color w:val="000000"/>
                <w:sz w:val="24"/>
              </w:rPr>
              <w:t>年任招商证券固定收益研究员，</w:t>
            </w:r>
            <w:r>
              <w:rPr>
                <w:color w:val="000000"/>
                <w:sz w:val="24"/>
              </w:rPr>
              <w:t>2013</w:t>
            </w:r>
            <w:r>
              <w:rPr>
                <w:color w:val="000000"/>
                <w:sz w:val="24"/>
              </w:rPr>
              <w:t>年至</w:t>
            </w:r>
            <w:r>
              <w:rPr>
                <w:color w:val="000000"/>
                <w:sz w:val="24"/>
              </w:rPr>
              <w:t>2016</w:t>
            </w:r>
            <w:r>
              <w:rPr>
                <w:color w:val="000000"/>
                <w:sz w:val="24"/>
              </w:rPr>
              <w:t>年任国信证券固定收益高级分析师。</w:t>
            </w:r>
            <w:r>
              <w:rPr>
                <w:color w:val="000000"/>
                <w:sz w:val="24"/>
              </w:rPr>
              <w:t>2016</w:t>
            </w:r>
            <w:r>
              <w:rPr>
                <w:color w:val="000000"/>
                <w:sz w:val="24"/>
              </w:rPr>
              <w:t>年加入交银施罗德基金管理有限公司，历任基金经理助理。</w:t>
            </w:r>
            <w:r>
              <w:rPr>
                <w:color w:val="000000"/>
                <w:sz w:val="24"/>
              </w:rPr>
              <w:t>2018</w:t>
            </w:r>
            <w:r>
              <w:rPr>
                <w:color w:val="000000"/>
                <w:sz w:val="24"/>
              </w:rPr>
              <w:t>年</w:t>
            </w:r>
            <w:r>
              <w:rPr>
                <w:color w:val="000000"/>
                <w:sz w:val="24"/>
              </w:rPr>
              <w:t>8</w:t>
            </w:r>
            <w:r>
              <w:rPr>
                <w:color w:val="000000"/>
                <w:sz w:val="24"/>
              </w:rPr>
              <w:t>月</w:t>
            </w:r>
            <w:r>
              <w:rPr>
                <w:color w:val="000000"/>
                <w:sz w:val="24"/>
              </w:rPr>
              <w:t>29</w:t>
            </w:r>
            <w:r>
              <w:rPr>
                <w:color w:val="000000"/>
                <w:sz w:val="24"/>
              </w:rPr>
              <w:t>日至</w:t>
            </w:r>
            <w:r>
              <w:rPr>
                <w:color w:val="000000"/>
                <w:sz w:val="24"/>
              </w:rPr>
              <w:t>2020</w:t>
            </w:r>
            <w:r>
              <w:rPr>
                <w:color w:val="000000"/>
                <w:sz w:val="24"/>
              </w:rPr>
              <w:t>年</w:t>
            </w:r>
            <w:r>
              <w:rPr>
                <w:color w:val="000000"/>
                <w:sz w:val="24"/>
              </w:rPr>
              <w:t>10</w:t>
            </w:r>
            <w:r>
              <w:rPr>
                <w:color w:val="000000"/>
                <w:sz w:val="24"/>
              </w:rPr>
              <w:t>月</w:t>
            </w:r>
            <w:r>
              <w:rPr>
                <w:color w:val="000000"/>
                <w:sz w:val="24"/>
              </w:rPr>
              <w:t>16</w:t>
            </w:r>
            <w:r>
              <w:rPr>
                <w:color w:val="000000"/>
                <w:sz w:val="24"/>
              </w:rPr>
              <w:t>日担任交银施罗德丰晟收益债券型证券投资基金的基金经理。</w:t>
            </w:r>
          </w:p>
        </w:tc>
      </w:tr>
      <w:tr w:rsidR="000E6BAE">
        <w:tc>
          <w:tcPr>
            <w:tcW w:w="1276" w:type="dxa"/>
            <w:vAlign w:val="center"/>
          </w:tcPr>
          <w:p w:rsidR="000E6BAE" w:rsidRDefault="00CD6463">
            <w:pPr>
              <w:jc w:val="center"/>
              <w:rPr>
                <w:color w:val="000000"/>
                <w:sz w:val="24"/>
              </w:rPr>
            </w:pPr>
            <w:r>
              <w:rPr>
                <w:rFonts w:hint="eastAsia"/>
                <w:color w:val="000000"/>
                <w:sz w:val="24"/>
              </w:rPr>
              <w:t>连端清</w:t>
            </w:r>
          </w:p>
        </w:tc>
        <w:tc>
          <w:tcPr>
            <w:tcW w:w="1134" w:type="dxa"/>
            <w:vAlign w:val="center"/>
          </w:tcPr>
          <w:p w:rsidR="000E6BAE" w:rsidRDefault="00CD6463">
            <w:pPr>
              <w:jc w:val="center"/>
              <w:rPr>
                <w:color w:val="000000"/>
                <w:sz w:val="24"/>
              </w:rPr>
            </w:pPr>
            <w:r>
              <w:rPr>
                <w:rFonts w:hint="eastAsia"/>
                <w:color w:val="000000"/>
                <w:sz w:val="24"/>
              </w:rPr>
              <w:t>交银丰盈收益债券、交银活期通货币、交银裕盈纯债债券、交银裕利纯债债券、交银裕惠纯债债券的基金经理</w:t>
            </w:r>
          </w:p>
        </w:tc>
        <w:tc>
          <w:tcPr>
            <w:tcW w:w="1418" w:type="dxa"/>
            <w:vAlign w:val="center"/>
          </w:tcPr>
          <w:p w:rsidR="000E6BAE" w:rsidRDefault="00CD6463">
            <w:pPr>
              <w:jc w:val="center"/>
              <w:rPr>
                <w:color w:val="000000"/>
                <w:sz w:val="24"/>
              </w:rPr>
            </w:pPr>
            <w:r>
              <w:rPr>
                <w:rFonts w:hint="eastAsia"/>
                <w:color w:val="000000"/>
                <w:sz w:val="24"/>
              </w:rPr>
              <w:t>2015/8/4</w:t>
            </w:r>
          </w:p>
        </w:tc>
        <w:tc>
          <w:tcPr>
            <w:tcW w:w="1275" w:type="dxa"/>
            <w:vAlign w:val="center"/>
          </w:tcPr>
          <w:p w:rsidR="000E6BAE" w:rsidRDefault="00CD6463">
            <w:pPr>
              <w:jc w:val="center"/>
              <w:rPr>
                <w:color w:val="000000"/>
                <w:sz w:val="24"/>
              </w:rPr>
            </w:pPr>
            <w:r>
              <w:rPr>
                <w:rFonts w:hint="eastAsia"/>
                <w:color w:val="000000"/>
                <w:sz w:val="24"/>
              </w:rPr>
              <w:t>2020/8/22</w:t>
            </w:r>
          </w:p>
        </w:tc>
        <w:tc>
          <w:tcPr>
            <w:tcW w:w="993" w:type="dxa"/>
            <w:vAlign w:val="center"/>
          </w:tcPr>
          <w:p w:rsidR="000E6BAE" w:rsidRDefault="00CD6463">
            <w:pPr>
              <w:jc w:val="center"/>
              <w:rPr>
                <w:color w:val="000000"/>
                <w:sz w:val="24"/>
              </w:rPr>
            </w:pPr>
            <w:r>
              <w:rPr>
                <w:rFonts w:hint="eastAsia"/>
                <w:color w:val="000000"/>
                <w:sz w:val="24"/>
              </w:rPr>
              <w:t>7</w:t>
            </w:r>
          </w:p>
        </w:tc>
        <w:tc>
          <w:tcPr>
            <w:tcW w:w="2902" w:type="dxa"/>
            <w:vAlign w:val="center"/>
          </w:tcPr>
          <w:p w:rsidR="000E6BAE" w:rsidRDefault="00CD6463">
            <w:pPr>
              <w:jc w:val="left"/>
              <w:rPr>
                <w:color w:val="000000"/>
                <w:sz w:val="24"/>
              </w:rPr>
            </w:pPr>
            <w:r>
              <w:rPr>
                <w:rFonts w:hint="eastAsia"/>
                <w:color w:val="000000"/>
                <w:sz w:val="24"/>
              </w:rPr>
              <w:t>连端清先生，复旦大学经济学博士。历任交通银行总行金融市场部、湘财证</w:t>
            </w:r>
            <w:r>
              <w:rPr>
                <w:rFonts w:hint="eastAsia"/>
                <w:color w:val="000000"/>
                <w:sz w:val="24"/>
              </w:rPr>
              <w:t>券研究所研究员、中航信托资产管理部投资经理。</w:t>
            </w:r>
            <w:r>
              <w:rPr>
                <w:rFonts w:hint="eastAsia"/>
                <w:color w:val="000000"/>
                <w:sz w:val="24"/>
              </w:rPr>
              <w:t>2015</w:t>
            </w:r>
            <w:r>
              <w:rPr>
                <w:rFonts w:hint="eastAsia"/>
                <w:color w:val="000000"/>
                <w:sz w:val="24"/>
              </w:rPr>
              <w:t>年加入交银施罗德基金管理有限公司。</w:t>
            </w:r>
            <w:r>
              <w:rPr>
                <w:rFonts w:hint="eastAsia"/>
                <w:color w:val="000000"/>
                <w:sz w:val="24"/>
              </w:rPr>
              <w:t>2017</w:t>
            </w:r>
            <w:r>
              <w:rPr>
                <w:rFonts w:hint="eastAsia"/>
                <w:color w:val="000000"/>
                <w:sz w:val="24"/>
              </w:rPr>
              <w:t>年</w:t>
            </w:r>
            <w:r>
              <w:rPr>
                <w:rFonts w:hint="eastAsia"/>
                <w:color w:val="000000"/>
                <w:sz w:val="24"/>
              </w:rPr>
              <w:t>3</w:t>
            </w:r>
            <w:r>
              <w:rPr>
                <w:rFonts w:hint="eastAsia"/>
                <w:color w:val="000000"/>
                <w:sz w:val="24"/>
              </w:rPr>
              <w:t>月</w:t>
            </w:r>
            <w:r>
              <w:rPr>
                <w:rFonts w:hint="eastAsia"/>
                <w:color w:val="000000"/>
                <w:sz w:val="24"/>
              </w:rPr>
              <w:t>31</w:t>
            </w:r>
            <w:r>
              <w:rPr>
                <w:rFonts w:hint="eastAsia"/>
                <w:color w:val="000000"/>
                <w:sz w:val="24"/>
              </w:rPr>
              <w:t>日至</w:t>
            </w:r>
            <w:r>
              <w:rPr>
                <w:rFonts w:hint="eastAsia"/>
                <w:color w:val="000000"/>
                <w:sz w:val="24"/>
              </w:rPr>
              <w:t>2018</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23</w:t>
            </w:r>
            <w:r>
              <w:rPr>
                <w:rFonts w:hint="eastAsia"/>
                <w:color w:val="000000"/>
                <w:sz w:val="24"/>
              </w:rPr>
              <w:t>日担任交银施罗德裕兴纯债债券型证券投资基金的基金经理。</w:t>
            </w:r>
            <w:r>
              <w:rPr>
                <w:rFonts w:hint="eastAsia"/>
                <w:color w:val="000000"/>
                <w:sz w:val="24"/>
              </w:rPr>
              <w:t>2015</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4</w:t>
            </w:r>
            <w:r>
              <w:rPr>
                <w:rFonts w:hint="eastAsia"/>
                <w:color w:val="000000"/>
                <w:sz w:val="24"/>
              </w:rPr>
              <w:t>日至</w:t>
            </w:r>
            <w:r>
              <w:rPr>
                <w:rFonts w:hint="eastAsia"/>
                <w:color w:val="000000"/>
                <w:sz w:val="24"/>
              </w:rPr>
              <w:t>2019</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2</w:t>
            </w:r>
            <w:r>
              <w:rPr>
                <w:rFonts w:hint="eastAsia"/>
                <w:color w:val="000000"/>
                <w:sz w:val="24"/>
              </w:rPr>
              <w:t>日担任交银施罗德现金宝货币市场基金的基金经理。</w:t>
            </w:r>
            <w:r>
              <w:rPr>
                <w:rFonts w:hint="eastAsia"/>
                <w:color w:val="000000"/>
                <w:sz w:val="24"/>
              </w:rPr>
              <w:t>2015</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16</w:t>
            </w:r>
            <w:r>
              <w:rPr>
                <w:rFonts w:hint="eastAsia"/>
                <w:color w:val="000000"/>
                <w:sz w:val="24"/>
              </w:rPr>
              <w:t>日至</w:t>
            </w:r>
            <w:r>
              <w:rPr>
                <w:rFonts w:hint="eastAsia"/>
                <w:color w:val="000000"/>
                <w:sz w:val="24"/>
              </w:rPr>
              <w:t>2019</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2</w:t>
            </w:r>
            <w:r>
              <w:rPr>
                <w:rFonts w:hint="eastAsia"/>
                <w:color w:val="000000"/>
                <w:sz w:val="24"/>
              </w:rPr>
              <w:t>日担任交银施罗德货币市场证券投资基金的基金经理。</w:t>
            </w:r>
            <w:r>
              <w:rPr>
                <w:rFonts w:hint="eastAsia"/>
                <w:color w:val="000000"/>
                <w:sz w:val="24"/>
              </w:rPr>
              <w:t>2016</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7</w:t>
            </w:r>
            <w:r>
              <w:rPr>
                <w:rFonts w:hint="eastAsia"/>
                <w:color w:val="000000"/>
                <w:sz w:val="24"/>
              </w:rPr>
              <w:t>日至</w:t>
            </w:r>
            <w:r>
              <w:rPr>
                <w:rFonts w:hint="eastAsia"/>
                <w:color w:val="000000"/>
                <w:sz w:val="24"/>
              </w:rPr>
              <w:t>2019</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2</w:t>
            </w:r>
            <w:r>
              <w:rPr>
                <w:rFonts w:hint="eastAsia"/>
                <w:color w:val="000000"/>
                <w:sz w:val="24"/>
              </w:rPr>
              <w:t>日担任交银施罗德天鑫宝货币市场基金的基金经理。</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29</w:t>
            </w:r>
            <w:r>
              <w:rPr>
                <w:rFonts w:hint="eastAsia"/>
                <w:color w:val="000000"/>
                <w:sz w:val="24"/>
              </w:rPr>
              <w:t>日至</w:t>
            </w:r>
            <w:r>
              <w:rPr>
                <w:rFonts w:hint="eastAsia"/>
                <w:color w:val="000000"/>
                <w:sz w:val="24"/>
              </w:rPr>
              <w:t>2019</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2</w:t>
            </w:r>
            <w:r>
              <w:rPr>
                <w:rFonts w:hint="eastAsia"/>
                <w:color w:val="000000"/>
                <w:sz w:val="24"/>
              </w:rPr>
              <w:t>日担任交银施罗德天运宝货币市场基金的基</w:t>
            </w:r>
            <w:r>
              <w:rPr>
                <w:rFonts w:hint="eastAsia"/>
                <w:color w:val="000000"/>
                <w:sz w:val="24"/>
              </w:rPr>
              <w:t>金经理。</w:t>
            </w:r>
            <w:r>
              <w:rPr>
                <w:rFonts w:hint="eastAsia"/>
                <w:color w:val="000000"/>
                <w:sz w:val="24"/>
              </w:rPr>
              <w:t>2016</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19</w:t>
            </w:r>
            <w:r>
              <w:rPr>
                <w:rFonts w:hint="eastAsia"/>
                <w:color w:val="000000"/>
                <w:sz w:val="24"/>
              </w:rPr>
              <w:t>日至</w:t>
            </w:r>
            <w:r>
              <w:rPr>
                <w:rFonts w:hint="eastAsia"/>
                <w:color w:val="000000"/>
                <w:sz w:val="24"/>
              </w:rPr>
              <w:t>2019</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29</w:t>
            </w:r>
            <w:r>
              <w:rPr>
                <w:rFonts w:hint="eastAsia"/>
                <w:color w:val="000000"/>
                <w:sz w:val="24"/>
              </w:rPr>
              <w:t>日担任交银施罗德天利宝货币市场基金的基金经理。</w:t>
            </w:r>
            <w:r>
              <w:rPr>
                <w:rFonts w:hint="eastAsia"/>
                <w:color w:val="000000"/>
                <w:sz w:val="24"/>
              </w:rPr>
              <w:t>2016</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28</w:t>
            </w:r>
            <w:r>
              <w:rPr>
                <w:rFonts w:hint="eastAsia"/>
                <w:color w:val="000000"/>
                <w:sz w:val="24"/>
              </w:rPr>
              <w:t>日至</w:t>
            </w:r>
            <w:r>
              <w:rPr>
                <w:rFonts w:hint="eastAsia"/>
                <w:color w:val="000000"/>
                <w:sz w:val="24"/>
              </w:rPr>
              <w:t>2019</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29</w:t>
            </w:r>
            <w:r>
              <w:rPr>
                <w:rFonts w:hint="eastAsia"/>
                <w:color w:val="000000"/>
                <w:sz w:val="24"/>
              </w:rPr>
              <w:t>日担任交银施罗德裕隆纯债债券型证券投资基金的基金经理。</w:t>
            </w:r>
            <w:r>
              <w:rPr>
                <w:rFonts w:hint="eastAsia"/>
                <w:color w:val="000000"/>
                <w:sz w:val="24"/>
              </w:rPr>
              <w:t>2016</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20</w:t>
            </w:r>
            <w:r>
              <w:rPr>
                <w:rFonts w:hint="eastAsia"/>
                <w:color w:val="000000"/>
                <w:sz w:val="24"/>
              </w:rPr>
              <w:t>日至</w:t>
            </w:r>
            <w:r>
              <w:rPr>
                <w:rFonts w:hint="eastAsia"/>
                <w:color w:val="000000"/>
                <w:sz w:val="24"/>
              </w:rPr>
              <w:t>2019</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29</w:t>
            </w:r>
            <w:r>
              <w:rPr>
                <w:rFonts w:hint="eastAsia"/>
                <w:color w:val="000000"/>
                <w:sz w:val="24"/>
              </w:rPr>
              <w:t>日担任交银施罗德天益宝货币市场基金的基金经理。</w:t>
            </w:r>
            <w:r>
              <w:rPr>
                <w:rFonts w:hint="eastAsia"/>
                <w:color w:val="000000"/>
                <w:sz w:val="24"/>
              </w:rPr>
              <w:t>2017</w:t>
            </w:r>
            <w:r>
              <w:rPr>
                <w:rFonts w:hint="eastAsia"/>
                <w:color w:val="000000"/>
                <w:sz w:val="24"/>
              </w:rPr>
              <w:t>年</w:t>
            </w:r>
            <w:r>
              <w:rPr>
                <w:rFonts w:hint="eastAsia"/>
                <w:color w:val="000000"/>
                <w:sz w:val="24"/>
              </w:rPr>
              <w:t>3</w:t>
            </w:r>
            <w:r>
              <w:rPr>
                <w:rFonts w:hint="eastAsia"/>
                <w:color w:val="000000"/>
                <w:sz w:val="24"/>
              </w:rPr>
              <w:t>月</w:t>
            </w:r>
            <w:r>
              <w:rPr>
                <w:rFonts w:hint="eastAsia"/>
                <w:color w:val="000000"/>
                <w:sz w:val="24"/>
              </w:rPr>
              <w:t>3</w:t>
            </w:r>
            <w:r>
              <w:rPr>
                <w:rFonts w:hint="eastAsia"/>
                <w:color w:val="000000"/>
                <w:sz w:val="24"/>
              </w:rPr>
              <w:t>日至</w:t>
            </w:r>
            <w:r>
              <w:rPr>
                <w:rFonts w:hint="eastAsia"/>
                <w:color w:val="000000"/>
                <w:sz w:val="24"/>
              </w:rPr>
              <w:t>2019</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29</w:t>
            </w:r>
            <w:r>
              <w:rPr>
                <w:rFonts w:hint="eastAsia"/>
                <w:color w:val="000000"/>
                <w:sz w:val="24"/>
              </w:rPr>
              <w:t>日担任交银施罗德境尚收益债券型证券投资基金的基金经理。</w:t>
            </w:r>
            <w:r>
              <w:rPr>
                <w:rFonts w:hint="eastAsia"/>
                <w:color w:val="000000"/>
                <w:sz w:val="24"/>
              </w:rPr>
              <w:t>2015</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16</w:t>
            </w:r>
            <w:r>
              <w:rPr>
                <w:rFonts w:hint="eastAsia"/>
                <w:color w:val="000000"/>
                <w:sz w:val="24"/>
              </w:rPr>
              <w:t>日至</w:t>
            </w:r>
            <w:r>
              <w:rPr>
                <w:rFonts w:hint="eastAsia"/>
                <w:color w:val="000000"/>
                <w:sz w:val="24"/>
              </w:rPr>
              <w:t>2020</w:t>
            </w:r>
            <w:r>
              <w:rPr>
                <w:rFonts w:hint="eastAsia"/>
                <w:color w:val="000000"/>
                <w:sz w:val="24"/>
              </w:rPr>
              <w:t>年</w:t>
            </w:r>
            <w:r>
              <w:rPr>
                <w:rFonts w:hint="eastAsia"/>
                <w:color w:val="000000"/>
                <w:sz w:val="24"/>
              </w:rPr>
              <w:t>7</w:t>
            </w:r>
            <w:r>
              <w:rPr>
                <w:rFonts w:hint="eastAsia"/>
                <w:color w:val="000000"/>
                <w:sz w:val="24"/>
              </w:rPr>
              <w:t>月</w:t>
            </w:r>
            <w:r>
              <w:rPr>
                <w:rFonts w:hint="eastAsia"/>
                <w:color w:val="000000"/>
                <w:sz w:val="24"/>
              </w:rPr>
              <w:t>27</w:t>
            </w:r>
            <w:r>
              <w:rPr>
                <w:rFonts w:hint="eastAsia"/>
                <w:color w:val="000000"/>
                <w:sz w:val="24"/>
              </w:rPr>
              <w:t>日担任转型前的交银施罗德理财</w:t>
            </w:r>
            <w:r>
              <w:rPr>
                <w:rFonts w:hint="eastAsia"/>
                <w:color w:val="000000"/>
                <w:sz w:val="24"/>
              </w:rPr>
              <w:t>60</w:t>
            </w:r>
            <w:r>
              <w:rPr>
                <w:rFonts w:hint="eastAsia"/>
                <w:color w:val="000000"/>
                <w:sz w:val="24"/>
              </w:rPr>
              <w:t>天债券型证券投资基金的基金经理。</w:t>
            </w:r>
            <w:r>
              <w:rPr>
                <w:rFonts w:hint="eastAsia"/>
                <w:color w:val="000000"/>
                <w:sz w:val="24"/>
              </w:rPr>
              <w:t>2015</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4</w:t>
            </w:r>
            <w:r>
              <w:rPr>
                <w:rFonts w:hint="eastAsia"/>
                <w:color w:val="000000"/>
                <w:sz w:val="24"/>
              </w:rPr>
              <w:t>日至</w:t>
            </w:r>
            <w:r>
              <w:rPr>
                <w:rFonts w:hint="eastAsia"/>
                <w:color w:val="000000"/>
                <w:sz w:val="24"/>
              </w:rPr>
              <w:t>2020</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21</w:t>
            </w:r>
            <w:r>
              <w:rPr>
                <w:rFonts w:hint="eastAsia"/>
                <w:color w:val="000000"/>
                <w:sz w:val="24"/>
              </w:rPr>
              <w:t>日担任交银施罗德丰润收益债券型证券投资基金的基金经理。</w:t>
            </w:r>
          </w:p>
        </w:tc>
      </w:tr>
    </w:tbl>
    <w:p w:rsidR="000E6BAE" w:rsidRDefault="00CD6463">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0E6BAE" w:rsidRDefault="00CD6463">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0E6BAE" w:rsidRDefault="00CD6463">
      <w:pPr>
        <w:tabs>
          <w:tab w:val="left" w:pos="426"/>
        </w:tabs>
        <w:spacing w:before="29" w:line="288" w:lineRule="auto"/>
        <w:jc w:val="left"/>
        <w:rPr>
          <w:kern w:val="0"/>
          <w:sz w:val="24"/>
        </w:rPr>
      </w:pPr>
      <w:r>
        <w:rPr>
          <w:kern w:val="0"/>
          <w:sz w:val="24"/>
        </w:rPr>
        <w:t>3</w:t>
      </w:r>
      <w:r>
        <w:rPr>
          <w:kern w:val="0"/>
          <w:sz w:val="24"/>
        </w:rPr>
        <w:t>、基金经理（或基金经理小组）期后变动（如有）敬请关注基金管理人发布的相关公告。</w:t>
      </w:r>
    </w:p>
    <w:p w:rsidR="000E6BAE" w:rsidRDefault="000E6BAE">
      <w:pPr>
        <w:spacing w:before="29" w:line="288" w:lineRule="auto"/>
        <w:rPr>
          <w:rFonts w:eastAsiaTheme="minorEastAsia"/>
          <w:b/>
          <w:sz w:val="24"/>
        </w:rPr>
      </w:pPr>
    </w:p>
    <w:p w:rsidR="000E6BAE" w:rsidRDefault="00CD6463">
      <w:pPr>
        <w:pStyle w:val="2"/>
        <w:spacing w:before="29" w:after="0" w:line="288" w:lineRule="auto"/>
        <w:rPr>
          <w:rFonts w:eastAsiaTheme="minorEastAsia"/>
        </w:rPr>
      </w:pPr>
      <w:bookmarkStart w:id="44" w:name="_Toc225498256"/>
      <w:bookmarkStart w:id="45" w:name="_Toc361324856"/>
      <w:bookmarkStart w:id="46" w:name="_Toc15281"/>
      <w:r>
        <w:rPr>
          <w:rFonts w:eastAsiaTheme="minorEastAsia"/>
        </w:rPr>
        <w:t xml:space="preserve">4.2 </w:t>
      </w:r>
      <w:r>
        <w:rPr>
          <w:rFonts w:eastAsiaTheme="minorEastAsia" w:hint="eastAsia"/>
        </w:rPr>
        <w:t>管理人对报告期内本基金运作遵规守信情况的说明</w:t>
      </w:r>
      <w:bookmarkEnd w:id="44"/>
      <w:bookmarkEnd w:id="45"/>
      <w:bookmarkEnd w:id="46"/>
    </w:p>
    <w:p w:rsidR="000E6BAE" w:rsidRDefault="00CD6463">
      <w:pPr>
        <w:spacing w:before="29" w:line="288" w:lineRule="auto"/>
        <w:ind w:firstLineChars="200" w:firstLine="480"/>
        <w:rPr>
          <w:kern w:val="0"/>
          <w:sz w:val="24"/>
        </w:rPr>
      </w:pPr>
      <w:r>
        <w:rPr>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0E6BAE" w:rsidRDefault="000E6BAE">
      <w:pPr>
        <w:spacing w:line="360" w:lineRule="auto"/>
        <w:ind w:firstLineChars="200" w:firstLine="420"/>
        <w:rPr>
          <w:rFonts w:asciiTheme="minorEastAsia" w:eastAsiaTheme="minorEastAsia" w:hAnsiTheme="minorEastAsia"/>
          <w:color w:val="000000"/>
          <w:kern w:val="0"/>
          <w:szCs w:val="21"/>
        </w:rPr>
      </w:pPr>
    </w:p>
    <w:p w:rsidR="000E6BAE" w:rsidRDefault="00CD6463">
      <w:pPr>
        <w:pStyle w:val="2"/>
        <w:spacing w:before="29" w:after="0" w:line="288" w:lineRule="auto"/>
        <w:rPr>
          <w:rFonts w:eastAsiaTheme="minorEastAsia"/>
        </w:rPr>
      </w:pPr>
      <w:bookmarkStart w:id="47" w:name="_Toc225498257"/>
      <w:bookmarkStart w:id="48" w:name="_Toc361324857"/>
      <w:bookmarkStart w:id="49" w:name="_Toc12073"/>
      <w:r>
        <w:rPr>
          <w:rFonts w:eastAsiaTheme="minorEastAsia"/>
        </w:rPr>
        <w:t xml:space="preserve">4.3 </w:t>
      </w:r>
      <w:r>
        <w:rPr>
          <w:rFonts w:eastAsiaTheme="minorEastAsia" w:hint="eastAsia"/>
        </w:rPr>
        <w:t>管理人对报告期内公平交易情况的专项说明</w:t>
      </w:r>
      <w:bookmarkEnd w:id="47"/>
      <w:bookmarkEnd w:id="48"/>
      <w:bookmarkEnd w:id="49"/>
    </w:p>
    <w:p w:rsidR="000E6BAE" w:rsidRDefault="00CD6463">
      <w:pPr>
        <w:spacing w:before="29" w:line="288" w:lineRule="auto"/>
        <w:rPr>
          <w:rFonts w:eastAsiaTheme="minorEastAsia"/>
          <w:b/>
          <w:sz w:val="24"/>
        </w:rPr>
      </w:pPr>
      <w:r>
        <w:rPr>
          <w:rFonts w:eastAsiaTheme="minorEastAsia"/>
          <w:b/>
          <w:sz w:val="24"/>
        </w:rPr>
        <w:t>4.3.1</w:t>
      </w:r>
      <w:r>
        <w:rPr>
          <w:rFonts w:eastAsiaTheme="minorEastAsia" w:hint="eastAsia"/>
          <w:b/>
          <w:sz w:val="24"/>
        </w:rPr>
        <w:t>公平交易制度和控制方法</w:t>
      </w:r>
    </w:p>
    <w:p w:rsidR="000E6BAE" w:rsidRDefault="00CD6463">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0E6BAE" w:rsidRDefault="00CD6463">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0E6BAE" w:rsidRDefault="00CD6463">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w:t>
      </w:r>
      <w:r>
        <w:rPr>
          <w:kern w:val="0"/>
          <w:sz w:val="24"/>
        </w:rPr>
        <w:t>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0E6BAE" w:rsidRDefault="00CD6463">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0E6BAE" w:rsidRDefault="00CD6463">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w:t>
      </w:r>
      <w:r>
        <w:rPr>
          <w:kern w:val="0"/>
          <w:sz w:val="24"/>
        </w:rPr>
        <w:t>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0E6BAE" w:rsidRDefault="00CD6463">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5</w:t>
      </w:r>
      <w:r>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w:t>
      </w:r>
      <w:r>
        <w:rPr>
          <w:kern w:val="0"/>
          <w:sz w:val="24"/>
        </w:rPr>
        <w:t>和信息披露来加强对公平交易过程和结果的监督。</w:t>
      </w:r>
    </w:p>
    <w:p w:rsidR="000E6BAE" w:rsidRDefault="000E6BAE">
      <w:pPr>
        <w:spacing w:line="360" w:lineRule="auto"/>
        <w:jc w:val="left"/>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4.3.2</w:t>
      </w:r>
      <w:r>
        <w:rPr>
          <w:rFonts w:eastAsiaTheme="minorEastAsia" w:hint="eastAsia"/>
          <w:b/>
          <w:sz w:val="24"/>
        </w:rPr>
        <w:t>公平交易制度的执行情况</w:t>
      </w:r>
    </w:p>
    <w:p w:rsidR="000E6BAE" w:rsidRDefault="00CD6463">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本公司制定了严格的投资控制制度和公平交易监控制度来保证旗下基金运作的公平，旗下所管理的所有资产组合，包括证券投资基金和私募资产管理计划均严格遵循制度进行公平交易。</w:t>
      </w:r>
    </w:p>
    <w:p w:rsidR="000E6BAE" w:rsidRDefault="00CD6463">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价格优先、时间优先</w:t>
      </w:r>
      <w:r>
        <w:rPr>
          <w:kern w:val="0"/>
          <w:sz w:val="24"/>
        </w:rPr>
        <w:t>”</w:t>
      </w:r>
      <w:r>
        <w:rPr>
          <w:kern w:val="0"/>
          <w:sz w:val="24"/>
        </w:rPr>
        <w:t>的原则，全部通过交易系统进行比例分配；对于非集中</w:t>
      </w:r>
      <w:r>
        <w:rPr>
          <w:kern w:val="0"/>
          <w:sz w:val="24"/>
        </w:rPr>
        <w:t>竞价交易、以公司名义进行的场外交易，遵循公平交易分配原则对交易结果进行分配。</w:t>
      </w:r>
    </w:p>
    <w:p w:rsidR="000E6BAE" w:rsidRDefault="00CD6463">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0E6BAE" w:rsidRDefault="00CD6463">
      <w:pPr>
        <w:spacing w:before="29" w:line="288" w:lineRule="auto"/>
        <w:ind w:firstLineChars="200" w:firstLine="480"/>
        <w:rPr>
          <w:kern w:val="0"/>
          <w:sz w:val="24"/>
        </w:rPr>
      </w:pPr>
      <w:r>
        <w:rPr>
          <w:kern w:val="0"/>
          <w:sz w:val="24"/>
        </w:rPr>
        <w:t>报告期内本公司严格执行公平交易制度，公平对待旗下各投资组合，未发现任何违反公平交易的行为。</w:t>
      </w:r>
    </w:p>
    <w:p w:rsidR="000E6BAE" w:rsidRDefault="000E6BAE">
      <w:pPr>
        <w:spacing w:line="360" w:lineRule="auto"/>
        <w:jc w:val="left"/>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4.3.3</w:t>
      </w:r>
      <w:r>
        <w:rPr>
          <w:rFonts w:eastAsiaTheme="minorEastAsia" w:hint="eastAsia"/>
          <w:b/>
          <w:sz w:val="24"/>
        </w:rPr>
        <w:t>异常交易行为的专项说明</w:t>
      </w:r>
    </w:p>
    <w:p w:rsidR="000E6BAE" w:rsidRDefault="00CD6463">
      <w:pPr>
        <w:spacing w:before="29" w:line="288" w:lineRule="auto"/>
        <w:ind w:firstLineChars="200" w:firstLine="480"/>
        <w:rPr>
          <w:kern w:val="0"/>
          <w:sz w:val="24"/>
        </w:rPr>
      </w:pPr>
      <w:r>
        <w:rPr>
          <w:kern w:val="0"/>
          <w:sz w:val="24"/>
        </w:rPr>
        <w:t>本基金于本报告期内不存在</w:t>
      </w:r>
      <w:r>
        <w:rPr>
          <w:kern w:val="0"/>
          <w:sz w:val="24"/>
        </w:rPr>
        <w:t>异常交易行为。本报告期内，本公司管理的所有投资组合参与的交易所公开竞价同日反向交易成交较少的单边交易量没有超过该证券当日总成交量</w:t>
      </w:r>
      <w:r>
        <w:rPr>
          <w:kern w:val="0"/>
          <w:sz w:val="24"/>
        </w:rPr>
        <w:t>5%</w:t>
      </w:r>
      <w:r>
        <w:rPr>
          <w:kern w:val="0"/>
          <w:sz w:val="24"/>
        </w:rPr>
        <w:t>的情形，本基金与本公司管理的其他投资组合在不同时间窗下（如日内、</w:t>
      </w:r>
      <w:r>
        <w:rPr>
          <w:kern w:val="0"/>
          <w:sz w:val="24"/>
        </w:rPr>
        <w:t>3</w:t>
      </w:r>
      <w:r>
        <w:rPr>
          <w:kern w:val="0"/>
          <w:sz w:val="24"/>
        </w:rPr>
        <w:t>日内、</w:t>
      </w:r>
      <w:r>
        <w:rPr>
          <w:kern w:val="0"/>
          <w:sz w:val="24"/>
        </w:rPr>
        <w:t>5</w:t>
      </w:r>
      <w:r>
        <w:rPr>
          <w:kern w:val="0"/>
          <w:sz w:val="24"/>
        </w:rPr>
        <w:t>日内）同向交易的交易价差未出现异常。</w:t>
      </w:r>
    </w:p>
    <w:p w:rsidR="000E6BAE" w:rsidRDefault="000E6BAE">
      <w:pPr>
        <w:spacing w:line="360" w:lineRule="auto"/>
        <w:ind w:firstLineChars="200" w:firstLine="420"/>
        <w:rPr>
          <w:rFonts w:asciiTheme="minorEastAsia" w:eastAsiaTheme="minorEastAsia" w:hAnsiTheme="minorEastAsia"/>
          <w:color w:val="000000"/>
          <w:kern w:val="0"/>
          <w:szCs w:val="21"/>
        </w:rPr>
      </w:pPr>
    </w:p>
    <w:p w:rsidR="000E6BAE" w:rsidRDefault="00CD6463">
      <w:pPr>
        <w:pStyle w:val="2"/>
        <w:spacing w:before="29" w:after="0" w:line="288" w:lineRule="auto"/>
        <w:rPr>
          <w:rFonts w:eastAsiaTheme="minorEastAsia"/>
        </w:rPr>
      </w:pPr>
      <w:bookmarkStart w:id="50" w:name="_Toc225498258"/>
      <w:bookmarkStart w:id="51" w:name="_Toc361324858"/>
      <w:bookmarkStart w:id="52" w:name="_Toc32507"/>
      <w:r>
        <w:rPr>
          <w:rFonts w:eastAsiaTheme="minorEastAsia"/>
        </w:rPr>
        <w:t xml:space="preserve">4.4 </w:t>
      </w:r>
      <w:r>
        <w:rPr>
          <w:rFonts w:eastAsiaTheme="minorEastAsia" w:hint="eastAsia"/>
        </w:rPr>
        <w:t>管理人对报告期内基金的投资策略和业绩表现的说明</w:t>
      </w:r>
      <w:bookmarkEnd w:id="50"/>
      <w:bookmarkEnd w:id="51"/>
      <w:bookmarkEnd w:id="52"/>
    </w:p>
    <w:p w:rsidR="000E6BAE" w:rsidRDefault="00CD6463">
      <w:pPr>
        <w:spacing w:before="29" w:line="288" w:lineRule="auto"/>
        <w:rPr>
          <w:rFonts w:eastAsiaTheme="minorEastAsia"/>
          <w:b/>
          <w:sz w:val="24"/>
        </w:rPr>
      </w:pPr>
      <w:r>
        <w:rPr>
          <w:rFonts w:eastAsiaTheme="minorEastAsia"/>
          <w:b/>
          <w:sz w:val="24"/>
        </w:rPr>
        <w:t>4.4.1</w:t>
      </w:r>
      <w:r>
        <w:rPr>
          <w:rFonts w:eastAsiaTheme="minorEastAsia" w:hint="eastAsia"/>
          <w:b/>
          <w:sz w:val="24"/>
        </w:rPr>
        <w:t>报告期内基金投资策略和运作分析</w:t>
      </w:r>
    </w:p>
    <w:p w:rsidR="000E6BAE" w:rsidRDefault="00CD6463">
      <w:pPr>
        <w:spacing w:before="29" w:line="288" w:lineRule="auto"/>
        <w:ind w:firstLineChars="200" w:firstLine="480"/>
        <w:rPr>
          <w:kern w:val="0"/>
          <w:sz w:val="24"/>
        </w:rPr>
      </w:pPr>
      <w:r>
        <w:rPr>
          <w:kern w:val="0"/>
          <w:sz w:val="24"/>
        </w:rPr>
        <w:t>2020</w:t>
      </w:r>
      <w:r>
        <w:rPr>
          <w:kern w:val="0"/>
          <w:sz w:val="24"/>
        </w:rPr>
        <w:t>年债券市场呈现明显的先扬后抑，年初在疫情发酵和货币宽松的推动下，债券收益率快速下行，而进入五月之后，在国内疫情控制较好的背景下，货币政策回归常态化操作，同时由于海外疫情的发酵，国内进出口明显超预期，经济表现出较强的韧性，债券市场货币政策预期扭转，收益率持续上行。</w:t>
      </w:r>
    </w:p>
    <w:p w:rsidR="000E6BAE" w:rsidRDefault="00CD6463">
      <w:pPr>
        <w:spacing w:before="29" w:line="288" w:lineRule="auto"/>
        <w:ind w:firstLineChars="200" w:firstLine="480"/>
        <w:rPr>
          <w:kern w:val="0"/>
          <w:sz w:val="24"/>
        </w:rPr>
      </w:pPr>
      <w:r>
        <w:rPr>
          <w:kern w:val="0"/>
          <w:sz w:val="24"/>
        </w:rPr>
        <w:t>报告期内，基于对宏观经济的判断，结合市场收益率曲线形态变动调整了组合久期配置，组合以中短期利率债为主要配置，通过久期选择和精选个券，为组合增厚收益。</w:t>
      </w:r>
    </w:p>
    <w:p w:rsidR="000E6BAE" w:rsidRDefault="000E6BAE">
      <w:pPr>
        <w:spacing w:line="360" w:lineRule="auto"/>
        <w:ind w:firstLineChars="200" w:firstLine="420"/>
        <w:rPr>
          <w:rFonts w:asciiTheme="minorEastAsia" w:eastAsiaTheme="minorEastAsia" w:hAnsiTheme="minorEastAsia"/>
          <w:kern w:val="0"/>
          <w:szCs w:val="21"/>
        </w:rPr>
      </w:pPr>
    </w:p>
    <w:p w:rsidR="000E6BAE" w:rsidRDefault="00CD6463">
      <w:pPr>
        <w:spacing w:before="29" w:line="288" w:lineRule="auto"/>
        <w:rPr>
          <w:rFonts w:eastAsiaTheme="minorEastAsia"/>
          <w:b/>
          <w:sz w:val="24"/>
        </w:rPr>
      </w:pPr>
      <w:r>
        <w:rPr>
          <w:rFonts w:eastAsiaTheme="minorEastAsia"/>
          <w:b/>
          <w:sz w:val="24"/>
        </w:rPr>
        <w:t>4.4.2</w:t>
      </w:r>
      <w:r>
        <w:rPr>
          <w:rFonts w:eastAsiaTheme="minorEastAsia" w:hint="eastAsia"/>
          <w:b/>
          <w:sz w:val="24"/>
        </w:rPr>
        <w:t>报告期内基金的业绩表现</w:t>
      </w:r>
    </w:p>
    <w:p w:rsidR="000E6BAE" w:rsidRDefault="00CD6463">
      <w:pPr>
        <w:spacing w:before="29" w:line="288" w:lineRule="auto"/>
        <w:ind w:firstLineChars="200" w:firstLine="480"/>
        <w:rPr>
          <w:kern w:val="0"/>
          <w:sz w:val="24"/>
        </w:rPr>
      </w:pPr>
      <w:r>
        <w:rPr>
          <w:kern w:val="0"/>
          <w:sz w:val="24"/>
        </w:rPr>
        <w:t>本基金（各类）份额净值及业绩表现请见</w:t>
      </w:r>
      <w:r>
        <w:rPr>
          <w:kern w:val="0"/>
          <w:sz w:val="24"/>
        </w:rPr>
        <w:t>“3.1</w:t>
      </w:r>
      <w:r>
        <w:rPr>
          <w:kern w:val="0"/>
          <w:sz w:val="24"/>
        </w:rPr>
        <w:t>主要会计数</w:t>
      </w:r>
      <w:r>
        <w:rPr>
          <w:kern w:val="0"/>
          <w:sz w:val="24"/>
        </w:rPr>
        <w:t>据和财务指标</w:t>
      </w:r>
      <w:r>
        <w:rPr>
          <w:kern w:val="0"/>
          <w:sz w:val="24"/>
        </w:rPr>
        <w:t xml:space="preserve">” </w:t>
      </w:r>
      <w:r>
        <w:rPr>
          <w:kern w:val="0"/>
          <w:sz w:val="24"/>
        </w:rPr>
        <w:t>及</w:t>
      </w:r>
      <w:r>
        <w:rPr>
          <w:kern w:val="0"/>
          <w:sz w:val="24"/>
        </w:rPr>
        <w:t>“3.2.1</w:t>
      </w:r>
      <w:r>
        <w:rPr>
          <w:kern w:val="0"/>
          <w:sz w:val="24"/>
        </w:rPr>
        <w:t>基金份额净值增长率及其与同期业绩比较基准收益率的比较</w:t>
      </w:r>
      <w:r>
        <w:rPr>
          <w:kern w:val="0"/>
          <w:sz w:val="24"/>
        </w:rPr>
        <w:t>”</w:t>
      </w:r>
      <w:r>
        <w:rPr>
          <w:kern w:val="0"/>
          <w:sz w:val="24"/>
        </w:rPr>
        <w:t>部分披露。</w:t>
      </w:r>
    </w:p>
    <w:p w:rsidR="000E6BAE" w:rsidRDefault="000E6BAE">
      <w:pPr>
        <w:spacing w:line="360" w:lineRule="auto"/>
        <w:ind w:firstLineChars="200" w:firstLine="420"/>
        <w:rPr>
          <w:rFonts w:asciiTheme="minorEastAsia" w:eastAsiaTheme="minorEastAsia" w:hAnsiTheme="minorEastAsia"/>
          <w:color w:val="000000"/>
          <w:kern w:val="0"/>
          <w:szCs w:val="21"/>
        </w:rPr>
      </w:pPr>
    </w:p>
    <w:p w:rsidR="000E6BAE" w:rsidRDefault="00CD6463">
      <w:pPr>
        <w:pStyle w:val="2"/>
        <w:spacing w:before="29" w:after="0" w:line="288" w:lineRule="auto"/>
        <w:rPr>
          <w:rFonts w:eastAsiaTheme="minorEastAsia"/>
        </w:rPr>
      </w:pPr>
      <w:bookmarkStart w:id="53" w:name="_Toc225498259"/>
      <w:bookmarkStart w:id="54" w:name="_Toc361324859"/>
      <w:bookmarkStart w:id="55" w:name="_Toc10884"/>
      <w:r>
        <w:rPr>
          <w:rFonts w:eastAsiaTheme="minorEastAsia"/>
        </w:rPr>
        <w:t xml:space="preserve">4.5 </w:t>
      </w:r>
      <w:r>
        <w:rPr>
          <w:rFonts w:eastAsiaTheme="minorEastAsia" w:hint="eastAsia"/>
        </w:rPr>
        <w:t>管理人对宏观经济、证券市场及行业走势的简要展望</w:t>
      </w:r>
      <w:bookmarkEnd w:id="53"/>
      <w:bookmarkEnd w:id="54"/>
      <w:bookmarkEnd w:id="55"/>
    </w:p>
    <w:p w:rsidR="000E6BAE" w:rsidRDefault="00CD6463">
      <w:pPr>
        <w:spacing w:before="29" w:line="288" w:lineRule="auto"/>
        <w:ind w:firstLineChars="200" w:firstLine="480"/>
        <w:rPr>
          <w:kern w:val="0"/>
          <w:sz w:val="24"/>
        </w:rPr>
      </w:pPr>
      <w:r>
        <w:rPr>
          <w:kern w:val="0"/>
          <w:sz w:val="24"/>
        </w:rPr>
        <w:t>展望</w:t>
      </w:r>
      <w:r>
        <w:rPr>
          <w:kern w:val="0"/>
          <w:sz w:val="24"/>
        </w:rPr>
        <w:t>2021</w:t>
      </w:r>
      <w:r>
        <w:rPr>
          <w:kern w:val="0"/>
          <w:sz w:val="24"/>
        </w:rPr>
        <w:t>年，货币政策回归中性，银行间流动性有收紧的趋势，疫苗推广之后经济基本面延续复苏，通胀由于猪价的高基数不会明显上升，整体而言我们认为债券市场的趋势性机会仍需等待，关注票息机会。操作策略方面，我们将继续关注市场情况，灵活调整组合久期，根据曲线形态，适时进行组合个券调仓，以期增厚组合收益。</w:t>
      </w:r>
    </w:p>
    <w:p w:rsidR="000E6BAE" w:rsidRDefault="000E6BAE">
      <w:pPr>
        <w:spacing w:line="360" w:lineRule="auto"/>
        <w:ind w:firstLineChars="200" w:firstLine="420"/>
        <w:rPr>
          <w:rFonts w:asciiTheme="minorEastAsia" w:eastAsiaTheme="minorEastAsia" w:hAnsiTheme="minorEastAsia"/>
          <w:color w:val="000000"/>
          <w:kern w:val="0"/>
          <w:szCs w:val="21"/>
        </w:rPr>
      </w:pPr>
    </w:p>
    <w:p w:rsidR="000E6BAE" w:rsidRDefault="00CD6463">
      <w:pPr>
        <w:pStyle w:val="2"/>
        <w:spacing w:before="29" w:after="0" w:line="288" w:lineRule="auto"/>
        <w:rPr>
          <w:rFonts w:eastAsiaTheme="minorEastAsia"/>
        </w:rPr>
      </w:pPr>
      <w:bookmarkStart w:id="56" w:name="_Toc247959456"/>
      <w:bookmarkStart w:id="57" w:name="_Toc245801806"/>
      <w:bookmarkStart w:id="58" w:name="_Toc361324860"/>
      <w:bookmarkStart w:id="59" w:name="_Toc18906"/>
      <w:r>
        <w:rPr>
          <w:rFonts w:eastAsiaTheme="minorEastAsia"/>
        </w:rPr>
        <w:t xml:space="preserve">4.6 </w:t>
      </w:r>
      <w:r>
        <w:rPr>
          <w:rFonts w:eastAsiaTheme="minorEastAsia" w:hint="eastAsia"/>
        </w:rPr>
        <w:t>管理人内部有关本基金的监察稽核工作情况</w:t>
      </w:r>
      <w:bookmarkEnd w:id="56"/>
      <w:bookmarkEnd w:id="57"/>
      <w:bookmarkEnd w:id="58"/>
      <w:bookmarkEnd w:id="59"/>
    </w:p>
    <w:p w:rsidR="000E6BAE" w:rsidRDefault="00CD6463">
      <w:pPr>
        <w:spacing w:before="29" w:line="288" w:lineRule="auto"/>
        <w:ind w:firstLineChars="200" w:firstLine="480"/>
        <w:rPr>
          <w:kern w:val="0"/>
          <w:sz w:val="24"/>
        </w:rPr>
      </w:pPr>
      <w:r>
        <w:rPr>
          <w:kern w:val="0"/>
          <w:sz w:val="24"/>
        </w:rPr>
        <w:t>2020</w:t>
      </w:r>
      <w:r>
        <w:rPr>
          <w:kern w:val="0"/>
          <w:sz w:val="24"/>
        </w:rPr>
        <w:t>年</w:t>
      </w:r>
      <w:r>
        <w:rPr>
          <w:kern w:val="0"/>
          <w:sz w:val="24"/>
        </w:rPr>
        <w:t>度，根据《证券投资基金法》等法律法规及有关要求，本基金管理人诚实守信、勤勉尽责，依法履行基金管理人职责，落实风险控制，强化合规管理职能，确保基金管理业务运作的安全、规范，保护基金投资人的合法权益。</w:t>
      </w:r>
    </w:p>
    <w:p w:rsidR="000E6BAE" w:rsidRDefault="00CD6463">
      <w:pPr>
        <w:spacing w:before="29" w:line="288" w:lineRule="auto"/>
        <w:ind w:firstLineChars="200" w:firstLine="480"/>
        <w:rPr>
          <w:kern w:val="0"/>
          <w:sz w:val="24"/>
        </w:rPr>
      </w:pPr>
      <w:r>
        <w:rPr>
          <w:kern w:val="0"/>
          <w:sz w:val="24"/>
        </w:rPr>
        <w:t>本报告期内，本基金管理人为了确保公司业务的规范运作，主要做了以下工作：</w:t>
      </w:r>
    </w:p>
    <w:p w:rsidR="000E6BAE" w:rsidRDefault="00CD6463">
      <w:pPr>
        <w:spacing w:before="29" w:line="288" w:lineRule="auto"/>
        <w:ind w:firstLineChars="200" w:firstLine="480"/>
        <w:rPr>
          <w:kern w:val="0"/>
          <w:sz w:val="24"/>
        </w:rPr>
      </w:pPr>
      <w:r>
        <w:rPr>
          <w:kern w:val="0"/>
          <w:sz w:val="24"/>
        </w:rPr>
        <w:t>（一）继续深化全面风险管理，提高风险控制有效性。</w:t>
      </w:r>
    </w:p>
    <w:p w:rsidR="000E6BAE" w:rsidRDefault="00CD6463">
      <w:pPr>
        <w:spacing w:before="29" w:line="288" w:lineRule="auto"/>
        <w:ind w:firstLineChars="200" w:firstLine="480"/>
        <w:rPr>
          <w:kern w:val="0"/>
          <w:sz w:val="24"/>
        </w:rPr>
      </w:pPr>
      <w:r>
        <w:rPr>
          <w:kern w:val="0"/>
          <w:sz w:val="24"/>
        </w:rPr>
        <w:t>公司风险管理部门持续加大信用风险事前防范力度，加强对信用风险的监控，信用风险提示进一步前移；继续加强流动性风险管理，坚持开展定期及不定期压力测试工作机制；定期排查风险控制阈值，提高公司旗下组合风险控制精准度；不断优化业务操作流程，通过量化考核指标加强操作风险管理；继续加强各项潜在风险排查，落实防范措施和跟踪机制，不断提升公司风险管理水平。</w:t>
      </w:r>
    </w:p>
    <w:p w:rsidR="000E6BAE" w:rsidRDefault="00CD6463">
      <w:pPr>
        <w:spacing w:before="29" w:line="288" w:lineRule="auto"/>
        <w:ind w:firstLineChars="200" w:firstLine="480"/>
        <w:rPr>
          <w:kern w:val="0"/>
          <w:sz w:val="24"/>
        </w:rPr>
      </w:pPr>
      <w:r>
        <w:rPr>
          <w:kern w:val="0"/>
          <w:sz w:val="24"/>
        </w:rPr>
        <w:t>（二）全面开展内部监督检查，强化公司内部控制。</w:t>
      </w:r>
    </w:p>
    <w:p w:rsidR="000E6BAE" w:rsidRDefault="00CD6463">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公司审计部门坚持以法律法规和公司各项制度为依据，按照监管机构的要求对基金运作和公司经营所涉及的各个环节实施严格的稽核监督。</w:t>
      </w:r>
      <w:r>
        <w:rPr>
          <w:kern w:val="0"/>
          <w:sz w:val="24"/>
        </w:rPr>
        <w:t>通过对投资研究、市场销售、运营、信息技术等业务条线内部控制关键点开展定期和不定期检查，有效促进公司内部控制制度规范、执行有效，内控管理水平不断提升。</w:t>
      </w:r>
    </w:p>
    <w:p w:rsidR="000E6BAE" w:rsidRDefault="00CD6463">
      <w:pPr>
        <w:spacing w:before="29" w:line="288" w:lineRule="auto"/>
        <w:ind w:firstLineChars="200" w:firstLine="480"/>
        <w:rPr>
          <w:kern w:val="0"/>
          <w:sz w:val="24"/>
        </w:rPr>
      </w:pPr>
      <w:r>
        <w:rPr>
          <w:kern w:val="0"/>
          <w:sz w:val="24"/>
        </w:rPr>
        <w:t>（三）着力打造完备的合规管理体系，促进合规文化建设取得新成果。</w:t>
      </w:r>
    </w:p>
    <w:p w:rsidR="000E6BAE" w:rsidRDefault="00CD6463">
      <w:pPr>
        <w:spacing w:before="29" w:line="288" w:lineRule="auto"/>
        <w:ind w:firstLineChars="200" w:firstLine="480"/>
        <w:rPr>
          <w:kern w:val="0"/>
          <w:sz w:val="24"/>
        </w:rPr>
      </w:pPr>
      <w:r>
        <w:rPr>
          <w:kern w:val="0"/>
          <w:sz w:val="24"/>
        </w:rPr>
        <w:t>公司法律合规部门着力搭建完备的合规管理体系，体系内三道防线各司其职、形成合力，促进公司合规文化建设取得新成果；全年重点推动新法规跟踪落实工作，认真分析潜在影响，利用系统化工具跟踪督促新法规予以贯彻落实；重点推进公司制度更新梳理及体系化建设工作，以持续抓好制度建设及执行助推公司合规管理常态长效发展。</w:t>
      </w:r>
    </w:p>
    <w:p w:rsidR="000E6BAE" w:rsidRDefault="00CD6463">
      <w:pPr>
        <w:spacing w:before="29" w:line="288" w:lineRule="auto"/>
        <w:ind w:firstLineChars="200" w:firstLine="480"/>
        <w:rPr>
          <w:kern w:val="0"/>
          <w:sz w:val="24"/>
        </w:rPr>
      </w:pPr>
      <w:r>
        <w:rPr>
          <w:kern w:val="0"/>
          <w:sz w:val="24"/>
        </w:rPr>
        <w:t>（四）强化培训教育及重点领域合规提示，持续提高全员风险合规意识。</w:t>
      </w:r>
    </w:p>
    <w:p w:rsidR="000E6BAE" w:rsidRDefault="00CD6463">
      <w:pPr>
        <w:spacing w:before="29" w:line="288" w:lineRule="auto"/>
        <w:ind w:firstLineChars="200" w:firstLine="480"/>
        <w:rPr>
          <w:kern w:val="0"/>
          <w:sz w:val="24"/>
        </w:rPr>
      </w:pPr>
      <w:r>
        <w:rPr>
          <w:kern w:val="0"/>
          <w:sz w:val="24"/>
        </w:rPr>
        <w:t>公司继续抓好全员风险合规教育工作。公司围绕行业热点、重点、难点问题，组织开展了多场培训工作，加强重点领域合规提示，加深了员工对新法律法规的理解及强化其风险合规意识，抓牢抓实员工合规底线教育，强化员工行为合规管控，提高了员工内部控制、风险管理的技能和水平，公司内部控制和风险管理基础得到进一步的夯实和优化。</w:t>
      </w:r>
    </w:p>
    <w:p w:rsidR="000E6BAE" w:rsidRDefault="000E6BAE">
      <w:pPr>
        <w:pStyle w:val="2"/>
        <w:spacing w:before="29" w:after="0" w:line="288" w:lineRule="auto"/>
        <w:rPr>
          <w:rFonts w:asciiTheme="minorEastAsia" w:eastAsiaTheme="minorEastAsia" w:hAnsiTheme="minorEastAsia"/>
          <w:color w:val="000000"/>
          <w:kern w:val="0"/>
          <w:szCs w:val="21"/>
        </w:rPr>
      </w:pPr>
    </w:p>
    <w:p w:rsidR="000E6BAE" w:rsidRDefault="00CD6463">
      <w:pPr>
        <w:pStyle w:val="2"/>
        <w:spacing w:before="29" w:after="0" w:line="288" w:lineRule="auto"/>
        <w:rPr>
          <w:rFonts w:eastAsiaTheme="minorEastAsia"/>
        </w:rPr>
      </w:pPr>
      <w:bookmarkStart w:id="60" w:name="_Toc247959457"/>
      <w:bookmarkStart w:id="61" w:name="_Toc225570083"/>
      <w:bookmarkStart w:id="62" w:name="_Toc361324861"/>
      <w:bookmarkStart w:id="63" w:name="_Toc27960"/>
      <w:r>
        <w:rPr>
          <w:rFonts w:eastAsiaTheme="minorEastAsia"/>
        </w:rPr>
        <w:t xml:space="preserve">4.7 </w:t>
      </w:r>
      <w:r>
        <w:rPr>
          <w:rFonts w:eastAsiaTheme="minorEastAsia" w:hint="eastAsia"/>
        </w:rPr>
        <w:t>管理人对报告期内基金估值程序等事项的说明</w:t>
      </w:r>
      <w:bookmarkEnd w:id="60"/>
      <w:bookmarkEnd w:id="61"/>
      <w:bookmarkEnd w:id="62"/>
      <w:bookmarkEnd w:id="63"/>
    </w:p>
    <w:p w:rsidR="000E6BAE" w:rsidRDefault="00CD6463">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0E6BAE" w:rsidRDefault="00CD6463">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0E6BAE" w:rsidRDefault="00CD6463">
      <w:pPr>
        <w:spacing w:before="29" w:line="288" w:lineRule="auto"/>
        <w:ind w:firstLineChars="200" w:firstLine="480"/>
        <w:rPr>
          <w:kern w:val="0"/>
          <w:sz w:val="24"/>
        </w:rPr>
      </w:pPr>
      <w:r>
        <w:rPr>
          <w:kern w:val="0"/>
          <w:sz w:val="24"/>
        </w:rPr>
        <w:t>估</w:t>
      </w:r>
      <w:r>
        <w:rPr>
          <w:kern w:val="0"/>
          <w:sz w:val="24"/>
        </w:rPr>
        <w:t>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0E6BAE" w:rsidRDefault="000E6BAE">
      <w:pPr>
        <w:spacing w:before="29" w:line="288" w:lineRule="auto"/>
        <w:ind w:firstLineChars="200" w:firstLine="420"/>
        <w:rPr>
          <w:rFonts w:asciiTheme="minorEastAsia" w:eastAsiaTheme="minorEastAsia" w:hAnsiTheme="minorEastAsia"/>
          <w:color w:val="000000"/>
          <w:kern w:val="0"/>
          <w:szCs w:val="21"/>
        </w:rPr>
      </w:pPr>
    </w:p>
    <w:p w:rsidR="000E6BAE" w:rsidRDefault="00CD6463">
      <w:pPr>
        <w:pStyle w:val="2"/>
        <w:spacing w:before="29" w:after="0" w:line="288" w:lineRule="auto"/>
        <w:rPr>
          <w:rFonts w:eastAsiaTheme="minorEastAsia"/>
        </w:rPr>
      </w:pPr>
      <w:bookmarkStart w:id="64" w:name="_Toc247959458"/>
      <w:bookmarkStart w:id="65" w:name="_Toc225570084"/>
      <w:bookmarkStart w:id="66" w:name="_Toc361324862"/>
      <w:bookmarkStart w:id="67" w:name="_Toc2413"/>
      <w:r>
        <w:rPr>
          <w:rFonts w:eastAsiaTheme="minorEastAsia"/>
        </w:rPr>
        <w:t>4.</w:t>
      </w:r>
      <w:r>
        <w:rPr>
          <w:rFonts w:eastAsiaTheme="minorEastAsia" w:hint="eastAsia"/>
        </w:rPr>
        <w:t>8</w:t>
      </w:r>
      <w:r>
        <w:rPr>
          <w:rFonts w:eastAsiaTheme="minorEastAsia"/>
        </w:rPr>
        <w:t>管理人对报告期内基金利润分配情况的说明</w:t>
      </w:r>
      <w:bookmarkEnd w:id="64"/>
      <w:bookmarkEnd w:id="65"/>
      <w:bookmarkEnd w:id="66"/>
      <w:bookmarkEnd w:id="67"/>
    </w:p>
    <w:p w:rsidR="000E6BAE" w:rsidRDefault="00CD6463">
      <w:pPr>
        <w:spacing w:before="29" w:line="288" w:lineRule="auto"/>
        <w:ind w:firstLineChars="200" w:firstLine="480"/>
        <w:rPr>
          <w:kern w:val="0"/>
          <w:sz w:val="24"/>
        </w:rPr>
      </w:pPr>
      <w:r>
        <w:rPr>
          <w:kern w:val="0"/>
          <w:sz w:val="24"/>
        </w:rPr>
        <w:t>根据相关法律法规和基金</w:t>
      </w:r>
      <w:r>
        <w:rPr>
          <w:kern w:val="0"/>
          <w:sz w:val="24"/>
        </w:rPr>
        <w:t>合同要求，本基金本报告期内对本报告期可供分配利润进行了收益分配，具体情况参见</w:t>
      </w:r>
      <w:r>
        <w:rPr>
          <w:kern w:val="0"/>
          <w:sz w:val="24"/>
        </w:rPr>
        <w:t>7.4.11</w:t>
      </w:r>
      <w:r>
        <w:rPr>
          <w:kern w:val="0"/>
          <w:sz w:val="24"/>
        </w:rPr>
        <w:t>利润分配情况。</w:t>
      </w:r>
    </w:p>
    <w:p w:rsidR="000E6BAE" w:rsidRDefault="000E6BAE">
      <w:pPr>
        <w:spacing w:line="360" w:lineRule="auto"/>
        <w:ind w:firstLineChars="200" w:firstLine="420"/>
        <w:rPr>
          <w:rFonts w:eastAsiaTheme="minorEastAsia"/>
          <w:color w:val="000000"/>
          <w:szCs w:val="21"/>
        </w:rPr>
      </w:pPr>
    </w:p>
    <w:p w:rsidR="000E6BAE" w:rsidRDefault="00CD6463">
      <w:pPr>
        <w:pStyle w:val="2"/>
        <w:spacing w:before="29" w:after="0" w:line="288" w:lineRule="auto"/>
        <w:rPr>
          <w:rFonts w:eastAsiaTheme="minorEastAsia"/>
        </w:rPr>
      </w:pPr>
      <w:bookmarkStart w:id="68" w:name="_Toc17038"/>
      <w:r>
        <w:rPr>
          <w:rFonts w:eastAsiaTheme="minorEastAsia"/>
        </w:rPr>
        <w:t>4.9</w:t>
      </w:r>
      <w:r>
        <w:rPr>
          <w:rFonts w:eastAsiaTheme="minorEastAsia" w:hint="eastAsia"/>
        </w:rPr>
        <w:t>报告期内管理人对本基金持有人数或基金资产净值预警情形的说明</w:t>
      </w:r>
      <w:bookmarkEnd w:id="68"/>
    </w:p>
    <w:p w:rsidR="000E6BAE" w:rsidRDefault="00CD6463">
      <w:pPr>
        <w:spacing w:before="29" w:line="288" w:lineRule="auto"/>
        <w:ind w:firstLineChars="200" w:firstLine="480"/>
        <w:rPr>
          <w:kern w:val="0"/>
          <w:sz w:val="24"/>
        </w:rPr>
      </w:pPr>
      <w:r>
        <w:rPr>
          <w:kern w:val="0"/>
          <w:sz w:val="24"/>
        </w:rPr>
        <w:t>本基金本报告期内无需预警说明。</w:t>
      </w:r>
      <w:r>
        <w:rPr>
          <w:kern w:val="0"/>
          <w:sz w:val="24"/>
        </w:rPr>
        <w:t xml:space="preserve"> </w:t>
      </w:r>
    </w:p>
    <w:p w:rsidR="000E6BAE" w:rsidRDefault="000E6BAE">
      <w:pPr>
        <w:spacing w:before="29" w:line="288" w:lineRule="auto"/>
        <w:ind w:firstLineChars="200" w:firstLine="480"/>
        <w:rPr>
          <w:kern w:val="0"/>
          <w:sz w:val="24"/>
        </w:rPr>
      </w:pPr>
    </w:p>
    <w:p w:rsidR="000E6BAE" w:rsidRDefault="00CD6463">
      <w:pPr>
        <w:pStyle w:val="1"/>
        <w:keepNext/>
        <w:keepLines/>
        <w:widowControl w:val="0"/>
        <w:spacing w:beforeLines="100" w:before="312" w:afterLines="100" w:after="312" w:line="288" w:lineRule="auto"/>
        <w:jc w:val="center"/>
        <w:rPr>
          <w:b/>
          <w:bCs/>
          <w:szCs w:val="24"/>
          <w:lang w:val="en-US"/>
        </w:rPr>
      </w:pPr>
      <w:bookmarkStart w:id="69" w:name="_Toc225498263"/>
      <w:bookmarkStart w:id="70" w:name="_Toc361324864"/>
      <w:bookmarkStart w:id="71" w:name="_Toc19422"/>
      <w:r>
        <w:rPr>
          <w:rFonts w:hint="eastAsia"/>
          <w:b/>
          <w:bCs/>
          <w:szCs w:val="24"/>
          <w:lang w:val="en-US"/>
        </w:rPr>
        <w:t>§</w:t>
      </w:r>
      <w:r>
        <w:rPr>
          <w:b/>
          <w:bCs/>
          <w:szCs w:val="24"/>
          <w:lang w:val="en-US"/>
        </w:rPr>
        <w:t xml:space="preserve">5  </w:t>
      </w:r>
      <w:r>
        <w:rPr>
          <w:rFonts w:hint="eastAsia"/>
          <w:b/>
          <w:bCs/>
          <w:szCs w:val="24"/>
          <w:lang w:val="en-US"/>
        </w:rPr>
        <w:t>托管人报告</w:t>
      </w:r>
      <w:bookmarkEnd w:id="69"/>
      <w:bookmarkEnd w:id="70"/>
      <w:bookmarkEnd w:id="71"/>
    </w:p>
    <w:p w:rsidR="000E6BAE" w:rsidRDefault="000E6BAE"/>
    <w:p w:rsidR="000E6BAE" w:rsidRDefault="00CD6463">
      <w:pPr>
        <w:pStyle w:val="2"/>
        <w:spacing w:before="29" w:after="0" w:line="288" w:lineRule="auto"/>
        <w:rPr>
          <w:rFonts w:eastAsiaTheme="minorEastAsia"/>
        </w:rPr>
      </w:pPr>
      <w:bookmarkStart w:id="72" w:name="_Toc225498264"/>
      <w:bookmarkStart w:id="73" w:name="_Toc361324865"/>
      <w:bookmarkStart w:id="74" w:name="_Toc14338"/>
      <w:r>
        <w:rPr>
          <w:rFonts w:eastAsiaTheme="minorEastAsia"/>
        </w:rPr>
        <w:t xml:space="preserve">5.1 </w:t>
      </w:r>
      <w:r>
        <w:rPr>
          <w:rFonts w:eastAsiaTheme="minorEastAsia" w:hint="eastAsia"/>
        </w:rPr>
        <w:t>报告期内本基金托管人遵规守信情况声明</w:t>
      </w:r>
      <w:bookmarkEnd w:id="72"/>
      <w:bookmarkEnd w:id="73"/>
      <w:bookmarkEnd w:id="74"/>
    </w:p>
    <w:p w:rsidR="000E6BAE" w:rsidRDefault="00CD6463">
      <w:pPr>
        <w:spacing w:before="29" w:line="288" w:lineRule="auto"/>
        <w:ind w:firstLineChars="200" w:firstLine="480"/>
        <w:rPr>
          <w:kern w:val="0"/>
          <w:sz w:val="24"/>
        </w:rPr>
      </w:pPr>
      <w:r>
        <w:rPr>
          <w:kern w:val="0"/>
          <w:sz w:val="24"/>
        </w:rPr>
        <w:t>作为本基金的托管人，中信银行严格遵守了</w:t>
      </w:r>
      <w:r>
        <w:rPr>
          <w:rFonts w:hint="eastAsia"/>
          <w:kern w:val="0"/>
          <w:sz w:val="24"/>
        </w:rPr>
        <w:t>《中华人民共和国证券投资基金法》</w:t>
      </w:r>
      <w:r>
        <w:rPr>
          <w:kern w:val="0"/>
          <w:sz w:val="24"/>
        </w:rPr>
        <w:t>及其他有关法律法规、基金合同和托管协议的规定，对交银施罗德丰润收益债券型证券投资基金</w:t>
      </w:r>
      <w:r>
        <w:rPr>
          <w:kern w:val="0"/>
          <w:sz w:val="24"/>
        </w:rPr>
        <w:t>2020</w:t>
      </w:r>
      <w:r>
        <w:rPr>
          <w:kern w:val="0"/>
          <w:sz w:val="24"/>
        </w:rPr>
        <w:t>年的投资运作，进行了认真、独立的会计核算和必要的投资监督，履行了托管人的义</w:t>
      </w:r>
      <w:r>
        <w:rPr>
          <w:kern w:val="0"/>
          <w:sz w:val="24"/>
        </w:rPr>
        <w:t>务，不存在任何损害基金份额持有人利益的行为。</w:t>
      </w:r>
    </w:p>
    <w:p w:rsidR="000E6BAE" w:rsidRDefault="000E6BAE">
      <w:pPr>
        <w:spacing w:line="360" w:lineRule="auto"/>
        <w:ind w:firstLineChars="200" w:firstLine="420"/>
        <w:rPr>
          <w:rFonts w:asciiTheme="minorEastAsia" w:eastAsiaTheme="minorEastAsia" w:hAnsiTheme="minorEastAsia"/>
          <w:color w:val="000000"/>
          <w:kern w:val="0"/>
          <w:szCs w:val="21"/>
        </w:rPr>
      </w:pPr>
    </w:p>
    <w:p w:rsidR="000E6BAE" w:rsidRDefault="00CD6463">
      <w:pPr>
        <w:pStyle w:val="2"/>
        <w:spacing w:before="29" w:after="0" w:line="288" w:lineRule="auto"/>
        <w:rPr>
          <w:rFonts w:eastAsiaTheme="minorEastAsia"/>
        </w:rPr>
      </w:pPr>
      <w:bookmarkStart w:id="75" w:name="_Toc225498265"/>
      <w:bookmarkStart w:id="76" w:name="_Toc361324866"/>
      <w:bookmarkStart w:id="77" w:name="_Toc10442"/>
      <w:r>
        <w:rPr>
          <w:rFonts w:eastAsiaTheme="minorEastAsia"/>
        </w:rPr>
        <w:t xml:space="preserve">5.2 </w:t>
      </w:r>
      <w:r>
        <w:rPr>
          <w:rFonts w:eastAsiaTheme="minorEastAsia" w:hint="eastAsia"/>
        </w:rPr>
        <w:t>托管人对报告期内本基金投资运作遵规守信、净值计算、利润分配等情况的</w:t>
      </w:r>
      <w:bookmarkEnd w:id="75"/>
      <w:r>
        <w:rPr>
          <w:rFonts w:eastAsiaTheme="minorEastAsia" w:hint="eastAsia"/>
        </w:rPr>
        <w:t>说明</w:t>
      </w:r>
      <w:bookmarkEnd w:id="76"/>
      <w:bookmarkEnd w:id="77"/>
    </w:p>
    <w:p w:rsidR="000E6BAE" w:rsidRDefault="00CD6463">
      <w:pPr>
        <w:spacing w:before="29" w:line="288" w:lineRule="auto"/>
        <w:ind w:firstLineChars="200" w:firstLine="480"/>
        <w:rPr>
          <w:kern w:val="0"/>
          <w:sz w:val="24"/>
        </w:rPr>
      </w:pPr>
      <w:r>
        <w:rPr>
          <w:kern w:val="0"/>
          <w:sz w:val="24"/>
        </w:rPr>
        <w:t>本托管人认为，交银施罗德基金管理有限公司在交银施罗德丰润收益债券型证券投资基金的投资运作、基金资产净值的计算、基金份额申购赎回价格的计算、基金费用开支及利润分配等问题上，不存在损害基金份额持有人利益的行为；在报告期内，严格遵守了</w:t>
      </w:r>
      <w:r>
        <w:rPr>
          <w:rFonts w:hint="eastAsia"/>
          <w:kern w:val="0"/>
          <w:sz w:val="24"/>
        </w:rPr>
        <w:t>《中华人民共和国证券投资基金法》</w:t>
      </w:r>
      <w:r>
        <w:rPr>
          <w:kern w:val="0"/>
          <w:sz w:val="24"/>
        </w:rPr>
        <w:t>等有关法律法规，在各重要方面的运作严格按照基金合同的规定进行。</w:t>
      </w:r>
    </w:p>
    <w:p w:rsidR="000E6BAE" w:rsidRDefault="000E6BAE">
      <w:pPr>
        <w:spacing w:line="360" w:lineRule="auto"/>
        <w:ind w:firstLineChars="200" w:firstLine="420"/>
        <w:rPr>
          <w:rFonts w:asciiTheme="minorEastAsia" w:eastAsiaTheme="minorEastAsia" w:hAnsiTheme="minorEastAsia"/>
          <w:color w:val="000000"/>
          <w:kern w:val="0"/>
          <w:szCs w:val="21"/>
        </w:rPr>
      </w:pPr>
    </w:p>
    <w:p w:rsidR="000E6BAE" w:rsidRDefault="00CD6463">
      <w:pPr>
        <w:pStyle w:val="2"/>
        <w:spacing w:before="29" w:after="0" w:line="288" w:lineRule="auto"/>
        <w:rPr>
          <w:rFonts w:eastAsiaTheme="minorEastAsia"/>
        </w:rPr>
      </w:pPr>
      <w:bookmarkStart w:id="78" w:name="_Toc225498266"/>
      <w:bookmarkStart w:id="79" w:name="_Toc361324867"/>
      <w:bookmarkStart w:id="80" w:name="_Toc3724"/>
      <w:r>
        <w:rPr>
          <w:rFonts w:eastAsiaTheme="minorEastAsia"/>
        </w:rPr>
        <w:t xml:space="preserve">5.3 </w:t>
      </w:r>
      <w:r>
        <w:rPr>
          <w:rFonts w:eastAsiaTheme="minorEastAsia" w:hint="eastAsia"/>
        </w:rPr>
        <w:t>托管人对本年度报告中财务信息等内容的真实、准确和完整发表意见</w:t>
      </w:r>
      <w:bookmarkEnd w:id="78"/>
      <w:bookmarkEnd w:id="79"/>
      <w:bookmarkEnd w:id="80"/>
    </w:p>
    <w:p w:rsidR="000E6BAE" w:rsidRDefault="00CD6463">
      <w:pPr>
        <w:spacing w:before="29" w:line="288" w:lineRule="auto"/>
        <w:ind w:firstLineChars="200" w:firstLine="480"/>
        <w:rPr>
          <w:kern w:val="0"/>
          <w:sz w:val="24"/>
        </w:rPr>
      </w:pPr>
      <w:r>
        <w:rPr>
          <w:kern w:val="0"/>
          <w:sz w:val="24"/>
        </w:rPr>
        <w:t>本托管人认为，交银施罗德基金管理有限公司的信息披露事务符合《公开募集证券投资基金信息披露管理办法》及其他相关法律法规的规定，基金管理人所编制和披露的交银施罗德丰润收益债券型证券投资基金年度报告中的财务指标、净值表现、收益分配情况、财务会计报告、投资组合报告等信息真实、准确、完整，未发现有损害基金持有人利益的行为。</w:t>
      </w:r>
    </w:p>
    <w:p w:rsidR="000E6BAE" w:rsidRDefault="000E6BAE">
      <w:pPr>
        <w:spacing w:before="29" w:line="288" w:lineRule="auto"/>
        <w:ind w:firstLineChars="200" w:firstLine="480"/>
        <w:rPr>
          <w:kern w:val="0"/>
          <w:sz w:val="24"/>
        </w:rPr>
      </w:pPr>
    </w:p>
    <w:p w:rsidR="000E6BAE" w:rsidRDefault="00CD6463">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1" w:name="_Toc245801814"/>
      <w:bookmarkStart w:id="82" w:name="_Toc247959464"/>
      <w:bookmarkStart w:id="83" w:name="_Toc352255986"/>
      <w:bookmarkStart w:id="84" w:name="_Toc352256054"/>
      <w:bookmarkStart w:id="85" w:name="_Toc352331232"/>
      <w:bookmarkStart w:id="86" w:name="_Toc362424010"/>
      <w:bookmarkStart w:id="87" w:name="_Toc374459272"/>
      <w:bookmarkStart w:id="88" w:name="_Toc28138"/>
      <w:bookmarkStart w:id="89" w:name="_Toc361324872"/>
      <w:r>
        <w:rPr>
          <w:rFonts w:eastAsiaTheme="minorEastAsia"/>
          <w:b/>
          <w:bCs/>
          <w:szCs w:val="24"/>
          <w:lang w:val="en-US"/>
        </w:rPr>
        <w:t xml:space="preserve">§6  </w:t>
      </w:r>
      <w:r>
        <w:rPr>
          <w:rFonts w:eastAsiaTheme="minorEastAsia"/>
          <w:b/>
          <w:bCs/>
          <w:szCs w:val="24"/>
          <w:lang w:val="en-US"/>
        </w:rPr>
        <w:t>审计报告</w:t>
      </w:r>
      <w:bookmarkEnd w:id="81"/>
      <w:bookmarkEnd w:id="82"/>
      <w:bookmarkEnd w:id="83"/>
      <w:bookmarkEnd w:id="84"/>
      <w:bookmarkEnd w:id="85"/>
      <w:bookmarkEnd w:id="86"/>
      <w:bookmarkEnd w:id="87"/>
      <w:bookmarkEnd w:id="88"/>
    </w:p>
    <w:p w:rsidR="000E6BAE" w:rsidRDefault="00CD6463">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(2021)</w:t>
      </w:r>
      <w:r>
        <w:rPr>
          <w:rFonts w:eastAsiaTheme="minorEastAsia"/>
          <w:kern w:val="0"/>
          <w:sz w:val="24"/>
        </w:rPr>
        <w:t>第</w:t>
      </w:r>
      <w:r>
        <w:rPr>
          <w:rFonts w:eastAsiaTheme="minorEastAsia"/>
          <w:kern w:val="0"/>
          <w:sz w:val="24"/>
        </w:rPr>
        <w:t>24495</w:t>
      </w:r>
      <w:r>
        <w:rPr>
          <w:rFonts w:eastAsiaTheme="minorEastAsia"/>
          <w:kern w:val="0"/>
          <w:sz w:val="24"/>
        </w:rPr>
        <w:t>号</w:t>
      </w:r>
    </w:p>
    <w:p w:rsidR="000E6BAE" w:rsidRDefault="00CD6463">
      <w:pPr>
        <w:widowControl/>
        <w:spacing w:line="288" w:lineRule="auto"/>
        <w:jc w:val="left"/>
        <w:rPr>
          <w:rFonts w:eastAsiaTheme="minorEastAsia"/>
          <w:kern w:val="0"/>
          <w:sz w:val="24"/>
        </w:rPr>
      </w:pPr>
      <w:r>
        <w:rPr>
          <w:rFonts w:eastAsiaTheme="minorEastAsia"/>
          <w:kern w:val="0"/>
          <w:sz w:val="24"/>
        </w:rPr>
        <w:t>交银施罗德丰润收益债券型证券投资基金全体基金份额持有人</w:t>
      </w:r>
      <w:r>
        <w:rPr>
          <w:rFonts w:eastAsiaTheme="minorEastAsia" w:hint="eastAsia"/>
          <w:sz w:val="24"/>
        </w:rPr>
        <w:t>：</w:t>
      </w:r>
    </w:p>
    <w:p w:rsidR="000E6BAE" w:rsidRDefault="00CD6463">
      <w:pPr>
        <w:pStyle w:val="2"/>
        <w:spacing w:before="29" w:after="0" w:line="288" w:lineRule="auto"/>
        <w:rPr>
          <w:rFonts w:ascii="Times New Roman" w:eastAsiaTheme="minorEastAsia" w:hAnsi="Times New Roman"/>
          <w:kern w:val="0"/>
          <w:szCs w:val="24"/>
        </w:rPr>
      </w:pPr>
      <w:bookmarkStart w:id="90" w:name="_Toc374459275"/>
      <w:bookmarkStart w:id="91" w:name="_Toc362424013"/>
      <w:bookmarkStart w:id="92" w:name="_Toc352331235"/>
      <w:bookmarkStart w:id="93" w:name="_Toc352256057"/>
      <w:bookmarkStart w:id="94" w:name="_Toc352255989"/>
      <w:bookmarkStart w:id="95" w:name="_Toc286996149"/>
      <w:bookmarkStart w:id="96" w:name="_Toc13077"/>
      <w:bookmarkStart w:id="97" w:name="_Toc374459273"/>
      <w:bookmarkStart w:id="98" w:name="_Toc362424011"/>
      <w:bookmarkStart w:id="99" w:name="_Toc352331233"/>
      <w:bookmarkStart w:id="100" w:name="_Toc352256055"/>
      <w:bookmarkStart w:id="101" w:name="_Toc352255987"/>
      <w:bookmarkStart w:id="102"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90"/>
      <w:bookmarkEnd w:id="91"/>
      <w:bookmarkEnd w:id="92"/>
      <w:bookmarkEnd w:id="93"/>
      <w:bookmarkEnd w:id="94"/>
      <w:bookmarkEnd w:id="95"/>
      <w:bookmarkEnd w:id="96"/>
    </w:p>
    <w:p w:rsidR="000E6BAE" w:rsidRDefault="00CD6463">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w:t>
      </w:r>
      <w:r>
        <w:rPr>
          <w:rFonts w:eastAsiaTheme="minorEastAsia"/>
          <w:kern w:val="0"/>
          <w:sz w:val="24"/>
        </w:rPr>
        <w:t>我们审计的内容</w:t>
      </w:r>
    </w:p>
    <w:p w:rsidR="000E6BAE" w:rsidRDefault="00CD6463">
      <w:pPr>
        <w:widowControl/>
        <w:spacing w:line="288" w:lineRule="auto"/>
        <w:ind w:firstLine="420"/>
        <w:rPr>
          <w:rFonts w:eastAsiaTheme="minorEastAsia"/>
          <w:kern w:val="0"/>
          <w:sz w:val="24"/>
        </w:rPr>
      </w:pPr>
      <w:r>
        <w:rPr>
          <w:rFonts w:eastAsiaTheme="minorEastAsia"/>
          <w:kern w:val="0"/>
          <w:sz w:val="24"/>
        </w:rPr>
        <w:t>我们审计了交银施罗德丰润收益债券型证券投资基金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交银丰润收益债券基金</w:t>
      </w:r>
      <w:r>
        <w:rPr>
          <w:rFonts w:eastAsiaTheme="minorEastAsia"/>
          <w:kern w:val="0"/>
          <w:sz w:val="24"/>
        </w:rPr>
        <w:t>”)</w:t>
      </w:r>
      <w:r>
        <w:rPr>
          <w:rFonts w:eastAsiaTheme="minorEastAsia"/>
          <w:kern w:val="0"/>
          <w:sz w:val="24"/>
        </w:rPr>
        <w:t>的财务报表，包括</w:t>
      </w:r>
      <w:r>
        <w:rPr>
          <w:rFonts w:eastAsiaTheme="minorEastAsia"/>
          <w:kern w:val="0"/>
          <w:sz w:val="24"/>
        </w:rPr>
        <w:t>2020</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2020</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0E6BAE" w:rsidRDefault="00CD6463">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rsidR="000E6BAE" w:rsidRDefault="00CD6463">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发布的有关规定及允许的基金行业实务操作编制，公允反映了交银丰润收益债券基金</w:t>
      </w:r>
      <w:r>
        <w:rPr>
          <w:rFonts w:eastAsiaTheme="minorEastAsia"/>
          <w:kern w:val="0"/>
          <w:sz w:val="24"/>
        </w:rPr>
        <w:t>2</w:t>
      </w:r>
      <w:r>
        <w:rPr>
          <w:rFonts w:eastAsiaTheme="minorEastAsia"/>
          <w:kern w:val="0"/>
          <w:sz w:val="24"/>
        </w:rPr>
        <w:t>020</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2020</w:t>
      </w:r>
      <w:r>
        <w:rPr>
          <w:rFonts w:eastAsiaTheme="minorEastAsia"/>
          <w:kern w:val="0"/>
          <w:sz w:val="24"/>
        </w:rPr>
        <w:t>年度的经营成果和基金净值变动情况。</w:t>
      </w:r>
    </w:p>
    <w:p w:rsidR="000E6BAE" w:rsidRDefault="000E6BAE">
      <w:pPr>
        <w:widowControl/>
        <w:spacing w:line="288" w:lineRule="auto"/>
        <w:ind w:firstLine="420"/>
        <w:rPr>
          <w:rFonts w:eastAsiaTheme="minorEastAsia"/>
          <w:kern w:val="0"/>
          <w:sz w:val="24"/>
        </w:rPr>
      </w:pPr>
    </w:p>
    <w:p w:rsidR="000E6BAE" w:rsidRDefault="00CD6463">
      <w:pPr>
        <w:pStyle w:val="2"/>
        <w:spacing w:beforeLines="50" w:before="156" w:after="0" w:line="288" w:lineRule="auto"/>
        <w:rPr>
          <w:rFonts w:ascii="Times New Roman" w:eastAsiaTheme="minorEastAsia" w:hAnsi="Times New Roman"/>
          <w:kern w:val="0"/>
          <w:szCs w:val="24"/>
        </w:rPr>
      </w:pPr>
      <w:bookmarkStart w:id="103" w:name="_Toc14899"/>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103"/>
    </w:p>
    <w:p w:rsidR="000E6BAE" w:rsidRDefault="00CD6463">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0E6BAE" w:rsidRDefault="00CD6463">
      <w:pPr>
        <w:spacing w:line="288" w:lineRule="auto"/>
        <w:ind w:firstLineChars="200" w:firstLine="480"/>
        <w:rPr>
          <w:rFonts w:eastAsiaTheme="minorEastAsia"/>
          <w:sz w:val="24"/>
        </w:rPr>
      </w:pPr>
      <w:r>
        <w:rPr>
          <w:rFonts w:eastAsiaTheme="minorEastAsia"/>
          <w:sz w:val="24"/>
        </w:rPr>
        <w:t>按照中国注册会计师职业道德守则，我们独立于交银丰润收益债券基金，并履行了职业道德方面的其他责任。</w:t>
      </w:r>
    </w:p>
    <w:p w:rsidR="000E6BAE" w:rsidRDefault="000E6BAE">
      <w:pPr>
        <w:spacing w:line="288" w:lineRule="auto"/>
        <w:ind w:firstLineChars="200" w:firstLine="480"/>
        <w:rPr>
          <w:rFonts w:eastAsiaTheme="minorEastAsia"/>
          <w:sz w:val="24"/>
        </w:rPr>
      </w:pPr>
    </w:p>
    <w:p w:rsidR="000E6BAE" w:rsidRDefault="00CD6463">
      <w:pPr>
        <w:pStyle w:val="2"/>
        <w:spacing w:beforeLines="50" w:before="156" w:after="0" w:line="288" w:lineRule="auto"/>
        <w:rPr>
          <w:rFonts w:ascii="Times New Roman" w:eastAsiaTheme="minorEastAsia" w:hAnsi="Times New Roman"/>
          <w:kern w:val="0"/>
          <w:szCs w:val="24"/>
        </w:rPr>
      </w:pPr>
      <w:bookmarkStart w:id="104" w:name="_Toc24490"/>
      <w:r>
        <w:rPr>
          <w:rFonts w:ascii="Times New Roman" w:eastAsiaTheme="minorEastAsia" w:hAnsi="Times New Roman"/>
          <w:kern w:val="0"/>
          <w:szCs w:val="24"/>
        </w:rPr>
        <w:t xml:space="preserve">6.3 </w:t>
      </w:r>
      <w:bookmarkEnd w:id="97"/>
      <w:bookmarkEnd w:id="98"/>
      <w:bookmarkEnd w:id="99"/>
      <w:bookmarkEnd w:id="100"/>
      <w:bookmarkEnd w:id="101"/>
      <w:bookmarkEnd w:id="102"/>
      <w:r>
        <w:rPr>
          <w:rFonts w:ascii="Times New Roman" w:eastAsiaTheme="minorEastAsia" w:hAnsi="Times New Roman" w:hint="eastAsia"/>
          <w:kern w:val="0"/>
          <w:szCs w:val="24"/>
        </w:rPr>
        <w:t>管理层和治理层对财务报表的责任</w:t>
      </w:r>
      <w:bookmarkEnd w:id="104"/>
    </w:p>
    <w:p w:rsidR="000E6BAE" w:rsidRDefault="00CD6463">
      <w:pPr>
        <w:spacing w:line="288" w:lineRule="auto"/>
        <w:ind w:firstLineChars="200" w:firstLine="480"/>
        <w:rPr>
          <w:rFonts w:eastAsiaTheme="minorEastAsia"/>
          <w:sz w:val="24"/>
        </w:rPr>
      </w:pPr>
      <w:r>
        <w:rPr>
          <w:rFonts w:eastAsiaTheme="minorEastAsia"/>
          <w:sz w:val="24"/>
        </w:rPr>
        <w:t>交银丰润收益债券基金的基金管理人交银施罗德基金管理有限公司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0E6BAE" w:rsidRDefault="00CD6463">
      <w:pPr>
        <w:spacing w:line="288" w:lineRule="auto"/>
        <w:ind w:firstLineChars="200" w:firstLine="480"/>
        <w:rPr>
          <w:rFonts w:eastAsiaTheme="minorEastAsia"/>
          <w:sz w:val="24"/>
        </w:rPr>
      </w:pPr>
      <w:r>
        <w:rPr>
          <w:rFonts w:eastAsiaTheme="minorEastAsia"/>
          <w:sz w:val="24"/>
        </w:rPr>
        <w:t>在编制财务报表时，基金管理人管理层负责评估交银丰润收益债券基金的持续经营能力，披露与持续经营相关的事项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，并运用持续经营假设，除非基金管理人管理层计划清算交银丰润收益债券基金、终止运营或别无其他现实的选择。</w:t>
      </w:r>
    </w:p>
    <w:p w:rsidR="000E6BAE" w:rsidRDefault="00CD6463">
      <w:pPr>
        <w:spacing w:line="288" w:lineRule="auto"/>
        <w:ind w:firstLineChars="200" w:firstLine="480"/>
        <w:rPr>
          <w:rFonts w:eastAsiaTheme="minorEastAsia"/>
          <w:sz w:val="24"/>
        </w:rPr>
      </w:pPr>
      <w:r>
        <w:rPr>
          <w:rFonts w:eastAsiaTheme="minorEastAsia"/>
          <w:sz w:val="24"/>
        </w:rPr>
        <w:t>基金</w:t>
      </w:r>
      <w:r>
        <w:rPr>
          <w:rFonts w:eastAsiaTheme="minorEastAsia"/>
          <w:sz w:val="24"/>
        </w:rPr>
        <w:t>管理人治理层负责监督交银丰润收益债券基金的财务报告过程。</w:t>
      </w:r>
    </w:p>
    <w:p w:rsidR="000E6BAE" w:rsidRDefault="000E6BAE">
      <w:pPr>
        <w:spacing w:line="288" w:lineRule="auto"/>
        <w:ind w:firstLineChars="200" w:firstLine="480"/>
        <w:rPr>
          <w:rFonts w:eastAsiaTheme="minorEastAsia"/>
          <w:sz w:val="24"/>
        </w:rPr>
      </w:pPr>
    </w:p>
    <w:p w:rsidR="000E6BAE" w:rsidRDefault="00CD6463">
      <w:pPr>
        <w:pStyle w:val="2"/>
        <w:spacing w:beforeLines="50" w:before="156" w:after="0" w:line="288" w:lineRule="auto"/>
        <w:rPr>
          <w:rFonts w:ascii="Times New Roman" w:eastAsiaTheme="minorEastAsia" w:hAnsi="Times New Roman"/>
          <w:kern w:val="0"/>
          <w:szCs w:val="24"/>
        </w:rPr>
      </w:pPr>
      <w:bookmarkStart w:id="105" w:name="_Toc374459274"/>
      <w:bookmarkStart w:id="106" w:name="_Toc362424012"/>
      <w:bookmarkStart w:id="107" w:name="_Toc352331234"/>
      <w:bookmarkStart w:id="108" w:name="_Toc352256056"/>
      <w:bookmarkStart w:id="109" w:name="_Toc352255988"/>
      <w:bookmarkStart w:id="110" w:name="_Toc286996148"/>
      <w:bookmarkStart w:id="111" w:name="_Toc17091"/>
      <w:r>
        <w:rPr>
          <w:rFonts w:ascii="Times New Roman" w:eastAsiaTheme="minorEastAsia" w:hAnsi="Times New Roman"/>
          <w:kern w:val="0"/>
          <w:szCs w:val="24"/>
        </w:rPr>
        <w:t xml:space="preserve">6.4 </w:t>
      </w:r>
      <w:bookmarkEnd w:id="105"/>
      <w:bookmarkEnd w:id="106"/>
      <w:bookmarkEnd w:id="107"/>
      <w:bookmarkEnd w:id="108"/>
      <w:bookmarkEnd w:id="109"/>
      <w:bookmarkEnd w:id="110"/>
      <w:r>
        <w:rPr>
          <w:rFonts w:ascii="Times New Roman" w:eastAsiaTheme="minorEastAsia" w:hAnsi="Times New Roman" w:hint="eastAsia"/>
          <w:kern w:val="0"/>
          <w:szCs w:val="24"/>
        </w:rPr>
        <w:t>注册会计师对财务报表审计的责任</w:t>
      </w:r>
      <w:bookmarkEnd w:id="111"/>
    </w:p>
    <w:p w:rsidR="000E6BAE" w:rsidRDefault="00CD6463">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0E6BAE" w:rsidRDefault="00CD6463">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0E6BAE" w:rsidRDefault="00CD6463">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0E6BAE" w:rsidRDefault="00CD6463">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0E6BAE" w:rsidRDefault="00CD6463">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w:t>
      </w:r>
      <w:r>
        <w:rPr>
          <w:rFonts w:eastAsiaTheme="minorEastAsia"/>
          <w:sz w:val="24"/>
        </w:rPr>
        <w:t>理层选用会计政策的恰当性和作出会计估计及相关披露的合理性。</w:t>
      </w:r>
    </w:p>
    <w:p w:rsidR="000E6BAE" w:rsidRDefault="00CD6463">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丰润收益债券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丰润收益债券基金不能持续经营。</w:t>
      </w:r>
    </w:p>
    <w:p w:rsidR="000E6BAE" w:rsidRDefault="00CD6463">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w:t>
      </w:r>
      <w:r>
        <w:rPr>
          <w:rFonts w:eastAsiaTheme="minorEastAsia"/>
          <w:sz w:val="24"/>
        </w:rPr>
        <w:t>财务报表的总体列报</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、结构和内容，并评价财务报表是否公允反映相关交易和事项。</w:t>
      </w:r>
    </w:p>
    <w:p w:rsidR="000E6BAE" w:rsidRDefault="00CD6463">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0E6BAE">
        <w:tc>
          <w:tcPr>
            <w:tcW w:w="6629" w:type="dxa"/>
          </w:tcPr>
          <w:p w:rsidR="000E6BAE" w:rsidRDefault="00CD6463">
            <w:pPr>
              <w:spacing w:line="360" w:lineRule="auto"/>
              <w:jc w:val="left"/>
              <w:rPr>
                <w:sz w:val="24"/>
              </w:rPr>
            </w:pPr>
            <w:r>
              <w:rPr>
                <w:sz w:val="24"/>
              </w:rPr>
              <w:t>普华永道中天会计师事务所（特殊普通合伙）</w:t>
            </w:r>
          </w:p>
        </w:tc>
        <w:tc>
          <w:tcPr>
            <w:tcW w:w="2657" w:type="dxa"/>
          </w:tcPr>
          <w:p w:rsidR="000E6BAE" w:rsidRDefault="00CD6463">
            <w:pPr>
              <w:spacing w:line="360" w:lineRule="auto"/>
              <w:jc w:val="right"/>
              <w:rPr>
                <w:sz w:val="24"/>
              </w:rPr>
            </w:pPr>
            <w:r>
              <w:rPr>
                <w:rFonts w:hint="eastAsia"/>
                <w:sz w:val="24"/>
              </w:rPr>
              <w:t>中国注册会计师</w:t>
            </w:r>
          </w:p>
        </w:tc>
      </w:tr>
    </w:tbl>
    <w:p w:rsidR="000E6BAE" w:rsidRDefault="00CD6463">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金诗涛</w:t>
      </w:r>
    </w:p>
    <w:p w:rsidR="000E6BAE" w:rsidRDefault="00CD6463">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0E6BAE" w:rsidRDefault="00CD6463">
      <w:pPr>
        <w:widowControl/>
        <w:spacing w:line="288" w:lineRule="auto"/>
        <w:jc w:val="right"/>
        <w:rPr>
          <w:rFonts w:eastAsiaTheme="minorEastAsia"/>
          <w:sz w:val="24"/>
        </w:rPr>
      </w:pPr>
      <w:r>
        <w:rPr>
          <w:rFonts w:eastAsiaTheme="minorEastAsia"/>
          <w:kern w:val="0"/>
          <w:sz w:val="24"/>
        </w:rPr>
        <w:t>2021</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26</w:t>
      </w:r>
      <w:r>
        <w:rPr>
          <w:rFonts w:eastAsiaTheme="minorEastAsia"/>
          <w:kern w:val="0"/>
          <w:sz w:val="24"/>
        </w:rPr>
        <w:t>日</w:t>
      </w:r>
    </w:p>
    <w:p w:rsidR="000E6BAE" w:rsidRDefault="000E6BAE">
      <w:pPr>
        <w:widowControl/>
        <w:spacing w:line="288" w:lineRule="auto"/>
        <w:jc w:val="right"/>
        <w:rPr>
          <w:rFonts w:eastAsiaTheme="minorEastAsia"/>
          <w:sz w:val="24"/>
        </w:rPr>
      </w:pPr>
    </w:p>
    <w:p w:rsidR="000E6BAE" w:rsidRDefault="00CD6463">
      <w:pPr>
        <w:pStyle w:val="1"/>
        <w:keepNext/>
        <w:keepLines/>
        <w:widowControl w:val="0"/>
        <w:spacing w:beforeLines="100" w:before="312" w:afterLines="100" w:after="312" w:line="288" w:lineRule="auto"/>
        <w:jc w:val="center"/>
        <w:rPr>
          <w:b/>
          <w:bCs/>
          <w:szCs w:val="24"/>
          <w:lang w:val="en-US"/>
        </w:rPr>
      </w:pPr>
      <w:bookmarkStart w:id="112" w:name="_Toc21290"/>
      <w:r>
        <w:rPr>
          <w:rFonts w:hint="eastAsia"/>
          <w:b/>
          <w:bCs/>
          <w:szCs w:val="24"/>
          <w:lang w:val="en-US"/>
        </w:rPr>
        <w:t>§</w:t>
      </w:r>
      <w:r>
        <w:rPr>
          <w:b/>
          <w:bCs/>
          <w:szCs w:val="24"/>
          <w:lang w:val="en-US"/>
        </w:rPr>
        <w:t>7</w:t>
      </w:r>
      <w:r>
        <w:rPr>
          <w:rFonts w:hint="eastAsia"/>
          <w:b/>
          <w:bCs/>
          <w:szCs w:val="24"/>
          <w:lang w:val="en-US"/>
        </w:rPr>
        <w:t>年度财务报表</w:t>
      </w:r>
      <w:bookmarkEnd w:id="89"/>
      <w:bookmarkEnd w:id="112"/>
    </w:p>
    <w:p w:rsidR="000E6BAE" w:rsidRDefault="000E6BAE"/>
    <w:p w:rsidR="000E6BAE" w:rsidRDefault="00CD6463">
      <w:pPr>
        <w:pStyle w:val="2"/>
        <w:spacing w:before="29" w:after="0" w:line="288" w:lineRule="auto"/>
        <w:rPr>
          <w:rFonts w:eastAsiaTheme="minorEastAsia"/>
        </w:rPr>
      </w:pPr>
      <w:bookmarkStart w:id="113" w:name="_Toc225498268"/>
      <w:bookmarkStart w:id="114" w:name="_Toc361324873"/>
      <w:bookmarkStart w:id="115" w:name="_Toc6224"/>
      <w:r>
        <w:rPr>
          <w:rFonts w:eastAsiaTheme="minorEastAsia"/>
        </w:rPr>
        <w:t xml:space="preserve">7.1 </w:t>
      </w:r>
      <w:r>
        <w:rPr>
          <w:rFonts w:eastAsiaTheme="minorEastAsia" w:hint="eastAsia"/>
        </w:rPr>
        <w:t>资产负债表</w:t>
      </w:r>
      <w:bookmarkEnd w:id="113"/>
      <w:bookmarkEnd w:id="114"/>
      <w:bookmarkEnd w:id="115"/>
    </w:p>
    <w:p w:rsidR="000E6BAE" w:rsidRDefault="00CD6463">
      <w:pPr>
        <w:spacing w:before="29" w:line="288" w:lineRule="auto"/>
        <w:rPr>
          <w:color w:val="000000"/>
          <w:sz w:val="24"/>
        </w:rPr>
      </w:pPr>
      <w:r>
        <w:rPr>
          <w:rFonts w:hint="eastAsia"/>
          <w:color w:val="000000"/>
          <w:sz w:val="24"/>
        </w:rPr>
        <w:t>会计主体：</w:t>
      </w:r>
      <w:r>
        <w:rPr>
          <w:color w:val="000000"/>
          <w:sz w:val="24"/>
        </w:rPr>
        <w:t>交银施罗德丰润收益债券型证券投资基金</w:t>
      </w:r>
    </w:p>
    <w:p w:rsidR="000E6BAE" w:rsidRDefault="00CD6463">
      <w:pPr>
        <w:spacing w:before="29" w:line="288" w:lineRule="auto"/>
        <w:rPr>
          <w:color w:val="000000"/>
          <w:sz w:val="24"/>
        </w:rPr>
      </w:pPr>
      <w:r>
        <w:rPr>
          <w:rFonts w:hint="eastAsia"/>
          <w:color w:val="000000"/>
          <w:sz w:val="24"/>
        </w:rPr>
        <w:t>报告截止日：</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p w:rsidR="000E6BAE" w:rsidRDefault="00CD6463">
      <w:pPr>
        <w:autoSpaceDE w:val="0"/>
        <w:autoSpaceDN w:val="0"/>
        <w:adjustRightInd w:val="0"/>
        <w:spacing w:before="29" w:line="288" w:lineRule="auto"/>
        <w:ind w:left="15"/>
        <w:jc w:val="right"/>
        <w:rPr>
          <w:color w:val="000000"/>
          <w:kern w:val="0"/>
          <w:sz w:val="24"/>
        </w:rPr>
      </w:pPr>
      <w:r>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0E6BAE">
        <w:tc>
          <w:tcPr>
            <w:tcW w:w="2880" w:type="dxa"/>
            <w:vAlign w:val="center"/>
          </w:tcPr>
          <w:p w:rsidR="000E6BAE" w:rsidRDefault="00CD6463">
            <w:pPr>
              <w:pStyle w:val="af9"/>
              <w:spacing w:before="29" w:beforeAutospacing="0" w:line="288" w:lineRule="auto"/>
              <w:jc w:val="center"/>
              <w:rPr>
                <w:rFonts w:ascii="Times New Roman" w:hAnsi="Times New Roman"/>
                <w:b/>
                <w:color w:val="000000"/>
              </w:rPr>
            </w:pPr>
            <w:r>
              <w:rPr>
                <w:rFonts w:ascii="Times New Roman" w:hAnsi="Times New Roman" w:hint="eastAsia"/>
                <w:b/>
                <w:color w:val="000000"/>
              </w:rPr>
              <w:t>资产</w:t>
            </w:r>
          </w:p>
        </w:tc>
        <w:tc>
          <w:tcPr>
            <w:tcW w:w="1080" w:type="dxa"/>
            <w:vAlign w:val="center"/>
          </w:tcPr>
          <w:p w:rsidR="000E6BAE" w:rsidRDefault="00CD6463">
            <w:pPr>
              <w:pStyle w:val="af9"/>
              <w:spacing w:before="29" w:beforeAutospacing="0" w:line="288" w:lineRule="auto"/>
              <w:jc w:val="center"/>
              <w:rPr>
                <w:rFonts w:ascii="Times New Roman" w:hAnsi="Times New Roman"/>
                <w:b/>
                <w:color w:val="000000"/>
              </w:rPr>
            </w:pPr>
            <w:r>
              <w:rPr>
                <w:rFonts w:ascii="Times New Roman" w:hAnsi="Times New Roman" w:hint="eastAsia"/>
                <w:b/>
                <w:color w:val="000000"/>
              </w:rPr>
              <w:t>附注号</w:t>
            </w:r>
          </w:p>
        </w:tc>
        <w:tc>
          <w:tcPr>
            <w:tcW w:w="2520" w:type="dxa"/>
            <w:vAlign w:val="center"/>
          </w:tcPr>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hint="eastAsia"/>
                <w:b/>
                <w:color w:val="000000"/>
              </w:rPr>
              <w:t>本期末</w:t>
            </w:r>
          </w:p>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b/>
                <w:color w:val="000000"/>
              </w:rPr>
              <w:t>2020</w:t>
            </w:r>
            <w:r>
              <w:rPr>
                <w:rFonts w:ascii="Times New Roman" w:hAnsi="Times New Roman"/>
                <w:b/>
                <w:color w:val="000000"/>
              </w:rPr>
              <w:t>年</w:t>
            </w:r>
            <w:r>
              <w:rPr>
                <w:rFonts w:ascii="Times New Roman" w:hAnsi="Times New Roman"/>
                <w:b/>
                <w:color w:val="000000"/>
              </w:rPr>
              <w:t>12</w:t>
            </w:r>
            <w:r>
              <w:rPr>
                <w:rFonts w:ascii="Times New Roman" w:hAnsi="Times New Roman"/>
                <w:b/>
                <w:color w:val="000000"/>
              </w:rPr>
              <w:t>月</w:t>
            </w:r>
            <w:r>
              <w:rPr>
                <w:rFonts w:ascii="Times New Roman" w:hAnsi="Times New Roman"/>
                <w:b/>
                <w:color w:val="000000"/>
              </w:rPr>
              <w:t>31</w:t>
            </w:r>
            <w:r>
              <w:rPr>
                <w:rFonts w:ascii="Times New Roman" w:hAnsi="Times New Roman"/>
                <w:b/>
                <w:color w:val="000000"/>
              </w:rPr>
              <w:t>日</w:t>
            </w:r>
          </w:p>
        </w:tc>
        <w:tc>
          <w:tcPr>
            <w:tcW w:w="2520" w:type="dxa"/>
            <w:vAlign w:val="center"/>
          </w:tcPr>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hint="eastAsia"/>
                <w:b/>
                <w:color w:val="000000"/>
              </w:rPr>
              <w:t>上年度末</w:t>
            </w:r>
          </w:p>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b/>
                <w:color w:val="000000"/>
              </w:rPr>
              <w:t>2019</w:t>
            </w:r>
            <w:r>
              <w:rPr>
                <w:rFonts w:ascii="Times New Roman" w:hAnsi="Times New Roman"/>
                <w:b/>
                <w:color w:val="000000"/>
              </w:rPr>
              <w:t>年</w:t>
            </w:r>
            <w:r>
              <w:rPr>
                <w:rFonts w:ascii="Times New Roman" w:hAnsi="Times New Roman"/>
                <w:b/>
                <w:color w:val="000000"/>
              </w:rPr>
              <w:t>12</w:t>
            </w:r>
            <w:r>
              <w:rPr>
                <w:rFonts w:ascii="Times New Roman" w:hAnsi="Times New Roman"/>
                <w:b/>
                <w:color w:val="000000"/>
              </w:rPr>
              <w:t>月</w:t>
            </w:r>
            <w:r>
              <w:rPr>
                <w:rFonts w:ascii="Times New Roman" w:hAnsi="Times New Roman"/>
                <w:b/>
                <w:color w:val="000000"/>
              </w:rPr>
              <w:t>31</w:t>
            </w:r>
            <w:r>
              <w:rPr>
                <w:rFonts w:ascii="Times New Roman" w:hAnsi="Times New Roman"/>
                <w:b/>
                <w:color w:val="000000"/>
              </w:rPr>
              <w:t>日</w:t>
            </w:r>
          </w:p>
        </w:tc>
      </w:tr>
      <w:tr w:rsidR="000E6BAE">
        <w:tc>
          <w:tcPr>
            <w:tcW w:w="2880" w:type="dxa"/>
            <w:vAlign w:val="center"/>
          </w:tcPr>
          <w:p w:rsidR="000E6BAE" w:rsidRDefault="00CD6463">
            <w:pPr>
              <w:spacing w:before="29" w:line="288" w:lineRule="auto"/>
              <w:rPr>
                <w:b/>
                <w:color w:val="000000"/>
                <w:sz w:val="24"/>
              </w:rPr>
            </w:pPr>
            <w:r>
              <w:rPr>
                <w:rFonts w:hint="eastAsia"/>
                <w:b/>
                <w:color w:val="000000"/>
                <w:sz w:val="24"/>
              </w:rPr>
              <w:t>资产：</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0E6BAE">
            <w:pPr>
              <w:spacing w:before="29" w:line="288" w:lineRule="auto"/>
              <w:jc w:val="right"/>
              <w:rPr>
                <w:b/>
                <w:color w:val="000000"/>
                <w:sz w:val="24"/>
              </w:rPr>
            </w:pPr>
          </w:p>
        </w:tc>
        <w:tc>
          <w:tcPr>
            <w:tcW w:w="2520" w:type="dxa"/>
            <w:vAlign w:val="center"/>
          </w:tcPr>
          <w:p w:rsidR="000E6BAE" w:rsidRDefault="000E6BAE">
            <w:pPr>
              <w:spacing w:before="29" w:line="288" w:lineRule="auto"/>
              <w:jc w:val="right"/>
              <w:rPr>
                <w:b/>
                <w:color w:val="000000"/>
                <w:sz w:val="24"/>
              </w:rPr>
            </w:pP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银行存款</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w:t>
            </w:r>
          </w:p>
        </w:tc>
        <w:tc>
          <w:tcPr>
            <w:tcW w:w="2520" w:type="dxa"/>
            <w:vAlign w:val="center"/>
          </w:tcPr>
          <w:p w:rsidR="000E6BAE" w:rsidRDefault="00CD6463">
            <w:pPr>
              <w:spacing w:before="29" w:line="288" w:lineRule="auto"/>
              <w:jc w:val="right"/>
              <w:rPr>
                <w:color w:val="000000"/>
                <w:sz w:val="24"/>
              </w:rPr>
            </w:pPr>
            <w:r>
              <w:rPr>
                <w:color w:val="000000"/>
                <w:sz w:val="24"/>
              </w:rPr>
              <w:t>1,264,779.45</w:t>
            </w:r>
          </w:p>
        </w:tc>
        <w:tc>
          <w:tcPr>
            <w:tcW w:w="2520" w:type="dxa"/>
            <w:vAlign w:val="center"/>
          </w:tcPr>
          <w:p w:rsidR="000E6BAE" w:rsidRDefault="00CD6463">
            <w:pPr>
              <w:spacing w:before="29" w:line="288" w:lineRule="auto"/>
              <w:jc w:val="right"/>
              <w:rPr>
                <w:color w:val="000000"/>
                <w:sz w:val="24"/>
              </w:rPr>
            </w:pPr>
            <w:r>
              <w:rPr>
                <w:color w:val="000000"/>
                <w:sz w:val="24"/>
              </w:rPr>
              <w:t>109,845,965.00</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结算备付金</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存出保证金</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10,264.66</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交易性金融资产</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7.4.7.2</w:t>
            </w:r>
          </w:p>
        </w:tc>
        <w:tc>
          <w:tcPr>
            <w:tcW w:w="2520" w:type="dxa"/>
            <w:vAlign w:val="center"/>
          </w:tcPr>
          <w:p w:rsidR="000E6BAE" w:rsidRDefault="00CD6463">
            <w:pPr>
              <w:spacing w:before="29" w:line="288" w:lineRule="auto"/>
              <w:jc w:val="right"/>
              <w:rPr>
                <w:color w:val="000000"/>
                <w:sz w:val="24"/>
              </w:rPr>
            </w:pPr>
            <w:r>
              <w:rPr>
                <w:color w:val="000000"/>
                <w:sz w:val="24"/>
              </w:rPr>
              <w:t>1,489,772,000.00</w:t>
            </w:r>
          </w:p>
        </w:tc>
        <w:tc>
          <w:tcPr>
            <w:tcW w:w="2520" w:type="dxa"/>
            <w:vAlign w:val="center"/>
          </w:tcPr>
          <w:p w:rsidR="000E6BAE" w:rsidRDefault="00CD6463">
            <w:pPr>
              <w:spacing w:before="29" w:line="288" w:lineRule="auto"/>
              <w:jc w:val="right"/>
              <w:rPr>
                <w:color w:val="000000"/>
                <w:sz w:val="24"/>
              </w:rPr>
            </w:pPr>
            <w:r>
              <w:rPr>
                <w:color w:val="000000"/>
                <w:sz w:val="24"/>
              </w:rPr>
              <w:t>3,238,237,000.00</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其中：股票投资</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pStyle w:val="af9"/>
              <w:spacing w:before="29" w:beforeAutospacing="0" w:line="288" w:lineRule="auto"/>
              <w:ind w:firstLineChars="300" w:firstLine="720"/>
              <w:jc w:val="both"/>
              <w:rPr>
                <w:rFonts w:ascii="Times New Roman" w:hAnsi="Times New Roman"/>
                <w:color w:val="000000"/>
              </w:rPr>
            </w:pPr>
            <w:r>
              <w:rPr>
                <w:rFonts w:ascii="Times New Roman" w:hAnsi="Times New Roman" w:hint="eastAsia"/>
                <w:color w:val="000000"/>
              </w:rPr>
              <w:t>基金投资</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pStyle w:val="af9"/>
              <w:spacing w:before="29" w:beforeAutospacing="0" w:line="288" w:lineRule="auto"/>
              <w:ind w:firstLineChars="300" w:firstLine="720"/>
              <w:jc w:val="both"/>
              <w:rPr>
                <w:rFonts w:ascii="Times New Roman" w:hAnsi="Times New Roman"/>
                <w:color w:val="000000"/>
              </w:rPr>
            </w:pPr>
            <w:r>
              <w:rPr>
                <w:rFonts w:ascii="Times New Roman" w:hAnsi="Times New Roman" w:hint="eastAsia"/>
                <w:color w:val="000000"/>
              </w:rPr>
              <w:t>债券投资</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1,489,772,000.00</w:t>
            </w:r>
          </w:p>
        </w:tc>
        <w:tc>
          <w:tcPr>
            <w:tcW w:w="2520" w:type="dxa"/>
            <w:vAlign w:val="center"/>
          </w:tcPr>
          <w:p w:rsidR="000E6BAE" w:rsidRDefault="00CD6463">
            <w:pPr>
              <w:spacing w:before="29" w:line="288" w:lineRule="auto"/>
              <w:jc w:val="right"/>
              <w:rPr>
                <w:color w:val="000000"/>
                <w:sz w:val="24"/>
              </w:rPr>
            </w:pPr>
            <w:r>
              <w:rPr>
                <w:color w:val="000000"/>
                <w:sz w:val="24"/>
              </w:rPr>
              <w:t>3,238,237,000.00</w:t>
            </w:r>
          </w:p>
        </w:tc>
      </w:tr>
      <w:tr w:rsidR="000E6BAE">
        <w:tc>
          <w:tcPr>
            <w:tcW w:w="2880" w:type="dxa"/>
            <w:vAlign w:val="center"/>
          </w:tcPr>
          <w:p w:rsidR="000E6BAE" w:rsidRDefault="00CD6463">
            <w:pPr>
              <w:pStyle w:val="af9"/>
              <w:spacing w:before="29" w:beforeAutospacing="0" w:line="288" w:lineRule="auto"/>
              <w:ind w:firstLineChars="300" w:firstLine="720"/>
              <w:jc w:val="both"/>
              <w:rPr>
                <w:rFonts w:ascii="Times New Roman" w:hAnsi="Times New Roman"/>
                <w:color w:val="000000"/>
              </w:rPr>
            </w:pPr>
            <w:r>
              <w:rPr>
                <w:rFonts w:ascii="Times New Roman" w:hAnsi="Times New Roman" w:hint="eastAsia"/>
                <w:color w:val="000000"/>
              </w:rPr>
              <w:t>资产支持证券投资</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pStyle w:val="af9"/>
              <w:spacing w:before="29" w:beforeAutospacing="0" w:line="288" w:lineRule="auto"/>
              <w:ind w:firstLineChars="300" w:firstLine="720"/>
              <w:jc w:val="both"/>
              <w:rPr>
                <w:rFonts w:ascii="Times New Roman" w:hAnsi="Times New Roman"/>
                <w:color w:val="000000"/>
              </w:rPr>
            </w:pPr>
            <w:r>
              <w:rPr>
                <w:rFonts w:ascii="Times New Roman" w:hAnsi="Times New Roman" w:hint="eastAsia"/>
                <w:color w:val="000000"/>
              </w:rPr>
              <w:t>贵金属投资</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rFonts w:hint="eastAsia"/>
                <w:color w:val="000000"/>
                <w:sz w:val="24"/>
              </w:rPr>
              <w:t>-</w:t>
            </w:r>
          </w:p>
        </w:tc>
        <w:tc>
          <w:tcPr>
            <w:tcW w:w="2520" w:type="dxa"/>
            <w:vAlign w:val="center"/>
          </w:tcPr>
          <w:p w:rsidR="000E6BAE" w:rsidRDefault="00CD6463">
            <w:pPr>
              <w:spacing w:before="29" w:line="288" w:lineRule="auto"/>
              <w:jc w:val="right"/>
              <w:rPr>
                <w:color w:val="000000"/>
                <w:sz w:val="24"/>
              </w:rPr>
            </w:pPr>
            <w:r>
              <w:rPr>
                <w:rFonts w:hint="eastAsia"/>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衍生金融资产</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7.4.7.3</w:t>
            </w: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买入返售金融资产</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7.4.7.4</w:t>
            </w: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应收证券清算款</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应收利息</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7.4.7.5</w:t>
            </w:r>
          </w:p>
        </w:tc>
        <w:tc>
          <w:tcPr>
            <w:tcW w:w="2520" w:type="dxa"/>
            <w:vAlign w:val="center"/>
          </w:tcPr>
          <w:p w:rsidR="000E6BAE" w:rsidRDefault="00CD6463">
            <w:pPr>
              <w:spacing w:before="29" w:line="288" w:lineRule="auto"/>
              <w:jc w:val="right"/>
              <w:rPr>
                <w:color w:val="000000"/>
                <w:sz w:val="24"/>
              </w:rPr>
            </w:pPr>
            <w:r>
              <w:rPr>
                <w:color w:val="000000"/>
                <w:sz w:val="24"/>
              </w:rPr>
              <w:t>32,745,331.46</w:t>
            </w:r>
          </w:p>
        </w:tc>
        <w:tc>
          <w:tcPr>
            <w:tcW w:w="2520" w:type="dxa"/>
            <w:vAlign w:val="center"/>
          </w:tcPr>
          <w:p w:rsidR="000E6BAE" w:rsidRDefault="00CD6463">
            <w:pPr>
              <w:spacing w:before="29" w:line="288" w:lineRule="auto"/>
              <w:jc w:val="right"/>
              <w:rPr>
                <w:color w:val="000000"/>
                <w:sz w:val="24"/>
              </w:rPr>
            </w:pPr>
            <w:r>
              <w:rPr>
                <w:color w:val="000000"/>
                <w:sz w:val="24"/>
              </w:rPr>
              <w:t>75,381,375.23</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应收股利</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应收申购款</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31,826.62</w:t>
            </w:r>
          </w:p>
        </w:tc>
        <w:tc>
          <w:tcPr>
            <w:tcW w:w="2520" w:type="dxa"/>
            <w:vAlign w:val="center"/>
          </w:tcPr>
          <w:p w:rsidR="000E6BAE" w:rsidRDefault="00CD6463">
            <w:pPr>
              <w:spacing w:before="29" w:line="288" w:lineRule="auto"/>
              <w:jc w:val="right"/>
              <w:rPr>
                <w:color w:val="000000"/>
                <w:sz w:val="24"/>
              </w:rPr>
            </w:pPr>
            <w:r>
              <w:rPr>
                <w:color w:val="000000"/>
                <w:sz w:val="24"/>
              </w:rPr>
              <w:t>127,739.48</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递延所得税资产</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其他资产</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7.4.7.6</w:t>
            </w: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rFonts w:asciiTheme="minorEastAsia" w:eastAsiaTheme="minorEastAsia" w:hAnsiTheme="minorEastAsia"/>
                <w:color w:val="000000"/>
                <w:szCs w:val="21"/>
              </w:rPr>
            </w:pPr>
            <w:r>
              <w:rPr>
                <w:rFonts w:hint="eastAsia"/>
                <w:color w:val="000000"/>
                <w:sz w:val="24"/>
              </w:rPr>
              <w:t>资产总计</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1,523,813,937.53</w:t>
            </w:r>
          </w:p>
        </w:tc>
        <w:tc>
          <w:tcPr>
            <w:tcW w:w="2520" w:type="dxa"/>
            <w:vAlign w:val="center"/>
          </w:tcPr>
          <w:p w:rsidR="000E6BAE" w:rsidRDefault="00CD6463">
            <w:pPr>
              <w:spacing w:before="29" w:line="288" w:lineRule="auto"/>
              <w:jc w:val="right"/>
              <w:rPr>
                <w:color w:val="000000"/>
                <w:sz w:val="24"/>
              </w:rPr>
            </w:pPr>
            <w:r>
              <w:rPr>
                <w:color w:val="000000"/>
                <w:sz w:val="24"/>
              </w:rPr>
              <w:t>3,423,602,344.37</w:t>
            </w:r>
          </w:p>
        </w:tc>
      </w:tr>
      <w:tr w:rsidR="000E6BAE">
        <w:tc>
          <w:tcPr>
            <w:tcW w:w="2880" w:type="dxa"/>
            <w:vAlign w:val="center"/>
          </w:tcPr>
          <w:p w:rsidR="000E6BAE" w:rsidRDefault="00CD6463">
            <w:pPr>
              <w:pStyle w:val="af9"/>
              <w:spacing w:before="29" w:beforeAutospacing="0" w:line="288" w:lineRule="auto"/>
              <w:jc w:val="center"/>
              <w:rPr>
                <w:rFonts w:ascii="Times New Roman" w:hAnsi="Times New Roman"/>
                <w:b/>
                <w:color w:val="000000"/>
              </w:rPr>
            </w:pPr>
            <w:r>
              <w:rPr>
                <w:rFonts w:ascii="Times New Roman" w:hAnsi="Times New Roman" w:hint="eastAsia"/>
                <w:b/>
                <w:color w:val="000000"/>
              </w:rPr>
              <w:t>负债和所有者权益</w:t>
            </w:r>
          </w:p>
        </w:tc>
        <w:tc>
          <w:tcPr>
            <w:tcW w:w="1080" w:type="dxa"/>
            <w:vAlign w:val="center"/>
          </w:tcPr>
          <w:p w:rsidR="000E6BAE" w:rsidRDefault="00CD6463">
            <w:pPr>
              <w:pStyle w:val="af9"/>
              <w:spacing w:before="29" w:beforeAutospacing="0" w:line="288" w:lineRule="auto"/>
              <w:jc w:val="center"/>
              <w:rPr>
                <w:rFonts w:ascii="Times New Roman" w:hAnsi="Times New Roman"/>
                <w:b/>
                <w:color w:val="000000"/>
              </w:rPr>
            </w:pPr>
            <w:r>
              <w:rPr>
                <w:rFonts w:ascii="Times New Roman" w:hAnsi="Times New Roman" w:hint="eastAsia"/>
                <w:b/>
                <w:color w:val="000000"/>
              </w:rPr>
              <w:t>附注号</w:t>
            </w:r>
          </w:p>
        </w:tc>
        <w:tc>
          <w:tcPr>
            <w:tcW w:w="2520" w:type="dxa"/>
            <w:vAlign w:val="center"/>
          </w:tcPr>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hint="eastAsia"/>
                <w:b/>
                <w:color w:val="000000"/>
              </w:rPr>
              <w:t>本期末</w:t>
            </w:r>
          </w:p>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b/>
                <w:color w:val="000000"/>
              </w:rPr>
              <w:t>2020</w:t>
            </w:r>
            <w:r>
              <w:rPr>
                <w:rFonts w:ascii="Times New Roman" w:hAnsi="Times New Roman"/>
                <w:b/>
                <w:color w:val="000000"/>
              </w:rPr>
              <w:t>年</w:t>
            </w:r>
            <w:r>
              <w:rPr>
                <w:rFonts w:ascii="Times New Roman" w:hAnsi="Times New Roman"/>
                <w:b/>
                <w:color w:val="000000"/>
              </w:rPr>
              <w:t>12</w:t>
            </w:r>
            <w:r>
              <w:rPr>
                <w:rFonts w:ascii="Times New Roman" w:hAnsi="Times New Roman"/>
                <w:b/>
                <w:color w:val="000000"/>
              </w:rPr>
              <w:t>月</w:t>
            </w:r>
            <w:r>
              <w:rPr>
                <w:rFonts w:ascii="Times New Roman" w:hAnsi="Times New Roman"/>
                <w:b/>
                <w:color w:val="000000"/>
              </w:rPr>
              <w:t>31</w:t>
            </w:r>
            <w:r>
              <w:rPr>
                <w:rFonts w:ascii="Times New Roman" w:hAnsi="Times New Roman"/>
                <w:b/>
                <w:color w:val="000000"/>
              </w:rPr>
              <w:t>日</w:t>
            </w:r>
          </w:p>
        </w:tc>
        <w:tc>
          <w:tcPr>
            <w:tcW w:w="2520" w:type="dxa"/>
            <w:vAlign w:val="center"/>
          </w:tcPr>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hint="eastAsia"/>
                <w:b/>
                <w:color w:val="000000"/>
              </w:rPr>
              <w:t>上年度末</w:t>
            </w:r>
          </w:p>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b/>
                <w:color w:val="000000"/>
              </w:rPr>
              <w:t>2019</w:t>
            </w:r>
            <w:r>
              <w:rPr>
                <w:rFonts w:ascii="Times New Roman" w:hAnsi="Times New Roman"/>
                <w:b/>
                <w:color w:val="000000"/>
              </w:rPr>
              <w:t>年</w:t>
            </w:r>
            <w:r>
              <w:rPr>
                <w:rFonts w:ascii="Times New Roman" w:hAnsi="Times New Roman"/>
                <w:b/>
                <w:color w:val="000000"/>
              </w:rPr>
              <w:t>12</w:t>
            </w:r>
            <w:r>
              <w:rPr>
                <w:rFonts w:ascii="Times New Roman" w:hAnsi="Times New Roman"/>
                <w:b/>
                <w:color w:val="000000"/>
              </w:rPr>
              <w:t>月</w:t>
            </w:r>
            <w:r>
              <w:rPr>
                <w:rFonts w:ascii="Times New Roman" w:hAnsi="Times New Roman"/>
                <w:b/>
                <w:color w:val="000000"/>
              </w:rPr>
              <w:t>31</w:t>
            </w:r>
            <w:r>
              <w:rPr>
                <w:rFonts w:ascii="Times New Roman" w:hAnsi="Times New Roman"/>
                <w:b/>
                <w:color w:val="000000"/>
              </w:rPr>
              <w:t>日</w:t>
            </w:r>
          </w:p>
        </w:tc>
      </w:tr>
      <w:tr w:rsidR="000E6BAE">
        <w:tc>
          <w:tcPr>
            <w:tcW w:w="2880" w:type="dxa"/>
            <w:vAlign w:val="center"/>
          </w:tcPr>
          <w:p w:rsidR="000E6BAE" w:rsidRDefault="00CD6463">
            <w:pPr>
              <w:spacing w:before="29" w:line="288" w:lineRule="auto"/>
              <w:rPr>
                <w:b/>
                <w:color w:val="000000"/>
                <w:sz w:val="24"/>
              </w:rPr>
            </w:pPr>
            <w:r>
              <w:rPr>
                <w:rFonts w:hint="eastAsia"/>
                <w:b/>
                <w:color w:val="000000"/>
                <w:sz w:val="24"/>
              </w:rPr>
              <w:t>负债：</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0E6BAE">
            <w:pPr>
              <w:spacing w:before="29" w:line="288" w:lineRule="auto"/>
              <w:jc w:val="right"/>
              <w:rPr>
                <w:b/>
                <w:color w:val="000000"/>
                <w:sz w:val="24"/>
              </w:rPr>
            </w:pPr>
          </w:p>
        </w:tc>
        <w:tc>
          <w:tcPr>
            <w:tcW w:w="2520" w:type="dxa"/>
            <w:vAlign w:val="center"/>
          </w:tcPr>
          <w:p w:rsidR="000E6BAE" w:rsidRDefault="000E6BAE">
            <w:pPr>
              <w:spacing w:before="29" w:line="288" w:lineRule="auto"/>
              <w:jc w:val="right"/>
              <w:rPr>
                <w:b/>
                <w:color w:val="000000"/>
                <w:sz w:val="24"/>
              </w:rPr>
            </w:pP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短期借款</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交易性金融负债</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衍生金融负债</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7.4.7.3</w:t>
            </w: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卖出回购金融资产款</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175,084,617.37</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应付证券清算款</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应付赎回款</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14,260.45</w:t>
            </w:r>
          </w:p>
        </w:tc>
        <w:tc>
          <w:tcPr>
            <w:tcW w:w="2520" w:type="dxa"/>
            <w:vAlign w:val="center"/>
          </w:tcPr>
          <w:p w:rsidR="000E6BAE" w:rsidRDefault="00CD6463">
            <w:pPr>
              <w:spacing w:before="29" w:line="288" w:lineRule="auto"/>
              <w:jc w:val="right"/>
              <w:rPr>
                <w:color w:val="000000"/>
                <w:sz w:val="24"/>
              </w:rPr>
            </w:pPr>
            <w:r>
              <w:rPr>
                <w:color w:val="000000"/>
                <w:sz w:val="24"/>
              </w:rPr>
              <w:t>40,818.42</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应付管理人报酬</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380,992.73</w:t>
            </w:r>
          </w:p>
        </w:tc>
        <w:tc>
          <w:tcPr>
            <w:tcW w:w="2520" w:type="dxa"/>
            <w:vAlign w:val="center"/>
          </w:tcPr>
          <w:p w:rsidR="000E6BAE" w:rsidRDefault="00CD6463">
            <w:pPr>
              <w:spacing w:before="29" w:line="288" w:lineRule="auto"/>
              <w:jc w:val="right"/>
              <w:rPr>
                <w:color w:val="000000"/>
                <w:sz w:val="24"/>
              </w:rPr>
            </w:pPr>
            <w:r>
              <w:rPr>
                <w:color w:val="000000"/>
                <w:sz w:val="24"/>
              </w:rPr>
              <w:t>603,501.44</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应付托管费</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126,997.57</w:t>
            </w:r>
          </w:p>
        </w:tc>
        <w:tc>
          <w:tcPr>
            <w:tcW w:w="2520" w:type="dxa"/>
            <w:vAlign w:val="center"/>
          </w:tcPr>
          <w:p w:rsidR="000E6BAE" w:rsidRDefault="00CD6463">
            <w:pPr>
              <w:spacing w:before="29" w:line="288" w:lineRule="auto"/>
              <w:jc w:val="right"/>
              <w:rPr>
                <w:color w:val="000000"/>
                <w:sz w:val="24"/>
              </w:rPr>
            </w:pPr>
            <w:r>
              <w:rPr>
                <w:color w:val="000000"/>
                <w:sz w:val="24"/>
              </w:rPr>
              <w:t>201,167.15</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应付销售服务费</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754.47</w:t>
            </w:r>
          </w:p>
        </w:tc>
        <w:tc>
          <w:tcPr>
            <w:tcW w:w="2520" w:type="dxa"/>
            <w:vAlign w:val="center"/>
          </w:tcPr>
          <w:p w:rsidR="000E6BAE" w:rsidRDefault="00CD6463">
            <w:pPr>
              <w:spacing w:before="29" w:line="288" w:lineRule="auto"/>
              <w:jc w:val="right"/>
              <w:rPr>
                <w:color w:val="000000"/>
                <w:sz w:val="24"/>
              </w:rPr>
            </w:pPr>
            <w:r>
              <w:rPr>
                <w:color w:val="000000"/>
                <w:sz w:val="24"/>
              </w:rPr>
              <w:t>336.51</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应付交易费用</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7.4.7.7</w:t>
            </w:r>
          </w:p>
        </w:tc>
        <w:tc>
          <w:tcPr>
            <w:tcW w:w="2520" w:type="dxa"/>
            <w:vAlign w:val="center"/>
          </w:tcPr>
          <w:p w:rsidR="000E6BAE" w:rsidRDefault="00CD6463">
            <w:pPr>
              <w:spacing w:before="29" w:line="288" w:lineRule="auto"/>
              <w:jc w:val="right"/>
              <w:rPr>
                <w:color w:val="000000"/>
                <w:sz w:val="24"/>
              </w:rPr>
            </w:pPr>
            <w:r>
              <w:rPr>
                <w:color w:val="000000"/>
                <w:sz w:val="24"/>
              </w:rPr>
              <w:t>26,000.97</w:t>
            </w:r>
          </w:p>
        </w:tc>
        <w:tc>
          <w:tcPr>
            <w:tcW w:w="2520" w:type="dxa"/>
            <w:vAlign w:val="center"/>
          </w:tcPr>
          <w:p w:rsidR="000E6BAE" w:rsidRDefault="00CD6463">
            <w:pPr>
              <w:spacing w:before="29" w:line="288" w:lineRule="auto"/>
              <w:jc w:val="right"/>
              <w:rPr>
                <w:color w:val="000000"/>
                <w:sz w:val="24"/>
              </w:rPr>
            </w:pPr>
            <w:r>
              <w:rPr>
                <w:color w:val="000000"/>
                <w:sz w:val="24"/>
              </w:rPr>
              <w:t>35,704.61</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应交税费</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应付利息</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41,896.56</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应付利润</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递延所得税负债</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w:t>
            </w:r>
          </w:p>
        </w:tc>
        <w:tc>
          <w:tcPr>
            <w:tcW w:w="2520" w:type="dxa"/>
            <w:vAlign w:val="center"/>
          </w:tcPr>
          <w:p w:rsidR="000E6BAE" w:rsidRDefault="00CD6463">
            <w:pPr>
              <w:spacing w:before="29" w:line="288" w:lineRule="auto"/>
              <w:jc w:val="right"/>
              <w:rPr>
                <w:color w:val="000000"/>
                <w:sz w:val="24"/>
              </w:rPr>
            </w:pPr>
            <w:r>
              <w:rPr>
                <w:color w:val="000000"/>
                <w:sz w:val="24"/>
              </w:rPr>
              <w:t>-</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其他负债</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7.4.7.8</w:t>
            </w:r>
          </w:p>
        </w:tc>
        <w:tc>
          <w:tcPr>
            <w:tcW w:w="2520" w:type="dxa"/>
            <w:vAlign w:val="center"/>
          </w:tcPr>
          <w:p w:rsidR="000E6BAE" w:rsidRDefault="00CD6463">
            <w:pPr>
              <w:spacing w:before="29" w:line="288" w:lineRule="auto"/>
              <w:jc w:val="right"/>
              <w:rPr>
                <w:color w:val="000000"/>
                <w:sz w:val="24"/>
              </w:rPr>
            </w:pPr>
            <w:r>
              <w:rPr>
                <w:color w:val="000000"/>
                <w:sz w:val="24"/>
              </w:rPr>
              <w:t>209,300.00</w:t>
            </w:r>
          </w:p>
        </w:tc>
        <w:tc>
          <w:tcPr>
            <w:tcW w:w="2520" w:type="dxa"/>
            <w:vAlign w:val="center"/>
          </w:tcPr>
          <w:p w:rsidR="000E6BAE" w:rsidRDefault="00CD6463">
            <w:pPr>
              <w:spacing w:before="29" w:line="288" w:lineRule="auto"/>
              <w:jc w:val="right"/>
              <w:rPr>
                <w:color w:val="000000"/>
                <w:sz w:val="24"/>
              </w:rPr>
            </w:pPr>
            <w:r>
              <w:rPr>
                <w:color w:val="000000"/>
                <w:sz w:val="24"/>
              </w:rPr>
              <w:t>199,300.04</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负债合计</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175,884,820.12</w:t>
            </w:r>
          </w:p>
        </w:tc>
        <w:tc>
          <w:tcPr>
            <w:tcW w:w="2520" w:type="dxa"/>
            <w:vAlign w:val="center"/>
          </w:tcPr>
          <w:p w:rsidR="000E6BAE" w:rsidRDefault="00CD6463">
            <w:pPr>
              <w:spacing w:before="29" w:line="288" w:lineRule="auto"/>
              <w:jc w:val="right"/>
              <w:rPr>
                <w:color w:val="000000"/>
                <w:sz w:val="24"/>
              </w:rPr>
            </w:pPr>
            <w:r>
              <w:rPr>
                <w:color w:val="000000"/>
                <w:sz w:val="24"/>
              </w:rPr>
              <w:t>1,080,828.17</w:t>
            </w:r>
          </w:p>
        </w:tc>
      </w:tr>
      <w:tr w:rsidR="000E6BAE">
        <w:tc>
          <w:tcPr>
            <w:tcW w:w="2880" w:type="dxa"/>
            <w:vAlign w:val="center"/>
          </w:tcPr>
          <w:p w:rsidR="000E6BAE" w:rsidRDefault="00CD6463">
            <w:pPr>
              <w:spacing w:before="29" w:line="288" w:lineRule="auto"/>
              <w:rPr>
                <w:b/>
                <w:color w:val="000000"/>
                <w:sz w:val="24"/>
              </w:rPr>
            </w:pPr>
            <w:r>
              <w:rPr>
                <w:rFonts w:hint="eastAsia"/>
                <w:b/>
                <w:color w:val="000000"/>
                <w:sz w:val="24"/>
              </w:rPr>
              <w:t>所有者权益：</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0E6BAE">
            <w:pPr>
              <w:spacing w:before="29" w:line="288" w:lineRule="auto"/>
              <w:jc w:val="right"/>
              <w:rPr>
                <w:b/>
                <w:color w:val="000000"/>
                <w:sz w:val="24"/>
              </w:rPr>
            </w:pPr>
          </w:p>
        </w:tc>
        <w:tc>
          <w:tcPr>
            <w:tcW w:w="2520" w:type="dxa"/>
            <w:vAlign w:val="center"/>
          </w:tcPr>
          <w:p w:rsidR="000E6BAE" w:rsidRDefault="000E6BAE">
            <w:pPr>
              <w:spacing w:before="29" w:line="288" w:lineRule="auto"/>
              <w:jc w:val="right"/>
              <w:rPr>
                <w:b/>
                <w:color w:val="000000"/>
                <w:sz w:val="24"/>
              </w:rPr>
            </w:pP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实收基金</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7.4.7.9</w:t>
            </w:r>
          </w:p>
        </w:tc>
        <w:tc>
          <w:tcPr>
            <w:tcW w:w="2520" w:type="dxa"/>
            <w:vAlign w:val="center"/>
          </w:tcPr>
          <w:p w:rsidR="000E6BAE" w:rsidRDefault="00CD6463">
            <w:pPr>
              <w:spacing w:before="29" w:line="288" w:lineRule="auto"/>
              <w:jc w:val="right"/>
              <w:rPr>
                <w:color w:val="000000"/>
                <w:sz w:val="24"/>
              </w:rPr>
            </w:pPr>
            <w:r>
              <w:rPr>
                <w:color w:val="000000"/>
                <w:sz w:val="24"/>
              </w:rPr>
              <w:t>1,326,085,679.52</w:t>
            </w:r>
          </w:p>
        </w:tc>
        <w:tc>
          <w:tcPr>
            <w:tcW w:w="2520" w:type="dxa"/>
            <w:vAlign w:val="center"/>
          </w:tcPr>
          <w:p w:rsidR="000E6BAE" w:rsidRDefault="00CD6463">
            <w:pPr>
              <w:spacing w:before="29" w:line="288" w:lineRule="auto"/>
              <w:jc w:val="right"/>
              <w:rPr>
                <w:color w:val="000000"/>
                <w:sz w:val="24"/>
              </w:rPr>
            </w:pPr>
            <w:r>
              <w:rPr>
                <w:color w:val="000000"/>
                <w:sz w:val="24"/>
              </w:rPr>
              <w:t>3,261,612,551.99</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未分配利润</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7.4.7.10</w:t>
            </w:r>
          </w:p>
        </w:tc>
        <w:tc>
          <w:tcPr>
            <w:tcW w:w="2520" w:type="dxa"/>
            <w:vAlign w:val="center"/>
          </w:tcPr>
          <w:p w:rsidR="000E6BAE" w:rsidRDefault="00CD6463">
            <w:pPr>
              <w:spacing w:before="29" w:line="288" w:lineRule="auto"/>
              <w:jc w:val="right"/>
              <w:rPr>
                <w:color w:val="000000"/>
                <w:sz w:val="24"/>
              </w:rPr>
            </w:pPr>
            <w:r>
              <w:rPr>
                <w:color w:val="000000"/>
                <w:sz w:val="24"/>
              </w:rPr>
              <w:t>21,843,437.89</w:t>
            </w:r>
          </w:p>
        </w:tc>
        <w:tc>
          <w:tcPr>
            <w:tcW w:w="2520" w:type="dxa"/>
            <w:vAlign w:val="center"/>
          </w:tcPr>
          <w:p w:rsidR="000E6BAE" w:rsidRDefault="00CD6463">
            <w:pPr>
              <w:spacing w:before="29" w:line="288" w:lineRule="auto"/>
              <w:jc w:val="right"/>
              <w:rPr>
                <w:color w:val="000000"/>
                <w:sz w:val="24"/>
              </w:rPr>
            </w:pPr>
            <w:r>
              <w:rPr>
                <w:color w:val="000000"/>
                <w:sz w:val="24"/>
              </w:rPr>
              <w:t>160,908,964.21</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所有者权益合计</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1,347,929,117.41</w:t>
            </w:r>
          </w:p>
        </w:tc>
        <w:tc>
          <w:tcPr>
            <w:tcW w:w="2520" w:type="dxa"/>
            <w:vAlign w:val="center"/>
          </w:tcPr>
          <w:p w:rsidR="000E6BAE" w:rsidRDefault="00CD6463">
            <w:pPr>
              <w:spacing w:before="29" w:line="288" w:lineRule="auto"/>
              <w:jc w:val="right"/>
              <w:rPr>
                <w:color w:val="000000"/>
                <w:sz w:val="24"/>
              </w:rPr>
            </w:pPr>
            <w:r>
              <w:rPr>
                <w:color w:val="000000"/>
                <w:sz w:val="24"/>
              </w:rPr>
              <w:t>3,422,521,516.20</w:t>
            </w:r>
          </w:p>
        </w:tc>
      </w:tr>
      <w:tr w:rsidR="000E6BAE">
        <w:tc>
          <w:tcPr>
            <w:tcW w:w="2880" w:type="dxa"/>
            <w:vAlign w:val="center"/>
          </w:tcPr>
          <w:p w:rsidR="000E6BAE" w:rsidRDefault="00CD6463">
            <w:pPr>
              <w:spacing w:before="29" w:line="288" w:lineRule="auto"/>
              <w:rPr>
                <w:color w:val="000000"/>
                <w:sz w:val="24"/>
              </w:rPr>
            </w:pPr>
            <w:r>
              <w:rPr>
                <w:rFonts w:hint="eastAsia"/>
                <w:color w:val="000000"/>
                <w:sz w:val="24"/>
              </w:rPr>
              <w:t>负债和所有者权益总计</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520" w:type="dxa"/>
            <w:vAlign w:val="center"/>
          </w:tcPr>
          <w:p w:rsidR="000E6BAE" w:rsidRDefault="00CD6463">
            <w:pPr>
              <w:spacing w:before="29" w:line="288" w:lineRule="auto"/>
              <w:jc w:val="right"/>
              <w:rPr>
                <w:color w:val="000000"/>
                <w:sz w:val="24"/>
              </w:rPr>
            </w:pPr>
            <w:r>
              <w:rPr>
                <w:color w:val="000000"/>
                <w:sz w:val="24"/>
              </w:rPr>
              <w:t>1,523,813,937.53</w:t>
            </w:r>
          </w:p>
        </w:tc>
        <w:tc>
          <w:tcPr>
            <w:tcW w:w="2520" w:type="dxa"/>
            <w:vAlign w:val="center"/>
          </w:tcPr>
          <w:p w:rsidR="000E6BAE" w:rsidRDefault="00CD6463">
            <w:pPr>
              <w:spacing w:before="29" w:line="288" w:lineRule="auto"/>
              <w:jc w:val="right"/>
              <w:rPr>
                <w:color w:val="000000"/>
                <w:sz w:val="24"/>
              </w:rPr>
            </w:pPr>
            <w:r>
              <w:rPr>
                <w:color w:val="000000"/>
                <w:sz w:val="24"/>
              </w:rPr>
              <w:t>3,423,602,344.37</w:t>
            </w:r>
          </w:p>
        </w:tc>
      </w:tr>
    </w:tbl>
    <w:p w:rsidR="000E6BAE" w:rsidRDefault="00CD6463">
      <w:pPr>
        <w:tabs>
          <w:tab w:val="left" w:pos="426"/>
        </w:tabs>
        <w:spacing w:before="29" w:line="288" w:lineRule="auto"/>
        <w:jc w:val="left"/>
        <w:rPr>
          <w:kern w:val="0"/>
          <w:sz w:val="24"/>
        </w:rPr>
      </w:pPr>
      <w:r>
        <w:rPr>
          <w:kern w:val="0"/>
          <w:sz w:val="24"/>
        </w:rPr>
        <w:t>注：报告截止日</w:t>
      </w:r>
      <w:r>
        <w:rPr>
          <w:kern w:val="0"/>
          <w:sz w:val="24"/>
        </w:rPr>
        <w:t>2020</w:t>
      </w:r>
      <w:r>
        <w:rPr>
          <w:kern w:val="0"/>
          <w:sz w:val="24"/>
        </w:rPr>
        <w:t>年</w:t>
      </w:r>
      <w:r>
        <w:rPr>
          <w:kern w:val="0"/>
          <w:sz w:val="24"/>
        </w:rPr>
        <w:t>12</w:t>
      </w:r>
      <w:r>
        <w:rPr>
          <w:kern w:val="0"/>
          <w:sz w:val="24"/>
        </w:rPr>
        <w:t>月</w:t>
      </w:r>
      <w:r>
        <w:rPr>
          <w:kern w:val="0"/>
          <w:sz w:val="24"/>
        </w:rPr>
        <w:t>31</w:t>
      </w:r>
      <w:r>
        <w:rPr>
          <w:kern w:val="0"/>
          <w:sz w:val="24"/>
        </w:rPr>
        <w:t>日，</w:t>
      </w:r>
      <w:r>
        <w:rPr>
          <w:kern w:val="0"/>
          <w:sz w:val="24"/>
        </w:rPr>
        <w:t>A</w:t>
      </w:r>
      <w:r>
        <w:rPr>
          <w:kern w:val="0"/>
          <w:sz w:val="24"/>
        </w:rPr>
        <w:t>类基金份额净值</w:t>
      </w:r>
      <w:r>
        <w:rPr>
          <w:kern w:val="0"/>
          <w:sz w:val="24"/>
        </w:rPr>
        <w:t>1.0164</w:t>
      </w:r>
      <w:r>
        <w:rPr>
          <w:kern w:val="0"/>
          <w:sz w:val="24"/>
        </w:rPr>
        <w:t>元，</w:t>
      </w:r>
      <w:r>
        <w:rPr>
          <w:kern w:val="0"/>
          <w:sz w:val="24"/>
        </w:rPr>
        <w:t>C</w:t>
      </w:r>
      <w:r>
        <w:rPr>
          <w:kern w:val="0"/>
          <w:sz w:val="24"/>
        </w:rPr>
        <w:t>类基金份额净值</w:t>
      </w:r>
      <w:r>
        <w:rPr>
          <w:kern w:val="0"/>
          <w:sz w:val="24"/>
        </w:rPr>
        <w:t>1.0883</w:t>
      </w:r>
      <w:r>
        <w:rPr>
          <w:kern w:val="0"/>
          <w:sz w:val="24"/>
        </w:rPr>
        <w:t>元；基金份额总额</w:t>
      </w:r>
      <w:r>
        <w:rPr>
          <w:kern w:val="0"/>
          <w:sz w:val="24"/>
        </w:rPr>
        <w:t>1,326,085,679.52</w:t>
      </w:r>
      <w:r>
        <w:rPr>
          <w:kern w:val="0"/>
          <w:sz w:val="24"/>
        </w:rPr>
        <w:t>份，其中</w:t>
      </w:r>
      <w:r>
        <w:rPr>
          <w:kern w:val="0"/>
          <w:sz w:val="24"/>
        </w:rPr>
        <w:t>A</w:t>
      </w:r>
      <w:r>
        <w:rPr>
          <w:kern w:val="0"/>
          <w:sz w:val="24"/>
        </w:rPr>
        <w:t>类基金份额</w:t>
      </w:r>
      <w:r>
        <w:rPr>
          <w:kern w:val="0"/>
          <w:sz w:val="24"/>
        </w:rPr>
        <w:t>1,324,056,593.52</w:t>
      </w:r>
      <w:r>
        <w:rPr>
          <w:kern w:val="0"/>
          <w:sz w:val="24"/>
        </w:rPr>
        <w:t>份，</w:t>
      </w:r>
      <w:r>
        <w:rPr>
          <w:kern w:val="0"/>
          <w:sz w:val="24"/>
        </w:rPr>
        <w:t>C</w:t>
      </w:r>
      <w:r>
        <w:rPr>
          <w:kern w:val="0"/>
          <w:sz w:val="24"/>
        </w:rPr>
        <w:t>类基金份额</w:t>
      </w:r>
      <w:r>
        <w:rPr>
          <w:kern w:val="0"/>
          <w:sz w:val="24"/>
        </w:rPr>
        <w:t>2,029,086.00</w:t>
      </w:r>
      <w:r>
        <w:rPr>
          <w:kern w:val="0"/>
          <w:sz w:val="24"/>
        </w:rPr>
        <w:t>份。</w:t>
      </w:r>
    </w:p>
    <w:p w:rsidR="000E6BAE" w:rsidRDefault="000E6BAE">
      <w:pPr>
        <w:spacing w:line="360" w:lineRule="auto"/>
        <w:rPr>
          <w:rFonts w:asciiTheme="minorEastAsia" w:eastAsiaTheme="minorEastAsia" w:hAnsiTheme="minorEastAsia"/>
          <w:color w:val="000000"/>
          <w:kern w:val="0"/>
          <w:szCs w:val="21"/>
        </w:rPr>
      </w:pPr>
    </w:p>
    <w:p w:rsidR="000E6BAE" w:rsidRDefault="00CD6463">
      <w:pPr>
        <w:pStyle w:val="2"/>
        <w:spacing w:before="29" w:after="0" w:line="288" w:lineRule="auto"/>
        <w:rPr>
          <w:rFonts w:eastAsiaTheme="minorEastAsia"/>
        </w:rPr>
      </w:pPr>
      <w:bookmarkStart w:id="116" w:name="_Toc225498269"/>
      <w:bookmarkStart w:id="117" w:name="_Toc361324874"/>
      <w:bookmarkStart w:id="118" w:name="_Toc15233"/>
      <w:r>
        <w:rPr>
          <w:rFonts w:eastAsiaTheme="minorEastAsia"/>
        </w:rPr>
        <w:t xml:space="preserve">7.2 </w:t>
      </w:r>
      <w:r>
        <w:rPr>
          <w:rFonts w:eastAsiaTheme="minorEastAsia" w:hint="eastAsia"/>
        </w:rPr>
        <w:t>利润表</w:t>
      </w:r>
      <w:bookmarkEnd w:id="116"/>
      <w:bookmarkEnd w:id="117"/>
      <w:bookmarkEnd w:id="118"/>
    </w:p>
    <w:p w:rsidR="000E6BAE" w:rsidRDefault="00CD6463">
      <w:pPr>
        <w:spacing w:before="29" w:line="288" w:lineRule="auto"/>
        <w:rPr>
          <w:color w:val="000000"/>
          <w:sz w:val="24"/>
        </w:rPr>
      </w:pPr>
      <w:r>
        <w:rPr>
          <w:rFonts w:hint="eastAsia"/>
          <w:color w:val="000000"/>
          <w:sz w:val="24"/>
        </w:rPr>
        <w:t>会计主体：</w:t>
      </w:r>
      <w:r>
        <w:rPr>
          <w:color w:val="000000"/>
          <w:sz w:val="24"/>
        </w:rPr>
        <w:t>交银施罗德丰润收益债券型证券投资基金</w:t>
      </w:r>
    </w:p>
    <w:p w:rsidR="000E6BAE" w:rsidRDefault="00CD6463">
      <w:pPr>
        <w:spacing w:before="29" w:line="288" w:lineRule="auto"/>
        <w:rPr>
          <w:color w:val="000000"/>
          <w:sz w:val="24"/>
        </w:rPr>
      </w:pPr>
      <w:r>
        <w:rPr>
          <w:rFonts w:hint="eastAsia"/>
          <w:color w:val="000000"/>
          <w:sz w:val="24"/>
        </w:rPr>
        <w:t>本报告期：</w:t>
      </w: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w:t>
      </w:r>
      <w:r>
        <w:rPr>
          <w:rFonts w:hint="eastAsia"/>
          <w:color w:val="000000"/>
          <w:sz w:val="24"/>
        </w:rPr>
        <w:t>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p w:rsidR="000E6BAE" w:rsidRDefault="00CD6463">
      <w:pPr>
        <w:autoSpaceDE w:val="0"/>
        <w:autoSpaceDN w:val="0"/>
        <w:adjustRightInd w:val="0"/>
        <w:spacing w:before="29" w:line="288" w:lineRule="auto"/>
        <w:ind w:left="15"/>
        <w:jc w:val="right"/>
        <w:rPr>
          <w:color w:val="000000"/>
          <w:kern w:val="0"/>
          <w:sz w:val="24"/>
        </w:rPr>
      </w:pPr>
      <w:r>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0E6BAE">
        <w:tc>
          <w:tcPr>
            <w:tcW w:w="3420" w:type="dxa"/>
            <w:vAlign w:val="center"/>
          </w:tcPr>
          <w:p w:rsidR="000E6BAE" w:rsidRDefault="00CD6463">
            <w:pPr>
              <w:pStyle w:val="af9"/>
              <w:spacing w:before="29" w:beforeAutospacing="0" w:line="288" w:lineRule="auto"/>
              <w:jc w:val="center"/>
              <w:rPr>
                <w:rFonts w:ascii="Times New Roman" w:hAnsi="Times New Roman"/>
                <w:b/>
                <w:color w:val="000000"/>
              </w:rPr>
            </w:pPr>
            <w:r>
              <w:rPr>
                <w:rFonts w:ascii="Times New Roman" w:hAnsi="Times New Roman" w:hint="eastAsia"/>
                <w:b/>
                <w:color w:val="000000"/>
              </w:rPr>
              <w:t>项目</w:t>
            </w:r>
          </w:p>
        </w:tc>
        <w:tc>
          <w:tcPr>
            <w:tcW w:w="1080" w:type="dxa"/>
            <w:vAlign w:val="center"/>
          </w:tcPr>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hint="eastAsia"/>
                <w:b/>
                <w:color w:val="000000"/>
              </w:rPr>
              <w:t>附注号</w:t>
            </w:r>
          </w:p>
        </w:tc>
        <w:tc>
          <w:tcPr>
            <w:tcW w:w="2250" w:type="dxa"/>
            <w:vAlign w:val="center"/>
          </w:tcPr>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hint="eastAsia"/>
                <w:b/>
                <w:color w:val="000000"/>
              </w:rPr>
              <w:t>本期</w:t>
            </w:r>
          </w:p>
          <w:p w:rsidR="000E6BAE" w:rsidRDefault="00CD6463">
            <w:pPr>
              <w:pStyle w:val="af9"/>
              <w:spacing w:before="29" w:beforeAutospacing="0" w:after="0" w:afterAutospacing="0" w:line="288" w:lineRule="auto"/>
              <w:jc w:val="center"/>
              <w:rPr>
                <w:rFonts w:ascii="Times New Roman" w:hAnsi="Times New Roman"/>
                <w:color w:val="000000"/>
              </w:rPr>
            </w:pPr>
            <w:r>
              <w:rPr>
                <w:rFonts w:ascii="Times New Roman" w:hAnsi="Times New Roman"/>
                <w:color w:val="000000"/>
              </w:rPr>
              <w:t>2020</w:t>
            </w:r>
            <w:r>
              <w:rPr>
                <w:rFonts w:ascii="Times New Roman" w:hAnsi="Times New Roman"/>
                <w:color w:val="000000"/>
              </w:rPr>
              <w:t>年</w:t>
            </w:r>
            <w:r>
              <w:rPr>
                <w:rFonts w:ascii="Times New Roman" w:hAnsi="Times New Roman"/>
                <w:color w:val="000000"/>
              </w:rPr>
              <w:t>1</w:t>
            </w:r>
            <w:r>
              <w:rPr>
                <w:rFonts w:ascii="Times New Roman" w:hAnsi="Times New Roman"/>
                <w:color w:val="000000"/>
              </w:rPr>
              <w:t>月</w:t>
            </w:r>
            <w:r>
              <w:rPr>
                <w:rFonts w:ascii="Times New Roman" w:hAnsi="Times New Roman"/>
                <w:color w:val="000000"/>
              </w:rPr>
              <w:t>1</w:t>
            </w:r>
            <w:r>
              <w:rPr>
                <w:rFonts w:ascii="Times New Roman" w:hAnsi="Times New Roman"/>
                <w:color w:val="000000"/>
              </w:rPr>
              <w:t>日</w:t>
            </w:r>
            <w:r>
              <w:rPr>
                <w:rFonts w:ascii="Times New Roman" w:hAnsi="Times New Roman" w:hint="eastAsia"/>
                <w:color w:val="000000"/>
              </w:rPr>
              <w:t>至</w:t>
            </w:r>
            <w:r>
              <w:rPr>
                <w:rFonts w:ascii="Times New Roman" w:hAnsi="Times New Roman"/>
                <w:color w:val="000000"/>
              </w:rPr>
              <w:t>2020</w:t>
            </w:r>
            <w:r>
              <w:rPr>
                <w:rFonts w:ascii="Times New Roman" w:hAnsi="Times New Roman"/>
                <w:color w:val="000000"/>
              </w:rPr>
              <w:t>年</w:t>
            </w:r>
            <w:r>
              <w:rPr>
                <w:rFonts w:ascii="Times New Roman" w:hAnsi="Times New Roman"/>
                <w:color w:val="000000"/>
              </w:rPr>
              <w:t>12</w:t>
            </w:r>
            <w:r>
              <w:rPr>
                <w:rFonts w:ascii="Times New Roman" w:hAnsi="Times New Roman"/>
                <w:color w:val="000000"/>
              </w:rPr>
              <w:t>月</w:t>
            </w:r>
            <w:r>
              <w:rPr>
                <w:rFonts w:ascii="Times New Roman" w:hAnsi="Times New Roman"/>
                <w:color w:val="000000"/>
              </w:rPr>
              <w:t>31</w:t>
            </w:r>
            <w:r>
              <w:rPr>
                <w:rFonts w:ascii="Times New Roman" w:hAnsi="Times New Roman"/>
                <w:color w:val="000000"/>
              </w:rPr>
              <w:t>日</w:t>
            </w:r>
          </w:p>
        </w:tc>
        <w:tc>
          <w:tcPr>
            <w:tcW w:w="2250" w:type="dxa"/>
            <w:vAlign w:val="center"/>
          </w:tcPr>
          <w:p w:rsidR="000E6BAE" w:rsidRDefault="00CD6463">
            <w:pPr>
              <w:pStyle w:val="af9"/>
              <w:spacing w:before="29" w:beforeAutospacing="0" w:after="0" w:afterAutospacing="0" w:line="288" w:lineRule="auto"/>
              <w:jc w:val="center"/>
              <w:rPr>
                <w:rFonts w:ascii="Times New Roman" w:hAnsi="Times New Roman"/>
                <w:b/>
                <w:color w:val="000000"/>
              </w:rPr>
            </w:pPr>
            <w:r>
              <w:rPr>
                <w:rFonts w:ascii="Times New Roman" w:hAnsi="Times New Roman" w:hint="eastAsia"/>
                <w:b/>
                <w:color w:val="000000"/>
              </w:rPr>
              <w:t>上年度可比期间</w:t>
            </w:r>
          </w:p>
          <w:p w:rsidR="000E6BAE" w:rsidRDefault="00CD6463">
            <w:pPr>
              <w:pStyle w:val="af9"/>
              <w:spacing w:before="29" w:beforeAutospacing="0" w:after="0" w:afterAutospacing="0" w:line="288" w:lineRule="auto"/>
              <w:jc w:val="center"/>
              <w:rPr>
                <w:rFonts w:ascii="Times New Roman" w:hAnsi="Times New Roman"/>
                <w:color w:val="000000"/>
              </w:rPr>
            </w:pPr>
            <w:r>
              <w:rPr>
                <w:rFonts w:ascii="Times New Roman" w:hAnsi="Times New Roman"/>
                <w:color w:val="000000"/>
              </w:rPr>
              <w:t>2019</w:t>
            </w:r>
            <w:r>
              <w:rPr>
                <w:rFonts w:ascii="Times New Roman" w:hAnsi="Times New Roman"/>
                <w:color w:val="000000"/>
              </w:rPr>
              <w:t>年</w:t>
            </w:r>
            <w:r>
              <w:rPr>
                <w:rFonts w:ascii="Times New Roman" w:hAnsi="Times New Roman"/>
                <w:color w:val="000000"/>
              </w:rPr>
              <w:t>1</w:t>
            </w:r>
            <w:r>
              <w:rPr>
                <w:rFonts w:ascii="Times New Roman" w:hAnsi="Times New Roman"/>
                <w:color w:val="000000"/>
              </w:rPr>
              <w:t>月</w:t>
            </w:r>
            <w:r>
              <w:rPr>
                <w:rFonts w:ascii="Times New Roman" w:hAnsi="Times New Roman"/>
                <w:color w:val="000000"/>
              </w:rPr>
              <w:t>1</w:t>
            </w:r>
            <w:r>
              <w:rPr>
                <w:rFonts w:ascii="Times New Roman" w:hAnsi="Times New Roman"/>
                <w:color w:val="000000"/>
              </w:rPr>
              <w:t>日至</w:t>
            </w:r>
            <w:r>
              <w:rPr>
                <w:rFonts w:ascii="Times New Roman" w:hAnsi="Times New Roman"/>
                <w:color w:val="000000"/>
              </w:rPr>
              <w:t>2019</w:t>
            </w:r>
            <w:r>
              <w:rPr>
                <w:rFonts w:ascii="Times New Roman" w:hAnsi="Times New Roman"/>
                <w:color w:val="000000"/>
              </w:rPr>
              <w:t>年</w:t>
            </w:r>
            <w:r>
              <w:rPr>
                <w:rFonts w:ascii="Times New Roman" w:hAnsi="Times New Roman"/>
                <w:color w:val="000000"/>
              </w:rPr>
              <w:t>12</w:t>
            </w:r>
            <w:r>
              <w:rPr>
                <w:rFonts w:ascii="Times New Roman" w:hAnsi="Times New Roman"/>
                <w:color w:val="000000"/>
              </w:rPr>
              <w:t>月</w:t>
            </w:r>
            <w:r>
              <w:rPr>
                <w:rFonts w:ascii="Times New Roman" w:hAnsi="Times New Roman"/>
                <w:color w:val="000000"/>
              </w:rPr>
              <w:t>31</w:t>
            </w:r>
            <w:r>
              <w:rPr>
                <w:rFonts w:ascii="Times New Roman" w:hAnsi="Times New Roman"/>
                <w:color w:val="000000"/>
              </w:rPr>
              <w:t>日</w:t>
            </w:r>
          </w:p>
        </w:tc>
      </w:tr>
      <w:tr w:rsidR="000E6BAE">
        <w:tc>
          <w:tcPr>
            <w:tcW w:w="3420" w:type="dxa"/>
            <w:vAlign w:val="center"/>
          </w:tcPr>
          <w:p w:rsidR="000E6BAE" w:rsidRDefault="00CD6463">
            <w:pPr>
              <w:spacing w:before="29" w:line="288" w:lineRule="auto"/>
              <w:rPr>
                <w:b/>
                <w:color w:val="000000"/>
                <w:sz w:val="24"/>
              </w:rPr>
            </w:pPr>
            <w:r>
              <w:rPr>
                <w:rFonts w:hint="eastAsia"/>
                <w:b/>
                <w:color w:val="000000"/>
                <w:sz w:val="24"/>
              </w:rPr>
              <w:t>一、收入</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b/>
                <w:color w:val="000000"/>
                <w:sz w:val="24"/>
              </w:rPr>
            </w:pPr>
            <w:r>
              <w:rPr>
                <w:b/>
                <w:color w:val="000000"/>
                <w:sz w:val="24"/>
              </w:rPr>
              <w:t>21,970,307.98</w:t>
            </w:r>
          </w:p>
        </w:tc>
        <w:tc>
          <w:tcPr>
            <w:tcW w:w="2250" w:type="dxa"/>
            <w:vAlign w:val="center"/>
          </w:tcPr>
          <w:p w:rsidR="000E6BAE" w:rsidRDefault="00CD6463">
            <w:pPr>
              <w:spacing w:before="29" w:line="288" w:lineRule="auto"/>
              <w:jc w:val="right"/>
              <w:rPr>
                <w:b/>
                <w:color w:val="000000"/>
                <w:sz w:val="24"/>
              </w:rPr>
            </w:pPr>
            <w:r>
              <w:rPr>
                <w:b/>
                <w:color w:val="000000"/>
                <w:sz w:val="24"/>
              </w:rPr>
              <w:t>79,880,820.71</w:t>
            </w:r>
          </w:p>
        </w:tc>
      </w:tr>
      <w:tr w:rsidR="000E6BAE">
        <w:tc>
          <w:tcPr>
            <w:tcW w:w="3420" w:type="dxa"/>
            <w:vAlign w:val="center"/>
          </w:tcPr>
          <w:p w:rsidR="000E6BAE" w:rsidRDefault="00CD6463">
            <w:pPr>
              <w:spacing w:before="29" w:line="288" w:lineRule="auto"/>
              <w:rPr>
                <w:color w:val="000000"/>
                <w:sz w:val="24"/>
              </w:rPr>
            </w:pPr>
            <w:r>
              <w:rPr>
                <w:color w:val="000000"/>
                <w:sz w:val="24"/>
              </w:rPr>
              <w:t>1.</w:t>
            </w:r>
            <w:r>
              <w:rPr>
                <w:rFonts w:hint="eastAsia"/>
                <w:color w:val="000000"/>
                <w:sz w:val="24"/>
              </w:rPr>
              <w:t>利息收入</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116,366,834.54</w:t>
            </w:r>
          </w:p>
        </w:tc>
        <w:tc>
          <w:tcPr>
            <w:tcW w:w="2250" w:type="dxa"/>
            <w:vAlign w:val="center"/>
          </w:tcPr>
          <w:p w:rsidR="000E6BAE" w:rsidRDefault="00CD6463">
            <w:pPr>
              <w:spacing w:before="29" w:line="288" w:lineRule="auto"/>
              <w:jc w:val="right"/>
              <w:rPr>
                <w:color w:val="000000"/>
                <w:sz w:val="24"/>
              </w:rPr>
            </w:pPr>
            <w:r>
              <w:rPr>
                <w:color w:val="000000"/>
                <w:sz w:val="24"/>
              </w:rPr>
              <w:t>83,213,045.75</w:t>
            </w:r>
          </w:p>
        </w:tc>
      </w:tr>
      <w:tr w:rsidR="000E6BAE">
        <w:tc>
          <w:tcPr>
            <w:tcW w:w="3420" w:type="dxa"/>
            <w:vAlign w:val="center"/>
          </w:tcPr>
          <w:p w:rsidR="000E6BAE" w:rsidRDefault="00CD6463">
            <w:pPr>
              <w:spacing w:before="29" w:line="288" w:lineRule="auto"/>
              <w:rPr>
                <w:color w:val="000000"/>
                <w:sz w:val="24"/>
              </w:rPr>
            </w:pPr>
            <w:r>
              <w:rPr>
                <w:rFonts w:hint="eastAsia"/>
                <w:color w:val="000000"/>
                <w:sz w:val="24"/>
              </w:rPr>
              <w:t>其中：存款利息收入</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7.4.7.11</w:t>
            </w:r>
          </w:p>
        </w:tc>
        <w:tc>
          <w:tcPr>
            <w:tcW w:w="2250" w:type="dxa"/>
            <w:vAlign w:val="center"/>
          </w:tcPr>
          <w:p w:rsidR="000E6BAE" w:rsidRDefault="00CD6463">
            <w:pPr>
              <w:spacing w:before="29" w:line="288" w:lineRule="auto"/>
              <w:jc w:val="right"/>
              <w:rPr>
                <w:color w:val="000000"/>
                <w:sz w:val="24"/>
              </w:rPr>
            </w:pPr>
            <w:r>
              <w:rPr>
                <w:color w:val="000000"/>
                <w:sz w:val="24"/>
              </w:rPr>
              <w:t>410,313.18</w:t>
            </w:r>
          </w:p>
        </w:tc>
        <w:tc>
          <w:tcPr>
            <w:tcW w:w="2250" w:type="dxa"/>
            <w:vAlign w:val="center"/>
          </w:tcPr>
          <w:p w:rsidR="000E6BAE" w:rsidRDefault="00CD6463">
            <w:pPr>
              <w:spacing w:before="29" w:line="288" w:lineRule="auto"/>
              <w:jc w:val="right"/>
              <w:rPr>
                <w:color w:val="000000"/>
                <w:sz w:val="24"/>
              </w:rPr>
            </w:pPr>
            <w:r>
              <w:rPr>
                <w:color w:val="000000"/>
                <w:sz w:val="24"/>
              </w:rPr>
              <w:t>564,779.61</w:t>
            </w:r>
          </w:p>
        </w:tc>
      </w:tr>
      <w:tr w:rsidR="000E6BAE">
        <w:tc>
          <w:tcPr>
            <w:tcW w:w="3420" w:type="dxa"/>
            <w:vAlign w:val="center"/>
          </w:tcPr>
          <w:p w:rsidR="000E6BAE" w:rsidRDefault="00CD6463">
            <w:pPr>
              <w:spacing w:before="29" w:line="288" w:lineRule="auto"/>
              <w:ind w:firstLineChars="300" w:firstLine="720"/>
              <w:rPr>
                <w:color w:val="000000"/>
                <w:sz w:val="24"/>
              </w:rPr>
            </w:pPr>
            <w:r>
              <w:rPr>
                <w:rFonts w:hint="eastAsia"/>
                <w:color w:val="000000"/>
                <w:sz w:val="24"/>
              </w:rPr>
              <w:t>债券利息收入</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115,393,602.85</w:t>
            </w:r>
          </w:p>
        </w:tc>
        <w:tc>
          <w:tcPr>
            <w:tcW w:w="2250" w:type="dxa"/>
            <w:vAlign w:val="center"/>
          </w:tcPr>
          <w:p w:rsidR="000E6BAE" w:rsidRDefault="00CD6463">
            <w:pPr>
              <w:spacing w:before="29" w:line="288" w:lineRule="auto"/>
              <w:jc w:val="right"/>
              <w:rPr>
                <w:color w:val="000000"/>
                <w:sz w:val="24"/>
              </w:rPr>
            </w:pPr>
            <w:r>
              <w:rPr>
                <w:color w:val="000000"/>
                <w:sz w:val="24"/>
              </w:rPr>
              <w:t>82,647,779.30</w:t>
            </w:r>
          </w:p>
        </w:tc>
      </w:tr>
      <w:tr w:rsidR="000E6BAE">
        <w:tc>
          <w:tcPr>
            <w:tcW w:w="3420" w:type="dxa"/>
            <w:vAlign w:val="center"/>
          </w:tcPr>
          <w:p w:rsidR="000E6BAE" w:rsidRDefault="00CD6463">
            <w:pPr>
              <w:spacing w:before="29" w:line="288" w:lineRule="auto"/>
              <w:ind w:firstLineChars="300" w:firstLine="720"/>
              <w:rPr>
                <w:color w:val="000000"/>
                <w:sz w:val="24"/>
              </w:rPr>
            </w:pPr>
            <w:r>
              <w:rPr>
                <w:rFonts w:hint="eastAsia"/>
                <w:color w:val="000000"/>
                <w:sz w:val="24"/>
              </w:rPr>
              <w:t>资产支持证券利息收入</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w:t>
            </w:r>
          </w:p>
        </w:tc>
        <w:tc>
          <w:tcPr>
            <w:tcW w:w="2250" w:type="dxa"/>
            <w:vAlign w:val="center"/>
          </w:tcPr>
          <w:p w:rsidR="000E6BAE" w:rsidRDefault="00CD6463">
            <w:pPr>
              <w:spacing w:before="29" w:line="288" w:lineRule="auto"/>
              <w:jc w:val="right"/>
              <w:rPr>
                <w:color w:val="000000"/>
                <w:sz w:val="24"/>
              </w:rPr>
            </w:pPr>
            <w:r>
              <w:rPr>
                <w:color w:val="000000"/>
                <w:sz w:val="24"/>
              </w:rPr>
              <w:t>-</w:t>
            </w:r>
          </w:p>
        </w:tc>
      </w:tr>
      <w:tr w:rsidR="000E6BAE">
        <w:tc>
          <w:tcPr>
            <w:tcW w:w="3420" w:type="dxa"/>
            <w:vAlign w:val="center"/>
          </w:tcPr>
          <w:p w:rsidR="000E6BAE" w:rsidRDefault="00CD6463">
            <w:pPr>
              <w:spacing w:before="29" w:line="288" w:lineRule="auto"/>
              <w:ind w:firstLineChars="300" w:firstLine="720"/>
              <w:rPr>
                <w:color w:val="000000"/>
                <w:sz w:val="24"/>
              </w:rPr>
            </w:pPr>
            <w:r>
              <w:rPr>
                <w:rFonts w:hint="eastAsia"/>
                <w:color w:val="000000"/>
                <w:sz w:val="24"/>
              </w:rPr>
              <w:t>买入返售金融资产收入</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562,918.51</w:t>
            </w:r>
          </w:p>
        </w:tc>
        <w:tc>
          <w:tcPr>
            <w:tcW w:w="2250" w:type="dxa"/>
            <w:vAlign w:val="center"/>
          </w:tcPr>
          <w:p w:rsidR="000E6BAE" w:rsidRDefault="00CD6463">
            <w:pPr>
              <w:spacing w:before="29" w:line="288" w:lineRule="auto"/>
              <w:jc w:val="right"/>
              <w:rPr>
                <w:color w:val="000000"/>
                <w:sz w:val="24"/>
              </w:rPr>
            </w:pPr>
            <w:r>
              <w:rPr>
                <w:color w:val="000000"/>
                <w:sz w:val="24"/>
              </w:rPr>
              <w:t>486.84</w:t>
            </w:r>
          </w:p>
        </w:tc>
      </w:tr>
      <w:tr w:rsidR="000E6BAE">
        <w:tc>
          <w:tcPr>
            <w:tcW w:w="3420" w:type="dxa"/>
            <w:vAlign w:val="center"/>
          </w:tcPr>
          <w:p w:rsidR="000E6BAE" w:rsidRDefault="00CD6463">
            <w:pPr>
              <w:spacing w:before="29" w:line="288" w:lineRule="auto"/>
              <w:ind w:firstLineChars="300" w:firstLine="720"/>
              <w:rPr>
                <w:color w:val="000000"/>
                <w:sz w:val="24"/>
              </w:rPr>
            </w:pPr>
            <w:r>
              <w:rPr>
                <w:rFonts w:hint="eastAsia"/>
                <w:color w:val="000000"/>
                <w:sz w:val="24"/>
              </w:rPr>
              <w:t>其他利息收入</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w:t>
            </w:r>
          </w:p>
        </w:tc>
        <w:tc>
          <w:tcPr>
            <w:tcW w:w="2250" w:type="dxa"/>
            <w:vAlign w:val="center"/>
          </w:tcPr>
          <w:p w:rsidR="000E6BAE" w:rsidRDefault="00CD6463">
            <w:pPr>
              <w:spacing w:before="29" w:line="288" w:lineRule="auto"/>
              <w:jc w:val="right"/>
              <w:rPr>
                <w:color w:val="000000"/>
                <w:sz w:val="24"/>
              </w:rPr>
            </w:pPr>
            <w:r>
              <w:rPr>
                <w:color w:val="000000"/>
                <w:sz w:val="24"/>
              </w:rPr>
              <w:t>-</w:t>
            </w:r>
          </w:p>
        </w:tc>
      </w:tr>
      <w:tr w:rsidR="000E6BAE">
        <w:tc>
          <w:tcPr>
            <w:tcW w:w="3420" w:type="dxa"/>
            <w:vAlign w:val="center"/>
          </w:tcPr>
          <w:p w:rsidR="000E6BAE" w:rsidRDefault="00CD6463">
            <w:pPr>
              <w:spacing w:before="29" w:line="288" w:lineRule="auto"/>
              <w:rPr>
                <w:color w:val="000000"/>
                <w:sz w:val="24"/>
              </w:rPr>
            </w:pPr>
            <w:r>
              <w:rPr>
                <w:color w:val="000000"/>
                <w:sz w:val="24"/>
              </w:rPr>
              <w:t>2.</w:t>
            </w:r>
            <w:r>
              <w:rPr>
                <w:rFonts w:hint="eastAsia"/>
                <w:color w:val="000000"/>
                <w:sz w:val="24"/>
              </w:rPr>
              <w:t>投资收益（损失以</w:t>
            </w:r>
            <w:r>
              <w:rPr>
                <w:color w:val="000000"/>
                <w:sz w:val="24"/>
              </w:rPr>
              <w:t>“-”</w:t>
            </w:r>
            <w:r>
              <w:rPr>
                <w:rFonts w:hint="eastAsia"/>
                <w:color w:val="000000"/>
                <w:sz w:val="24"/>
              </w:rPr>
              <w:t>填列）</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-83,051,281.91</w:t>
            </w:r>
          </w:p>
        </w:tc>
        <w:tc>
          <w:tcPr>
            <w:tcW w:w="2250" w:type="dxa"/>
            <w:vAlign w:val="center"/>
          </w:tcPr>
          <w:p w:rsidR="000E6BAE" w:rsidRDefault="00CD6463">
            <w:pPr>
              <w:spacing w:before="29" w:line="288" w:lineRule="auto"/>
              <w:jc w:val="right"/>
              <w:rPr>
                <w:color w:val="000000"/>
                <w:sz w:val="24"/>
              </w:rPr>
            </w:pPr>
            <w:r>
              <w:rPr>
                <w:color w:val="000000"/>
                <w:sz w:val="24"/>
              </w:rPr>
              <w:t>1,761,595.14</w:t>
            </w:r>
          </w:p>
        </w:tc>
      </w:tr>
      <w:tr w:rsidR="000E6BAE">
        <w:tc>
          <w:tcPr>
            <w:tcW w:w="3420" w:type="dxa"/>
            <w:vAlign w:val="center"/>
          </w:tcPr>
          <w:p w:rsidR="000E6BAE" w:rsidRDefault="00CD6463">
            <w:pPr>
              <w:spacing w:before="29" w:line="288" w:lineRule="auto"/>
              <w:rPr>
                <w:color w:val="000000"/>
                <w:sz w:val="24"/>
              </w:rPr>
            </w:pPr>
            <w:r>
              <w:rPr>
                <w:rFonts w:hint="eastAsia"/>
                <w:color w:val="000000"/>
                <w:sz w:val="24"/>
              </w:rPr>
              <w:t>其中：股票投资收益</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7.4.7.12</w:t>
            </w:r>
          </w:p>
        </w:tc>
        <w:tc>
          <w:tcPr>
            <w:tcW w:w="2250" w:type="dxa"/>
            <w:vAlign w:val="center"/>
          </w:tcPr>
          <w:p w:rsidR="000E6BAE" w:rsidRDefault="00CD6463">
            <w:pPr>
              <w:spacing w:before="29" w:line="288" w:lineRule="auto"/>
              <w:jc w:val="right"/>
              <w:rPr>
                <w:color w:val="000000"/>
                <w:sz w:val="24"/>
              </w:rPr>
            </w:pPr>
            <w:r>
              <w:rPr>
                <w:color w:val="000000"/>
                <w:sz w:val="24"/>
              </w:rPr>
              <w:t>-</w:t>
            </w:r>
          </w:p>
        </w:tc>
        <w:tc>
          <w:tcPr>
            <w:tcW w:w="2250" w:type="dxa"/>
            <w:vAlign w:val="center"/>
          </w:tcPr>
          <w:p w:rsidR="000E6BAE" w:rsidRDefault="00CD6463">
            <w:pPr>
              <w:spacing w:before="29" w:line="288" w:lineRule="auto"/>
              <w:jc w:val="right"/>
              <w:rPr>
                <w:color w:val="000000"/>
                <w:sz w:val="24"/>
              </w:rPr>
            </w:pPr>
            <w:r>
              <w:rPr>
                <w:color w:val="000000"/>
                <w:sz w:val="24"/>
              </w:rPr>
              <w:t>-</w:t>
            </w:r>
          </w:p>
        </w:tc>
      </w:tr>
      <w:tr w:rsidR="000E6BAE">
        <w:tc>
          <w:tcPr>
            <w:tcW w:w="3420" w:type="dxa"/>
            <w:vAlign w:val="center"/>
          </w:tcPr>
          <w:p w:rsidR="000E6BAE" w:rsidRDefault="00CD6463">
            <w:pPr>
              <w:spacing w:before="29" w:line="288" w:lineRule="auto"/>
              <w:ind w:firstLineChars="300" w:firstLine="720"/>
              <w:rPr>
                <w:color w:val="000000"/>
                <w:sz w:val="24"/>
              </w:rPr>
            </w:pPr>
            <w:r>
              <w:rPr>
                <w:rFonts w:hint="eastAsia"/>
                <w:color w:val="000000"/>
                <w:sz w:val="24"/>
              </w:rPr>
              <w:t>基金投资收益</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w:t>
            </w:r>
          </w:p>
        </w:tc>
        <w:tc>
          <w:tcPr>
            <w:tcW w:w="2250" w:type="dxa"/>
            <w:vAlign w:val="center"/>
          </w:tcPr>
          <w:p w:rsidR="000E6BAE" w:rsidRDefault="00CD6463">
            <w:pPr>
              <w:spacing w:before="29" w:line="288" w:lineRule="auto"/>
              <w:jc w:val="right"/>
              <w:rPr>
                <w:color w:val="000000"/>
                <w:sz w:val="24"/>
              </w:rPr>
            </w:pPr>
            <w:r>
              <w:rPr>
                <w:color w:val="000000"/>
                <w:sz w:val="24"/>
              </w:rPr>
              <w:t>-</w:t>
            </w:r>
          </w:p>
        </w:tc>
      </w:tr>
      <w:tr w:rsidR="000E6BAE">
        <w:tc>
          <w:tcPr>
            <w:tcW w:w="3420" w:type="dxa"/>
            <w:vAlign w:val="center"/>
          </w:tcPr>
          <w:p w:rsidR="000E6BAE" w:rsidRDefault="00CD6463">
            <w:pPr>
              <w:spacing w:before="29" w:line="288" w:lineRule="auto"/>
              <w:ind w:firstLineChars="300" w:firstLine="720"/>
              <w:rPr>
                <w:color w:val="000000"/>
                <w:sz w:val="24"/>
              </w:rPr>
            </w:pPr>
            <w:r>
              <w:rPr>
                <w:rFonts w:hint="eastAsia"/>
                <w:color w:val="000000"/>
                <w:sz w:val="24"/>
              </w:rPr>
              <w:t>债券投资收益</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7.4.7.13</w:t>
            </w:r>
          </w:p>
        </w:tc>
        <w:tc>
          <w:tcPr>
            <w:tcW w:w="2250" w:type="dxa"/>
            <w:vAlign w:val="center"/>
          </w:tcPr>
          <w:p w:rsidR="000E6BAE" w:rsidRDefault="00CD6463">
            <w:pPr>
              <w:spacing w:before="29" w:line="288" w:lineRule="auto"/>
              <w:jc w:val="right"/>
              <w:rPr>
                <w:color w:val="000000"/>
                <w:sz w:val="24"/>
              </w:rPr>
            </w:pPr>
            <w:r>
              <w:rPr>
                <w:color w:val="000000"/>
                <w:sz w:val="24"/>
              </w:rPr>
              <w:t>-83,051,281.91</w:t>
            </w:r>
          </w:p>
        </w:tc>
        <w:tc>
          <w:tcPr>
            <w:tcW w:w="2250" w:type="dxa"/>
            <w:vAlign w:val="center"/>
          </w:tcPr>
          <w:p w:rsidR="000E6BAE" w:rsidRDefault="00CD6463">
            <w:pPr>
              <w:spacing w:before="29" w:line="288" w:lineRule="auto"/>
              <w:jc w:val="right"/>
              <w:rPr>
                <w:color w:val="000000"/>
                <w:sz w:val="24"/>
              </w:rPr>
            </w:pPr>
            <w:r>
              <w:rPr>
                <w:color w:val="000000"/>
                <w:sz w:val="24"/>
              </w:rPr>
              <w:t>1,761,595.14</w:t>
            </w:r>
          </w:p>
        </w:tc>
      </w:tr>
      <w:tr w:rsidR="000E6BAE">
        <w:tc>
          <w:tcPr>
            <w:tcW w:w="3420" w:type="dxa"/>
            <w:vAlign w:val="center"/>
          </w:tcPr>
          <w:p w:rsidR="000E6BAE" w:rsidRDefault="00CD6463">
            <w:pPr>
              <w:spacing w:before="29" w:line="288" w:lineRule="auto"/>
              <w:ind w:firstLineChars="300" w:firstLine="720"/>
              <w:rPr>
                <w:color w:val="000000"/>
                <w:sz w:val="24"/>
              </w:rPr>
            </w:pPr>
            <w:r>
              <w:rPr>
                <w:rFonts w:hint="eastAsia"/>
                <w:color w:val="000000"/>
                <w:sz w:val="24"/>
              </w:rPr>
              <w:t>资产支持证券投资收益</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7.4.7.14</w:t>
            </w:r>
          </w:p>
        </w:tc>
        <w:tc>
          <w:tcPr>
            <w:tcW w:w="2250" w:type="dxa"/>
            <w:vAlign w:val="center"/>
          </w:tcPr>
          <w:p w:rsidR="000E6BAE" w:rsidRDefault="00CD6463">
            <w:pPr>
              <w:spacing w:before="29" w:line="288" w:lineRule="auto"/>
              <w:jc w:val="right"/>
              <w:rPr>
                <w:color w:val="000000"/>
                <w:sz w:val="24"/>
              </w:rPr>
            </w:pPr>
            <w:r>
              <w:rPr>
                <w:color w:val="000000"/>
                <w:sz w:val="24"/>
              </w:rPr>
              <w:t>-</w:t>
            </w:r>
          </w:p>
        </w:tc>
        <w:tc>
          <w:tcPr>
            <w:tcW w:w="2250" w:type="dxa"/>
            <w:vAlign w:val="center"/>
          </w:tcPr>
          <w:p w:rsidR="000E6BAE" w:rsidRDefault="00CD6463">
            <w:pPr>
              <w:spacing w:before="29" w:line="288" w:lineRule="auto"/>
              <w:jc w:val="right"/>
              <w:rPr>
                <w:color w:val="000000"/>
                <w:sz w:val="24"/>
              </w:rPr>
            </w:pPr>
            <w:r>
              <w:rPr>
                <w:color w:val="000000"/>
                <w:sz w:val="24"/>
              </w:rPr>
              <w:t>-</w:t>
            </w:r>
          </w:p>
        </w:tc>
      </w:tr>
      <w:tr w:rsidR="000E6BAE">
        <w:tc>
          <w:tcPr>
            <w:tcW w:w="3420" w:type="dxa"/>
            <w:vAlign w:val="center"/>
          </w:tcPr>
          <w:p w:rsidR="000E6BAE" w:rsidRDefault="00CD6463">
            <w:pPr>
              <w:spacing w:before="29" w:line="288" w:lineRule="auto"/>
              <w:ind w:firstLineChars="300" w:firstLine="720"/>
              <w:rPr>
                <w:color w:val="000000"/>
                <w:sz w:val="24"/>
              </w:rPr>
            </w:pPr>
            <w:r>
              <w:rPr>
                <w:rFonts w:hint="eastAsia"/>
                <w:color w:val="000000"/>
                <w:sz w:val="24"/>
              </w:rPr>
              <w:t>贵金属投资收益</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rFonts w:hint="eastAsia"/>
                <w:color w:val="000000"/>
                <w:sz w:val="24"/>
              </w:rPr>
              <w:t>-</w:t>
            </w:r>
          </w:p>
        </w:tc>
        <w:tc>
          <w:tcPr>
            <w:tcW w:w="2250" w:type="dxa"/>
            <w:vAlign w:val="center"/>
          </w:tcPr>
          <w:p w:rsidR="000E6BAE" w:rsidRDefault="00CD6463">
            <w:pPr>
              <w:spacing w:before="29" w:line="288" w:lineRule="auto"/>
              <w:jc w:val="right"/>
              <w:rPr>
                <w:color w:val="000000"/>
                <w:sz w:val="24"/>
              </w:rPr>
            </w:pPr>
            <w:r>
              <w:rPr>
                <w:rFonts w:hint="eastAsia"/>
                <w:color w:val="000000"/>
                <w:sz w:val="24"/>
              </w:rPr>
              <w:t>-</w:t>
            </w:r>
          </w:p>
        </w:tc>
      </w:tr>
      <w:tr w:rsidR="000E6BAE">
        <w:tc>
          <w:tcPr>
            <w:tcW w:w="3420" w:type="dxa"/>
            <w:vAlign w:val="center"/>
          </w:tcPr>
          <w:p w:rsidR="000E6BAE" w:rsidRDefault="00CD6463">
            <w:pPr>
              <w:spacing w:before="29" w:line="288" w:lineRule="auto"/>
              <w:ind w:firstLineChars="300" w:firstLine="720"/>
              <w:rPr>
                <w:color w:val="000000"/>
                <w:sz w:val="24"/>
              </w:rPr>
            </w:pPr>
            <w:r>
              <w:rPr>
                <w:rFonts w:hint="eastAsia"/>
                <w:color w:val="000000"/>
                <w:sz w:val="24"/>
              </w:rPr>
              <w:t>衍生工具收益</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7.4.7.15</w:t>
            </w:r>
          </w:p>
        </w:tc>
        <w:tc>
          <w:tcPr>
            <w:tcW w:w="2250" w:type="dxa"/>
            <w:vAlign w:val="center"/>
          </w:tcPr>
          <w:p w:rsidR="000E6BAE" w:rsidRDefault="00CD6463">
            <w:pPr>
              <w:spacing w:before="29" w:line="288" w:lineRule="auto"/>
              <w:jc w:val="right"/>
              <w:rPr>
                <w:color w:val="000000"/>
                <w:sz w:val="24"/>
              </w:rPr>
            </w:pPr>
            <w:r>
              <w:rPr>
                <w:color w:val="000000"/>
                <w:sz w:val="24"/>
              </w:rPr>
              <w:t>-</w:t>
            </w:r>
          </w:p>
        </w:tc>
        <w:tc>
          <w:tcPr>
            <w:tcW w:w="2250" w:type="dxa"/>
            <w:vAlign w:val="center"/>
          </w:tcPr>
          <w:p w:rsidR="000E6BAE" w:rsidRDefault="00CD6463">
            <w:pPr>
              <w:spacing w:before="29" w:line="288" w:lineRule="auto"/>
              <w:jc w:val="right"/>
              <w:rPr>
                <w:color w:val="000000"/>
                <w:sz w:val="24"/>
              </w:rPr>
            </w:pPr>
            <w:r>
              <w:rPr>
                <w:color w:val="000000"/>
                <w:sz w:val="24"/>
              </w:rPr>
              <w:t>-</w:t>
            </w:r>
          </w:p>
        </w:tc>
      </w:tr>
      <w:tr w:rsidR="000E6BAE">
        <w:tc>
          <w:tcPr>
            <w:tcW w:w="3420" w:type="dxa"/>
            <w:vAlign w:val="center"/>
          </w:tcPr>
          <w:p w:rsidR="000E6BAE" w:rsidRDefault="00CD6463">
            <w:pPr>
              <w:spacing w:before="29" w:line="288" w:lineRule="auto"/>
              <w:ind w:firstLineChars="300" w:firstLine="720"/>
              <w:rPr>
                <w:color w:val="000000"/>
                <w:sz w:val="24"/>
              </w:rPr>
            </w:pPr>
            <w:r>
              <w:rPr>
                <w:rFonts w:hint="eastAsia"/>
                <w:color w:val="000000"/>
                <w:sz w:val="24"/>
              </w:rPr>
              <w:t>股利收益</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7.4.7.16</w:t>
            </w:r>
          </w:p>
        </w:tc>
        <w:tc>
          <w:tcPr>
            <w:tcW w:w="2250" w:type="dxa"/>
            <w:vAlign w:val="center"/>
          </w:tcPr>
          <w:p w:rsidR="000E6BAE" w:rsidRDefault="00CD6463">
            <w:pPr>
              <w:spacing w:before="29" w:line="288" w:lineRule="auto"/>
              <w:jc w:val="right"/>
              <w:rPr>
                <w:color w:val="000000"/>
                <w:sz w:val="24"/>
              </w:rPr>
            </w:pPr>
            <w:r>
              <w:rPr>
                <w:color w:val="000000"/>
                <w:sz w:val="24"/>
              </w:rPr>
              <w:t>-</w:t>
            </w:r>
          </w:p>
        </w:tc>
        <w:tc>
          <w:tcPr>
            <w:tcW w:w="2250" w:type="dxa"/>
            <w:vAlign w:val="center"/>
          </w:tcPr>
          <w:p w:rsidR="000E6BAE" w:rsidRDefault="00CD6463">
            <w:pPr>
              <w:spacing w:before="29" w:line="288" w:lineRule="auto"/>
              <w:jc w:val="right"/>
              <w:rPr>
                <w:color w:val="000000"/>
                <w:sz w:val="24"/>
              </w:rPr>
            </w:pPr>
            <w:r>
              <w:rPr>
                <w:color w:val="000000"/>
                <w:sz w:val="24"/>
              </w:rPr>
              <w:t>-</w:t>
            </w:r>
          </w:p>
        </w:tc>
      </w:tr>
      <w:tr w:rsidR="000E6BAE">
        <w:tc>
          <w:tcPr>
            <w:tcW w:w="3420" w:type="dxa"/>
            <w:vAlign w:val="center"/>
          </w:tcPr>
          <w:p w:rsidR="000E6BAE" w:rsidRDefault="00CD6463">
            <w:pPr>
              <w:spacing w:before="29" w:line="288" w:lineRule="auto"/>
              <w:rPr>
                <w:rFonts w:asciiTheme="minorEastAsia" w:eastAsiaTheme="minorEastAsia" w:hAnsiTheme="minorEastAsia"/>
                <w:color w:val="000000"/>
                <w:szCs w:val="21"/>
              </w:rPr>
            </w:pPr>
            <w:r>
              <w:rPr>
                <w:color w:val="000000"/>
                <w:sz w:val="24"/>
              </w:rPr>
              <w:t>3.</w:t>
            </w:r>
            <w:r>
              <w:rPr>
                <w:rFonts w:hint="eastAsia"/>
                <w:color w:val="000000"/>
                <w:sz w:val="24"/>
              </w:rPr>
              <w:t>公允价值变动收益（损失以</w:t>
            </w:r>
            <w:r>
              <w:rPr>
                <w:color w:val="000000"/>
                <w:sz w:val="24"/>
              </w:rPr>
              <w:t>“-”</w:t>
            </w:r>
            <w:r>
              <w:rPr>
                <w:rFonts w:hint="eastAsia"/>
                <w:color w:val="000000"/>
                <w:sz w:val="24"/>
              </w:rPr>
              <w:t>号填列）</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7.4.7.17</w:t>
            </w:r>
          </w:p>
        </w:tc>
        <w:tc>
          <w:tcPr>
            <w:tcW w:w="2250" w:type="dxa"/>
            <w:vAlign w:val="center"/>
          </w:tcPr>
          <w:p w:rsidR="000E6BAE" w:rsidRDefault="00CD6463">
            <w:pPr>
              <w:spacing w:before="29" w:line="288" w:lineRule="auto"/>
              <w:jc w:val="right"/>
              <w:rPr>
                <w:color w:val="000000"/>
                <w:sz w:val="24"/>
              </w:rPr>
            </w:pPr>
            <w:r>
              <w:rPr>
                <w:color w:val="000000"/>
                <w:sz w:val="24"/>
              </w:rPr>
              <w:t>-11,442,523.72</w:t>
            </w:r>
          </w:p>
        </w:tc>
        <w:tc>
          <w:tcPr>
            <w:tcW w:w="2250" w:type="dxa"/>
            <w:vAlign w:val="center"/>
          </w:tcPr>
          <w:p w:rsidR="000E6BAE" w:rsidRDefault="00CD6463">
            <w:pPr>
              <w:spacing w:before="29" w:line="288" w:lineRule="auto"/>
              <w:jc w:val="right"/>
              <w:rPr>
                <w:color w:val="000000"/>
                <w:sz w:val="24"/>
              </w:rPr>
            </w:pPr>
            <w:r>
              <w:rPr>
                <w:color w:val="000000"/>
                <w:sz w:val="24"/>
              </w:rPr>
              <w:t>-5,094,676.09</w:t>
            </w:r>
          </w:p>
        </w:tc>
      </w:tr>
      <w:tr w:rsidR="000E6BAE">
        <w:tc>
          <w:tcPr>
            <w:tcW w:w="3420" w:type="dxa"/>
            <w:vAlign w:val="center"/>
          </w:tcPr>
          <w:p w:rsidR="000E6BAE" w:rsidRDefault="00CD6463">
            <w:pPr>
              <w:spacing w:before="29" w:line="288" w:lineRule="auto"/>
              <w:rPr>
                <w:color w:val="000000"/>
                <w:sz w:val="24"/>
              </w:rPr>
            </w:pPr>
            <w:r>
              <w:rPr>
                <w:color w:val="000000"/>
                <w:sz w:val="24"/>
              </w:rPr>
              <w:t>4.</w:t>
            </w:r>
            <w:r>
              <w:rPr>
                <w:rFonts w:hint="eastAsia"/>
                <w:color w:val="000000"/>
                <w:sz w:val="24"/>
              </w:rPr>
              <w:t>汇兑收益（损失以</w:t>
            </w:r>
            <w:r>
              <w:rPr>
                <w:color w:val="000000"/>
                <w:sz w:val="24"/>
              </w:rPr>
              <w:t>“-”</w:t>
            </w:r>
            <w:r>
              <w:rPr>
                <w:rFonts w:hint="eastAsia"/>
                <w:color w:val="000000"/>
                <w:sz w:val="24"/>
              </w:rPr>
              <w:t>号填列）</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w:t>
            </w:r>
          </w:p>
        </w:tc>
        <w:tc>
          <w:tcPr>
            <w:tcW w:w="2250" w:type="dxa"/>
            <w:vAlign w:val="center"/>
          </w:tcPr>
          <w:p w:rsidR="000E6BAE" w:rsidRDefault="00CD6463">
            <w:pPr>
              <w:spacing w:before="29" w:line="288" w:lineRule="auto"/>
              <w:jc w:val="right"/>
              <w:rPr>
                <w:color w:val="000000"/>
                <w:sz w:val="24"/>
              </w:rPr>
            </w:pPr>
            <w:r>
              <w:rPr>
                <w:color w:val="000000"/>
                <w:sz w:val="24"/>
              </w:rPr>
              <w:t>-</w:t>
            </w:r>
          </w:p>
        </w:tc>
      </w:tr>
      <w:tr w:rsidR="000E6BAE">
        <w:tc>
          <w:tcPr>
            <w:tcW w:w="3420" w:type="dxa"/>
            <w:vAlign w:val="center"/>
          </w:tcPr>
          <w:p w:rsidR="000E6BAE" w:rsidRDefault="00CD6463">
            <w:pPr>
              <w:spacing w:before="29" w:line="288" w:lineRule="auto"/>
              <w:rPr>
                <w:color w:val="000000"/>
                <w:sz w:val="24"/>
              </w:rPr>
            </w:pPr>
            <w:r>
              <w:rPr>
                <w:color w:val="000000"/>
                <w:sz w:val="24"/>
              </w:rPr>
              <w:t>5.</w:t>
            </w:r>
            <w:r>
              <w:rPr>
                <w:rFonts w:hint="eastAsia"/>
                <w:color w:val="000000"/>
                <w:sz w:val="24"/>
              </w:rPr>
              <w:t>其他收入（损失以</w:t>
            </w:r>
            <w:r>
              <w:rPr>
                <w:color w:val="000000"/>
                <w:sz w:val="24"/>
              </w:rPr>
              <w:t>“-”</w:t>
            </w:r>
            <w:r>
              <w:rPr>
                <w:rFonts w:hint="eastAsia"/>
                <w:color w:val="000000"/>
                <w:sz w:val="24"/>
              </w:rPr>
              <w:t>号填列）</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7.4.7.18</w:t>
            </w:r>
          </w:p>
        </w:tc>
        <w:tc>
          <w:tcPr>
            <w:tcW w:w="2250" w:type="dxa"/>
            <w:vAlign w:val="center"/>
          </w:tcPr>
          <w:p w:rsidR="000E6BAE" w:rsidRDefault="00CD6463">
            <w:pPr>
              <w:spacing w:before="29" w:line="288" w:lineRule="auto"/>
              <w:jc w:val="right"/>
              <w:rPr>
                <w:color w:val="000000"/>
                <w:sz w:val="24"/>
              </w:rPr>
            </w:pPr>
            <w:r>
              <w:rPr>
                <w:color w:val="000000"/>
                <w:sz w:val="24"/>
              </w:rPr>
              <w:t>97,279.07</w:t>
            </w:r>
          </w:p>
        </w:tc>
        <w:tc>
          <w:tcPr>
            <w:tcW w:w="2250" w:type="dxa"/>
            <w:vAlign w:val="center"/>
          </w:tcPr>
          <w:p w:rsidR="000E6BAE" w:rsidRDefault="00CD6463">
            <w:pPr>
              <w:spacing w:before="29" w:line="288" w:lineRule="auto"/>
              <w:jc w:val="right"/>
              <w:rPr>
                <w:color w:val="000000"/>
                <w:sz w:val="24"/>
              </w:rPr>
            </w:pPr>
            <w:r>
              <w:rPr>
                <w:color w:val="000000"/>
                <w:sz w:val="24"/>
              </w:rPr>
              <w:t>855.91</w:t>
            </w:r>
          </w:p>
        </w:tc>
      </w:tr>
      <w:tr w:rsidR="000E6BAE">
        <w:tc>
          <w:tcPr>
            <w:tcW w:w="3420" w:type="dxa"/>
            <w:vAlign w:val="center"/>
          </w:tcPr>
          <w:p w:rsidR="000E6BAE" w:rsidRDefault="00CD6463">
            <w:pPr>
              <w:spacing w:before="29" w:line="288" w:lineRule="auto"/>
              <w:rPr>
                <w:b/>
                <w:color w:val="000000"/>
                <w:sz w:val="24"/>
              </w:rPr>
            </w:pPr>
            <w:r>
              <w:rPr>
                <w:rFonts w:hint="eastAsia"/>
                <w:b/>
                <w:color w:val="000000"/>
                <w:sz w:val="24"/>
              </w:rPr>
              <w:t>减：二、费用</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b/>
                <w:color w:val="000000"/>
                <w:sz w:val="24"/>
              </w:rPr>
            </w:pPr>
            <w:r>
              <w:rPr>
                <w:b/>
                <w:color w:val="000000"/>
                <w:sz w:val="24"/>
              </w:rPr>
              <w:t>20,027,299.33</w:t>
            </w:r>
          </w:p>
        </w:tc>
        <w:tc>
          <w:tcPr>
            <w:tcW w:w="2250" w:type="dxa"/>
            <w:vAlign w:val="center"/>
          </w:tcPr>
          <w:p w:rsidR="000E6BAE" w:rsidRDefault="00CD6463">
            <w:pPr>
              <w:spacing w:before="29" w:line="288" w:lineRule="auto"/>
              <w:jc w:val="right"/>
              <w:rPr>
                <w:b/>
                <w:color w:val="000000"/>
                <w:sz w:val="24"/>
              </w:rPr>
            </w:pPr>
            <w:r>
              <w:rPr>
                <w:b/>
                <w:color w:val="000000"/>
                <w:sz w:val="24"/>
              </w:rPr>
              <w:t>16,104,938.70</w:t>
            </w:r>
          </w:p>
        </w:tc>
      </w:tr>
      <w:tr w:rsidR="000E6BAE">
        <w:tc>
          <w:tcPr>
            <w:tcW w:w="3420" w:type="dxa"/>
            <w:vAlign w:val="center"/>
          </w:tcPr>
          <w:p w:rsidR="000E6BAE" w:rsidRDefault="00CD6463">
            <w:pPr>
              <w:spacing w:before="29" w:line="288" w:lineRule="auto"/>
              <w:rPr>
                <w:color w:val="000000"/>
                <w:sz w:val="24"/>
              </w:rPr>
            </w:pPr>
            <w:r>
              <w:rPr>
                <w:color w:val="000000"/>
                <w:sz w:val="24"/>
              </w:rPr>
              <w:t>1</w:t>
            </w:r>
            <w:r>
              <w:rPr>
                <w:rFonts w:hint="eastAsia"/>
                <w:color w:val="000000"/>
                <w:sz w:val="24"/>
              </w:rPr>
              <w:t>．管理人报酬</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9,097,811.96</w:t>
            </w:r>
          </w:p>
        </w:tc>
        <w:tc>
          <w:tcPr>
            <w:tcW w:w="2250" w:type="dxa"/>
            <w:vAlign w:val="center"/>
          </w:tcPr>
          <w:p w:rsidR="000E6BAE" w:rsidRDefault="00CD6463">
            <w:pPr>
              <w:spacing w:before="29" w:line="288" w:lineRule="auto"/>
              <w:jc w:val="right"/>
              <w:rPr>
                <w:color w:val="000000"/>
                <w:sz w:val="24"/>
              </w:rPr>
            </w:pPr>
            <w:r>
              <w:rPr>
                <w:color w:val="000000"/>
                <w:sz w:val="24"/>
              </w:rPr>
              <w:t>5,150,448.21</w:t>
            </w:r>
          </w:p>
        </w:tc>
      </w:tr>
      <w:tr w:rsidR="000E6BAE">
        <w:tc>
          <w:tcPr>
            <w:tcW w:w="3420" w:type="dxa"/>
            <w:vAlign w:val="center"/>
          </w:tcPr>
          <w:p w:rsidR="000E6BAE" w:rsidRDefault="00CD6463">
            <w:pPr>
              <w:spacing w:before="29" w:line="288" w:lineRule="auto"/>
              <w:rPr>
                <w:color w:val="000000"/>
                <w:sz w:val="24"/>
              </w:rPr>
            </w:pPr>
            <w:r>
              <w:rPr>
                <w:color w:val="000000"/>
                <w:sz w:val="24"/>
              </w:rPr>
              <w:t>2</w:t>
            </w:r>
            <w:r>
              <w:rPr>
                <w:rFonts w:hint="eastAsia"/>
                <w:color w:val="000000"/>
                <w:sz w:val="24"/>
              </w:rPr>
              <w:t>．托管费</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3,032,604.03</w:t>
            </w:r>
          </w:p>
        </w:tc>
        <w:tc>
          <w:tcPr>
            <w:tcW w:w="2250" w:type="dxa"/>
            <w:vAlign w:val="center"/>
          </w:tcPr>
          <w:p w:rsidR="000E6BAE" w:rsidRDefault="00CD6463">
            <w:pPr>
              <w:spacing w:before="29" w:line="288" w:lineRule="auto"/>
              <w:jc w:val="right"/>
              <w:rPr>
                <w:color w:val="000000"/>
                <w:sz w:val="24"/>
              </w:rPr>
            </w:pPr>
            <w:r>
              <w:rPr>
                <w:color w:val="000000"/>
                <w:sz w:val="24"/>
              </w:rPr>
              <w:t>1,716,816.02</w:t>
            </w:r>
          </w:p>
        </w:tc>
      </w:tr>
      <w:tr w:rsidR="000E6BAE">
        <w:tc>
          <w:tcPr>
            <w:tcW w:w="3420" w:type="dxa"/>
            <w:vAlign w:val="center"/>
          </w:tcPr>
          <w:p w:rsidR="000E6BAE" w:rsidRDefault="00CD6463">
            <w:pPr>
              <w:spacing w:before="29" w:line="288" w:lineRule="auto"/>
              <w:rPr>
                <w:color w:val="000000"/>
                <w:sz w:val="24"/>
              </w:rPr>
            </w:pPr>
            <w:r>
              <w:rPr>
                <w:color w:val="000000"/>
                <w:sz w:val="24"/>
              </w:rPr>
              <w:t>3</w:t>
            </w:r>
            <w:r>
              <w:rPr>
                <w:rFonts w:hint="eastAsia"/>
                <w:color w:val="000000"/>
                <w:sz w:val="24"/>
              </w:rPr>
              <w:t>．销售服务费</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10,812.23</w:t>
            </w:r>
          </w:p>
        </w:tc>
        <w:tc>
          <w:tcPr>
            <w:tcW w:w="2250" w:type="dxa"/>
            <w:vAlign w:val="center"/>
          </w:tcPr>
          <w:p w:rsidR="000E6BAE" w:rsidRDefault="00CD6463">
            <w:pPr>
              <w:spacing w:before="29" w:line="288" w:lineRule="auto"/>
              <w:jc w:val="right"/>
              <w:rPr>
                <w:color w:val="000000"/>
                <w:sz w:val="24"/>
              </w:rPr>
            </w:pPr>
            <w:r>
              <w:rPr>
                <w:color w:val="000000"/>
                <w:sz w:val="24"/>
              </w:rPr>
              <w:t>3,769.12</w:t>
            </w:r>
          </w:p>
        </w:tc>
      </w:tr>
      <w:tr w:rsidR="000E6BAE">
        <w:tc>
          <w:tcPr>
            <w:tcW w:w="3420" w:type="dxa"/>
            <w:vAlign w:val="center"/>
          </w:tcPr>
          <w:p w:rsidR="000E6BAE" w:rsidRDefault="00CD6463">
            <w:pPr>
              <w:spacing w:before="29" w:line="288" w:lineRule="auto"/>
              <w:rPr>
                <w:color w:val="000000"/>
                <w:sz w:val="24"/>
              </w:rPr>
            </w:pPr>
            <w:r>
              <w:rPr>
                <w:color w:val="000000"/>
                <w:sz w:val="24"/>
              </w:rPr>
              <w:t>4</w:t>
            </w:r>
            <w:r>
              <w:rPr>
                <w:rFonts w:hint="eastAsia"/>
                <w:color w:val="000000"/>
                <w:sz w:val="24"/>
              </w:rPr>
              <w:t>．交易费用</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7.4.7.19</w:t>
            </w:r>
          </w:p>
        </w:tc>
        <w:tc>
          <w:tcPr>
            <w:tcW w:w="2250" w:type="dxa"/>
            <w:vAlign w:val="center"/>
          </w:tcPr>
          <w:p w:rsidR="000E6BAE" w:rsidRDefault="00CD6463">
            <w:pPr>
              <w:spacing w:before="29" w:line="288" w:lineRule="auto"/>
              <w:jc w:val="right"/>
              <w:rPr>
                <w:color w:val="000000"/>
                <w:sz w:val="24"/>
              </w:rPr>
            </w:pPr>
            <w:r>
              <w:rPr>
                <w:color w:val="000000"/>
                <w:sz w:val="24"/>
              </w:rPr>
              <w:t>77,175.00</w:t>
            </w:r>
          </w:p>
        </w:tc>
        <w:tc>
          <w:tcPr>
            <w:tcW w:w="2250" w:type="dxa"/>
            <w:vAlign w:val="center"/>
          </w:tcPr>
          <w:p w:rsidR="000E6BAE" w:rsidRDefault="00CD6463">
            <w:pPr>
              <w:spacing w:before="29" w:line="288" w:lineRule="auto"/>
              <w:jc w:val="right"/>
              <w:rPr>
                <w:color w:val="000000"/>
                <w:sz w:val="24"/>
              </w:rPr>
            </w:pPr>
            <w:r>
              <w:rPr>
                <w:color w:val="000000"/>
                <w:sz w:val="24"/>
              </w:rPr>
              <w:t>38,368.09</w:t>
            </w:r>
          </w:p>
        </w:tc>
      </w:tr>
      <w:tr w:rsidR="000E6BAE">
        <w:tc>
          <w:tcPr>
            <w:tcW w:w="3420" w:type="dxa"/>
            <w:vAlign w:val="center"/>
          </w:tcPr>
          <w:p w:rsidR="000E6BAE" w:rsidRDefault="00CD6463">
            <w:pPr>
              <w:spacing w:before="29" w:line="288" w:lineRule="auto"/>
              <w:rPr>
                <w:color w:val="000000"/>
                <w:sz w:val="24"/>
              </w:rPr>
            </w:pPr>
            <w:r>
              <w:rPr>
                <w:color w:val="000000"/>
                <w:sz w:val="24"/>
              </w:rPr>
              <w:t>5</w:t>
            </w:r>
            <w:r>
              <w:rPr>
                <w:rFonts w:hint="eastAsia"/>
                <w:color w:val="000000"/>
                <w:sz w:val="24"/>
              </w:rPr>
              <w:t>．利息支出</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7,567,447.69</w:t>
            </w:r>
          </w:p>
        </w:tc>
        <w:tc>
          <w:tcPr>
            <w:tcW w:w="2250" w:type="dxa"/>
            <w:vAlign w:val="center"/>
          </w:tcPr>
          <w:p w:rsidR="000E6BAE" w:rsidRDefault="00CD6463">
            <w:pPr>
              <w:spacing w:before="29" w:line="288" w:lineRule="auto"/>
              <w:jc w:val="right"/>
              <w:rPr>
                <w:color w:val="000000"/>
                <w:sz w:val="24"/>
              </w:rPr>
            </w:pPr>
            <w:r>
              <w:rPr>
                <w:color w:val="000000"/>
                <w:sz w:val="24"/>
              </w:rPr>
              <w:t>8,908,945.47</w:t>
            </w:r>
          </w:p>
        </w:tc>
      </w:tr>
      <w:tr w:rsidR="000E6BAE">
        <w:tc>
          <w:tcPr>
            <w:tcW w:w="3420" w:type="dxa"/>
            <w:vAlign w:val="center"/>
          </w:tcPr>
          <w:p w:rsidR="000E6BAE" w:rsidRDefault="00CD6463">
            <w:pPr>
              <w:spacing w:before="29" w:line="288" w:lineRule="auto"/>
              <w:rPr>
                <w:color w:val="000000"/>
                <w:sz w:val="24"/>
              </w:rPr>
            </w:pPr>
            <w:r>
              <w:rPr>
                <w:rFonts w:hint="eastAsia"/>
                <w:color w:val="000000"/>
                <w:sz w:val="24"/>
              </w:rPr>
              <w:t>其中：卖出回购金融资产支出</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7,567,447.69</w:t>
            </w:r>
          </w:p>
        </w:tc>
        <w:tc>
          <w:tcPr>
            <w:tcW w:w="2250" w:type="dxa"/>
            <w:vAlign w:val="center"/>
          </w:tcPr>
          <w:p w:rsidR="000E6BAE" w:rsidRDefault="00CD6463">
            <w:pPr>
              <w:spacing w:before="29" w:line="288" w:lineRule="auto"/>
              <w:jc w:val="right"/>
              <w:rPr>
                <w:color w:val="000000"/>
                <w:sz w:val="24"/>
              </w:rPr>
            </w:pPr>
            <w:r>
              <w:rPr>
                <w:color w:val="000000"/>
                <w:sz w:val="24"/>
              </w:rPr>
              <w:t>8,908,945.47</w:t>
            </w:r>
          </w:p>
        </w:tc>
      </w:tr>
      <w:tr w:rsidR="000E6BAE">
        <w:tc>
          <w:tcPr>
            <w:tcW w:w="3420" w:type="dxa"/>
            <w:vAlign w:val="center"/>
          </w:tcPr>
          <w:p w:rsidR="000E6BAE" w:rsidRDefault="00CD6463">
            <w:pPr>
              <w:rPr>
                <w:rFonts w:eastAsiaTheme="minorEastAsia"/>
                <w:color w:val="000000"/>
                <w:sz w:val="24"/>
              </w:rPr>
            </w:pPr>
            <w:r>
              <w:rPr>
                <w:rFonts w:eastAsiaTheme="minorEastAsia" w:hint="eastAsia"/>
                <w:color w:val="000000"/>
                <w:sz w:val="24"/>
              </w:rPr>
              <w:t>6</w:t>
            </w:r>
            <w:r>
              <w:rPr>
                <w:rFonts w:eastAsiaTheme="minorEastAsia"/>
                <w:color w:val="000000"/>
                <w:sz w:val="24"/>
              </w:rPr>
              <w:t>．</w:t>
            </w:r>
            <w:r>
              <w:rPr>
                <w:rFonts w:eastAsiaTheme="minorEastAsia" w:hint="eastAsia"/>
                <w:color w:val="000000"/>
                <w:sz w:val="24"/>
              </w:rPr>
              <w:t>税金及附加</w:t>
            </w:r>
          </w:p>
        </w:tc>
        <w:tc>
          <w:tcPr>
            <w:tcW w:w="1080" w:type="dxa"/>
            <w:vAlign w:val="center"/>
          </w:tcPr>
          <w:p w:rsidR="000E6BAE" w:rsidRDefault="000E6BAE">
            <w:pPr>
              <w:pStyle w:val="af9"/>
              <w:jc w:val="center"/>
              <w:rPr>
                <w:rFonts w:ascii="Times New Roman" w:eastAsiaTheme="minorEastAsia" w:hAnsi="Times New Roman"/>
                <w:color w:val="000000"/>
              </w:rPr>
            </w:pPr>
          </w:p>
        </w:tc>
        <w:tc>
          <w:tcPr>
            <w:tcW w:w="2250" w:type="dxa"/>
            <w:vAlign w:val="bottom"/>
          </w:tcPr>
          <w:p w:rsidR="000E6BAE" w:rsidRDefault="00CD6463">
            <w:pPr>
              <w:jc w:val="right"/>
              <w:rPr>
                <w:rFonts w:eastAsiaTheme="minorEastAsia"/>
                <w:color w:val="000000"/>
                <w:sz w:val="24"/>
              </w:rPr>
            </w:pPr>
            <w:r>
              <w:rPr>
                <w:rFonts w:eastAsiaTheme="minorEastAsia"/>
                <w:color w:val="000000"/>
                <w:sz w:val="24"/>
              </w:rPr>
              <w:t>2,026.50</w:t>
            </w:r>
          </w:p>
        </w:tc>
        <w:tc>
          <w:tcPr>
            <w:tcW w:w="2250" w:type="dxa"/>
            <w:vAlign w:val="bottom"/>
          </w:tcPr>
          <w:p w:rsidR="000E6BAE" w:rsidRDefault="00CD6463">
            <w:pPr>
              <w:jc w:val="right"/>
              <w:rPr>
                <w:rFonts w:eastAsiaTheme="minorEastAsia"/>
                <w:color w:val="000000"/>
                <w:sz w:val="24"/>
              </w:rPr>
            </w:pPr>
            <w:r>
              <w:rPr>
                <w:rFonts w:eastAsiaTheme="minorEastAsia"/>
                <w:color w:val="000000"/>
                <w:sz w:val="24"/>
              </w:rPr>
              <w:t>1.61</w:t>
            </w:r>
          </w:p>
        </w:tc>
      </w:tr>
      <w:tr w:rsidR="000E6BAE">
        <w:tc>
          <w:tcPr>
            <w:tcW w:w="3420" w:type="dxa"/>
            <w:vAlign w:val="center"/>
          </w:tcPr>
          <w:p w:rsidR="000E6BAE" w:rsidRDefault="00CD6463">
            <w:pPr>
              <w:spacing w:before="29" w:line="288" w:lineRule="auto"/>
              <w:rPr>
                <w:color w:val="000000"/>
                <w:sz w:val="24"/>
              </w:rPr>
            </w:pPr>
            <w:r>
              <w:rPr>
                <w:rFonts w:hint="eastAsia"/>
                <w:color w:val="000000"/>
                <w:sz w:val="24"/>
              </w:rPr>
              <w:t>7</w:t>
            </w:r>
            <w:r>
              <w:rPr>
                <w:rFonts w:hint="eastAsia"/>
                <w:color w:val="000000"/>
                <w:sz w:val="24"/>
              </w:rPr>
              <w:t>．其他费用</w:t>
            </w:r>
          </w:p>
        </w:tc>
        <w:tc>
          <w:tcPr>
            <w:tcW w:w="1080" w:type="dxa"/>
            <w:vAlign w:val="center"/>
          </w:tcPr>
          <w:p w:rsidR="000E6BAE" w:rsidRDefault="00CD6463">
            <w:pPr>
              <w:widowControl/>
              <w:autoSpaceDE w:val="0"/>
              <w:autoSpaceDN w:val="0"/>
              <w:ind w:right="-15"/>
              <w:jc w:val="center"/>
              <w:textAlignment w:val="bottom"/>
              <w:rPr>
                <w:color w:val="000000"/>
                <w:sz w:val="24"/>
              </w:rPr>
            </w:pPr>
            <w:r>
              <w:rPr>
                <w:rFonts w:hint="eastAsia"/>
                <w:color w:val="000000"/>
                <w:sz w:val="24"/>
              </w:rPr>
              <w:t>7.4.7.20</w:t>
            </w:r>
          </w:p>
        </w:tc>
        <w:tc>
          <w:tcPr>
            <w:tcW w:w="2250" w:type="dxa"/>
            <w:vAlign w:val="center"/>
          </w:tcPr>
          <w:p w:rsidR="000E6BAE" w:rsidRDefault="00CD6463">
            <w:pPr>
              <w:spacing w:before="29" w:line="288" w:lineRule="auto"/>
              <w:jc w:val="right"/>
              <w:rPr>
                <w:color w:val="000000"/>
                <w:sz w:val="24"/>
              </w:rPr>
            </w:pPr>
            <w:r>
              <w:rPr>
                <w:color w:val="000000"/>
                <w:sz w:val="24"/>
              </w:rPr>
              <w:t>239,421.92</w:t>
            </w:r>
          </w:p>
        </w:tc>
        <w:tc>
          <w:tcPr>
            <w:tcW w:w="2250" w:type="dxa"/>
            <w:vAlign w:val="center"/>
          </w:tcPr>
          <w:p w:rsidR="000E6BAE" w:rsidRDefault="00CD6463">
            <w:pPr>
              <w:spacing w:before="29" w:line="288" w:lineRule="auto"/>
              <w:jc w:val="right"/>
              <w:rPr>
                <w:color w:val="000000"/>
                <w:sz w:val="24"/>
              </w:rPr>
            </w:pPr>
            <w:r>
              <w:rPr>
                <w:color w:val="000000"/>
                <w:sz w:val="24"/>
              </w:rPr>
              <w:t>286,590.18</w:t>
            </w:r>
          </w:p>
        </w:tc>
      </w:tr>
      <w:tr w:rsidR="000E6BAE">
        <w:tc>
          <w:tcPr>
            <w:tcW w:w="3420" w:type="dxa"/>
            <w:vAlign w:val="center"/>
          </w:tcPr>
          <w:p w:rsidR="000E6BAE" w:rsidRDefault="00CD6463">
            <w:pPr>
              <w:spacing w:before="29" w:line="288" w:lineRule="auto"/>
              <w:rPr>
                <w:rFonts w:asciiTheme="minorEastAsia" w:eastAsiaTheme="minorEastAsia" w:hAnsiTheme="minorEastAsia"/>
                <w:b/>
                <w:color w:val="000000"/>
                <w:szCs w:val="21"/>
              </w:rPr>
            </w:pPr>
            <w:r>
              <w:rPr>
                <w:rFonts w:hint="eastAsia"/>
                <w:b/>
                <w:color w:val="000000"/>
                <w:sz w:val="24"/>
              </w:rPr>
              <w:t>三、利润总额（亏损总额以</w:t>
            </w:r>
            <w:r>
              <w:rPr>
                <w:b/>
                <w:color w:val="000000"/>
                <w:sz w:val="24"/>
              </w:rPr>
              <w:t>“-”</w:t>
            </w:r>
            <w:r>
              <w:rPr>
                <w:rFonts w:hint="eastAsia"/>
                <w:b/>
                <w:color w:val="000000"/>
                <w:sz w:val="24"/>
              </w:rPr>
              <w:t>号填列）</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b/>
                <w:color w:val="000000"/>
                <w:sz w:val="24"/>
              </w:rPr>
            </w:pPr>
            <w:r>
              <w:rPr>
                <w:b/>
                <w:color w:val="000000"/>
                <w:sz w:val="24"/>
              </w:rPr>
              <w:t>1,943,008.65</w:t>
            </w:r>
          </w:p>
        </w:tc>
        <w:tc>
          <w:tcPr>
            <w:tcW w:w="2250" w:type="dxa"/>
            <w:vAlign w:val="center"/>
          </w:tcPr>
          <w:p w:rsidR="000E6BAE" w:rsidRDefault="00CD6463">
            <w:pPr>
              <w:spacing w:before="29" w:line="288" w:lineRule="auto"/>
              <w:jc w:val="right"/>
              <w:rPr>
                <w:b/>
                <w:color w:val="000000"/>
                <w:sz w:val="24"/>
              </w:rPr>
            </w:pPr>
            <w:r>
              <w:rPr>
                <w:b/>
                <w:color w:val="000000"/>
                <w:sz w:val="24"/>
              </w:rPr>
              <w:t>63,775,882.01</w:t>
            </w:r>
          </w:p>
        </w:tc>
      </w:tr>
      <w:tr w:rsidR="000E6BAE">
        <w:tc>
          <w:tcPr>
            <w:tcW w:w="3420" w:type="dxa"/>
            <w:vAlign w:val="center"/>
          </w:tcPr>
          <w:p w:rsidR="000E6BAE" w:rsidRDefault="00CD6463">
            <w:pPr>
              <w:spacing w:before="29" w:line="288" w:lineRule="auto"/>
              <w:rPr>
                <w:rFonts w:asciiTheme="minorEastAsia" w:eastAsiaTheme="minorEastAsia" w:hAnsiTheme="minorEastAsia"/>
                <w:b/>
                <w:color w:val="000000"/>
                <w:szCs w:val="21"/>
              </w:rPr>
            </w:pPr>
            <w:r>
              <w:rPr>
                <w:rFonts w:hint="eastAsia"/>
                <w:color w:val="000000"/>
                <w:sz w:val="24"/>
              </w:rPr>
              <w:t>减：所得税费用</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color w:val="000000"/>
                <w:sz w:val="24"/>
              </w:rPr>
            </w:pPr>
            <w:r>
              <w:rPr>
                <w:color w:val="000000"/>
                <w:sz w:val="24"/>
              </w:rPr>
              <w:t>-</w:t>
            </w:r>
          </w:p>
        </w:tc>
        <w:tc>
          <w:tcPr>
            <w:tcW w:w="2250" w:type="dxa"/>
            <w:vAlign w:val="center"/>
          </w:tcPr>
          <w:p w:rsidR="000E6BAE" w:rsidRDefault="00CD6463">
            <w:pPr>
              <w:spacing w:before="29" w:line="288" w:lineRule="auto"/>
              <w:jc w:val="right"/>
              <w:rPr>
                <w:color w:val="000000"/>
                <w:sz w:val="24"/>
              </w:rPr>
            </w:pPr>
            <w:r>
              <w:rPr>
                <w:color w:val="000000"/>
                <w:sz w:val="24"/>
              </w:rPr>
              <w:t>-</w:t>
            </w:r>
          </w:p>
        </w:tc>
      </w:tr>
      <w:tr w:rsidR="000E6BAE">
        <w:tc>
          <w:tcPr>
            <w:tcW w:w="3420" w:type="dxa"/>
            <w:vAlign w:val="center"/>
          </w:tcPr>
          <w:p w:rsidR="000E6BAE" w:rsidRDefault="00CD6463">
            <w:pPr>
              <w:spacing w:before="29" w:line="288" w:lineRule="auto"/>
              <w:rPr>
                <w:rFonts w:asciiTheme="minorEastAsia" w:eastAsiaTheme="minorEastAsia" w:hAnsiTheme="minorEastAsia"/>
                <w:b/>
                <w:color w:val="000000"/>
                <w:szCs w:val="21"/>
              </w:rPr>
            </w:pPr>
            <w:r>
              <w:rPr>
                <w:rFonts w:hint="eastAsia"/>
                <w:b/>
                <w:color w:val="000000"/>
                <w:sz w:val="24"/>
              </w:rPr>
              <w:t>四、净利润（净亏损以</w:t>
            </w:r>
            <w:r>
              <w:rPr>
                <w:b/>
                <w:color w:val="000000"/>
                <w:sz w:val="24"/>
              </w:rPr>
              <w:t>“-”</w:t>
            </w:r>
            <w:r>
              <w:rPr>
                <w:rFonts w:hint="eastAsia"/>
                <w:b/>
                <w:color w:val="000000"/>
                <w:sz w:val="24"/>
              </w:rPr>
              <w:t>号填列）</w:t>
            </w:r>
          </w:p>
        </w:tc>
        <w:tc>
          <w:tcPr>
            <w:tcW w:w="1080" w:type="dxa"/>
            <w:vAlign w:val="center"/>
          </w:tcPr>
          <w:p w:rsidR="000E6BAE" w:rsidRDefault="000E6BAE">
            <w:pPr>
              <w:widowControl/>
              <w:autoSpaceDE w:val="0"/>
              <w:autoSpaceDN w:val="0"/>
              <w:ind w:right="-15"/>
              <w:jc w:val="center"/>
              <w:textAlignment w:val="bottom"/>
              <w:rPr>
                <w:color w:val="000000"/>
                <w:sz w:val="24"/>
              </w:rPr>
            </w:pPr>
          </w:p>
        </w:tc>
        <w:tc>
          <w:tcPr>
            <w:tcW w:w="2250" w:type="dxa"/>
            <w:vAlign w:val="center"/>
          </w:tcPr>
          <w:p w:rsidR="000E6BAE" w:rsidRDefault="00CD6463">
            <w:pPr>
              <w:spacing w:before="29" w:line="288" w:lineRule="auto"/>
              <w:jc w:val="right"/>
              <w:rPr>
                <w:b/>
                <w:color w:val="000000"/>
                <w:sz w:val="24"/>
              </w:rPr>
            </w:pPr>
            <w:r>
              <w:rPr>
                <w:b/>
                <w:color w:val="000000"/>
                <w:sz w:val="24"/>
              </w:rPr>
              <w:t>1,943,008.65</w:t>
            </w:r>
          </w:p>
        </w:tc>
        <w:tc>
          <w:tcPr>
            <w:tcW w:w="2250" w:type="dxa"/>
            <w:vAlign w:val="center"/>
          </w:tcPr>
          <w:p w:rsidR="000E6BAE" w:rsidRDefault="00CD6463">
            <w:pPr>
              <w:spacing w:before="29" w:line="288" w:lineRule="auto"/>
              <w:jc w:val="right"/>
              <w:rPr>
                <w:b/>
                <w:color w:val="000000"/>
                <w:sz w:val="24"/>
              </w:rPr>
            </w:pPr>
            <w:r>
              <w:rPr>
                <w:b/>
                <w:color w:val="000000"/>
                <w:sz w:val="24"/>
              </w:rPr>
              <w:t>63,775,882.01</w:t>
            </w:r>
          </w:p>
        </w:tc>
      </w:tr>
    </w:tbl>
    <w:p w:rsidR="000E6BAE" w:rsidRDefault="000E6BAE">
      <w:pPr>
        <w:spacing w:line="360" w:lineRule="auto"/>
        <w:rPr>
          <w:rFonts w:asciiTheme="minorEastAsia" w:eastAsiaTheme="minorEastAsia" w:hAnsiTheme="minorEastAsia"/>
          <w:color w:val="000000"/>
          <w:szCs w:val="21"/>
        </w:rPr>
      </w:pPr>
    </w:p>
    <w:p w:rsidR="000E6BAE" w:rsidRDefault="00CD6463">
      <w:pPr>
        <w:pStyle w:val="2"/>
        <w:spacing w:before="29" w:after="0" w:line="288" w:lineRule="auto"/>
        <w:rPr>
          <w:rFonts w:eastAsiaTheme="minorEastAsia"/>
        </w:rPr>
      </w:pPr>
      <w:bookmarkStart w:id="119" w:name="_Toc225498270"/>
      <w:bookmarkStart w:id="120" w:name="_Toc361324875"/>
      <w:bookmarkStart w:id="121" w:name="_Toc14581"/>
      <w:r>
        <w:rPr>
          <w:rFonts w:eastAsiaTheme="minorEastAsia"/>
        </w:rPr>
        <w:t xml:space="preserve">7.3 </w:t>
      </w:r>
      <w:r>
        <w:rPr>
          <w:rFonts w:eastAsiaTheme="minorEastAsia" w:hint="eastAsia"/>
        </w:rPr>
        <w:t>所有者权益（基金净值）变动表</w:t>
      </w:r>
      <w:bookmarkEnd w:id="119"/>
      <w:bookmarkEnd w:id="120"/>
      <w:bookmarkEnd w:id="121"/>
    </w:p>
    <w:p w:rsidR="000E6BAE" w:rsidRDefault="00CD6463">
      <w:pPr>
        <w:spacing w:before="29" w:line="288" w:lineRule="auto"/>
        <w:rPr>
          <w:color w:val="000000"/>
          <w:sz w:val="24"/>
        </w:rPr>
      </w:pPr>
      <w:r>
        <w:rPr>
          <w:rFonts w:hint="eastAsia"/>
          <w:color w:val="000000"/>
          <w:sz w:val="24"/>
        </w:rPr>
        <w:t>会计主体：</w:t>
      </w:r>
      <w:r>
        <w:rPr>
          <w:color w:val="000000"/>
          <w:sz w:val="24"/>
        </w:rPr>
        <w:t>交银施罗德丰润收益债券型证券投资基金</w:t>
      </w:r>
    </w:p>
    <w:p w:rsidR="000E6BAE" w:rsidRDefault="00CD6463">
      <w:pPr>
        <w:spacing w:before="29" w:line="288" w:lineRule="auto"/>
        <w:rPr>
          <w:color w:val="000000"/>
          <w:sz w:val="24"/>
        </w:rPr>
      </w:pPr>
      <w:r>
        <w:rPr>
          <w:rFonts w:hint="eastAsia"/>
          <w:color w:val="000000"/>
          <w:sz w:val="24"/>
        </w:rPr>
        <w:t>本报告期：</w:t>
      </w: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w:t>
      </w:r>
      <w:r>
        <w:rPr>
          <w:rFonts w:hint="eastAsia"/>
          <w:color w:val="000000"/>
          <w:sz w:val="24"/>
        </w:rPr>
        <w:t>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p w:rsidR="000E6BAE" w:rsidRDefault="00CD6463">
      <w:pPr>
        <w:autoSpaceDE w:val="0"/>
        <w:autoSpaceDN w:val="0"/>
        <w:adjustRightInd w:val="0"/>
        <w:spacing w:before="29" w:line="288" w:lineRule="auto"/>
        <w:ind w:left="15"/>
        <w:jc w:val="right"/>
        <w:rPr>
          <w:color w:val="000000"/>
          <w:kern w:val="0"/>
          <w:sz w:val="24"/>
        </w:rPr>
      </w:pPr>
      <w:r>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196"/>
        <w:gridCol w:w="2197"/>
        <w:gridCol w:w="2197"/>
      </w:tblGrid>
      <w:tr w:rsidR="000E6BAE">
        <w:tc>
          <w:tcPr>
            <w:tcW w:w="2410" w:type="dxa"/>
            <w:vMerge w:val="restart"/>
            <w:vAlign w:val="center"/>
          </w:tcPr>
          <w:p w:rsidR="000E6BAE" w:rsidRDefault="00CD6463">
            <w:pPr>
              <w:spacing w:before="29" w:line="288" w:lineRule="auto"/>
              <w:jc w:val="center"/>
              <w:rPr>
                <w:b/>
                <w:color w:val="000000"/>
                <w:sz w:val="24"/>
              </w:rPr>
            </w:pPr>
            <w:r>
              <w:rPr>
                <w:rFonts w:hint="eastAsia"/>
                <w:b/>
                <w:color w:val="000000"/>
                <w:sz w:val="24"/>
              </w:rPr>
              <w:t>项目</w:t>
            </w:r>
          </w:p>
        </w:tc>
        <w:tc>
          <w:tcPr>
            <w:tcW w:w="6590" w:type="dxa"/>
            <w:gridSpan w:val="3"/>
            <w:vAlign w:val="center"/>
          </w:tcPr>
          <w:p w:rsidR="000E6BAE" w:rsidRDefault="00CD6463">
            <w:pPr>
              <w:spacing w:before="29" w:line="288" w:lineRule="auto"/>
              <w:jc w:val="center"/>
              <w:rPr>
                <w:b/>
                <w:color w:val="000000"/>
                <w:sz w:val="24"/>
              </w:rPr>
            </w:pPr>
            <w:r>
              <w:rPr>
                <w:rFonts w:hint="eastAsia"/>
                <w:b/>
                <w:color w:val="000000"/>
                <w:sz w:val="24"/>
              </w:rPr>
              <w:t>本期</w:t>
            </w:r>
          </w:p>
          <w:p w:rsidR="000E6BAE" w:rsidRDefault="00CD6463">
            <w:pPr>
              <w:pStyle w:val="af9"/>
              <w:spacing w:before="29" w:beforeAutospacing="0" w:after="0" w:afterAutospacing="0" w:line="288" w:lineRule="auto"/>
              <w:jc w:val="center"/>
              <w:rPr>
                <w:rFonts w:ascii="Times New Roman" w:hAnsi="Times New Roman"/>
                <w:b/>
                <w:color w:val="000000"/>
                <w:kern w:val="2"/>
              </w:rPr>
            </w:pPr>
            <w:r>
              <w:rPr>
                <w:rFonts w:ascii="Times New Roman" w:hAnsi="Times New Roman"/>
                <w:b/>
                <w:color w:val="000000"/>
                <w:kern w:val="2"/>
              </w:rPr>
              <w:t>2020</w:t>
            </w:r>
            <w:r>
              <w:rPr>
                <w:rFonts w:ascii="Times New Roman" w:hAnsi="Times New Roman"/>
                <w:b/>
                <w:color w:val="000000"/>
                <w:kern w:val="2"/>
              </w:rPr>
              <w:t>年</w:t>
            </w:r>
            <w:r>
              <w:rPr>
                <w:rFonts w:ascii="Times New Roman" w:hAnsi="Times New Roman"/>
                <w:b/>
                <w:color w:val="000000"/>
                <w:kern w:val="2"/>
              </w:rPr>
              <w:t>1</w:t>
            </w:r>
            <w:r>
              <w:rPr>
                <w:rFonts w:ascii="Times New Roman" w:hAnsi="Times New Roman"/>
                <w:b/>
                <w:color w:val="000000"/>
                <w:kern w:val="2"/>
              </w:rPr>
              <w:t>月</w:t>
            </w:r>
            <w:r>
              <w:rPr>
                <w:rFonts w:ascii="Times New Roman" w:hAnsi="Times New Roman"/>
                <w:b/>
                <w:color w:val="000000"/>
                <w:kern w:val="2"/>
              </w:rPr>
              <w:t>1</w:t>
            </w:r>
            <w:r>
              <w:rPr>
                <w:rFonts w:ascii="Times New Roman" w:hAnsi="Times New Roman"/>
                <w:b/>
                <w:color w:val="000000"/>
                <w:kern w:val="2"/>
              </w:rPr>
              <w:t>日</w:t>
            </w:r>
            <w:r>
              <w:rPr>
                <w:rFonts w:ascii="Times New Roman" w:hAnsi="Times New Roman" w:hint="eastAsia"/>
                <w:b/>
                <w:color w:val="000000"/>
                <w:kern w:val="2"/>
              </w:rPr>
              <w:t>至</w:t>
            </w:r>
            <w:r>
              <w:rPr>
                <w:rFonts w:ascii="Times New Roman" w:hAnsi="Times New Roman"/>
                <w:b/>
                <w:color w:val="000000"/>
                <w:kern w:val="2"/>
              </w:rPr>
              <w:t>2020</w:t>
            </w:r>
            <w:r>
              <w:rPr>
                <w:rFonts w:ascii="Times New Roman" w:hAnsi="Times New Roman"/>
                <w:b/>
                <w:color w:val="000000"/>
                <w:kern w:val="2"/>
              </w:rPr>
              <w:t>年</w:t>
            </w:r>
            <w:r>
              <w:rPr>
                <w:rFonts w:ascii="Times New Roman" w:hAnsi="Times New Roman"/>
                <w:b/>
                <w:color w:val="000000"/>
                <w:kern w:val="2"/>
              </w:rPr>
              <w:t>12</w:t>
            </w:r>
            <w:r>
              <w:rPr>
                <w:rFonts w:ascii="Times New Roman" w:hAnsi="Times New Roman"/>
                <w:b/>
                <w:color w:val="000000"/>
                <w:kern w:val="2"/>
              </w:rPr>
              <w:t>月</w:t>
            </w:r>
            <w:r>
              <w:rPr>
                <w:rFonts w:ascii="Times New Roman" w:hAnsi="Times New Roman"/>
                <w:b/>
                <w:color w:val="000000"/>
                <w:kern w:val="2"/>
              </w:rPr>
              <w:t>31</w:t>
            </w:r>
            <w:r>
              <w:rPr>
                <w:rFonts w:ascii="Times New Roman" w:hAnsi="Times New Roman"/>
                <w:b/>
                <w:color w:val="000000"/>
                <w:kern w:val="2"/>
              </w:rPr>
              <w:t>日</w:t>
            </w:r>
          </w:p>
        </w:tc>
      </w:tr>
      <w:tr w:rsidR="000E6BAE">
        <w:tc>
          <w:tcPr>
            <w:tcW w:w="2410" w:type="dxa"/>
            <w:vMerge/>
            <w:vAlign w:val="center"/>
          </w:tcPr>
          <w:p w:rsidR="000E6BAE" w:rsidRDefault="000E6BAE">
            <w:pPr>
              <w:spacing w:before="29" w:line="288" w:lineRule="auto"/>
              <w:jc w:val="center"/>
              <w:rPr>
                <w:b/>
                <w:color w:val="000000"/>
                <w:sz w:val="24"/>
              </w:rPr>
            </w:pPr>
          </w:p>
        </w:tc>
        <w:tc>
          <w:tcPr>
            <w:tcW w:w="2196" w:type="dxa"/>
            <w:vAlign w:val="center"/>
          </w:tcPr>
          <w:p w:rsidR="000E6BAE" w:rsidRDefault="00CD6463">
            <w:pPr>
              <w:spacing w:before="29" w:line="288" w:lineRule="auto"/>
              <w:jc w:val="center"/>
              <w:rPr>
                <w:b/>
                <w:color w:val="000000"/>
                <w:sz w:val="24"/>
              </w:rPr>
            </w:pPr>
            <w:r>
              <w:rPr>
                <w:rFonts w:hint="eastAsia"/>
                <w:b/>
                <w:color w:val="000000"/>
                <w:sz w:val="24"/>
              </w:rPr>
              <w:t>实收基金</w:t>
            </w:r>
          </w:p>
        </w:tc>
        <w:tc>
          <w:tcPr>
            <w:tcW w:w="2197" w:type="dxa"/>
            <w:vAlign w:val="center"/>
          </w:tcPr>
          <w:p w:rsidR="000E6BAE" w:rsidRDefault="00CD6463">
            <w:pPr>
              <w:spacing w:before="29" w:line="288" w:lineRule="auto"/>
              <w:jc w:val="center"/>
              <w:rPr>
                <w:b/>
                <w:color w:val="000000"/>
                <w:sz w:val="24"/>
              </w:rPr>
            </w:pPr>
            <w:r>
              <w:rPr>
                <w:rFonts w:hint="eastAsia"/>
                <w:b/>
                <w:color w:val="000000"/>
                <w:sz w:val="24"/>
              </w:rPr>
              <w:t>未分配利润</w:t>
            </w:r>
          </w:p>
        </w:tc>
        <w:tc>
          <w:tcPr>
            <w:tcW w:w="2197" w:type="dxa"/>
            <w:vAlign w:val="center"/>
          </w:tcPr>
          <w:p w:rsidR="000E6BAE" w:rsidRDefault="00CD6463">
            <w:pPr>
              <w:spacing w:before="29" w:line="288" w:lineRule="auto"/>
              <w:jc w:val="center"/>
              <w:rPr>
                <w:b/>
                <w:color w:val="000000"/>
                <w:sz w:val="24"/>
              </w:rPr>
            </w:pPr>
            <w:r>
              <w:rPr>
                <w:rFonts w:hint="eastAsia"/>
                <w:b/>
                <w:color w:val="000000"/>
                <w:sz w:val="24"/>
              </w:rPr>
              <w:t>所有者权益合计</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一、期初所有者权益（基金净值）</w:t>
            </w:r>
          </w:p>
        </w:tc>
        <w:tc>
          <w:tcPr>
            <w:tcW w:w="2196" w:type="dxa"/>
            <w:vAlign w:val="center"/>
          </w:tcPr>
          <w:p w:rsidR="000E6BAE" w:rsidRDefault="00CD6463">
            <w:pPr>
              <w:spacing w:before="29" w:line="288" w:lineRule="auto"/>
              <w:jc w:val="right"/>
              <w:rPr>
                <w:color w:val="000000"/>
                <w:sz w:val="24"/>
              </w:rPr>
            </w:pPr>
            <w:r>
              <w:rPr>
                <w:color w:val="000000"/>
                <w:sz w:val="24"/>
              </w:rPr>
              <w:t>3,261,612,551.99</w:t>
            </w:r>
          </w:p>
        </w:tc>
        <w:tc>
          <w:tcPr>
            <w:tcW w:w="2197" w:type="dxa"/>
            <w:vAlign w:val="center"/>
          </w:tcPr>
          <w:p w:rsidR="000E6BAE" w:rsidRDefault="00CD6463">
            <w:pPr>
              <w:spacing w:before="29" w:line="288" w:lineRule="auto"/>
              <w:jc w:val="right"/>
              <w:rPr>
                <w:color w:val="000000"/>
                <w:sz w:val="24"/>
              </w:rPr>
            </w:pPr>
            <w:r>
              <w:rPr>
                <w:color w:val="000000"/>
                <w:sz w:val="24"/>
              </w:rPr>
              <w:t>160,908,964.21</w:t>
            </w:r>
          </w:p>
        </w:tc>
        <w:tc>
          <w:tcPr>
            <w:tcW w:w="2197" w:type="dxa"/>
            <w:vAlign w:val="center"/>
          </w:tcPr>
          <w:p w:rsidR="000E6BAE" w:rsidRDefault="00CD6463">
            <w:pPr>
              <w:spacing w:before="29" w:line="288" w:lineRule="auto"/>
              <w:jc w:val="right"/>
              <w:rPr>
                <w:color w:val="000000"/>
                <w:sz w:val="24"/>
              </w:rPr>
            </w:pPr>
            <w:r>
              <w:rPr>
                <w:color w:val="000000"/>
                <w:sz w:val="24"/>
              </w:rPr>
              <w:t>3,422,521,516.20</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二、本期经营活动产生的基金净值变动数（本期利润）</w:t>
            </w:r>
          </w:p>
        </w:tc>
        <w:tc>
          <w:tcPr>
            <w:tcW w:w="2196" w:type="dxa"/>
            <w:vAlign w:val="center"/>
          </w:tcPr>
          <w:p w:rsidR="000E6BAE" w:rsidRDefault="00CD6463">
            <w:pPr>
              <w:spacing w:before="29" w:line="288" w:lineRule="auto"/>
              <w:jc w:val="right"/>
              <w:rPr>
                <w:color w:val="000000"/>
                <w:sz w:val="24"/>
              </w:rPr>
            </w:pPr>
            <w:r>
              <w:rPr>
                <w:color w:val="000000"/>
                <w:sz w:val="24"/>
              </w:rPr>
              <w:t>-</w:t>
            </w:r>
          </w:p>
        </w:tc>
        <w:tc>
          <w:tcPr>
            <w:tcW w:w="2197" w:type="dxa"/>
            <w:vAlign w:val="center"/>
          </w:tcPr>
          <w:p w:rsidR="000E6BAE" w:rsidRDefault="00CD6463">
            <w:pPr>
              <w:spacing w:before="29" w:line="288" w:lineRule="auto"/>
              <w:jc w:val="right"/>
              <w:rPr>
                <w:color w:val="000000"/>
                <w:sz w:val="24"/>
              </w:rPr>
            </w:pPr>
            <w:r>
              <w:rPr>
                <w:color w:val="000000"/>
                <w:sz w:val="24"/>
              </w:rPr>
              <w:t>1,943,008.65</w:t>
            </w:r>
          </w:p>
        </w:tc>
        <w:tc>
          <w:tcPr>
            <w:tcW w:w="2197" w:type="dxa"/>
            <w:vAlign w:val="center"/>
          </w:tcPr>
          <w:p w:rsidR="000E6BAE" w:rsidRDefault="00CD6463">
            <w:pPr>
              <w:spacing w:before="29" w:line="288" w:lineRule="auto"/>
              <w:jc w:val="right"/>
              <w:rPr>
                <w:color w:val="000000"/>
                <w:sz w:val="24"/>
              </w:rPr>
            </w:pPr>
            <w:r>
              <w:rPr>
                <w:color w:val="000000"/>
                <w:sz w:val="24"/>
              </w:rPr>
              <w:t>1,943,008.65</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三、本期基金份额交易产生的基金净值变动数（净值减少以</w:t>
            </w:r>
            <w:r>
              <w:rPr>
                <w:color w:val="000000"/>
                <w:sz w:val="24"/>
              </w:rPr>
              <w:t>“-”</w:t>
            </w:r>
            <w:r>
              <w:rPr>
                <w:rFonts w:hint="eastAsia"/>
                <w:color w:val="000000"/>
                <w:sz w:val="24"/>
              </w:rPr>
              <w:t>号填列）</w:t>
            </w:r>
          </w:p>
        </w:tc>
        <w:tc>
          <w:tcPr>
            <w:tcW w:w="2196" w:type="dxa"/>
            <w:vAlign w:val="center"/>
          </w:tcPr>
          <w:p w:rsidR="000E6BAE" w:rsidRDefault="00CD6463">
            <w:pPr>
              <w:spacing w:before="29" w:line="288" w:lineRule="auto"/>
              <w:jc w:val="right"/>
              <w:rPr>
                <w:color w:val="000000"/>
                <w:sz w:val="24"/>
              </w:rPr>
            </w:pPr>
            <w:r>
              <w:rPr>
                <w:color w:val="000000"/>
                <w:sz w:val="24"/>
              </w:rPr>
              <w:t>-1,935,526,872.47</w:t>
            </w:r>
          </w:p>
        </w:tc>
        <w:tc>
          <w:tcPr>
            <w:tcW w:w="2197" w:type="dxa"/>
            <w:vAlign w:val="center"/>
          </w:tcPr>
          <w:p w:rsidR="000E6BAE" w:rsidRDefault="00CD6463">
            <w:pPr>
              <w:spacing w:before="29" w:line="288" w:lineRule="auto"/>
              <w:jc w:val="right"/>
              <w:rPr>
                <w:color w:val="000000"/>
                <w:sz w:val="24"/>
              </w:rPr>
            </w:pPr>
            <w:r>
              <w:rPr>
                <w:color w:val="000000"/>
                <w:sz w:val="24"/>
              </w:rPr>
              <w:t>206,496,754.91</w:t>
            </w:r>
          </w:p>
        </w:tc>
        <w:tc>
          <w:tcPr>
            <w:tcW w:w="2197" w:type="dxa"/>
            <w:vAlign w:val="center"/>
          </w:tcPr>
          <w:p w:rsidR="000E6BAE" w:rsidRDefault="00CD6463">
            <w:pPr>
              <w:spacing w:before="29" w:line="288" w:lineRule="auto"/>
              <w:jc w:val="right"/>
              <w:rPr>
                <w:color w:val="000000"/>
                <w:sz w:val="24"/>
              </w:rPr>
            </w:pPr>
            <w:r>
              <w:rPr>
                <w:color w:val="000000"/>
                <w:sz w:val="24"/>
              </w:rPr>
              <w:t>-1,729,030,117.56</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其中：</w:t>
            </w:r>
            <w:r>
              <w:rPr>
                <w:color w:val="000000"/>
                <w:sz w:val="24"/>
              </w:rPr>
              <w:t>1.</w:t>
            </w:r>
            <w:r>
              <w:rPr>
                <w:rFonts w:hint="eastAsia"/>
                <w:color w:val="000000"/>
                <w:sz w:val="24"/>
              </w:rPr>
              <w:t>基金申购款</w:t>
            </w:r>
          </w:p>
        </w:tc>
        <w:tc>
          <w:tcPr>
            <w:tcW w:w="2196" w:type="dxa"/>
            <w:vAlign w:val="center"/>
          </w:tcPr>
          <w:p w:rsidR="000E6BAE" w:rsidRDefault="00CD6463">
            <w:pPr>
              <w:spacing w:before="29" w:line="288" w:lineRule="auto"/>
              <w:jc w:val="right"/>
              <w:rPr>
                <w:color w:val="000000"/>
                <w:sz w:val="24"/>
              </w:rPr>
            </w:pPr>
            <w:r>
              <w:rPr>
                <w:color w:val="000000"/>
                <w:sz w:val="24"/>
              </w:rPr>
              <w:t>4,853,360,565.46</w:t>
            </w:r>
          </w:p>
        </w:tc>
        <w:tc>
          <w:tcPr>
            <w:tcW w:w="2197" w:type="dxa"/>
            <w:vAlign w:val="center"/>
          </w:tcPr>
          <w:p w:rsidR="000E6BAE" w:rsidRDefault="00CD6463">
            <w:pPr>
              <w:spacing w:before="29" w:line="288" w:lineRule="auto"/>
              <w:jc w:val="right"/>
              <w:rPr>
                <w:color w:val="000000"/>
                <w:sz w:val="24"/>
              </w:rPr>
            </w:pPr>
            <w:r>
              <w:rPr>
                <w:color w:val="000000"/>
                <w:sz w:val="24"/>
              </w:rPr>
              <w:t>306,368,963.69</w:t>
            </w:r>
          </w:p>
        </w:tc>
        <w:tc>
          <w:tcPr>
            <w:tcW w:w="2197" w:type="dxa"/>
            <w:vAlign w:val="center"/>
          </w:tcPr>
          <w:p w:rsidR="000E6BAE" w:rsidRDefault="00CD6463">
            <w:pPr>
              <w:spacing w:before="29" w:line="288" w:lineRule="auto"/>
              <w:jc w:val="right"/>
              <w:rPr>
                <w:color w:val="000000"/>
                <w:sz w:val="24"/>
              </w:rPr>
            </w:pPr>
            <w:r>
              <w:rPr>
                <w:color w:val="000000"/>
                <w:sz w:val="24"/>
              </w:rPr>
              <w:t>5,159,729,529.15</w:t>
            </w:r>
          </w:p>
        </w:tc>
      </w:tr>
      <w:tr w:rsidR="000E6BAE">
        <w:tc>
          <w:tcPr>
            <w:tcW w:w="2410" w:type="dxa"/>
            <w:vAlign w:val="center"/>
          </w:tcPr>
          <w:p w:rsidR="000E6BAE" w:rsidRDefault="00CD6463">
            <w:pPr>
              <w:spacing w:before="29" w:line="288" w:lineRule="auto"/>
              <w:ind w:firstLineChars="300" w:firstLine="720"/>
              <w:rPr>
                <w:color w:val="000000"/>
                <w:sz w:val="24"/>
              </w:rPr>
            </w:pPr>
            <w:r>
              <w:rPr>
                <w:color w:val="000000"/>
                <w:sz w:val="24"/>
              </w:rPr>
              <w:t>2.</w:t>
            </w:r>
            <w:r>
              <w:rPr>
                <w:rFonts w:hint="eastAsia"/>
                <w:color w:val="000000"/>
                <w:sz w:val="24"/>
              </w:rPr>
              <w:t>基金赎回款</w:t>
            </w:r>
          </w:p>
        </w:tc>
        <w:tc>
          <w:tcPr>
            <w:tcW w:w="2196" w:type="dxa"/>
            <w:vAlign w:val="center"/>
          </w:tcPr>
          <w:p w:rsidR="000E6BAE" w:rsidRDefault="00CD6463">
            <w:pPr>
              <w:spacing w:before="29" w:line="288" w:lineRule="auto"/>
              <w:jc w:val="right"/>
              <w:rPr>
                <w:color w:val="000000"/>
                <w:sz w:val="24"/>
              </w:rPr>
            </w:pPr>
            <w:r>
              <w:rPr>
                <w:color w:val="000000"/>
                <w:sz w:val="24"/>
              </w:rPr>
              <w:t>-6,788,887,437.93</w:t>
            </w:r>
          </w:p>
        </w:tc>
        <w:tc>
          <w:tcPr>
            <w:tcW w:w="2197" w:type="dxa"/>
            <w:vAlign w:val="center"/>
          </w:tcPr>
          <w:p w:rsidR="000E6BAE" w:rsidRDefault="00CD6463">
            <w:pPr>
              <w:spacing w:before="29" w:line="288" w:lineRule="auto"/>
              <w:jc w:val="right"/>
              <w:rPr>
                <w:color w:val="000000"/>
                <w:sz w:val="24"/>
              </w:rPr>
            </w:pPr>
            <w:r>
              <w:rPr>
                <w:color w:val="000000"/>
                <w:sz w:val="24"/>
              </w:rPr>
              <w:t>-99,872,208.78</w:t>
            </w:r>
          </w:p>
        </w:tc>
        <w:tc>
          <w:tcPr>
            <w:tcW w:w="2197" w:type="dxa"/>
            <w:vAlign w:val="center"/>
          </w:tcPr>
          <w:p w:rsidR="000E6BAE" w:rsidRDefault="00CD6463">
            <w:pPr>
              <w:spacing w:before="29" w:line="288" w:lineRule="auto"/>
              <w:jc w:val="right"/>
              <w:rPr>
                <w:color w:val="000000"/>
                <w:sz w:val="24"/>
              </w:rPr>
            </w:pPr>
            <w:r>
              <w:rPr>
                <w:color w:val="000000"/>
                <w:sz w:val="24"/>
              </w:rPr>
              <w:t>-6,888,759,646.71</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四、本期向基金份额持有人分配利润产生的基金净值变动（净值减少以</w:t>
            </w:r>
            <w:r>
              <w:rPr>
                <w:color w:val="000000"/>
                <w:sz w:val="24"/>
              </w:rPr>
              <w:t>“-”</w:t>
            </w:r>
            <w:r>
              <w:rPr>
                <w:rFonts w:hint="eastAsia"/>
                <w:color w:val="000000"/>
                <w:sz w:val="24"/>
              </w:rPr>
              <w:t>号填列）</w:t>
            </w:r>
          </w:p>
        </w:tc>
        <w:tc>
          <w:tcPr>
            <w:tcW w:w="2196" w:type="dxa"/>
            <w:vAlign w:val="center"/>
          </w:tcPr>
          <w:p w:rsidR="000E6BAE" w:rsidRDefault="00CD6463">
            <w:pPr>
              <w:spacing w:before="29" w:line="288" w:lineRule="auto"/>
              <w:jc w:val="right"/>
              <w:rPr>
                <w:color w:val="000000"/>
                <w:sz w:val="24"/>
              </w:rPr>
            </w:pPr>
            <w:r>
              <w:rPr>
                <w:color w:val="000000"/>
                <w:sz w:val="24"/>
              </w:rPr>
              <w:t>-</w:t>
            </w:r>
          </w:p>
        </w:tc>
        <w:tc>
          <w:tcPr>
            <w:tcW w:w="2197" w:type="dxa"/>
            <w:vAlign w:val="center"/>
          </w:tcPr>
          <w:p w:rsidR="000E6BAE" w:rsidRDefault="00CD6463">
            <w:pPr>
              <w:spacing w:before="29" w:line="288" w:lineRule="auto"/>
              <w:jc w:val="right"/>
              <w:rPr>
                <w:color w:val="000000"/>
                <w:sz w:val="24"/>
              </w:rPr>
            </w:pPr>
            <w:r>
              <w:rPr>
                <w:color w:val="000000"/>
                <w:sz w:val="24"/>
              </w:rPr>
              <w:t>-347,505,289.88</w:t>
            </w:r>
          </w:p>
        </w:tc>
        <w:tc>
          <w:tcPr>
            <w:tcW w:w="2197" w:type="dxa"/>
            <w:vAlign w:val="center"/>
          </w:tcPr>
          <w:p w:rsidR="000E6BAE" w:rsidRDefault="00CD6463">
            <w:pPr>
              <w:spacing w:before="29" w:line="288" w:lineRule="auto"/>
              <w:jc w:val="right"/>
              <w:rPr>
                <w:color w:val="000000"/>
                <w:sz w:val="24"/>
              </w:rPr>
            </w:pPr>
            <w:r>
              <w:rPr>
                <w:color w:val="000000"/>
                <w:sz w:val="24"/>
              </w:rPr>
              <w:t>-347,505,289.88</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五、期末所有者权益（基金净值）</w:t>
            </w:r>
          </w:p>
        </w:tc>
        <w:tc>
          <w:tcPr>
            <w:tcW w:w="2196" w:type="dxa"/>
            <w:vAlign w:val="center"/>
          </w:tcPr>
          <w:p w:rsidR="000E6BAE" w:rsidRDefault="00CD6463">
            <w:pPr>
              <w:spacing w:before="29" w:line="288" w:lineRule="auto"/>
              <w:jc w:val="right"/>
              <w:rPr>
                <w:color w:val="000000"/>
                <w:sz w:val="24"/>
              </w:rPr>
            </w:pPr>
            <w:r>
              <w:rPr>
                <w:color w:val="000000"/>
                <w:sz w:val="24"/>
              </w:rPr>
              <w:t>1,326,085,679.52</w:t>
            </w:r>
          </w:p>
        </w:tc>
        <w:tc>
          <w:tcPr>
            <w:tcW w:w="2197" w:type="dxa"/>
            <w:vAlign w:val="center"/>
          </w:tcPr>
          <w:p w:rsidR="000E6BAE" w:rsidRDefault="00CD6463">
            <w:pPr>
              <w:spacing w:before="29" w:line="288" w:lineRule="auto"/>
              <w:jc w:val="right"/>
              <w:rPr>
                <w:color w:val="000000"/>
                <w:sz w:val="24"/>
              </w:rPr>
            </w:pPr>
            <w:r>
              <w:rPr>
                <w:color w:val="000000"/>
                <w:sz w:val="24"/>
              </w:rPr>
              <w:t>21,843,437.89</w:t>
            </w:r>
          </w:p>
        </w:tc>
        <w:tc>
          <w:tcPr>
            <w:tcW w:w="2197" w:type="dxa"/>
            <w:vAlign w:val="center"/>
          </w:tcPr>
          <w:p w:rsidR="000E6BAE" w:rsidRDefault="00CD6463">
            <w:pPr>
              <w:spacing w:before="29" w:line="288" w:lineRule="auto"/>
              <w:jc w:val="right"/>
              <w:rPr>
                <w:color w:val="000000"/>
                <w:sz w:val="24"/>
              </w:rPr>
            </w:pPr>
            <w:r>
              <w:rPr>
                <w:color w:val="000000"/>
                <w:sz w:val="24"/>
              </w:rPr>
              <w:t>1,347,929,117.41</w:t>
            </w:r>
          </w:p>
        </w:tc>
      </w:tr>
      <w:tr w:rsidR="000E6BAE">
        <w:tc>
          <w:tcPr>
            <w:tcW w:w="2410" w:type="dxa"/>
            <w:vMerge w:val="restart"/>
            <w:vAlign w:val="center"/>
          </w:tcPr>
          <w:p w:rsidR="000E6BAE" w:rsidRDefault="00CD6463">
            <w:pPr>
              <w:spacing w:before="29" w:line="288" w:lineRule="auto"/>
              <w:jc w:val="center"/>
              <w:rPr>
                <w:b/>
                <w:color w:val="000000"/>
                <w:sz w:val="24"/>
              </w:rPr>
            </w:pPr>
            <w:r>
              <w:rPr>
                <w:rFonts w:hint="eastAsia"/>
                <w:b/>
                <w:color w:val="000000"/>
                <w:sz w:val="24"/>
              </w:rPr>
              <w:t>项目</w:t>
            </w:r>
          </w:p>
        </w:tc>
        <w:tc>
          <w:tcPr>
            <w:tcW w:w="6590" w:type="dxa"/>
            <w:gridSpan w:val="3"/>
            <w:vAlign w:val="center"/>
          </w:tcPr>
          <w:p w:rsidR="000E6BAE" w:rsidRDefault="00CD6463">
            <w:pPr>
              <w:spacing w:before="29" w:line="288" w:lineRule="auto"/>
              <w:jc w:val="center"/>
              <w:rPr>
                <w:b/>
                <w:color w:val="000000"/>
                <w:sz w:val="24"/>
              </w:rPr>
            </w:pPr>
            <w:r>
              <w:rPr>
                <w:rFonts w:hint="eastAsia"/>
                <w:b/>
                <w:color w:val="000000"/>
                <w:sz w:val="24"/>
              </w:rPr>
              <w:t>上年度可比期间</w:t>
            </w:r>
          </w:p>
          <w:p w:rsidR="000E6BAE" w:rsidRDefault="00CD6463">
            <w:pPr>
              <w:pStyle w:val="af9"/>
              <w:spacing w:before="29" w:beforeAutospacing="0" w:after="0" w:afterAutospacing="0" w:line="288" w:lineRule="auto"/>
              <w:jc w:val="center"/>
              <w:rPr>
                <w:rFonts w:ascii="Times New Roman" w:hAnsi="Times New Roman"/>
                <w:b/>
                <w:color w:val="000000"/>
                <w:kern w:val="2"/>
              </w:rPr>
            </w:pPr>
            <w:r>
              <w:rPr>
                <w:rFonts w:ascii="Times New Roman" w:hAnsi="Times New Roman"/>
                <w:b/>
                <w:color w:val="000000"/>
                <w:kern w:val="2"/>
              </w:rPr>
              <w:t>2019</w:t>
            </w:r>
            <w:r>
              <w:rPr>
                <w:rFonts w:ascii="Times New Roman" w:hAnsi="Times New Roman"/>
                <w:b/>
                <w:color w:val="000000"/>
                <w:kern w:val="2"/>
              </w:rPr>
              <w:t>年</w:t>
            </w:r>
            <w:r>
              <w:rPr>
                <w:rFonts w:ascii="Times New Roman" w:hAnsi="Times New Roman"/>
                <w:b/>
                <w:color w:val="000000"/>
                <w:kern w:val="2"/>
              </w:rPr>
              <w:t>1</w:t>
            </w:r>
            <w:r>
              <w:rPr>
                <w:rFonts w:ascii="Times New Roman" w:hAnsi="Times New Roman"/>
                <w:b/>
                <w:color w:val="000000"/>
                <w:kern w:val="2"/>
              </w:rPr>
              <w:t>月</w:t>
            </w:r>
            <w:r>
              <w:rPr>
                <w:rFonts w:ascii="Times New Roman" w:hAnsi="Times New Roman"/>
                <w:b/>
                <w:color w:val="000000"/>
                <w:kern w:val="2"/>
              </w:rPr>
              <w:t>1</w:t>
            </w:r>
            <w:r>
              <w:rPr>
                <w:rFonts w:ascii="Times New Roman" w:hAnsi="Times New Roman"/>
                <w:b/>
                <w:color w:val="000000"/>
                <w:kern w:val="2"/>
              </w:rPr>
              <w:t>日至</w:t>
            </w:r>
            <w:r>
              <w:rPr>
                <w:rFonts w:ascii="Times New Roman" w:hAnsi="Times New Roman"/>
                <w:b/>
                <w:color w:val="000000"/>
                <w:kern w:val="2"/>
              </w:rPr>
              <w:t>2019</w:t>
            </w:r>
            <w:r>
              <w:rPr>
                <w:rFonts w:ascii="Times New Roman" w:hAnsi="Times New Roman"/>
                <w:b/>
                <w:color w:val="000000"/>
                <w:kern w:val="2"/>
              </w:rPr>
              <w:t>年</w:t>
            </w:r>
            <w:r>
              <w:rPr>
                <w:rFonts w:ascii="Times New Roman" w:hAnsi="Times New Roman"/>
                <w:b/>
                <w:color w:val="000000"/>
                <w:kern w:val="2"/>
              </w:rPr>
              <w:t>12</w:t>
            </w:r>
            <w:r>
              <w:rPr>
                <w:rFonts w:ascii="Times New Roman" w:hAnsi="Times New Roman"/>
                <w:b/>
                <w:color w:val="000000"/>
                <w:kern w:val="2"/>
              </w:rPr>
              <w:t>月</w:t>
            </w:r>
            <w:r>
              <w:rPr>
                <w:rFonts w:ascii="Times New Roman" w:hAnsi="Times New Roman"/>
                <w:b/>
                <w:color w:val="000000"/>
                <w:kern w:val="2"/>
              </w:rPr>
              <w:t>31</w:t>
            </w:r>
            <w:r>
              <w:rPr>
                <w:rFonts w:ascii="Times New Roman" w:hAnsi="Times New Roman"/>
                <w:b/>
                <w:color w:val="000000"/>
                <w:kern w:val="2"/>
              </w:rPr>
              <w:t>日</w:t>
            </w:r>
          </w:p>
        </w:tc>
      </w:tr>
      <w:tr w:rsidR="000E6BAE">
        <w:tc>
          <w:tcPr>
            <w:tcW w:w="2410" w:type="dxa"/>
            <w:vMerge/>
            <w:vAlign w:val="center"/>
          </w:tcPr>
          <w:p w:rsidR="000E6BAE" w:rsidRDefault="000E6BAE">
            <w:pPr>
              <w:spacing w:before="29" w:line="288" w:lineRule="auto"/>
              <w:jc w:val="center"/>
              <w:rPr>
                <w:b/>
                <w:color w:val="000000"/>
                <w:sz w:val="24"/>
              </w:rPr>
            </w:pPr>
          </w:p>
        </w:tc>
        <w:tc>
          <w:tcPr>
            <w:tcW w:w="2196" w:type="dxa"/>
            <w:vAlign w:val="center"/>
          </w:tcPr>
          <w:p w:rsidR="000E6BAE" w:rsidRDefault="00CD6463">
            <w:pPr>
              <w:spacing w:before="29" w:line="288" w:lineRule="auto"/>
              <w:jc w:val="center"/>
              <w:rPr>
                <w:b/>
                <w:color w:val="000000"/>
                <w:sz w:val="24"/>
              </w:rPr>
            </w:pPr>
            <w:r>
              <w:rPr>
                <w:rFonts w:hint="eastAsia"/>
                <w:b/>
                <w:color w:val="000000"/>
                <w:sz w:val="24"/>
              </w:rPr>
              <w:t>实收基金</w:t>
            </w:r>
          </w:p>
        </w:tc>
        <w:tc>
          <w:tcPr>
            <w:tcW w:w="2197" w:type="dxa"/>
          </w:tcPr>
          <w:p w:rsidR="000E6BAE" w:rsidRDefault="00CD6463">
            <w:pPr>
              <w:spacing w:before="29" w:line="288" w:lineRule="auto"/>
              <w:jc w:val="center"/>
              <w:rPr>
                <w:b/>
                <w:color w:val="000000"/>
                <w:sz w:val="24"/>
              </w:rPr>
            </w:pPr>
            <w:r>
              <w:rPr>
                <w:rFonts w:hint="eastAsia"/>
                <w:b/>
                <w:color w:val="000000"/>
                <w:sz w:val="24"/>
              </w:rPr>
              <w:t>未分配利润</w:t>
            </w:r>
          </w:p>
        </w:tc>
        <w:tc>
          <w:tcPr>
            <w:tcW w:w="2197" w:type="dxa"/>
            <w:vAlign w:val="center"/>
          </w:tcPr>
          <w:p w:rsidR="000E6BAE" w:rsidRDefault="00CD6463">
            <w:pPr>
              <w:spacing w:before="29" w:line="288" w:lineRule="auto"/>
              <w:jc w:val="center"/>
              <w:rPr>
                <w:b/>
                <w:color w:val="000000"/>
                <w:sz w:val="24"/>
              </w:rPr>
            </w:pPr>
            <w:r>
              <w:rPr>
                <w:rFonts w:hint="eastAsia"/>
                <w:b/>
                <w:color w:val="000000"/>
                <w:sz w:val="24"/>
              </w:rPr>
              <w:t>所有者权益合计</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一、期初所有者权益（基金净值）</w:t>
            </w:r>
          </w:p>
        </w:tc>
        <w:tc>
          <w:tcPr>
            <w:tcW w:w="2196" w:type="dxa"/>
            <w:vAlign w:val="center"/>
          </w:tcPr>
          <w:p w:rsidR="000E6BAE" w:rsidRDefault="00CD6463">
            <w:pPr>
              <w:spacing w:before="29" w:line="288" w:lineRule="auto"/>
              <w:jc w:val="right"/>
              <w:rPr>
                <w:color w:val="000000"/>
                <w:sz w:val="24"/>
              </w:rPr>
            </w:pPr>
            <w:r>
              <w:rPr>
                <w:color w:val="000000"/>
                <w:sz w:val="24"/>
              </w:rPr>
              <w:t>1,079,293,816.82</w:t>
            </w:r>
          </w:p>
        </w:tc>
        <w:tc>
          <w:tcPr>
            <w:tcW w:w="2197" w:type="dxa"/>
            <w:vAlign w:val="center"/>
          </w:tcPr>
          <w:p w:rsidR="000E6BAE" w:rsidRDefault="00CD6463">
            <w:pPr>
              <w:spacing w:before="29" w:line="288" w:lineRule="auto"/>
              <w:jc w:val="right"/>
              <w:rPr>
                <w:color w:val="000000"/>
                <w:sz w:val="24"/>
              </w:rPr>
            </w:pPr>
            <w:r>
              <w:rPr>
                <w:color w:val="000000"/>
                <w:sz w:val="24"/>
              </w:rPr>
              <w:t>53,771,782.51</w:t>
            </w:r>
          </w:p>
        </w:tc>
        <w:tc>
          <w:tcPr>
            <w:tcW w:w="2197" w:type="dxa"/>
            <w:vAlign w:val="center"/>
          </w:tcPr>
          <w:p w:rsidR="000E6BAE" w:rsidRDefault="00CD6463">
            <w:pPr>
              <w:spacing w:before="29" w:line="288" w:lineRule="auto"/>
              <w:jc w:val="right"/>
              <w:rPr>
                <w:color w:val="000000"/>
                <w:sz w:val="24"/>
              </w:rPr>
            </w:pPr>
            <w:r>
              <w:rPr>
                <w:color w:val="000000"/>
                <w:sz w:val="24"/>
              </w:rPr>
              <w:t>1,133,065,599.33</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二、本期经营活动产生的基金净值变动数（本期利润）</w:t>
            </w:r>
          </w:p>
        </w:tc>
        <w:tc>
          <w:tcPr>
            <w:tcW w:w="2196" w:type="dxa"/>
            <w:vAlign w:val="center"/>
          </w:tcPr>
          <w:p w:rsidR="000E6BAE" w:rsidRDefault="00CD6463">
            <w:pPr>
              <w:spacing w:before="29" w:line="288" w:lineRule="auto"/>
              <w:jc w:val="right"/>
              <w:rPr>
                <w:color w:val="000000"/>
                <w:sz w:val="24"/>
              </w:rPr>
            </w:pPr>
            <w:r>
              <w:rPr>
                <w:color w:val="000000"/>
                <w:sz w:val="24"/>
              </w:rPr>
              <w:t>-</w:t>
            </w:r>
          </w:p>
        </w:tc>
        <w:tc>
          <w:tcPr>
            <w:tcW w:w="2197" w:type="dxa"/>
            <w:vAlign w:val="center"/>
          </w:tcPr>
          <w:p w:rsidR="000E6BAE" w:rsidRDefault="00CD6463">
            <w:pPr>
              <w:spacing w:before="29" w:line="288" w:lineRule="auto"/>
              <w:jc w:val="right"/>
              <w:rPr>
                <w:color w:val="000000"/>
                <w:sz w:val="24"/>
              </w:rPr>
            </w:pPr>
            <w:r>
              <w:rPr>
                <w:color w:val="000000"/>
                <w:sz w:val="24"/>
              </w:rPr>
              <w:t>63,775,882.01</w:t>
            </w:r>
          </w:p>
        </w:tc>
        <w:tc>
          <w:tcPr>
            <w:tcW w:w="2197" w:type="dxa"/>
            <w:vAlign w:val="center"/>
          </w:tcPr>
          <w:p w:rsidR="000E6BAE" w:rsidRDefault="00CD6463">
            <w:pPr>
              <w:spacing w:before="29" w:line="288" w:lineRule="auto"/>
              <w:jc w:val="right"/>
              <w:rPr>
                <w:color w:val="000000"/>
                <w:sz w:val="24"/>
              </w:rPr>
            </w:pPr>
            <w:r>
              <w:rPr>
                <w:color w:val="000000"/>
                <w:sz w:val="24"/>
              </w:rPr>
              <w:t>63,775,882.01</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三、本期基金份额交易产生的基金净值变动数（净值减少以</w:t>
            </w:r>
            <w:r>
              <w:rPr>
                <w:color w:val="000000"/>
                <w:sz w:val="24"/>
              </w:rPr>
              <w:t>“-”</w:t>
            </w:r>
            <w:r>
              <w:rPr>
                <w:rFonts w:hint="eastAsia"/>
                <w:color w:val="000000"/>
                <w:sz w:val="24"/>
              </w:rPr>
              <w:t>号填列）</w:t>
            </w:r>
          </w:p>
        </w:tc>
        <w:tc>
          <w:tcPr>
            <w:tcW w:w="2196" w:type="dxa"/>
            <w:vAlign w:val="center"/>
          </w:tcPr>
          <w:p w:rsidR="000E6BAE" w:rsidRDefault="00CD6463">
            <w:pPr>
              <w:spacing w:before="29" w:line="288" w:lineRule="auto"/>
              <w:jc w:val="right"/>
              <w:rPr>
                <w:color w:val="000000"/>
                <w:sz w:val="24"/>
              </w:rPr>
            </w:pPr>
            <w:r>
              <w:rPr>
                <w:color w:val="000000"/>
                <w:sz w:val="24"/>
              </w:rPr>
              <w:t>2,182,318,735.17</w:t>
            </w:r>
          </w:p>
        </w:tc>
        <w:tc>
          <w:tcPr>
            <w:tcW w:w="2197" w:type="dxa"/>
            <w:vAlign w:val="center"/>
          </w:tcPr>
          <w:p w:rsidR="000E6BAE" w:rsidRDefault="00CD6463">
            <w:pPr>
              <w:spacing w:before="29" w:line="288" w:lineRule="auto"/>
              <w:jc w:val="right"/>
              <w:rPr>
                <w:color w:val="000000"/>
                <w:sz w:val="24"/>
              </w:rPr>
            </w:pPr>
            <w:r>
              <w:rPr>
                <w:color w:val="000000"/>
                <w:sz w:val="24"/>
              </w:rPr>
              <w:t>105,249,769.19</w:t>
            </w:r>
          </w:p>
        </w:tc>
        <w:tc>
          <w:tcPr>
            <w:tcW w:w="2197" w:type="dxa"/>
            <w:vAlign w:val="center"/>
          </w:tcPr>
          <w:p w:rsidR="000E6BAE" w:rsidRDefault="00CD6463">
            <w:pPr>
              <w:spacing w:before="29" w:line="288" w:lineRule="auto"/>
              <w:jc w:val="right"/>
              <w:rPr>
                <w:color w:val="000000"/>
                <w:sz w:val="24"/>
              </w:rPr>
            </w:pPr>
            <w:r>
              <w:rPr>
                <w:color w:val="000000"/>
                <w:sz w:val="24"/>
              </w:rPr>
              <w:t>2,287,568,504.36</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其中：</w:t>
            </w:r>
            <w:r>
              <w:rPr>
                <w:color w:val="000000"/>
                <w:sz w:val="24"/>
              </w:rPr>
              <w:t>1.</w:t>
            </w:r>
            <w:r>
              <w:rPr>
                <w:rFonts w:hint="eastAsia"/>
                <w:color w:val="000000"/>
                <w:sz w:val="24"/>
              </w:rPr>
              <w:t>基金申购款</w:t>
            </w:r>
          </w:p>
        </w:tc>
        <w:tc>
          <w:tcPr>
            <w:tcW w:w="2196" w:type="dxa"/>
            <w:vAlign w:val="center"/>
          </w:tcPr>
          <w:p w:rsidR="000E6BAE" w:rsidRDefault="00CD6463">
            <w:pPr>
              <w:spacing w:before="29" w:line="288" w:lineRule="auto"/>
              <w:jc w:val="right"/>
              <w:rPr>
                <w:color w:val="000000"/>
                <w:sz w:val="24"/>
              </w:rPr>
            </w:pPr>
            <w:r>
              <w:rPr>
                <w:color w:val="000000"/>
                <w:sz w:val="24"/>
              </w:rPr>
              <w:t>2,677,543,041.07</w:t>
            </w:r>
          </w:p>
        </w:tc>
        <w:tc>
          <w:tcPr>
            <w:tcW w:w="2197" w:type="dxa"/>
            <w:vAlign w:val="center"/>
          </w:tcPr>
          <w:p w:rsidR="000E6BAE" w:rsidRDefault="00CD6463">
            <w:pPr>
              <w:spacing w:before="29" w:line="288" w:lineRule="auto"/>
              <w:jc w:val="right"/>
              <w:rPr>
                <w:color w:val="000000"/>
                <w:sz w:val="24"/>
              </w:rPr>
            </w:pPr>
            <w:r>
              <w:rPr>
                <w:color w:val="000000"/>
                <w:sz w:val="24"/>
              </w:rPr>
              <w:t>127,162,504.38</w:t>
            </w:r>
          </w:p>
        </w:tc>
        <w:tc>
          <w:tcPr>
            <w:tcW w:w="2197" w:type="dxa"/>
            <w:vAlign w:val="center"/>
          </w:tcPr>
          <w:p w:rsidR="000E6BAE" w:rsidRDefault="00CD6463">
            <w:pPr>
              <w:spacing w:before="29" w:line="288" w:lineRule="auto"/>
              <w:jc w:val="right"/>
              <w:rPr>
                <w:color w:val="000000"/>
                <w:sz w:val="24"/>
              </w:rPr>
            </w:pPr>
            <w:r>
              <w:rPr>
                <w:color w:val="000000"/>
                <w:sz w:val="24"/>
              </w:rPr>
              <w:t>2,804,705,545.45</w:t>
            </w:r>
          </w:p>
        </w:tc>
      </w:tr>
      <w:tr w:rsidR="000E6BAE">
        <w:tc>
          <w:tcPr>
            <w:tcW w:w="2410" w:type="dxa"/>
            <w:vAlign w:val="center"/>
          </w:tcPr>
          <w:p w:rsidR="000E6BAE" w:rsidRDefault="00CD6463">
            <w:pPr>
              <w:spacing w:before="29" w:line="288" w:lineRule="auto"/>
              <w:ind w:firstLineChars="300" w:firstLine="720"/>
              <w:rPr>
                <w:color w:val="000000"/>
                <w:sz w:val="24"/>
              </w:rPr>
            </w:pPr>
            <w:r>
              <w:rPr>
                <w:color w:val="000000"/>
                <w:sz w:val="24"/>
              </w:rPr>
              <w:t>2.</w:t>
            </w:r>
            <w:r>
              <w:rPr>
                <w:rFonts w:hint="eastAsia"/>
                <w:color w:val="000000"/>
                <w:sz w:val="24"/>
              </w:rPr>
              <w:t>基金赎回款</w:t>
            </w:r>
          </w:p>
        </w:tc>
        <w:tc>
          <w:tcPr>
            <w:tcW w:w="2196" w:type="dxa"/>
            <w:vAlign w:val="center"/>
          </w:tcPr>
          <w:p w:rsidR="000E6BAE" w:rsidRDefault="00CD6463">
            <w:pPr>
              <w:spacing w:before="29" w:line="288" w:lineRule="auto"/>
              <w:jc w:val="right"/>
              <w:rPr>
                <w:color w:val="000000"/>
                <w:sz w:val="24"/>
              </w:rPr>
            </w:pPr>
            <w:r>
              <w:rPr>
                <w:color w:val="000000"/>
                <w:sz w:val="24"/>
              </w:rPr>
              <w:t>-495,224,305.90</w:t>
            </w:r>
          </w:p>
        </w:tc>
        <w:tc>
          <w:tcPr>
            <w:tcW w:w="2197" w:type="dxa"/>
            <w:vAlign w:val="center"/>
          </w:tcPr>
          <w:p w:rsidR="000E6BAE" w:rsidRDefault="00CD6463">
            <w:pPr>
              <w:spacing w:before="29" w:line="288" w:lineRule="auto"/>
              <w:jc w:val="right"/>
              <w:rPr>
                <w:color w:val="000000"/>
                <w:sz w:val="24"/>
              </w:rPr>
            </w:pPr>
            <w:r>
              <w:rPr>
                <w:color w:val="000000"/>
                <w:sz w:val="24"/>
              </w:rPr>
              <w:t>-21,912,735.19</w:t>
            </w:r>
          </w:p>
        </w:tc>
        <w:tc>
          <w:tcPr>
            <w:tcW w:w="2197" w:type="dxa"/>
            <w:vAlign w:val="center"/>
          </w:tcPr>
          <w:p w:rsidR="000E6BAE" w:rsidRDefault="00CD6463">
            <w:pPr>
              <w:spacing w:before="29" w:line="288" w:lineRule="auto"/>
              <w:jc w:val="right"/>
              <w:rPr>
                <w:color w:val="000000"/>
                <w:sz w:val="24"/>
              </w:rPr>
            </w:pPr>
            <w:r>
              <w:rPr>
                <w:color w:val="000000"/>
                <w:sz w:val="24"/>
              </w:rPr>
              <w:t>-517,137,041.09</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四、本期向基金份额持有人分配利润产生的基金净值变动（净值减少以</w:t>
            </w:r>
            <w:r>
              <w:rPr>
                <w:color w:val="000000"/>
                <w:sz w:val="24"/>
              </w:rPr>
              <w:t>“-”</w:t>
            </w:r>
            <w:r>
              <w:rPr>
                <w:rFonts w:hint="eastAsia"/>
                <w:color w:val="000000"/>
                <w:sz w:val="24"/>
              </w:rPr>
              <w:t>号填列）</w:t>
            </w:r>
          </w:p>
        </w:tc>
        <w:tc>
          <w:tcPr>
            <w:tcW w:w="2196" w:type="dxa"/>
            <w:vAlign w:val="center"/>
          </w:tcPr>
          <w:p w:rsidR="000E6BAE" w:rsidRDefault="00CD6463">
            <w:pPr>
              <w:spacing w:before="29" w:line="288" w:lineRule="auto"/>
              <w:jc w:val="right"/>
              <w:rPr>
                <w:color w:val="000000"/>
                <w:sz w:val="24"/>
              </w:rPr>
            </w:pPr>
            <w:r>
              <w:rPr>
                <w:color w:val="000000"/>
                <w:sz w:val="24"/>
              </w:rPr>
              <w:t>-</w:t>
            </w:r>
          </w:p>
        </w:tc>
        <w:tc>
          <w:tcPr>
            <w:tcW w:w="2197" w:type="dxa"/>
            <w:vAlign w:val="center"/>
          </w:tcPr>
          <w:p w:rsidR="000E6BAE" w:rsidRDefault="00CD6463">
            <w:pPr>
              <w:spacing w:before="29" w:line="288" w:lineRule="auto"/>
              <w:jc w:val="right"/>
              <w:rPr>
                <w:color w:val="000000"/>
                <w:sz w:val="24"/>
              </w:rPr>
            </w:pPr>
            <w:r>
              <w:rPr>
                <w:color w:val="000000"/>
                <w:sz w:val="24"/>
              </w:rPr>
              <w:t>-61,888,469.50</w:t>
            </w:r>
          </w:p>
        </w:tc>
        <w:tc>
          <w:tcPr>
            <w:tcW w:w="2197" w:type="dxa"/>
            <w:vAlign w:val="center"/>
          </w:tcPr>
          <w:p w:rsidR="000E6BAE" w:rsidRDefault="00CD6463">
            <w:pPr>
              <w:spacing w:before="29" w:line="288" w:lineRule="auto"/>
              <w:jc w:val="right"/>
              <w:rPr>
                <w:color w:val="000000"/>
                <w:sz w:val="24"/>
              </w:rPr>
            </w:pPr>
            <w:r>
              <w:rPr>
                <w:color w:val="000000"/>
                <w:sz w:val="24"/>
              </w:rPr>
              <w:t>-61,888,469.50</w:t>
            </w:r>
          </w:p>
        </w:tc>
      </w:tr>
      <w:tr w:rsidR="000E6BAE">
        <w:tc>
          <w:tcPr>
            <w:tcW w:w="2410" w:type="dxa"/>
            <w:vAlign w:val="center"/>
          </w:tcPr>
          <w:p w:rsidR="000E6BAE" w:rsidRDefault="00CD6463">
            <w:pPr>
              <w:spacing w:before="29" w:line="288" w:lineRule="auto"/>
              <w:rPr>
                <w:color w:val="000000"/>
                <w:sz w:val="24"/>
              </w:rPr>
            </w:pPr>
            <w:r>
              <w:rPr>
                <w:rFonts w:hint="eastAsia"/>
                <w:color w:val="000000"/>
                <w:sz w:val="24"/>
              </w:rPr>
              <w:t>五、期末所有者权益（基金净值）</w:t>
            </w:r>
          </w:p>
        </w:tc>
        <w:tc>
          <w:tcPr>
            <w:tcW w:w="2196" w:type="dxa"/>
            <w:vAlign w:val="center"/>
          </w:tcPr>
          <w:p w:rsidR="000E6BAE" w:rsidRDefault="00CD6463">
            <w:pPr>
              <w:spacing w:before="29" w:line="288" w:lineRule="auto"/>
              <w:jc w:val="right"/>
              <w:rPr>
                <w:color w:val="000000"/>
                <w:sz w:val="24"/>
              </w:rPr>
            </w:pPr>
            <w:r>
              <w:rPr>
                <w:color w:val="000000"/>
                <w:sz w:val="24"/>
              </w:rPr>
              <w:t>3,261,612,551.99</w:t>
            </w:r>
          </w:p>
        </w:tc>
        <w:tc>
          <w:tcPr>
            <w:tcW w:w="2197" w:type="dxa"/>
            <w:vAlign w:val="center"/>
          </w:tcPr>
          <w:p w:rsidR="000E6BAE" w:rsidRDefault="00CD6463">
            <w:pPr>
              <w:spacing w:before="29" w:line="288" w:lineRule="auto"/>
              <w:jc w:val="right"/>
              <w:rPr>
                <w:color w:val="000000"/>
                <w:sz w:val="24"/>
              </w:rPr>
            </w:pPr>
            <w:r>
              <w:rPr>
                <w:color w:val="000000"/>
                <w:sz w:val="24"/>
              </w:rPr>
              <w:t>160,908,964.21</w:t>
            </w:r>
          </w:p>
        </w:tc>
        <w:tc>
          <w:tcPr>
            <w:tcW w:w="2197" w:type="dxa"/>
            <w:vAlign w:val="center"/>
          </w:tcPr>
          <w:p w:rsidR="000E6BAE" w:rsidRDefault="00CD6463">
            <w:pPr>
              <w:spacing w:before="29" w:line="288" w:lineRule="auto"/>
              <w:jc w:val="right"/>
              <w:rPr>
                <w:color w:val="000000"/>
                <w:sz w:val="24"/>
              </w:rPr>
            </w:pPr>
            <w:r>
              <w:rPr>
                <w:color w:val="000000"/>
                <w:sz w:val="24"/>
              </w:rPr>
              <w:t>3,422,521,516.20</w:t>
            </w:r>
          </w:p>
        </w:tc>
      </w:tr>
    </w:tbl>
    <w:p w:rsidR="000E6BAE" w:rsidRDefault="00CD6463">
      <w:pPr>
        <w:spacing w:before="29" w:line="288" w:lineRule="auto"/>
        <w:rPr>
          <w:sz w:val="24"/>
        </w:rPr>
      </w:pPr>
      <w:r>
        <w:rPr>
          <w:rFonts w:hint="eastAsia"/>
          <w:sz w:val="24"/>
        </w:rPr>
        <w:t>报表附注为财务报表的组成部分。</w:t>
      </w:r>
    </w:p>
    <w:p w:rsidR="000E6BAE" w:rsidRDefault="00CD6463">
      <w:pPr>
        <w:spacing w:before="29" w:line="288" w:lineRule="auto"/>
        <w:rPr>
          <w:sz w:val="24"/>
        </w:rPr>
      </w:pPr>
      <w:r>
        <w:rPr>
          <w:rFonts w:hint="eastAsia"/>
          <w:sz w:val="24"/>
        </w:rPr>
        <w:t>本报告页码（序号）从</w:t>
      </w:r>
      <w:r>
        <w:rPr>
          <w:rFonts w:hint="eastAsia"/>
          <w:sz w:val="24"/>
        </w:rPr>
        <w:t>7.1</w:t>
      </w:r>
      <w:r>
        <w:rPr>
          <w:rFonts w:hint="eastAsia"/>
          <w:sz w:val="24"/>
        </w:rPr>
        <w:t>至</w:t>
      </w:r>
      <w:r>
        <w:rPr>
          <w:rFonts w:hint="eastAsia"/>
          <w:sz w:val="24"/>
        </w:rPr>
        <w:t>7.4</w:t>
      </w:r>
      <w:r>
        <w:rPr>
          <w:rFonts w:hint="eastAsia"/>
          <w:sz w:val="24"/>
        </w:rPr>
        <w:t>，财务报表由下列负责人签署：</w:t>
      </w:r>
    </w:p>
    <w:p w:rsidR="000E6BAE" w:rsidRDefault="00CD6463">
      <w:pPr>
        <w:spacing w:before="29" w:line="288" w:lineRule="auto"/>
        <w:rPr>
          <w:sz w:val="24"/>
        </w:rPr>
      </w:pPr>
      <w:r>
        <w:rPr>
          <w:rFonts w:hint="eastAsia"/>
          <w:sz w:val="24"/>
        </w:rPr>
        <w:t>基金管理人负责人：谢卫，主管会计工作负责人：夏华龙，会计机构负责人：单江</w:t>
      </w:r>
    </w:p>
    <w:p w:rsidR="000E6BAE" w:rsidRDefault="000E6BAE">
      <w:pPr>
        <w:spacing w:line="360" w:lineRule="auto"/>
        <w:ind w:firstLineChars="200" w:firstLine="420"/>
        <w:rPr>
          <w:rFonts w:asciiTheme="minorEastAsia" w:eastAsiaTheme="minorEastAsia" w:hAnsiTheme="minorEastAsia"/>
          <w:color w:val="000000"/>
          <w:szCs w:val="21"/>
        </w:rPr>
      </w:pPr>
    </w:p>
    <w:p w:rsidR="000E6BAE" w:rsidRDefault="00CD6463">
      <w:pPr>
        <w:pStyle w:val="2"/>
        <w:spacing w:before="29" w:after="0" w:line="288" w:lineRule="auto"/>
        <w:rPr>
          <w:rFonts w:eastAsiaTheme="minorEastAsia"/>
        </w:rPr>
      </w:pPr>
      <w:bookmarkStart w:id="122" w:name="_Toc225498271"/>
      <w:bookmarkStart w:id="123" w:name="_Toc361324876"/>
      <w:bookmarkStart w:id="124" w:name="_Toc3764"/>
      <w:r>
        <w:rPr>
          <w:rFonts w:eastAsiaTheme="minorEastAsia"/>
        </w:rPr>
        <w:t xml:space="preserve">7.4 </w:t>
      </w:r>
      <w:r>
        <w:rPr>
          <w:rFonts w:eastAsiaTheme="minorEastAsia" w:hint="eastAsia"/>
        </w:rPr>
        <w:t>报表附注</w:t>
      </w:r>
      <w:bookmarkEnd w:id="122"/>
      <w:bookmarkEnd w:id="123"/>
      <w:bookmarkEnd w:id="124"/>
    </w:p>
    <w:p w:rsidR="000E6BAE" w:rsidRDefault="00CD6463">
      <w:pPr>
        <w:spacing w:before="29" w:line="288" w:lineRule="auto"/>
        <w:rPr>
          <w:rFonts w:eastAsiaTheme="minorEastAsia"/>
          <w:b/>
          <w:sz w:val="24"/>
        </w:rPr>
      </w:pPr>
      <w:r>
        <w:rPr>
          <w:rFonts w:eastAsiaTheme="minorEastAsia"/>
          <w:b/>
          <w:sz w:val="24"/>
        </w:rPr>
        <w:t>7.4.1</w:t>
      </w:r>
      <w:r>
        <w:rPr>
          <w:rFonts w:eastAsiaTheme="minorEastAsia" w:hint="eastAsia"/>
          <w:b/>
          <w:sz w:val="24"/>
        </w:rPr>
        <w:t>基金基本情况</w:t>
      </w:r>
    </w:p>
    <w:p w:rsidR="000E6BAE" w:rsidRDefault="00CD6463">
      <w:pPr>
        <w:spacing w:before="29" w:line="288" w:lineRule="auto"/>
        <w:ind w:firstLineChars="200" w:firstLine="480"/>
        <w:rPr>
          <w:kern w:val="0"/>
          <w:sz w:val="24"/>
        </w:rPr>
      </w:pPr>
      <w:r>
        <w:rPr>
          <w:kern w:val="0"/>
          <w:sz w:val="24"/>
        </w:rPr>
        <w:t>交银施罗德丰润收益债券型证券投资基金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[2014]1116</w:t>
      </w:r>
      <w:r>
        <w:rPr>
          <w:kern w:val="0"/>
          <w:sz w:val="24"/>
        </w:rPr>
        <w:t>号《关于准予交银施罗德丰润收益债券型证券投资基金注册的批复》核准，由交银施罗德基金管理有限公司依照《中华人民共和国证券投资基金法》和《交银施罗德丰润收益债券型证券投资基金基金合同》负责公开募集。本基金为契约型基金，存续期限不定，本基金在基金合同生效之日起两年（含两年）的期间内封闭式运作（按照基金合同的约定提前转换基金运作方式的除外</w:t>
      </w:r>
      <w:r>
        <w:rPr>
          <w:kern w:val="0"/>
          <w:sz w:val="24"/>
        </w:rPr>
        <w:t>)</w:t>
      </w:r>
      <w:r>
        <w:rPr>
          <w:kern w:val="0"/>
          <w:sz w:val="24"/>
        </w:rPr>
        <w:t>，封闭期结束后转为开放式运作，本基金首次设立募集不包括认购资金利息共募集人民币</w:t>
      </w:r>
      <w:r>
        <w:rPr>
          <w:kern w:val="0"/>
          <w:sz w:val="24"/>
        </w:rPr>
        <w:t>425,272,011.28</w:t>
      </w:r>
      <w:r>
        <w:rPr>
          <w:kern w:val="0"/>
          <w:sz w:val="24"/>
        </w:rPr>
        <w:t>元，业经普华永道中天会计师事务所</w:t>
      </w:r>
      <w:r>
        <w:rPr>
          <w:kern w:val="0"/>
          <w:sz w:val="24"/>
        </w:rPr>
        <w:t>(</w:t>
      </w:r>
      <w:r>
        <w:rPr>
          <w:kern w:val="0"/>
          <w:sz w:val="24"/>
        </w:rPr>
        <w:t>特殊普通合伙</w:t>
      </w:r>
      <w:r>
        <w:rPr>
          <w:kern w:val="0"/>
          <w:sz w:val="24"/>
        </w:rPr>
        <w:t>)</w:t>
      </w:r>
      <w:r>
        <w:rPr>
          <w:kern w:val="0"/>
          <w:sz w:val="24"/>
        </w:rPr>
        <w:t>普华永道中天验字</w:t>
      </w:r>
      <w:r>
        <w:rPr>
          <w:kern w:val="0"/>
          <w:sz w:val="24"/>
        </w:rPr>
        <w:t>(2014)</w:t>
      </w:r>
      <w:r>
        <w:rPr>
          <w:kern w:val="0"/>
          <w:sz w:val="24"/>
        </w:rPr>
        <w:t>第</w:t>
      </w:r>
      <w:r>
        <w:rPr>
          <w:kern w:val="0"/>
          <w:sz w:val="24"/>
        </w:rPr>
        <w:t>789</w:t>
      </w:r>
      <w:r>
        <w:rPr>
          <w:kern w:val="0"/>
          <w:sz w:val="24"/>
        </w:rPr>
        <w:t>号验资报告予以验证。经向中国证监会备案，《交银施罗德丰润收益债券型证券投资基金基金合同》于</w:t>
      </w:r>
      <w:r>
        <w:rPr>
          <w:kern w:val="0"/>
          <w:sz w:val="24"/>
        </w:rPr>
        <w:t>2014</w:t>
      </w:r>
      <w:r>
        <w:rPr>
          <w:kern w:val="0"/>
          <w:sz w:val="24"/>
        </w:rPr>
        <w:t>年</w:t>
      </w:r>
      <w:r>
        <w:rPr>
          <w:kern w:val="0"/>
          <w:sz w:val="24"/>
        </w:rPr>
        <w:t>12</w:t>
      </w:r>
      <w:r>
        <w:rPr>
          <w:kern w:val="0"/>
          <w:sz w:val="24"/>
        </w:rPr>
        <w:t>月</w:t>
      </w:r>
      <w:r>
        <w:rPr>
          <w:kern w:val="0"/>
          <w:sz w:val="24"/>
        </w:rPr>
        <w:t>15</w:t>
      </w:r>
      <w:r>
        <w:rPr>
          <w:kern w:val="0"/>
          <w:sz w:val="24"/>
        </w:rPr>
        <w:t>日正式生效，基金合同生效日的基金份额总额为</w:t>
      </w:r>
      <w:r>
        <w:rPr>
          <w:kern w:val="0"/>
          <w:sz w:val="24"/>
        </w:rPr>
        <w:t>425,488,278.42</w:t>
      </w:r>
      <w:r>
        <w:rPr>
          <w:kern w:val="0"/>
          <w:sz w:val="24"/>
        </w:rPr>
        <w:t>份基金份额，其中认购资金利息折合</w:t>
      </w:r>
      <w:r>
        <w:rPr>
          <w:kern w:val="0"/>
          <w:sz w:val="24"/>
        </w:rPr>
        <w:t>216,267.14</w:t>
      </w:r>
      <w:r>
        <w:rPr>
          <w:kern w:val="0"/>
          <w:sz w:val="24"/>
        </w:rPr>
        <w:t>份基金份额。本基金的基金管理人为交银施罗德基金管理有限公司，基金托管人为中信银行股份有限</w:t>
      </w:r>
      <w:r>
        <w:rPr>
          <w:kern w:val="0"/>
          <w:sz w:val="24"/>
        </w:rPr>
        <w:t>公司。</w:t>
      </w:r>
    </w:p>
    <w:p w:rsidR="000E6BAE" w:rsidRDefault="00CD6463">
      <w:pPr>
        <w:spacing w:before="29" w:line="288" w:lineRule="auto"/>
        <w:ind w:firstLineChars="200" w:firstLine="480"/>
        <w:rPr>
          <w:kern w:val="0"/>
          <w:sz w:val="24"/>
        </w:rPr>
      </w:pPr>
      <w:r>
        <w:rPr>
          <w:kern w:val="0"/>
          <w:sz w:val="24"/>
        </w:rPr>
        <w:t>根据《交银施罗德丰润收益债券型证券投资基金基金合同》和《交银施罗德丰润收益债券型证券投资基金招募说明书》，认购</w:t>
      </w:r>
      <w:r>
        <w:rPr>
          <w:kern w:val="0"/>
          <w:sz w:val="24"/>
        </w:rPr>
        <w:t>/</w:t>
      </w:r>
      <w:r>
        <w:rPr>
          <w:kern w:val="0"/>
          <w:sz w:val="24"/>
        </w:rPr>
        <w:t>申购费用、赎回费用、销售服务费收取方式的不同，将基金份额分为不同的类别。在投资人认购</w:t>
      </w:r>
      <w:r>
        <w:rPr>
          <w:kern w:val="0"/>
          <w:sz w:val="24"/>
        </w:rPr>
        <w:t>/</w:t>
      </w:r>
      <w:r>
        <w:rPr>
          <w:kern w:val="0"/>
          <w:sz w:val="24"/>
        </w:rPr>
        <w:t>申购时收取前端认购</w:t>
      </w:r>
      <w:r>
        <w:rPr>
          <w:kern w:val="0"/>
          <w:sz w:val="24"/>
        </w:rPr>
        <w:t>/</w:t>
      </w:r>
      <w:r>
        <w:rPr>
          <w:kern w:val="0"/>
          <w:sz w:val="24"/>
        </w:rPr>
        <w:t>申购费用、赎回时收取赎回费用的，称为</w:t>
      </w:r>
      <w:r>
        <w:rPr>
          <w:kern w:val="0"/>
          <w:sz w:val="24"/>
        </w:rPr>
        <w:t>A</w:t>
      </w:r>
      <w:r>
        <w:rPr>
          <w:kern w:val="0"/>
          <w:sz w:val="24"/>
        </w:rPr>
        <w:t>类基金份额，在投资人申购时不收取申购费用、赎回时收取后端申购费用和赎回费用的，称为</w:t>
      </w:r>
      <w:r>
        <w:rPr>
          <w:kern w:val="0"/>
          <w:sz w:val="24"/>
        </w:rPr>
        <w:t>B</w:t>
      </w:r>
      <w:r>
        <w:rPr>
          <w:kern w:val="0"/>
          <w:sz w:val="24"/>
        </w:rPr>
        <w:t>类基金份额，在投资人认购</w:t>
      </w:r>
      <w:r>
        <w:rPr>
          <w:kern w:val="0"/>
          <w:sz w:val="24"/>
        </w:rPr>
        <w:t>/</w:t>
      </w:r>
      <w:r>
        <w:rPr>
          <w:kern w:val="0"/>
          <w:sz w:val="24"/>
        </w:rPr>
        <w:t>申购时不收取认购</w:t>
      </w:r>
      <w:r>
        <w:rPr>
          <w:kern w:val="0"/>
          <w:sz w:val="24"/>
        </w:rPr>
        <w:t>/</w:t>
      </w:r>
      <w:r>
        <w:rPr>
          <w:kern w:val="0"/>
          <w:sz w:val="24"/>
        </w:rPr>
        <w:t>申购费用，赎回时收取短期赎回费，并从本类别基金资产中计提销售服务费的，称为</w:t>
      </w:r>
      <w:r>
        <w:rPr>
          <w:kern w:val="0"/>
          <w:sz w:val="24"/>
        </w:rPr>
        <w:t>C</w:t>
      </w:r>
      <w:r>
        <w:rPr>
          <w:kern w:val="0"/>
          <w:sz w:val="24"/>
        </w:rPr>
        <w:t>类基金份额；本基金募集期内开放</w:t>
      </w:r>
      <w:r>
        <w:rPr>
          <w:kern w:val="0"/>
          <w:sz w:val="24"/>
        </w:rPr>
        <w:t>A</w:t>
      </w:r>
      <w:r>
        <w:rPr>
          <w:kern w:val="0"/>
          <w:sz w:val="24"/>
        </w:rPr>
        <w:t>类基金份额和</w:t>
      </w:r>
      <w:r>
        <w:rPr>
          <w:kern w:val="0"/>
          <w:sz w:val="24"/>
        </w:rPr>
        <w:t>C</w:t>
      </w:r>
      <w:r>
        <w:rPr>
          <w:kern w:val="0"/>
          <w:sz w:val="24"/>
        </w:rPr>
        <w:t>类基金份额的认购，基金转为开放式运作后可视业务情况择时增开</w:t>
      </w:r>
      <w:r>
        <w:rPr>
          <w:kern w:val="0"/>
          <w:sz w:val="24"/>
        </w:rPr>
        <w:t>B</w:t>
      </w:r>
      <w:r>
        <w:rPr>
          <w:kern w:val="0"/>
          <w:sz w:val="24"/>
        </w:rPr>
        <w:t>类基金份额的申购。根据《交银施罗德丰润收益债券型证券投资基金基金合同》、《交银施罗德丰润收益债券型证券投资基金招募说明书》及《关于交银施罗德丰润收益债券型证券投资基金封闭期结束转为开放式运作暨开放日常申购、赎回、定期定额投资业务并参与部分销售机构申购费率优惠活动的公告》的相关规定，本基金在基金合同生效之日起两年</w:t>
      </w:r>
      <w:r>
        <w:rPr>
          <w:kern w:val="0"/>
          <w:sz w:val="24"/>
        </w:rPr>
        <w:t>(</w:t>
      </w:r>
      <w:r>
        <w:rPr>
          <w:kern w:val="0"/>
          <w:sz w:val="24"/>
        </w:rPr>
        <w:t>含两年</w:t>
      </w:r>
      <w:r>
        <w:rPr>
          <w:kern w:val="0"/>
          <w:sz w:val="24"/>
        </w:rPr>
        <w:t>)</w:t>
      </w:r>
      <w:r>
        <w:rPr>
          <w:kern w:val="0"/>
          <w:sz w:val="24"/>
        </w:rPr>
        <w:t>的期间内，采取封闭式运作，封闭期结束后转为开放式基金。本基金封闭期自</w:t>
      </w:r>
      <w:r>
        <w:rPr>
          <w:kern w:val="0"/>
          <w:sz w:val="24"/>
        </w:rPr>
        <w:t>2014</w:t>
      </w:r>
      <w:r>
        <w:rPr>
          <w:kern w:val="0"/>
          <w:sz w:val="24"/>
        </w:rPr>
        <w:t>年</w:t>
      </w:r>
      <w:r>
        <w:rPr>
          <w:kern w:val="0"/>
          <w:sz w:val="24"/>
        </w:rPr>
        <w:t>12</w:t>
      </w:r>
      <w:r>
        <w:rPr>
          <w:kern w:val="0"/>
          <w:sz w:val="24"/>
        </w:rPr>
        <w:t>月</w:t>
      </w:r>
      <w:r>
        <w:rPr>
          <w:kern w:val="0"/>
          <w:sz w:val="24"/>
        </w:rPr>
        <w:t>15</w:t>
      </w:r>
      <w:r>
        <w:rPr>
          <w:kern w:val="0"/>
          <w:sz w:val="24"/>
        </w:rPr>
        <w:t>日</w:t>
      </w:r>
      <w:r>
        <w:rPr>
          <w:kern w:val="0"/>
          <w:sz w:val="24"/>
        </w:rPr>
        <w:t>(</w:t>
      </w:r>
      <w:r>
        <w:rPr>
          <w:kern w:val="0"/>
          <w:sz w:val="24"/>
        </w:rPr>
        <w:t>基金合同生效日</w:t>
      </w:r>
      <w:r>
        <w:rPr>
          <w:kern w:val="0"/>
          <w:sz w:val="24"/>
        </w:rPr>
        <w:t>)</w:t>
      </w:r>
      <w:r>
        <w:rPr>
          <w:kern w:val="0"/>
          <w:sz w:val="24"/>
        </w:rPr>
        <w:t>至</w:t>
      </w:r>
      <w:r>
        <w:rPr>
          <w:kern w:val="0"/>
          <w:sz w:val="24"/>
        </w:rPr>
        <w:t>2016</w:t>
      </w:r>
      <w:r>
        <w:rPr>
          <w:kern w:val="0"/>
          <w:sz w:val="24"/>
        </w:rPr>
        <w:t>年</w:t>
      </w:r>
      <w:r>
        <w:rPr>
          <w:kern w:val="0"/>
          <w:sz w:val="24"/>
        </w:rPr>
        <w:t>12</w:t>
      </w:r>
      <w:r>
        <w:rPr>
          <w:kern w:val="0"/>
          <w:sz w:val="24"/>
        </w:rPr>
        <w:t>月</w:t>
      </w:r>
      <w:r>
        <w:rPr>
          <w:kern w:val="0"/>
          <w:sz w:val="24"/>
        </w:rPr>
        <w:t>1</w:t>
      </w:r>
      <w:r>
        <w:rPr>
          <w:kern w:val="0"/>
          <w:sz w:val="24"/>
        </w:rPr>
        <w:t>5</w:t>
      </w:r>
      <w:r>
        <w:rPr>
          <w:kern w:val="0"/>
          <w:sz w:val="24"/>
        </w:rPr>
        <w:t>日止，自</w:t>
      </w:r>
      <w:r>
        <w:rPr>
          <w:kern w:val="0"/>
          <w:sz w:val="24"/>
        </w:rPr>
        <w:t>2016</w:t>
      </w:r>
      <w:r>
        <w:rPr>
          <w:kern w:val="0"/>
          <w:sz w:val="24"/>
        </w:rPr>
        <w:t>年</w:t>
      </w:r>
      <w:r>
        <w:rPr>
          <w:kern w:val="0"/>
          <w:sz w:val="24"/>
        </w:rPr>
        <w:t>12</w:t>
      </w:r>
      <w:r>
        <w:rPr>
          <w:kern w:val="0"/>
          <w:sz w:val="24"/>
        </w:rPr>
        <w:t>月</w:t>
      </w:r>
      <w:r>
        <w:rPr>
          <w:kern w:val="0"/>
          <w:sz w:val="24"/>
        </w:rPr>
        <w:t>16</w:t>
      </w:r>
      <w:r>
        <w:rPr>
          <w:kern w:val="0"/>
          <w:sz w:val="24"/>
        </w:rPr>
        <w:t>日起转为开放式运作，并自该日起开始办理日常申购、赎回业务。</w:t>
      </w:r>
    </w:p>
    <w:p w:rsidR="000E6BAE" w:rsidRDefault="00CD6463">
      <w:pPr>
        <w:spacing w:before="29" w:line="288" w:lineRule="auto"/>
        <w:ind w:firstLineChars="200" w:firstLine="480"/>
        <w:rPr>
          <w:kern w:val="0"/>
          <w:sz w:val="24"/>
        </w:rPr>
      </w:pPr>
      <w:r>
        <w:rPr>
          <w:kern w:val="0"/>
          <w:sz w:val="24"/>
        </w:rPr>
        <w:t>根据《中华人民共和国证券投资基金法》和《交银施罗德丰润收益债券型证券投资基金基金合同》的有关规定，本基金的投资范围为具有良好流动性的金融工具，包括国内依法发行交易的国债、金融债、央行票据、地方政府债、企业债、公司债、分离交易可转债的纯债、次级债、资产支持证券、短期融资券、中期票据、债券回购、银行存款、货币市场工具等固定收益类资产和法律法规允许投资的其他金融工具。其中，封闭期内，本基金所投企业债和公司债信用评级需在</w:t>
      </w:r>
      <w:r>
        <w:rPr>
          <w:kern w:val="0"/>
          <w:sz w:val="24"/>
        </w:rPr>
        <w:t>AA</w:t>
      </w:r>
      <w:r>
        <w:rPr>
          <w:kern w:val="0"/>
          <w:sz w:val="24"/>
        </w:rPr>
        <w:t>级</w:t>
      </w:r>
      <w:r>
        <w:rPr>
          <w:kern w:val="0"/>
          <w:sz w:val="24"/>
        </w:rPr>
        <w:t>（含）以上。本基金不直接在二级市场买入股票、权证等权益类资产，也不参与一级市场新股申购和新股增发。同时本基金不参与可转换债券投资（分离交易可转债的纯债部分除外）。基金的投资组合比例为投资于债券资产的比例不低于基金资产的</w:t>
      </w:r>
      <w:r>
        <w:rPr>
          <w:kern w:val="0"/>
          <w:sz w:val="24"/>
        </w:rPr>
        <w:t>80%</w:t>
      </w:r>
      <w:r>
        <w:rPr>
          <w:kern w:val="0"/>
          <w:sz w:val="24"/>
        </w:rPr>
        <w:t>，但在封闭期结束前三个月和转开放后三个月内，基金投资不受上述债券资产投资比例限制。本基金在开放期内，现金或到期日在一年以内的政府债券的比例合计不低于基金资产净值的</w:t>
      </w:r>
      <w:r>
        <w:rPr>
          <w:kern w:val="0"/>
          <w:sz w:val="24"/>
        </w:rPr>
        <w:t>5%</w:t>
      </w:r>
      <w:r>
        <w:rPr>
          <w:kern w:val="0"/>
          <w:sz w:val="24"/>
        </w:rPr>
        <w:t>，其中现金不包括结算备付金、存出保证金和应收申购款等。本基金封闭期内投资的业绩比较基准为两年期银行定期存款税后收益率</w:t>
      </w:r>
      <w:r>
        <w:rPr>
          <w:kern w:val="0"/>
          <w:sz w:val="24"/>
        </w:rPr>
        <w:t>+1.</w:t>
      </w:r>
      <w:r>
        <w:rPr>
          <w:kern w:val="0"/>
          <w:sz w:val="24"/>
        </w:rPr>
        <w:t>25%</w:t>
      </w:r>
      <w:r>
        <w:rPr>
          <w:kern w:val="0"/>
          <w:sz w:val="24"/>
        </w:rPr>
        <w:t>，本基金开放期内投资的业绩比较基准为中债综合全价指数。</w:t>
      </w:r>
    </w:p>
    <w:p w:rsidR="000E6BAE" w:rsidRDefault="00CD6463">
      <w:pPr>
        <w:spacing w:before="29" w:line="288" w:lineRule="auto"/>
        <w:ind w:firstLineChars="200" w:firstLine="480"/>
        <w:rPr>
          <w:kern w:val="0"/>
          <w:sz w:val="24"/>
        </w:rPr>
      </w:pPr>
      <w:r>
        <w:rPr>
          <w:kern w:val="0"/>
          <w:sz w:val="24"/>
        </w:rPr>
        <w:t>本财务报表由本基金的基金管理人交银施罗德基金管理有限公司于</w:t>
      </w:r>
      <w:r>
        <w:rPr>
          <w:kern w:val="0"/>
          <w:sz w:val="24"/>
        </w:rPr>
        <w:t>2021</w:t>
      </w:r>
      <w:r>
        <w:rPr>
          <w:kern w:val="0"/>
          <w:sz w:val="24"/>
        </w:rPr>
        <w:t>年</w:t>
      </w:r>
      <w:r>
        <w:rPr>
          <w:kern w:val="0"/>
          <w:sz w:val="24"/>
        </w:rPr>
        <w:t>3</w:t>
      </w:r>
      <w:r>
        <w:rPr>
          <w:kern w:val="0"/>
          <w:sz w:val="24"/>
        </w:rPr>
        <w:t>月</w:t>
      </w:r>
      <w:r>
        <w:rPr>
          <w:kern w:val="0"/>
          <w:sz w:val="24"/>
        </w:rPr>
        <w:t>26</w:t>
      </w:r>
      <w:r>
        <w:rPr>
          <w:kern w:val="0"/>
          <w:sz w:val="24"/>
        </w:rPr>
        <w:t>日批准报出。</w:t>
      </w:r>
    </w:p>
    <w:p w:rsidR="000E6BAE" w:rsidRDefault="000E6BAE">
      <w:pPr>
        <w:tabs>
          <w:tab w:val="left" w:pos="2265"/>
        </w:tabs>
        <w:spacing w:line="360" w:lineRule="auto"/>
        <w:ind w:firstLineChars="200" w:firstLine="420"/>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7.4.2</w:t>
      </w:r>
      <w:r>
        <w:rPr>
          <w:rFonts w:eastAsiaTheme="minorEastAsia" w:hint="eastAsia"/>
          <w:b/>
          <w:sz w:val="24"/>
        </w:rPr>
        <w:t>会计报表的编制基础</w:t>
      </w:r>
    </w:p>
    <w:p w:rsidR="000E6BAE" w:rsidRDefault="00CD6463">
      <w:pPr>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年度报告和中期报告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颁布的《证券投资基金会计核算业务指引》、《交银施罗德丰润收益债券型证券投资基金基金合同》和在财务报表附注</w:t>
      </w:r>
      <w:r>
        <w:rPr>
          <w:kern w:val="0"/>
          <w:sz w:val="24"/>
        </w:rPr>
        <w:t>7.4.4</w:t>
      </w:r>
      <w:r>
        <w:rPr>
          <w:kern w:val="0"/>
          <w:sz w:val="24"/>
        </w:rPr>
        <w:t>所列示的中国证监会、中国基金业协会发布的有关规定及允许的基金行业实务操作编制。</w:t>
      </w:r>
    </w:p>
    <w:p w:rsidR="000E6BAE" w:rsidRDefault="00CD6463">
      <w:pPr>
        <w:spacing w:before="29" w:line="288" w:lineRule="auto"/>
        <w:ind w:firstLineChars="200" w:firstLine="480"/>
        <w:rPr>
          <w:kern w:val="0"/>
          <w:sz w:val="24"/>
        </w:rPr>
      </w:pPr>
      <w:r>
        <w:rPr>
          <w:kern w:val="0"/>
          <w:sz w:val="24"/>
        </w:rPr>
        <w:t>本财务报表以持续经营为基础编制。</w:t>
      </w:r>
    </w:p>
    <w:p w:rsidR="000E6BAE" w:rsidRDefault="000E6BAE">
      <w:pPr>
        <w:spacing w:line="360" w:lineRule="auto"/>
        <w:ind w:firstLineChars="200" w:firstLine="422"/>
        <w:rPr>
          <w:rFonts w:asciiTheme="minorEastAsia" w:eastAsiaTheme="minorEastAsia" w:hAnsiTheme="minorEastAsia"/>
          <w:b/>
          <w:color w:val="000000"/>
          <w:szCs w:val="21"/>
        </w:rPr>
      </w:pPr>
    </w:p>
    <w:p w:rsidR="000E6BAE" w:rsidRDefault="00CD6463">
      <w:pPr>
        <w:spacing w:before="29" w:line="288" w:lineRule="auto"/>
        <w:rPr>
          <w:rFonts w:eastAsiaTheme="minorEastAsia"/>
          <w:b/>
          <w:sz w:val="24"/>
        </w:rPr>
      </w:pPr>
      <w:r>
        <w:rPr>
          <w:rFonts w:eastAsiaTheme="minorEastAsia"/>
          <w:b/>
          <w:sz w:val="24"/>
        </w:rPr>
        <w:t>7.4.3</w:t>
      </w:r>
      <w:r>
        <w:rPr>
          <w:rFonts w:eastAsiaTheme="minorEastAsia" w:hint="eastAsia"/>
          <w:b/>
          <w:sz w:val="24"/>
        </w:rPr>
        <w:t>遵循企业会计准则及其他有关规定的声明</w:t>
      </w:r>
    </w:p>
    <w:p w:rsidR="000E6BAE" w:rsidRDefault="00CD6463">
      <w:pPr>
        <w:spacing w:before="29" w:line="288" w:lineRule="auto"/>
        <w:ind w:firstLineChars="200" w:firstLine="480"/>
        <w:rPr>
          <w:kern w:val="0"/>
          <w:sz w:val="24"/>
        </w:rPr>
      </w:pPr>
      <w:r>
        <w:rPr>
          <w:kern w:val="0"/>
          <w:sz w:val="24"/>
        </w:rPr>
        <w:t>本基金</w:t>
      </w:r>
      <w:r>
        <w:rPr>
          <w:kern w:val="0"/>
          <w:sz w:val="24"/>
        </w:rPr>
        <w:t>2020</w:t>
      </w:r>
      <w:r>
        <w:rPr>
          <w:kern w:val="0"/>
          <w:sz w:val="24"/>
        </w:rPr>
        <w:t>年度财务报表符合企业会计准则的要求，真实、完整地反映了本基金</w:t>
      </w:r>
      <w:r>
        <w:rPr>
          <w:kern w:val="0"/>
          <w:sz w:val="24"/>
        </w:rPr>
        <w:t>2020</w:t>
      </w:r>
      <w:r>
        <w:rPr>
          <w:kern w:val="0"/>
          <w:sz w:val="24"/>
        </w:rPr>
        <w:t>年</w:t>
      </w:r>
      <w:r>
        <w:rPr>
          <w:kern w:val="0"/>
          <w:sz w:val="24"/>
        </w:rPr>
        <w:t>12</w:t>
      </w:r>
      <w:r>
        <w:rPr>
          <w:kern w:val="0"/>
          <w:sz w:val="24"/>
        </w:rPr>
        <w:t>月</w:t>
      </w:r>
      <w:r>
        <w:rPr>
          <w:kern w:val="0"/>
          <w:sz w:val="24"/>
        </w:rPr>
        <w:t>31</w:t>
      </w:r>
      <w:r>
        <w:rPr>
          <w:kern w:val="0"/>
          <w:sz w:val="24"/>
        </w:rPr>
        <w:t>日的财务状况以及</w:t>
      </w:r>
      <w:r>
        <w:rPr>
          <w:kern w:val="0"/>
          <w:sz w:val="24"/>
        </w:rPr>
        <w:t>2020</w:t>
      </w:r>
      <w:r>
        <w:rPr>
          <w:kern w:val="0"/>
          <w:sz w:val="24"/>
        </w:rPr>
        <w:t>年度的经营成果和基金净值变动情况等有关信息。</w:t>
      </w:r>
    </w:p>
    <w:p w:rsidR="000E6BAE" w:rsidRDefault="000E6BAE">
      <w:pPr>
        <w:spacing w:line="360" w:lineRule="auto"/>
        <w:ind w:firstLineChars="200" w:firstLine="422"/>
        <w:rPr>
          <w:rFonts w:asciiTheme="minorEastAsia" w:eastAsiaTheme="minorEastAsia" w:hAnsiTheme="minorEastAsia"/>
          <w:b/>
          <w:color w:val="000000"/>
          <w:szCs w:val="21"/>
        </w:rPr>
      </w:pPr>
    </w:p>
    <w:p w:rsidR="000E6BAE" w:rsidRDefault="00CD6463">
      <w:pPr>
        <w:spacing w:before="29" w:line="288" w:lineRule="auto"/>
        <w:rPr>
          <w:rFonts w:eastAsiaTheme="minorEastAsia"/>
          <w:b/>
          <w:sz w:val="24"/>
        </w:rPr>
      </w:pPr>
      <w:r>
        <w:rPr>
          <w:rFonts w:eastAsiaTheme="minorEastAsia"/>
          <w:b/>
          <w:sz w:val="24"/>
        </w:rPr>
        <w:t>7.4.4</w:t>
      </w:r>
      <w:r>
        <w:rPr>
          <w:rFonts w:eastAsiaTheme="minorEastAsia" w:hint="eastAsia"/>
          <w:b/>
          <w:sz w:val="24"/>
        </w:rPr>
        <w:t>重要会计政策和会计估计</w:t>
      </w:r>
    </w:p>
    <w:p w:rsidR="000E6BAE" w:rsidRDefault="00CD6463">
      <w:pPr>
        <w:spacing w:before="29" w:line="288" w:lineRule="auto"/>
        <w:rPr>
          <w:rFonts w:eastAsiaTheme="minorEastAsia"/>
          <w:b/>
          <w:sz w:val="24"/>
        </w:rPr>
      </w:pPr>
      <w:r>
        <w:rPr>
          <w:rFonts w:eastAsiaTheme="minorEastAsia"/>
          <w:b/>
          <w:sz w:val="24"/>
        </w:rPr>
        <w:t>7.4.4.1</w:t>
      </w:r>
      <w:r>
        <w:rPr>
          <w:rFonts w:eastAsiaTheme="minorEastAsia" w:hint="eastAsia"/>
          <w:b/>
          <w:sz w:val="24"/>
        </w:rPr>
        <w:t>会计年度</w:t>
      </w:r>
    </w:p>
    <w:p w:rsidR="000E6BAE" w:rsidRDefault="00CD6463">
      <w:pPr>
        <w:spacing w:before="29" w:line="288" w:lineRule="auto"/>
        <w:ind w:firstLineChars="200" w:firstLine="480"/>
        <w:rPr>
          <w:kern w:val="0"/>
          <w:sz w:val="24"/>
        </w:rPr>
      </w:pPr>
      <w:r>
        <w:rPr>
          <w:kern w:val="0"/>
          <w:sz w:val="24"/>
        </w:rPr>
        <w:t>本基金会计年度为公历</w:t>
      </w:r>
      <w:r>
        <w:rPr>
          <w:kern w:val="0"/>
          <w:sz w:val="24"/>
        </w:rPr>
        <w:t>1</w:t>
      </w:r>
      <w:r>
        <w:rPr>
          <w:kern w:val="0"/>
          <w:sz w:val="24"/>
        </w:rPr>
        <w:t>月</w:t>
      </w:r>
      <w:r>
        <w:rPr>
          <w:kern w:val="0"/>
          <w:sz w:val="24"/>
        </w:rPr>
        <w:t>1</w:t>
      </w:r>
      <w:r>
        <w:rPr>
          <w:kern w:val="0"/>
          <w:sz w:val="24"/>
        </w:rPr>
        <w:t>日起至</w:t>
      </w:r>
      <w:r>
        <w:rPr>
          <w:kern w:val="0"/>
          <w:sz w:val="24"/>
        </w:rPr>
        <w:t>12</w:t>
      </w:r>
      <w:r>
        <w:rPr>
          <w:kern w:val="0"/>
          <w:sz w:val="24"/>
        </w:rPr>
        <w:t>月</w:t>
      </w:r>
      <w:r>
        <w:rPr>
          <w:kern w:val="0"/>
          <w:sz w:val="24"/>
        </w:rPr>
        <w:t>31</w:t>
      </w:r>
      <w:r>
        <w:rPr>
          <w:kern w:val="0"/>
          <w:sz w:val="24"/>
        </w:rPr>
        <w:t>日止。</w:t>
      </w:r>
    </w:p>
    <w:p w:rsidR="000E6BAE" w:rsidRDefault="000E6BAE">
      <w:pPr>
        <w:spacing w:line="360" w:lineRule="auto"/>
        <w:ind w:firstLineChars="200" w:firstLine="422"/>
        <w:rPr>
          <w:rFonts w:asciiTheme="minorEastAsia" w:eastAsiaTheme="minorEastAsia" w:hAnsiTheme="minorEastAsia"/>
          <w:b/>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7.4.4.2 </w:t>
      </w:r>
      <w:r>
        <w:rPr>
          <w:rFonts w:eastAsiaTheme="minorEastAsia" w:hint="eastAsia"/>
          <w:b/>
          <w:sz w:val="24"/>
        </w:rPr>
        <w:t>记账本位币</w:t>
      </w:r>
    </w:p>
    <w:p w:rsidR="000E6BAE" w:rsidRDefault="00CD6463">
      <w:pPr>
        <w:spacing w:before="29" w:line="288" w:lineRule="auto"/>
        <w:ind w:firstLineChars="200" w:firstLine="480"/>
        <w:rPr>
          <w:kern w:val="0"/>
          <w:sz w:val="24"/>
        </w:rPr>
      </w:pPr>
      <w:r>
        <w:rPr>
          <w:kern w:val="0"/>
          <w:sz w:val="24"/>
        </w:rPr>
        <w:t>本基金的记账本位币为人民币。</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7.4.4.3 </w:t>
      </w:r>
      <w:r>
        <w:rPr>
          <w:rFonts w:eastAsiaTheme="minorEastAsia" w:hint="eastAsia"/>
          <w:b/>
          <w:sz w:val="24"/>
        </w:rPr>
        <w:t>金融资产和金融负债的分类</w:t>
      </w:r>
    </w:p>
    <w:p w:rsidR="000E6BAE" w:rsidRDefault="00CD6463">
      <w:pPr>
        <w:spacing w:before="29" w:line="288" w:lineRule="auto"/>
        <w:ind w:firstLineChars="200" w:firstLine="480"/>
        <w:rPr>
          <w:kern w:val="0"/>
          <w:sz w:val="24"/>
        </w:rPr>
      </w:pPr>
      <w:r>
        <w:rPr>
          <w:kern w:val="0"/>
          <w:sz w:val="24"/>
        </w:rPr>
        <w:t xml:space="preserve">(1) </w:t>
      </w:r>
      <w:r>
        <w:rPr>
          <w:kern w:val="0"/>
          <w:sz w:val="24"/>
        </w:rPr>
        <w:t>金融资产的分类</w:t>
      </w:r>
    </w:p>
    <w:p w:rsidR="000E6BAE" w:rsidRDefault="00CD6463">
      <w:pPr>
        <w:spacing w:before="29" w:line="288" w:lineRule="auto"/>
        <w:ind w:firstLineChars="200" w:firstLine="480"/>
        <w:rPr>
          <w:kern w:val="0"/>
          <w:sz w:val="24"/>
        </w:rPr>
      </w:pPr>
      <w:r>
        <w:rPr>
          <w:kern w:val="0"/>
          <w:sz w:val="24"/>
        </w:rPr>
        <w:t>金融资产于初始确认时分类为：以公允价值计量且其变动计入当期损益</w:t>
      </w:r>
      <w:r>
        <w:rPr>
          <w:kern w:val="0"/>
          <w:sz w:val="24"/>
        </w:rPr>
        <w:t>的金融资产、应收款项、可供出售金融资产及持有至到期投资。金融资产的分类取决于本基金对金融资产的持有意图和持有能力。本基金现无金融资产分类为可供出售金融资产及持有至到期投资。</w:t>
      </w:r>
    </w:p>
    <w:p w:rsidR="000E6BAE" w:rsidRDefault="00CD6463">
      <w:pPr>
        <w:spacing w:before="29" w:line="288" w:lineRule="auto"/>
        <w:ind w:firstLineChars="200" w:firstLine="480"/>
        <w:rPr>
          <w:kern w:val="0"/>
          <w:sz w:val="24"/>
        </w:rPr>
      </w:pPr>
      <w:r>
        <w:rPr>
          <w:kern w:val="0"/>
          <w:sz w:val="24"/>
        </w:rPr>
        <w:t>本基金以交易目的持有的债券投资和资产支持证券投资分类为以公允价值计量且其变动计入当期损益的金融资产。以公允价值计量且其变动计入当期损益的金融资产在资产负债表中以交易性金融资产列示。</w:t>
      </w:r>
    </w:p>
    <w:p w:rsidR="000E6BAE" w:rsidRDefault="00CD6463">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w:t>
      </w:r>
      <w:r>
        <w:rPr>
          <w:kern w:val="0"/>
          <w:sz w:val="24"/>
        </w:rPr>
        <w:t>融资产。</w:t>
      </w:r>
    </w:p>
    <w:p w:rsidR="000E6BAE" w:rsidRDefault="00CD6463">
      <w:pPr>
        <w:spacing w:before="29" w:line="288" w:lineRule="auto"/>
        <w:ind w:firstLineChars="200" w:firstLine="480"/>
        <w:rPr>
          <w:kern w:val="0"/>
          <w:sz w:val="24"/>
        </w:rPr>
      </w:pPr>
      <w:r>
        <w:rPr>
          <w:kern w:val="0"/>
          <w:sz w:val="24"/>
        </w:rPr>
        <w:t xml:space="preserve">(2) </w:t>
      </w:r>
      <w:r>
        <w:rPr>
          <w:kern w:val="0"/>
          <w:sz w:val="24"/>
        </w:rPr>
        <w:t>金融负债的分类</w:t>
      </w:r>
    </w:p>
    <w:p w:rsidR="000E6BAE" w:rsidRDefault="00CD6463">
      <w:pPr>
        <w:spacing w:before="29" w:line="288" w:lineRule="auto"/>
        <w:ind w:firstLineChars="200" w:firstLine="480"/>
        <w:rPr>
          <w:kern w:val="0"/>
          <w:sz w:val="24"/>
        </w:rPr>
      </w:pPr>
      <w:r>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asciiTheme="minorEastAsia" w:eastAsiaTheme="minorEastAsia" w:hAnsiTheme="minorEastAsia"/>
          <w:b/>
          <w:color w:val="000000"/>
          <w:kern w:val="0"/>
          <w:szCs w:val="21"/>
        </w:rPr>
      </w:pPr>
      <w:r>
        <w:rPr>
          <w:rFonts w:eastAsiaTheme="minorEastAsia"/>
          <w:b/>
          <w:sz w:val="24"/>
        </w:rPr>
        <w:t xml:space="preserve">7.4.4.4 </w:t>
      </w:r>
      <w:r>
        <w:rPr>
          <w:rFonts w:eastAsiaTheme="minorEastAsia" w:hint="eastAsia"/>
          <w:b/>
          <w:sz w:val="24"/>
        </w:rPr>
        <w:t>金融资产和金融负债的初始确认、后续计量和终止确认</w:t>
      </w:r>
    </w:p>
    <w:p w:rsidR="000E6BAE" w:rsidRDefault="00CD6463">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0E6BAE" w:rsidRDefault="00CD6463">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0E6BAE" w:rsidRDefault="00CD6463">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0E6BAE" w:rsidRDefault="00CD6463">
      <w:pPr>
        <w:spacing w:before="29" w:line="288" w:lineRule="auto"/>
        <w:ind w:firstLineChars="200" w:firstLine="480"/>
        <w:rPr>
          <w:kern w:val="0"/>
          <w:sz w:val="24"/>
        </w:rPr>
      </w:pPr>
      <w:r>
        <w:rPr>
          <w:kern w:val="0"/>
          <w:sz w:val="24"/>
        </w:rPr>
        <w:t>金融资产终止确认时，其账面价值与收到的对价的差额，计入当期损益。</w:t>
      </w:r>
    </w:p>
    <w:p w:rsidR="000E6BAE" w:rsidRDefault="00CD6463">
      <w:pPr>
        <w:spacing w:before="29" w:line="288" w:lineRule="auto"/>
        <w:ind w:firstLineChars="200" w:firstLine="480"/>
        <w:rPr>
          <w:kern w:val="0"/>
          <w:sz w:val="24"/>
        </w:rPr>
      </w:pPr>
      <w:r>
        <w:rPr>
          <w:kern w:val="0"/>
          <w:sz w:val="24"/>
        </w:rPr>
        <w:t>当金融负债的现时义务全部或部分已经解除时，终止确认该金融负债或义务已解除的部分。终止确认部分的账面价值与支付的对价之间的差额，计入当期损益。</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7.4.4.5 </w:t>
      </w:r>
      <w:r>
        <w:rPr>
          <w:rFonts w:eastAsiaTheme="minorEastAsia" w:hint="eastAsia"/>
          <w:b/>
          <w:sz w:val="24"/>
        </w:rPr>
        <w:t>金融资产和金融负债的估值原则</w:t>
      </w:r>
    </w:p>
    <w:p w:rsidR="000E6BAE" w:rsidRDefault="00CD6463">
      <w:pPr>
        <w:spacing w:before="29" w:line="288" w:lineRule="auto"/>
        <w:ind w:firstLineChars="200" w:firstLine="480"/>
        <w:rPr>
          <w:kern w:val="0"/>
          <w:sz w:val="24"/>
        </w:rPr>
      </w:pPr>
      <w:r>
        <w:rPr>
          <w:kern w:val="0"/>
          <w:sz w:val="24"/>
        </w:rPr>
        <w:t>本基</w:t>
      </w:r>
      <w:r>
        <w:rPr>
          <w:kern w:val="0"/>
          <w:sz w:val="24"/>
        </w:rPr>
        <w:t>金持有的债券投资和资产支持证券投资按如下原则确定公允价值并进行估值：</w:t>
      </w:r>
    </w:p>
    <w:p w:rsidR="000E6BAE" w:rsidRDefault="00CD6463">
      <w:pPr>
        <w:spacing w:before="29" w:line="288" w:lineRule="auto"/>
        <w:ind w:firstLineChars="200" w:firstLine="480"/>
        <w:rPr>
          <w:kern w:val="0"/>
          <w:sz w:val="24"/>
        </w:rPr>
      </w:pPr>
      <w:r>
        <w:rPr>
          <w:kern w:val="0"/>
          <w:sz w:val="24"/>
        </w:rPr>
        <w:t xml:space="preserve">(1) </w:t>
      </w:r>
      <w:r>
        <w:rPr>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w:t>
      </w:r>
      <w:r>
        <w:rPr>
          <w:kern w:val="0"/>
          <w:sz w:val="24"/>
        </w:rPr>
        <w:t>资产持有者的，那么在估值技术中不应将该限制作为特征考虑。此外，基金管理人不应考虑因大量持有相关资产或负债所产生的溢价或折价。</w:t>
      </w:r>
    </w:p>
    <w:p w:rsidR="000E6BAE" w:rsidRDefault="00CD6463">
      <w:pPr>
        <w:spacing w:before="29" w:line="288" w:lineRule="auto"/>
        <w:ind w:firstLineChars="200" w:firstLine="480"/>
        <w:rPr>
          <w:kern w:val="0"/>
          <w:sz w:val="24"/>
        </w:rPr>
      </w:pPr>
      <w:r>
        <w:rPr>
          <w:kern w:val="0"/>
          <w:sz w:val="24"/>
        </w:rPr>
        <w:t xml:space="preserve">(2) </w:t>
      </w:r>
      <w:r>
        <w:rPr>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0E6BAE" w:rsidRDefault="00CD6463">
      <w:pPr>
        <w:spacing w:before="29" w:line="288" w:lineRule="auto"/>
        <w:ind w:firstLineChars="200" w:firstLine="480"/>
        <w:rPr>
          <w:kern w:val="0"/>
          <w:sz w:val="24"/>
        </w:rPr>
      </w:pPr>
      <w:r>
        <w:rPr>
          <w:kern w:val="0"/>
          <w:sz w:val="24"/>
        </w:rPr>
        <w:t xml:space="preserve">(3) </w:t>
      </w:r>
      <w:r>
        <w:rPr>
          <w:kern w:val="0"/>
          <w:sz w:val="24"/>
        </w:rPr>
        <w:t>如经济环境发生重大变化或证券发行人发生影响金融工具价格的重大事件，应对估值进行调整并确定公允价值。</w:t>
      </w:r>
    </w:p>
    <w:p w:rsidR="000E6BAE" w:rsidRDefault="000E6BAE">
      <w:pPr>
        <w:autoSpaceDE w:val="0"/>
        <w:autoSpaceDN w:val="0"/>
        <w:adjustRightInd w:val="0"/>
        <w:spacing w:line="360" w:lineRule="auto"/>
        <w:jc w:val="left"/>
        <w:rPr>
          <w:rFonts w:asciiTheme="minorEastAsia" w:eastAsiaTheme="minorEastAsia" w:hAnsiTheme="minorEastAsia"/>
          <w:b/>
          <w:color w:val="000000"/>
          <w:kern w:val="0"/>
          <w:szCs w:val="21"/>
        </w:rPr>
      </w:pPr>
    </w:p>
    <w:p w:rsidR="000E6BAE" w:rsidRDefault="00CD6463">
      <w:pPr>
        <w:spacing w:before="29" w:line="288" w:lineRule="auto"/>
        <w:rPr>
          <w:rFonts w:eastAsiaTheme="minorEastAsia"/>
          <w:b/>
          <w:sz w:val="24"/>
        </w:rPr>
      </w:pPr>
      <w:r>
        <w:rPr>
          <w:rFonts w:eastAsiaTheme="minorEastAsia"/>
          <w:b/>
          <w:sz w:val="24"/>
        </w:rPr>
        <w:t xml:space="preserve">7.4.4.6 </w:t>
      </w:r>
      <w:r>
        <w:rPr>
          <w:rFonts w:eastAsiaTheme="minorEastAsia" w:hint="eastAsia"/>
          <w:b/>
          <w:sz w:val="24"/>
        </w:rPr>
        <w:t>金融资产和金融负债的抵销</w:t>
      </w:r>
    </w:p>
    <w:p w:rsidR="000E6BAE" w:rsidRDefault="00CD6463">
      <w:pPr>
        <w:spacing w:before="29" w:line="288" w:lineRule="auto"/>
        <w:ind w:firstLineChars="200" w:firstLine="480"/>
        <w:rPr>
          <w:kern w:val="0"/>
          <w:sz w:val="24"/>
        </w:rPr>
      </w:pPr>
      <w:r>
        <w:rPr>
          <w:kern w:val="0"/>
          <w:sz w:val="24"/>
        </w:rPr>
        <w:t>本基金持有的资产和承担的负债基本为金融资产和金融负债。当本基金</w:t>
      </w:r>
      <w:r>
        <w:rPr>
          <w:kern w:val="0"/>
          <w:sz w:val="24"/>
        </w:rPr>
        <w:t xml:space="preserve">1) </w:t>
      </w:r>
      <w:r>
        <w:rPr>
          <w:kern w:val="0"/>
          <w:sz w:val="24"/>
        </w:rPr>
        <w:t>具有抵销已确认金额的法定权利且该种法定权利现在是可执行的；且</w:t>
      </w:r>
      <w:r>
        <w:rPr>
          <w:kern w:val="0"/>
          <w:sz w:val="24"/>
        </w:rPr>
        <w:t xml:space="preserve">2) </w:t>
      </w:r>
      <w:r>
        <w:rPr>
          <w:kern w:val="0"/>
          <w:sz w:val="24"/>
        </w:rPr>
        <w:t>交易双方准备按净额结算时，金融资产与金融负债按抵销后的净额在资产负债表中列示。</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7.4.4.7 </w:t>
      </w:r>
      <w:r>
        <w:rPr>
          <w:rFonts w:eastAsiaTheme="minorEastAsia" w:hint="eastAsia"/>
          <w:b/>
          <w:sz w:val="24"/>
        </w:rPr>
        <w:t>实收基金</w:t>
      </w:r>
    </w:p>
    <w:p w:rsidR="000E6BAE" w:rsidRDefault="00CD6463">
      <w:pPr>
        <w:spacing w:before="29" w:line="288" w:lineRule="auto"/>
        <w:ind w:firstLineChars="200" w:firstLine="480"/>
        <w:rPr>
          <w:kern w:val="0"/>
          <w:sz w:val="24"/>
        </w:rPr>
      </w:pPr>
      <w:r>
        <w:rPr>
          <w:kern w:val="0"/>
          <w:sz w:val="24"/>
        </w:rPr>
        <w:t>实收基金为对外发行基金份额所募集的总金额在扣除损益平准金分摊部分后的余额。由于申购和赎回引起的实收基金变动分别于基金申购确认日及基金赎回确认日认列。</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7.4.4.8 </w:t>
      </w:r>
      <w:r>
        <w:rPr>
          <w:rFonts w:eastAsiaTheme="minorEastAsia" w:hint="eastAsia"/>
          <w:b/>
          <w:sz w:val="24"/>
        </w:rPr>
        <w:t>损益平准金</w:t>
      </w:r>
    </w:p>
    <w:p w:rsidR="000E6BAE" w:rsidRDefault="00CD6463">
      <w:pPr>
        <w:spacing w:before="29" w:line="288" w:lineRule="auto"/>
        <w:ind w:firstLineChars="200" w:firstLine="480"/>
        <w:rPr>
          <w:kern w:val="0"/>
          <w:sz w:val="24"/>
        </w:rPr>
      </w:pPr>
      <w:r>
        <w:rPr>
          <w:kern w:val="0"/>
          <w:sz w:val="24"/>
        </w:rPr>
        <w:t>损益平准金包括已实现平准金和未实现平准金。已实现平准金指在申购或</w:t>
      </w:r>
      <w:r>
        <w:rPr>
          <w:kern w:val="0"/>
          <w:sz w:val="24"/>
        </w:rPr>
        <w:t>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Pr>
          <w:kern w:val="0"/>
          <w:sz w:val="24"/>
        </w:rPr>
        <w:t>/(</w:t>
      </w:r>
      <w:r>
        <w:rPr>
          <w:kern w:val="0"/>
          <w:sz w:val="24"/>
        </w:rPr>
        <w:t>累计亏损</w:t>
      </w:r>
      <w:r>
        <w:rPr>
          <w:kern w:val="0"/>
          <w:sz w:val="24"/>
        </w:rPr>
        <w:t>)</w:t>
      </w:r>
      <w:r>
        <w:rPr>
          <w:kern w:val="0"/>
          <w:sz w:val="24"/>
        </w:rPr>
        <w:t>。</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7.4.4.9 </w:t>
      </w:r>
      <w:r>
        <w:rPr>
          <w:rFonts w:eastAsiaTheme="minorEastAsia" w:hint="eastAsia"/>
          <w:b/>
          <w:sz w:val="24"/>
        </w:rPr>
        <w:t>收入</w:t>
      </w:r>
      <w:r>
        <w:rPr>
          <w:rFonts w:eastAsiaTheme="minorEastAsia"/>
          <w:b/>
          <w:sz w:val="24"/>
        </w:rPr>
        <w:t>/(</w:t>
      </w:r>
      <w:r>
        <w:rPr>
          <w:rFonts w:eastAsiaTheme="minorEastAsia" w:hint="eastAsia"/>
          <w:b/>
          <w:sz w:val="24"/>
        </w:rPr>
        <w:t>损失</w:t>
      </w:r>
      <w:r>
        <w:rPr>
          <w:rFonts w:eastAsiaTheme="minorEastAsia"/>
          <w:b/>
          <w:sz w:val="24"/>
        </w:rPr>
        <w:t>)</w:t>
      </w:r>
      <w:r>
        <w:rPr>
          <w:rFonts w:eastAsiaTheme="minorEastAsia" w:hint="eastAsia"/>
          <w:b/>
          <w:sz w:val="24"/>
        </w:rPr>
        <w:t>的确认和计量</w:t>
      </w:r>
    </w:p>
    <w:p w:rsidR="000E6BAE" w:rsidRDefault="00CD6463">
      <w:pPr>
        <w:spacing w:before="29" w:line="288" w:lineRule="auto"/>
        <w:ind w:firstLineChars="200" w:firstLine="480"/>
        <w:rPr>
          <w:kern w:val="0"/>
          <w:sz w:val="24"/>
        </w:rPr>
      </w:pPr>
      <w:r>
        <w:rPr>
          <w:kern w:val="0"/>
          <w:sz w:val="24"/>
        </w:rPr>
        <w:t>债券投资在持有期间应取得的按票面利率或者发行价计算的利息扣除在适用情况下由债券发行企业代扣代缴的个人所得税及由基金管理人缴纳的增值税后的净额确认为利息收入。资产支持证券在持有期间收到的</w:t>
      </w:r>
      <w:r>
        <w:rPr>
          <w:kern w:val="0"/>
          <w:sz w:val="24"/>
        </w:rPr>
        <w:t>款项，根据资产支持证券的预计收益率或票面利率区分属于资产支持证券投资本金部分和投资收益部分，将本金部分冲减资产支持证券投资成本，并将投资收益部分扣除在适用情况下由基金管理人缴纳的增值税后的净额确认为利息收入。</w:t>
      </w:r>
    </w:p>
    <w:p w:rsidR="000E6BAE" w:rsidRDefault="00CD6463">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0E6BAE" w:rsidRDefault="00CD6463">
      <w:pPr>
        <w:spacing w:before="29" w:line="288" w:lineRule="auto"/>
        <w:ind w:firstLineChars="200" w:firstLine="480"/>
        <w:rPr>
          <w:kern w:val="0"/>
          <w:sz w:val="24"/>
        </w:rPr>
      </w:pPr>
      <w:r>
        <w:rPr>
          <w:kern w:val="0"/>
          <w:sz w:val="24"/>
        </w:rPr>
        <w:t>应收款项在持有期间确认的利息收入按实际利率法计算，实际利率法与直线法差异较小的则按直线法计算。</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7.4.4.10 </w:t>
      </w:r>
      <w:r>
        <w:rPr>
          <w:rFonts w:eastAsiaTheme="minorEastAsia" w:hint="eastAsia"/>
          <w:b/>
          <w:sz w:val="24"/>
        </w:rPr>
        <w:t>费用的确认和计量</w:t>
      </w:r>
    </w:p>
    <w:p w:rsidR="000E6BAE" w:rsidRDefault="00CD6463">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rsidR="000E6BAE" w:rsidRDefault="00CD6463">
      <w:pPr>
        <w:spacing w:before="29" w:line="288" w:lineRule="auto"/>
        <w:ind w:firstLineChars="200" w:firstLine="480"/>
        <w:rPr>
          <w:kern w:val="0"/>
          <w:sz w:val="24"/>
        </w:rPr>
      </w:pPr>
      <w:r>
        <w:rPr>
          <w:kern w:val="0"/>
          <w:sz w:val="24"/>
        </w:rPr>
        <w:t>其他金融负债在持有期间确认的利息支出按实际利率法计算，实际利率法与直线法差异较小的则按直线法计算。</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7.4.4.11 </w:t>
      </w:r>
      <w:r>
        <w:rPr>
          <w:rFonts w:eastAsiaTheme="minorEastAsia" w:hint="eastAsia"/>
          <w:b/>
          <w:sz w:val="24"/>
        </w:rPr>
        <w:t>基金的收益分配政策</w:t>
      </w:r>
    </w:p>
    <w:p w:rsidR="000E6BAE" w:rsidRDefault="00CD6463">
      <w:pPr>
        <w:spacing w:before="29" w:line="288" w:lineRule="auto"/>
        <w:ind w:firstLineChars="200" w:firstLine="480"/>
        <w:rPr>
          <w:kern w:val="0"/>
          <w:sz w:val="24"/>
        </w:rPr>
      </w:pPr>
      <w:r>
        <w:rPr>
          <w:kern w:val="0"/>
          <w:sz w:val="24"/>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w:t>
      </w:r>
      <w:r>
        <w:rPr>
          <w:kern w:val="0"/>
          <w:sz w:val="24"/>
        </w:rPr>
        <w:t>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0E6BAE" w:rsidRDefault="00CD6463">
      <w:pPr>
        <w:spacing w:before="29" w:line="288" w:lineRule="auto"/>
        <w:ind w:firstLineChars="200" w:firstLine="480"/>
        <w:rPr>
          <w:kern w:val="0"/>
          <w:sz w:val="24"/>
        </w:rPr>
      </w:pPr>
      <w:r>
        <w:rPr>
          <w:kern w:val="0"/>
          <w:sz w:val="24"/>
        </w:rPr>
        <w:t>经宣告的拟分配基金收益于分红除权日从所有者权益转出。</w:t>
      </w:r>
    </w:p>
    <w:p w:rsidR="000E6BAE" w:rsidRDefault="000E6BAE">
      <w:pPr>
        <w:spacing w:before="29" w:line="288"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7.4.4.12 </w:t>
      </w:r>
      <w:r>
        <w:rPr>
          <w:rFonts w:eastAsiaTheme="minorEastAsia" w:hint="eastAsia"/>
          <w:b/>
          <w:sz w:val="24"/>
        </w:rPr>
        <w:t>分部报告</w:t>
      </w:r>
    </w:p>
    <w:p w:rsidR="000E6BAE" w:rsidRDefault="00CD6463">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w:t>
      </w:r>
      <w:r>
        <w:rPr>
          <w:kern w:val="0"/>
          <w:sz w:val="24"/>
        </w:rPr>
        <w:t>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0E6BAE" w:rsidRDefault="00CD6463">
      <w:pPr>
        <w:spacing w:before="29" w:line="288" w:lineRule="auto"/>
        <w:ind w:firstLineChars="200" w:firstLine="480"/>
        <w:rPr>
          <w:kern w:val="0"/>
          <w:sz w:val="24"/>
        </w:rPr>
      </w:pPr>
      <w:r>
        <w:rPr>
          <w:kern w:val="0"/>
          <w:sz w:val="24"/>
        </w:rPr>
        <w:t>本基金目前以一个单一的经营分部运作，不需要披露分部信息。</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7.4.4.13 </w:t>
      </w:r>
      <w:r>
        <w:rPr>
          <w:rFonts w:eastAsiaTheme="minorEastAsia" w:hint="eastAsia"/>
          <w:b/>
          <w:sz w:val="24"/>
        </w:rPr>
        <w:t>其他重要的会计政策和会计估计</w:t>
      </w:r>
    </w:p>
    <w:p w:rsidR="000E6BAE" w:rsidRDefault="00CD6463">
      <w:pPr>
        <w:spacing w:before="29" w:line="288" w:lineRule="auto"/>
        <w:ind w:firstLineChars="200" w:firstLine="480"/>
        <w:rPr>
          <w:kern w:val="0"/>
          <w:sz w:val="24"/>
        </w:rPr>
      </w:pPr>
      <w:r>
        <w:rPr>
          <w:kern w:val="0"/>
          <w:sz w:val="24"/>
        </w:rPr>
        <w:t>根据本基金的估值原则和中国证监会允许的基金行业估值实务操作，本基金确定以下类别债券投资和资产支持证券投资的公允价值时采用的估值方法及其关键假设如下：</w:t>
      </w:r>
    </w:p>
    <w:p w:rsidR="000E6BAE" w:rsidRDefault="00CD6463">
      <w:pPr>
        <w:spacing w:before="29" w:line="288" w:lineRule="auto"/>
        <w:ind w:firstLineChars="200" w:firstLine="480"/>
        <w:rPr>
          <w:kern w:val="0"/>
          <w:sz w:val="24"/>
        </w:rPr>
      </w:pPr>
      <w:r>
        <w:rPr>
          <w:kern w:val="0"/>
          <w:sz w:val="24"/>
        </w:rPr>
        <w:t xml:space="preserve">(1) </w:t>
      </w:r>
      <w:r>
        <w:rPr>
          <w:kern w:val="0"/>
          <w:sz w:val="24"/>
        </w:rPr>
        <w:t>对</w:t>
      </w:r>
      <w:r>
        <w:rPr>
          <w:kern w:val="0"/>
          <w:sz w:val="24"/>
        </w:rPr>
        <w:t>于证券交易所上市的债券，若出现重大事项停牌或交易不活跃</w:t>
      </w:r>
      <w:r>
        <w:rPr>
          <w:kern w:val="0"/>
          <w:sz w:val="24"/>
        </w:rPr>
        <w:t>(</w:t>
      </w:r>
      <w:r>
        <w:rPr>
          <w:kern w:val="0"/>
          <w:sz w:val="24"/>
        </w:rPr>
        <w:t>包括涨跌停时的交易不活跃</w:t>
      </w:r>
      <w:r>
        <w:rPr>
          <w:kern w:val="0"/>
          <w:sz w:val="24"/>
        </w:rPr>
        <w:t>)</w:t>
      </w:r>
      <w:r>
        <w:rPr>
          <w:kern w:val="0"/>
          <w:sz w:val="24"/>
        </w:rPr>
        <w:t>等情况，本基金根据中国证监会公告</w:t>
      </w:r>
      <w:r>
        <w:rPr>
          <w:kern w:val="0"/>
          <w:sz w:val="24"/>
        </w:rPr>
        <w:t>[2017]13</w:t>
      </w:r>
      <w:r>
        <w:rPr>
          <w:kern w:val="0"/>
          <w:sz w:val="24"/>
        </w:rPr>
        <w:t>号《中国证监会关于证券投资基金估值业务的指导意见》，根据具体情况采用现金流量折现法等估值技术进行估值。</w:t>
      </w:r>
    </w:p>
    <w:p w:rsidR="000E6BAE" w:rsidRDefault="00CD6463">
      <w:pPr>
        <w:spacing w:before="29" w:line="288" w:lineRule="auto"/>
        <w:ind w:firstLineChars="200" w:firstLine="480"/>
        <w:rPr>
          <w:kern w:val="0"/>
          <w:sz w:val="24"/>
        </w:rPr>
      </w:pPr>
      <w:r>
        <w:rPr>
          <w:kern w:val="0"/>
          <w:sz w:val="24"/>
        </w:rPr>
        <w:t xml:space="preserve">(2) </w:t>
      </w:r>
      <w:r>
        <w:rPr>
          <w:kern w:val="0"/>
          <w:sz w:val="24"/>
        </w:rPr>
        <w:t>对于在证券交易所上市或挂牌转让的固定收益品种</w:t>
      </w:r>
      <w:r>
        <w:rPr>
          <w:kern w:val="0"/>
          <w:sz w:val="24"/>
        </w:rPr>
        <w:t>(</w:t>
      </w:r>
      <w:r>
        <w:rPr>
          <w:kern w:val="0"/>
          <w:sz w:val="24"/>
        </w:rPr>
        <w:t>可转换债券和私募债券除外</w:t>
      </w:r>
      <w:r>
        <w:rPr>
          <w:kern w:val="0"/>
          <w:sz w:val="24"/>
        </w:rPr>
        <w:t>)</w:t>
      </w:r>
      <w:r>
        <w:rPr>
          <w:kern w:val="0"/>
          <w:sz w:val="24"/>
        </w:rPr>
        <w:t>及在银行间同业市场交易的固定收益品种，根据中国证监会公告</w:t>
      </w:r>
      <w:r>
        <w:rPr>
          <w:kern w:val="0"/>
          <w:sz w:val="24"/>
        </w:rPr>
        <w:t>[2017]13</w:t>
      </w:r>
      <w:r>
        <w:rPr>
          <w:kern w:val="0"/>
          <w:sz w:val="24"/>
        </w:rPr>
        <w:t>号《中国证监会关于证券投资基金估值业务的指导意见》及《中国证券投资基金业协会估值核算工作小组关于</w:t>
      </w:r>
      <w:r>
        <w:rPr>
          <w:kern w:val="0"/>
          <w:sz w:val="24"/>
        </w:rPr>
        <w:t>2015</w:t>
      </w:r>
      <w:r>
        <w:rPr>
          <w:kern w:val="0"/>
          <w:sz w:val="24"/>
        </w:rPr>
        <w:t>年</w:t>
      </w:r>
      <w:r>
        <w:rPr>
          <w:kern w:val="0"/>
          <w:sz w:val="24"/>
        </w:rPr>
        <w:t>1</w:t>
      </w:r>
      <w:r>
        <w:rPr>
          <w:kern w:val="0"/>
          <w:sz w:val="24"/>
        </w:rPr>
        <w:t>季度固定收益品种的</w:t>
      </w:r>
      <w:r>
        <w:rPr>
          <w:kern w:val="0"/>
          <w:sz w:val="24"/>
        </w:rPr>
        <w:t>估值处理标准》采用估值技术确定公允价值。本基金持有的证券交易所上市或挂牌转让的固定收益品种</w:t>
      </w:r>
      <w:r>
        <w:rPr>
          <w:kern w:val="0"/>
          <w:sz w:val="24"/>
        </w:rPr>
        <w:t>(</w:t>
      </w:r>
      <w:r>
        <w:rPr>
          <w:kern w:val="0"/>
          <w:sz w:val="24"/>
        </w:rPr>
        <w:t>可转换债券和私募债券除外</w:t>
      </w:r>
      <w:r>
        <w:rPr>
          <w:kern w:val="0"/>
          <w:sz w:val="24"/>
        </w:rPr>
        <w:t>)</w:t>
      </w:r>
      <w:r>
        <w:rPr>
          <w:kern w:val="0"/>
          <w:sz w:val="24"/>
        </w:rPr>
        <w:t>，按照中证指数有限公司所独立提供的估值结果确定公允价值。本基金持有的银行间同业市场固定收益品种按照中债金融估值中心有限公司所独立提供的估值结果确定公允价值。</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7.4.5</w:t>
      </w:r>
      <w:r>
        <w:rPr>
          <w:rFonts w:eastAsiaTheme="minorEastAsia" w:hint="eastAsia"/>
          <w:b/>
          <w:sz w:val="24"/>
        </w:rPr>
        <w:t>会计政策和会计估计变更以及差错更正的说明</w:t>
      </w:r>
    </w:p>
    <w:p w:rsidR="000E6BAE" w:rsidRDefault="00CD6463">
      <w:pPr>
        <w:spacing w:before="29" w:line="288" w:lineRule="auto"/>
        <w:rPr>
          <w:rFonts w:eastAsiaTheme="minorEastAsia"/>
          <w:b/>
          <w:sz w:val="24"/>
        </w:rPr>
      </w:pPr>
      <w:r>
        <w:rPr>
          <w:rFonts w:eastAsiaTheme="minorEastAsia"/>
          <w:b/>
          <w:sz w:val="24"/>
        </w:rPr>
        <w:t xml:space="preserve">7.4.5.1 </w:t>
      </w:r>
      <w:r>
        <w:rPr>
          <w:rFonts w:eastAsiaTheme="minorEastAsia" w:hint="eastAsia"/>
          <w:b/>
          <w:sz w:val="24"/>
        </w:rPr>
        <w:t>会计政策变更的说明</w:t>
      </w:r>
    </w:p>
    <w:p w:rsidR="000E6BAE" w:rsidRDefault="00CD6463">
      <w:pPr>
        <w:spacing w:before="29" w:line="288" w:lineRule="auto"/>
        <w:ind w:firstLineChars="200" w:firstLine="480"/>
        <w:rPr>
          <w:kern w:val="0"/>
          <w:sz w:val="24"/>
        </w:rPr>
      </w:pPr>
      <w:r>
        <w:rPr>
          <w:kern w:val="0"/>
          <w:sz w:val="24"/>
        </w:rPr>
        <w:t>本基金本报告期未发生会计政策变更。</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7.4.5.2 </w:t>
      </w:r>
      <w:r>
        <w:rPr>
          <w:rFonts w:eastAsiaTheme="minorEastAsia" w:hint="eastAsia"/>
          <w:b/>
          <w:sz w:val="24"/>
        </w:rPr>
        <w:t>会计估计变更的说明</w:t>
      </w:r>
    </w:p>
    <w:p w:rsidR="000E6BAE" w:rsidRDefault="00CD6463">
      <w:pPr>
        <w:spacing w:before="29" w:line="288" w:lineRule="auto"/>
        <w:ind w:firstLineChars="200" w:firstLine="480"/>
        <w:rPr>
          <w:kern w:val="0"/>
          <w:sz w:val="24"/>
        </w:rPr>
      </w:pPr>
      <w:r>
        <w:rPr>
          <w:kern w:val="0"/>
          <w:sz w:val="24"/>
        </w:rPr>
        <w:t>本基金本报告期未发生会计估计变更。</w:t>
      </w:r>
    </w:p>
    <w:p w:rsidR="000E6BAE" w:rsidRDefault="000E6BAE">
      <w:pPr>
        <w:spacing w:before="29" w:line="288"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 xml:space="preserve">7.4.5.3 </w:t>
      </w:r>
      <w:r>
        <w:rPr>
          <w:rFonts w:eastAsiaTheme="minorEastAsia" w:hint="eastAsia"/>
          <w:b/>
          <w:sz w:val="24"/>
        </w:rPr>
        <w:t>差错更正的说明</w:t>
      </w:r>
    </w:p>
    <w:p w:rsidR="000E6BAE" w:rsidRDefault="00CD6463">
      <w:pPr>
        <w:spacing w:before="29" w:line="288" w:lineRule="auto"/>
        <w:ind w:firstLineChars="200" w:firstLine="480"/>
        <w:rPr>
          <w:kern w:val="0"/>
          <w:sz w:val="24"/>
        </w:rPr>
      </w:pPr>
      <w:r>
        <w:rPr>
          <w:kern w:val="0"/>
          <w:sz w:val="24"/>
        </w:rPr>
        <w:t>本基金在本报告期间无</w:t>
      </w:r>
      <w:r>
        <w:rPr>
          <w:rFonts w:hint="eastAsia"/>
          <w:kern w:val="0"/>
          <w:sz w:val="24"/>
        </w:rPr>
        <w:t>需</w:t>
      </w:r>
      <w:r>
        <w:rPr>
          <w:kern w:val="0"/>
          <w:sz w:val="24"/>
        </w:rPr>
        <w:t>说明的会计差错更正。</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7.4.6</w:t>
      </w:r>
      <w:r>
        <w:rPr>
          <w:rFonts w:eastAsiaTheme="minorEastAsia" w:hint="eastAsia"/>
          <w:b/>
          <w:sz w:val="24"/>
        </w:rPr>
        <w:t>税项</w:t>
      </w:r>
    </w:p>
    <w:p w:rsidR="000E6BAE" w:rsidRDefault="00CD6463">
      <w:pPr>
        <w:spacing w:before="29" w:line="288" w:lineRule="auto"/>
        <w:ind w:firstLineChars="200" w:firstLine="480"/>
        <w:rPr>
          <w:kern w:val="0"/>
          <w:sz w:val="24"/>
        </w:rPr>
      </w:pPr>
      <w:r>
        <w:rPr>
          <w:kern w:val="0"/>
          <w:sz w:val="24"/>
        </w:rPr>
        <w:t>根据财政部、国家税务总局财税</w:t>
      </w:r>
      <w:r>
        <w:rPr>
          <w:kern w:val="0"/>
          <w:sz w:val="24"/>
        </w:rPr>
        <w:t>[2002]128</w:t>
      </w:r>
      <w:r>
        <w:rPr>
          <w:kern w:val="0"/>
          <w:sz w:val="24"/>
        </w:rPr>
        <w:t>号《关于开放式证券投资基金有关税收问题的通知》、财税</w:t>
      </w:r>
      <w:r>
        <w:rPr>
          <w:kern w:val="0"/>
          <w:sz w:val="24"/>
        </w:rPr>
        <w:t>[2008]1</w:t>
      </w:r>
      <w:r>
        <w:rPr>
          <w:kern w:val="0"/>
          <w:sz w:val="24"/>
        </w:rPr>
        <w:t>号《关于企业所得税若干优惠政策的通知》、财税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w:t>
      </w:r>
      <w:r>
        <w:rPr>
          <w:kern w:val="0"/>
          <w:sz w:val="24"/>
        </w:rPr>
        <w:t>》、财税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0E6BAE" w:rsidRDefault="00CD6463">
      <w:pPr>
        <w:spacing w:before="29" w:line="288" w:lineRule="auto"/>
        <w:ind w:firstLineChars="200" w:firstLine="480"/>
        <w:rPr>
          <w:kern w:val="0"/>
          <w:sz w:val="24"/>
        </w:rPr>
      </w:pPr>
      <w:r>
        <w:rPr>
          <w:kern w:val="0"/>
          <w:sz w:val="24"/>
        </w:rPr>
        <w:t xml:space="preserve">(1) </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w:t>
      </w:r>
    </w:p>
    <w:p w:rsidR="000E6BAE" w:rsidRDefault="00CD6463">
      <w:pPr>
        <w:spacing w:before="29" w:line="288" w:lineRule="auto"/>
        <w:ind w:firstLineChars="200" w:firstLine="480"/>
        <w:rPr>
          <w:kern w:val="0"/>
          <w:sz w:val="24"/>
        </w:rPr>
      </w:pPr>
      <w:r>
        <w:rPr>
          <w:kern w:val="0"/>
          <w:sz w:val="24"/>
        </w:rPr>
        <w:t>对证券投资基金管理人运用基金买卖债券的转让收入免征增值税，对国债、地方政府债</w:t>
      </w:r>
      <w:r>
        <w:rPr>
          <w:kern w:val="0"/>
          <w:sz w:val="24"/>
        </w:rPr>
        <w:t>以及金融同业往来利息收入亦免征增值税。资管产品管理人运营资管产品提供的贷款服务，以产生的利息及利息性质的收入为销售额。</w:t>
      </w:r>
    </w:p>
    <w:p w:rsidR="000E6BAE" w:rsidRDefault="00CD6463">
      <w:pPr>
        <w:spacing w:before="29" w:line="288" w:lineRule="auto"/>
        <w:ind w:firstLineChars="200" w:firstLine="480"/>
        <w:rPr>
          <w:kern w:val="0"/>
          <w:sz w:val="24"/>
        </w:rPr>
      </w:pPr>
      <w:r>
        <w:rPr>
          <w:kern w:val="0"/>
          <w:sz w:val="24"/>
        </w:rPr>
        <w:t xml:space="preserve">(2) </w:t>
      </w:r>
      <w:r>
        <w:rPr>
          <w:kern w:val="0"/>
          <w:sz w:val="24"/>
        </w:rPr>
        <w:t>对基金从证券市场中取得的收入，包括买卖债券的差价收入，债券的利息收入及其他收入，暂不征收企业所得税。</w:t>
      </w:r>
    </w:p>
    <w:p w:rsidR="000E6BAE" w:rsidRDefault="00CD6463">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w:t>
      </w:r>
    </w:p>
    <w:p w:rsidR="000E6BAE" w:rsidRDefault="00CD6463">
      <w:pPr>
        <w:spacing w:before="29" w:line="288" w:lineRule="auto"/>
        <w:ind w:firstLineChars="200" w:firstLine="480"/>
        <w:rPr>
          <w:kern w:val="0"/>
          <w:sz w:val="24"/>
        </w:rPr>
      </w:pPr>
      <w:r>
        <w:rPr>
          <w:kern w:val="0"/>
          <w:sz w:val="24"/>
        </w:rPr>
        <w:t xml:space="preserve">(4) </w:t>
      </w:r>
      <w:r>
        <w:rPr>
          <w:kern w:val="0"/>
          <w:sz w:val="24"/>
        </w:rPr>
        <w:t>本基金的城市维护建设税、教育费附加和地方教育附加等税费按照实际缴纳增值税额的适用比例计算缴纳。</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eastAsiaTheme="minorEastAsia"/>
          <w:b/>
          <w:sz w:val="24"/>
        </w:rPr>
      </w:pPr>
      <w:r>
        <w:rPr>
          <w:rFonts w:eastAsiaTheme="minorEastAsia"/>
          <w:b/>
          <w:sz w:val="24"/>
        </w:rPr>
        <w:t>7.4.7</w:t>
      </w:r>
      <w:r>
        <w:rPr>
          <w:rFonts w:eastAsiaTheme="minorEastAsia" w:hint="eastAsia"/>
          <w:b/>
          <w:sz w:val="24"/>
        </w:rPr>
        <w:t>重要财务报表项目的说明</w:t>
      </w:r>
    </w:p>
    <w:p w:rsidR="000E6BAE" w:rsidRDefault="00CD6463">
      <w:pPr>
        <w:spacing w:before="29" w:line="288" w:lineRule="auto"/>
        <w:rPr>
          <w:rFonts w:eastAsiaTheme="minorEastAsia"/>
          <w:b/>
          <w:sz w:val="24"/>
        </w:rPr>
      </w:pPr>
      <w:r>
        <w:rPr>
          <w:rFonts w:eastAsiaTheme="minorEastAsia"/>
          <w:b/>
          <w:sz w:val="24"/>
        </w:rPr>
        <w:t>7.4.7.1</w:t>
      </w:r>
      <w:r>
        <w:rPr>
          <w:rFonts w:eastAsiaTheme="minorEastAsia" w:hint="eastAsia"/>
          <w:b/>
          <w:sz w:val="24"/>
        </w:rPr>
        <w:t>银行存款</w:t>
      </w:r>
    </w:p>
    <w:p w:rsidR="000E6BAE" w:rsidRDefault="00CD6463">
      <w:pPr>
        <w:autoSpaceDE w:val="0"/>
        <w:autoSpaceDN w:val="0"/>
        <w:adjustRightInd w:val="0"/>
        <w:spacing w:line="360" w:lineRule="auto"/>
        <w:ind w:left="15"/>
        <w:jc w:val="right"/>
        <w:rPr>
          <w:rFonts w:eastAsiaTheme="minorEastAsia"/>
          <w:b/>
          <w:color w:val="000000"/>
          <w:kern w:val="0"/>
          <w:sz w:val="24"/>
        </w:rPr>
      </w:pPr>
      <w:r>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4"/>
        <w:gridCol w:w="3157"/>
        <w:gridCol w:w="3158"/>
      </w:tblGrid>
      <w:tr w:rsidR="000E6BAE">
        <w:trPr>
          <w:trHeight w:val="345"/>
          <w:jc w:val="center"/>
        </w:trPr>
        <w:tc>
          <w:tcPr>
            <w:tcW w:w="2634" w:type="dxa"/>
            <w:tcMar>
              <w:top w:w="15" w:type="dxa"/>
              <w:left w:w="15" w:type="dxa"/>
              <w:bottom w:w="0" w:type="dxa"/>
              <w:right w:w="15" w:type="dxa"/>
            </w:tcMar>
            <w:vAlign w:val="center"/>
          </w:tcPr>
          <w:p w:rsidR="000E6BAE" w:rsidRDefault="00CD6463">
            <w:pPr>
              <w:spacing w:line="360" w:lineRule="auto"/>
              <w:jc w:val="center"/>
              <w:rPr>
                <w:rFonts w:eastAsiaTheme="minorEastAsia"/>
                <w:sz w:val="24"/>
              </w:rPr>
            </w:pPr>
            <w:r>
              <w:rPr>
                <w:rFonts w:eastAsiaTheme="minorEastAsia"/>
                <w:kern w:val="0"/>
                <w:sz w:val="24"/>
              </w:rPr>
              <w:t>项目</w:t>
            </w:r>
          </w:p>
        </w:tc>
        <w:tc>
          <w:tcPr>
            <w:tcW w:w="3157" w:type="dxa"/>
            <w:tcMar>
              <w:top w:w="15" w:type="dxa"/>
              <w:left w:w="15" w:type="dxa"/>
              <w:bottom w:w="0" w:type="dxa"/>
              <w:right w:w="15" w:type="dxa"/>
            </w:tcMar>
          </w:tcPr>
          <w:p w:rsidR="000E6BAE" w:rsidRDefault="00CD6463">
            <w:pPr>
              <w:spacing w:line="360" w:lineRule="auto"/>
              <w:jc w:val="center"/>
              <w:rPr>
                <w:rFonts w:eastAsiaTheme="minorEastAsia"/>
                <w:kern w:val="0"/>
                <w:sz w:val="24"/>
              </w:rPr>
            </w:pPr>
            <w:r>
              <w:rPr>
                <w:rFonts w:eastAsiaTheme="minorEastAsia"/>
                <w:kern w:val="0"/>
                <w:sz w:val="24"/>
              </w:rPr>
              <w:t>本期末</w:t>
            </w:r>
          </w:p>
          <w:p w:rsidR="000E6BAE" w:rsidRDefault="00CD6463">
            <w:pPr>
              <w:spacing w:line="360" w:lineRule="auto"/>
              <w:jc w:val="center"/>
              <w:rPr>
                <w:rFonts w:eastAsiaTheme="minorEastAsia"/>
                <w:sz w:val="24"/>
              </w:rPr>
            </w:pPr>
            <w:r>
              <w:rPr>
                <w:rFonts w:eastAsiaTheme="minorEastAsia"/>
                <w:sz w:val="24"/>
              </w:rPr>
              <w:t>2020</w:t>
            </w:r>
            <w:r>
              <w:rPr>
                <w:rFonts w:eastAsiaTheme="minorEastAsia"/>
                <w:sz w:val="24"/>
              </w:rPr>
              <w:t>年</w:t>
            </w:r>
            <w:r>
              <w:rPr>
                <w:rFonts w:eastAsiaTheme="minorEastAsia"/>
                <w:sz w:val="24"/>
              </w:rPr>
              <w:t>12</w:t>
            </w:r>
            <w:r>
              <w:rPr>
                <w:rFonts w:eastAsiaTheme="minorEastAsia"/>
                <w:sz w:val="24"/>
              </w:rPr>
              <w:t>月</w:t>
            </w:r>
            <w:r>
              <w:rPr>
                <w:rFonts w:eastAsiaTheme="minorEastAsia"/>
                <w:sz w:val="24"/>
              </w:rPr>
              <w:t>31</w:t>
            </w:r>
            <w:r>
              <w:rPr>
                <w:rFonts w:eastAsiaTheme="minorEastAsia"/>
                <w:sz w:val="24"/>
              </w:rPr>
              <w:t>日</w:t>
            </w:r>
          </w:p>
        </w:tc>
        <w:tc>
          <w:tcPr>
            <w:tcW w:w="3158" w:type="dxa"/>
            <w:tcMar>
              <w:top w:w="15" w:type="dxa"/>
              <w:left w:w="15" w:type="dxa"/>
              <w:bottom w:w="0" w:type="dxa"/>
              <w:right w:w="15" w:type="dxa"/>
            </w:tcMar>
          </w:tcPr>
          <w:p w:rsidR="000E6BAE" w:rsidRDefault="00CD6463">
            <w:pPr>
              <w:spacing w:line="360" w:lineRule="auto"/>
              <w:jc w:val="center"/>
              <w:rPr>
                <w:rFonts w:eastAsiaTheme="minorEastAsia"/>
                <w:kern w:val="0"/>
                <w:sz w:val="24"/>
              </w:rPr>
            </w:pPr>
            <w:r>
              <w:rPr>
                <w:rFonts w:eastAsiaTheme="minorEastAsia"/>
                <w:kern w:val="0"/>
                <w:sz w:val="24"/>
              </w:rPr>
              <w:t>上年度末</w:t>
            </w:r>
          </w:p>
          <w:p w:rsidR="000E6BAE" w:rsidRDefault="00CD6463">
            <w:pPr>
              <w:spacing w:line="360" w:lineRule="auto"/>
              <w:jc w:val="center"/>
              <w:rPr>
                <w:rFonts w:eastAsiaTheme="minorEastAsia"/>
                <w:kern w:val="0"/>
                <w:sz w:val="24"/>
              </w:rPr>
            </w:pPr>
            <w:r>
              <w:rPr>
                <w:rFonts w:eastAsiaTheme="minorEastAsia"/>
                <w:sz w:val="24"/>
              </w:rPr>
              <w:t>2019</w:t>
            </w:r>
            <w:r>
              <w:rPr>
                <w:rFonts w:eastAsiaTheme="minorEastAsia"/>
                <w:sz w:val="24"/>
              </w:rPr>
              <w:t>年</w:t>
            </w:r>
            <w:r>
              <w:rPr>
                <w:rFonts w:eastAsiaTheme="minorEastAsia"/>
                <w:sz w:val="24"/>
              </w:rPr>
              <w:t>12</w:t>
            </w:r>
            <w:r>
              <w:rPr>
                <w:rFonts w:eastAsiaTheme="minorEastAsia"/>
                <w:sz w:val="24"/>
              </w:rPr>
              <w:t>月</w:t>
            </w:r>
            <w:r>
              <w:rPr>
                <w:rFonts w:eastAsiaTheme="minorEastAsia"/>
                <w:sz w:val="24"/>
              </w:rPr>
              <w:t>31</w:t>
            </w:r>
            <w:r>
              <w:rPr>
                <w:rFonts w:eastAsiaTheme="minorEastAsia"/>
                <w:sz w:val="24"/>
              </w:rPr>
              <w:t>日</w:t>
            </w:r>
          </w:p>
        </w:tc>
      </w:tr>
      <w:tr w:rsidR="000E6BAE">
        <w:trPr>
          <w:trHeight w:val="315"/>
          <w:jc w:val="center"/>
        </w:trPr>
        <w:tc>
          <w:tcPr>
            <w:tcW w:w="2634" w:type="dxa"/>
            <w:tcMar>
              <w:top w:w="15" w:type="dxa"/>
              <w:left w:w="15" w:type="dxa"/>
              <w:bottom w:w="0" w:type="dxa"/>
              <w:right w:w="15" w:type="dxa"/>
            </w:tcMar>
            <w:vAlign w:val="center"/>
          </w:tcPr>
          <w:p w:rsidR="000E6BAE" w:rsidRDefault="00CD6463">
            <w:pPr>
              <w:spacing w:line="360" w:lineRule="auto"/>
              <w:rPr>
                <w:rFonts w:eastAsiaTheme="minorEastAsia"/>
                <w:kern w:val="0"/>
                <w:sz w:val="24"/>
              </w:rPr>
            </w:pPr>
            <w:r>
              <w:rPr>
                <w:rFonts w:eastAsiaTheme="minorEastAsia"/>
                <w:kern w:val="0"/>
                <w:sz w:val="24"/>
              </w:rPr>
              <w:t>活期存款</w:t>
            </w:r>
          </w:p>
        </w:tc>
        <w:tc>
          <w:tcPr>
            <w:tcW w:w="3157" w:type="dxa"/>
            <w:tcMar>
              <w:top w:w="15" w:type="dxa"/>
              <w:left w:w="15" w:type="dxa"/>
              <w:bottom w:w="0" w:type="dxa"/>
              <w:right w:w="15" w:type="dxa"/>
            </w:tcMar>
            <w:vAlign w:val="center"/>
          </w:tcPr>
          <w:p w:rsidR="000E6BAE" w:rsidRDefault="00CD6463">
            <w:pPr>
              <w:spacing w:line="360" w:lineRule="auto"/>
              <w:jc w:val="right"/>
              <w:rPr>
                <w:rFonts w:eastAsiaTheme="minorEastAsia"/>
                <w:kern w:val="0"/>
                <w:sz w:val="24"/>
              </w:rPr>
            </w:pPr>
            <w:r>
              <w:rPr>
                <w:rFonts w:eastAsiaTheme="minorEastAsia"/>
                <w:kern w:val="0"/>
                <w:sz w:val="24"/>
              </w:rPr>
              <w:t>1,264,779.45</w:t>
            </w:r>
          </w:p>
        </w:tc>
        <w:tc>
          <w:tcPr>
            <w:tcW w:w="3158" w:type="dxa"/>
            <w:tcMar>
              <w:top w:w="15" w:type="dxa"/>
              <w:left w:w="15" w:type="dxa"/>
              <w:bottom w:w="0" w:type="dxa"/>
              <w:right w:w="15" w:type="dxa"/>
            </w:tcMar>
            <w:vAlign w:val="center"/>
          </w:tcPr>
          <w:p w:rsidR="000E6BAE" w:rsidRDefault="00CD6463">
            <w:pPr>
              <w:spacing w:line="360" w:lineRule="auto"/>
              <w:jc w:val="right"/>
              <w:rPr>
                <w:rFonts w:eastAsiaTheme="minorEastAsia"/>
                <w:kern w:val="0"/>
                <w:sz w:val="24"/>
              </w:rPr>
            </w:pPr>
            <w:r>
              <w:rPr>
                <w:rFonts w:eastAsiaTheme="minorEastAsia"/>
                <w:kern w:val="0"/>
                <w:sz w:val="24"/>
              </w:rPr>
              <w:t>9,845,965.00</w:t>
            </w:r>
          </w:p>
        </w:tc>
      </w:tr>
      <w:tr w:rsidR="000E6BAE">
        <w:trPr>
          <w:trHeight w:val="315"/>
          <w:jc w:val="center"/>
        </w:trPr>
        <w:tc>
          <w:tcPr>
            <w:tcW w:w="2634" w:type="dxa"/>
            <w:tcMar>
              <w:top w:w="15" w:type="dxa"/>
              <w:left w:w="15" w:type="dxa"/>
              <w:bottom w:w="0" w:type="dxa"/>
              <w:right w:w="15" w:type="dxa"/>
            </w:tcMar>
            <w:vAlign w:val="center"/>
          </w:tcPr>
          <w:p w:rsidR="000E6BAE" w:rsidRDefault="00CD6463">
            <w:pPr>
              <w:spacing w:line="360" w:lineRule="auto"/>
              <w:rPr>
                <w:rFonts w:eastAsiaTheme="minorEastAsia"/>
                <w:kern w:val="0"/>
                <w:sz w:val="24"/>
              </w:rPr>
            </w:pPr>
            <w:r>
              <w:rPr>
                <w:rFonts w:eastAsiaTheme="minorEastAsia"/>
                <w:kern w:val="0"/>
                <w:sz w:val="24"/>
              </w:rPr>
              <w:t>定期存款</w:t>
            </w:r>
          </w:p>
        </w:tc>
        <w:tc>
          <w:tcPr>
            <w:tcW w:w="3157" w:type="dxa"/>
            <w:tcMar>
              <w:top w:w="15" w:type="dxa"/>
              <w:left w:w="15" w:type="dxa"/>
              <w:bottom w:w="0" w:type="dxa"/>
              <w:right w:w="15" w:type="dxa"/>
            </w:tcMar>
            <w:vAlign w:val="center"/>
          </w:tcPr>
          <w:p w:rsidR="000E6BAE" w:rsidRDefault="00CD6463">
            <w:pPr>
              <w:spacing w:line="360" w:lineRule="auto"/>
              <w:jc w:val="right"/>
              <w:rPr>
                <w:rFonts w:eastAsiaTheme="minorEastAsia"/>
                <w:kern w:val="0"/>
                <w:sz w:val="24"/>
              </w:rPr>
            </w:pPr>
            <w:r>
              <w:rPr>
                <w:rFonts w:eastAsiaTheme="minorEastAsia"/>
                <w:kern w:val="0"/>
                <w:sz w:val="24"/>
              </w:rPr>
              <w:t>-</w:t>
            </w:r>
          </w:p>
        </w:tc>
        <w:tc>
          <w:tcPr>
            <w:tcW w:w="3158" w:type="dxa"/>
            <w:tcMar>
              <w:top w:w="15" w:type="dxa"/>
              <w:left w:w="15" w:type="dxa"/>
              <w:bottom w:w="0" w:type="dxa"/>
              <w:right w:w="15" w:type="dxa"/>
            </w:tcMar>
            <w:vAlign w:val="center"/>
          </w:tcPr>
          <w:p w:rsidR="000E6BAE" w:rsidRDefault="00CD6463">
            <w:pPr>
              <w:spacing w:line="360" w:lineRule="auto"/>
              <w:jc w:val="right"/>
              <w:rPr>
                <w:rFonts w:eastAsiaTheme="minorEastAsia"/>
                <w:kern w:val="0"/>
                <w:sz w:val="24"/>
              </w:rPr>
            </w:pPr>
            <w:r>
              <w:rPr>
                <w:rFonts w:eastAsiaTheme="minorEastAsia"/>
                <w:kern w:val="0"/>
                <w:sz w:val="24"/>
              </w:rPr>
              <w:t>-</w:t>
            </w:r>
          </w:p>
        </w:tc>
      </w:tr>
      <w:tr w:rsidR="000E6BAE">
        <w:trPr>
          <w:trHeight w:val="315"/>
          <w:jc w:val="center"/>
        </w:trPr>
        <w:tc>
          <w:tcPr>
            <w:tcW w:w="2634" w:type="dxa"/>
            <w:tcMar>
              <w:top w:w="15" w:type="dxa"/>
              <w:left w:w="15" w:type="dxa"/>
              <w:bottom w:w="0" w:type="dxa"/>
              <w:right w:w="15" w:type="dxa"/>
            </w:tcMar>
          </w:tcPr>
          <w:p w:rsidR="000E6BAE" w:rsidRDefault="00CD6463">
            <w:pPr>
              <w:rPr>
                <w:rFonts w:ascii="宋体" w:hAnsi="宋体"/>
                <w:color w:val="000000" w:themeColor="text1"/>
                <w:kern w:val="0"/>
                <w:sz w:val="24"/>
              </w:rPr>
            </w:pPr>
            <w:r>
              <w:rPr>
                <w:rFonts w:ascii="宋体" w:hAnsi="宋体" w:hint="eastAsia"/>
                <w:color w:val="000000" w:themeColor="text1"/>
                <w:kern w:val="0"/>
                <w:sz w:val="24"/>
              </w:rPr>
              <w:t>其中：存款期限</w:t>
            </w:r>
            <w:r>
              <w:rPr>
                <w:rFonts w:ascii="宋体" w:hAnsi="宋体" w:hint="eastAsia"/>
                <w:color w:val="000000" w:themeColor="text1"/>
                <w:kern w:val="0"/>
                <w:sz w:val="24"/>
              </w:rPr>
              <w:t>1</w:t>
            </w:r>
            <w:r>
              <w:rPr>
                <w:rFonts w:ascii="宋体" w:hAnsi="宋体" w:hint="eastAsia"/>
                <w:color w:val="000000" w:themeColor="text1"/>
                <w:kern w:val="0"/>
                <w:sz w:val="24"/>
              </w:rPr>
              <w:t>个月以内</w:t>
            </w:r>
          </w:p>
        </w:tc>
        <w:tc>
          <w:tcPr>
            <w:tcW w:w="3157" w:type="dxa"/>
            <w:tcMar>
              <w:top w:w="15" w:type="dxa"/>
              <w:left w:w="15" w:type="dxa"/>
              <w:bottom w:w="0" w:type="dxa"/>
              <w:right w:w="15" w:type="dxa"/>
            </w:tcMar>
            <w:vAlign w:val="bottom"/>
          </w:tcPr>
          <w:p w:rsidR="000E6BAE" w:rsidRDefault="00CD6463">
            <w:pPr>
              <w:spacing w:line="360" w:lineRule="auto"/>
              <w:jc w:val="right"/>
              <w:rPr>
                <w:rFonts w:eastAsiaTheme="minorEastAsia"/>
                <w:color w:val="000000" w:themeColor="text1"/>
                <w:kern w:val="0"/>
                <w:sz w:val="24"/>
              </w:rPr>
            </w:pPr>
            <w:r>
              <w:rPr>
                <w:rFonts w:eastAsiaTheme="minorEastAsia"/>
                <w:kern w:val="0"/>
                <w:sz w:val="24"/>
              </w:rPr>
              <w:t>-</w:t>
            </w:r>
          </w:p>
        </w:tc>
        <w:tc>
          <w:tcPr>
            <w:tcW w:w="3158" w:type="dxa"/>
            <w:tcMar>
              <w:top w:w="15" w:type="dxa"/>
              <w:left w:w="15" w:type="dxa"/>
              <w:bottom w:w="0" w:type="dxa"/>
              <w:right w:w="15" w:type="dxa"/>
            </w:tcMar>
            <w:vAlign w:val="center"/>
          </w:tcPr>
          <w:p w:rsidR="000E6BAE" w:rsidRDefault="00CD6463">
            <w:pPr>
              <w:spacing w:line="360" w:lineRule="auto"/>
              <w:jc w:val="right"/>
              <w:rPr>
                <w:rFonts w:eastAsiaTheme="minorEastAsia"/>
                <w:kern w:val="0"/>
                <w:sz w:val="24"/>
              </w:rPr>
            </w:pPr>
            <w:r>
              <w:rPr>
                <w:rFonts w:eastAsiaTheme="minorEastAsia"/>
                <w:color w:val="000000" w:themeColor="text1"/>
                <w:kern w:val="0"/>
                <w:sz w:val="24"/>
              </w:rPr>
              <w:t>-</w:t>
            </w:r>
          </w:p>
        </w:tc>
      </w:tr>
      <w:tr w:rsidR="000E6BAE">
        <w:trPr>
          <w:trHeight w:val="315"/>
          <w:jc w:val="center"/>
        </w:trPr>
        <w:tc>
          <w:tcPr>
            <w:tcW w:w="2634" w:type="dxa"/>
            <w:tcMar>
              <w:top w:w="15" w:type="dxa"/>
              <w:left w:w="15" w:type="dxa"/>
              <w:bottom w:w="0" w:type="dxa"/>
              <w:right w:w="15" w:type="dxa"/>
            </w:tcMar>
          </w:tcPr>
          <w:p w:rsidR="000E6BAE" w:rsidRDefault="00CD6463">
            <w:pPr>
              <w:ind w:firstLineChars="300" w:firstLine="720"/>
              <w:rPr>
                <w:rFonts w:ascii="宋体" w:hAnsi="宋体"/>
                <w:color w:val="000000" w:themeColor="text1"/>
                <w:kern w:val="0"/>
                <w:sz w:val="24"/>
              </w:rPr>
            </w:pPr>
            <w:r>
              <w:rPr>
                <w:rFonts w:ascii="宋体" w:hAnsi="宋体" w:hint="eastAsia"/>
                <w:color w:val="000000" w:themeColor="text1"/>
                <w:kern w:val="0"/>
                <w:sz w:val="24"/>
              </w:rPr>
              <w:t>存款期限</w:t>
            </w:r>
            <w:r>
              <w:rPr>
                <w:rFonts w:ascii="宋体" w:hAnsi="宋体" w:hint="eastAsia"/>
                <w:color w:val="000000" w:themeColor="text1"/>
                <w:kern w:val="0"/>
                <w:sz w:val="24"/>
              </w:rPr>
              <w:t>1-3</w:t>
            </w:r>
            <w:r>
              <w:rPr>
                <w:rFonts w:ascii="宋体" w:hAnsi="宋体" w:hint="eastAsia"/>
                <w:color w:val="000000" w:themeColor="text1"/>
                <w:kern w:val="0"/>
                <w:sz w:val="24"/>
              </w:rPr>
              <w:t>个月</w:t>
            </w:r>
          </w:p>
        </w:tc>
        <w:tc>
          <w:tcPr>
            <w:tcW w:w="3157" w:type="dxa"/>
            <w:tcMar>
              <w:top w:w="15" w:type="dxa"/>
              <w:left w:w="15" w:type="dxa"/>
              <w:bottom w:w="0" w:type="dxa"/>
              <w:right w:w="15" w:type="dxa"/>
            </w:tcMar>
            <w:vAlign w:val="bottom"/>
          </w:tcPr>
          <w:p w:rsidR="000E6BAE" w:rsidRDefault="00CD6463">
            <w:pPr>
              <w:spacing w:line="360" w:lineRule="auto"/>
              <w:jc w:val="right"/>
              <w:rPr>
                <w:rFonts w:eastAsiaTheme="minorEastAsia"/>
                <w:color w:val="000000" w:themeColor="text1"/>
                <w:kern w:val="0"/>
                <w:sz w:val="24"/>
              </w:rPr>
            </w:pPr>
            <w:r>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0E6BAE" w:rsidRDefault="00CD6463">
            <w:pPr>
              <w:spacing w:line="360" w:lineRule="auto"/>
              <w:jc w:val="right"/>
              <w:rPr>
                <w:rFonts w:eastAsiaTheme="minorEastAsia"/>
                <w:kern w:val="0"/>
                <w:sz w:val="24"/>
              </w:rPr>
            </w:pPr>
            <w:r>
              <w:rPr>
                <w:rFonts w:eastAsiaTheme="minorEastAsia"/>
                <w:kern w:val="0"/>
                <w:sz w:val="24"/>
              </w:rPr>
              <w:t>-</w:t>
            </w:r>
          </w:p>
        </w:tc>
      </w:tr>
      <w:tr w:rsidR="000E6BAE">
        <w:trPr>
          <w:trHeight w:val="315"/>
          <w:jc w:val="center"/>
        </w:trPr>
        <w:tc>
          <w:tcPr>
            <w:tcW w:w="2634" w:type="dxa"/>
            <w:tcMar>
              <w:top w:w="15" w:type="dxa"/>
              <w:left w:w="15" w:type="dxa"/>
              <w:bottom w:w="0" w:type="dxa"/>
              <w:right w:w="15" w:type="dxa"/>
            </w:tcMar>
          </w:tcPr>
          <w:p w:rsidR="000E6BAE" w:rsidRDefault="00CD6463">
            <w:pPr>
              <w:ind w:firstLineChars="300" w:firstLine="720"/>
              <w:rPr>
                <w:rFonts w:ascii="宋体" w:hAnsi="宋体"/>
                <w:color w:val="000000" w:themeColor="text1"/>
                <w:kern w:val="0"/>
                <w:sz w:val="24"/>
              </w:rPr>
            </w:pPr>
            <w:r>
              <w:rPr>
                <w:rFonts w:ascii="宋体" w:hAnsi="宋体" w:hint="eastAsia"/>
                <w:color w:val="000000" w:themeColor="text1"/>
                <w:kern w:val="0"/>
                <w:sz w:val="24"/>
              </w:rPr>
              <w:t>存款期限</w:t>
            </w:r>
            <w:r>
              <w:rPr>
                <w:rFonts w:ascii="宋体" w:hAnsi="宋体" w:hint="eastAsia"/>
                <w:color w:val="000000" w:themeColor="text1"/>
                <w:kern w:val="0"/>
                <w:sz w:val="24"/>
              </w:rPr>
              <w:t>3</w:t>
            </w:r>
            <w:r>
              <w:rPr>
                <w:rFonts w:ascii="宋体" w:hAnsi="宋体" w:hint="eastAsia"/>
                <w:color w:val="000000" w:themeColor="text1"/>
                <w:kern w:val="0"/>
                <w:sz w:val="24"/>
              </w:rPr>
              <w:t>个月以上</w:t>
            </w:r>
          </w:p>
        </w:tc>
        <w:tc>
          <w:tcPr>
            <w:tcW w:w="3157" w:type="dxa"/>
            <w:tcMar>
              <w:top w:w="15" w:type="dxa"/>
              <w:left w:w="15" w:type="dxa"/>
              <w:bottom w:w="0" w:type="dxa"/>
              <w:right w:w="15" w:type="dxa"/>
            </w:tcMar>
            <w:vAlign w:val="bottom"/>
          </w:tcPr>
          <w:p w:rsidR="000E6BAE" w:rsidRDefault="00CD6463">
            <w:pPr>
              <w:spacing w:line="360" w:lineRule="auto"/>
              <w:jc w:val="right"/>
              <w:rPr>
                <w:rFonts w:eastAsiaTheme="minorEastAsia"/>
                <w:color w:val="000000" w:themeColor="text1"/>
                <w:kern w:val="0"/>
                <w:sz w:val="24"/>
              </w:rPr>
            </w:pPr>
            <w:r>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0E6BAE" w:rsidRDefault="00CD6463">
            <w:pPr>
              <w:spacing w:line="360" w:lineRule="auto"/>
              <w:jc w:val="right"/>
              <w:rPr>
                <w:rFonts w:eastAsiaTheme="minorEastAsia"/>
                <w:color w:val="000000" w:themeColor="text1"/>
                <w:kern w:val="0"/>
                <w:sz w:val="24"/>
              </w:rPr>
            </w:pPr>
            <w:r>
              <w:rPr>
                <w:rFonts w:eastAsiaTheme="minorEastAsia"/>
                <w:color w:val="000000" w:themeColor="text1"/>
                <w:kern w:val="0"/>
                <w:sz w:val="24"/>
              </w:rPr>
              <w:t>-</w:t>
            </w:r>
          </w:p>
        </w:tc>
      </w:tr>
      <w:tr w:rsidR="000E6BAE">
        <w:trPr>
          <w:trHeight w:val="315"/>
          <w:jc w:val="center"/>
        </w:trPr>
        <w:tc>
          <w:tcPr>
            <w:tcW w:w="2634" w:type="dxa"/>
            <w:tcMar>
              <w:top w:w="15" w:type="dxa"/>
              <w:left w:w="15" w:type="dxa"/>
              <w:bottom w:w="0" w:type="dxa"/>
              <w:right w:w="15" w:type="dxa"/>
            </w:tcMar>
            <w:vAlign w:val="center"/>
          </w:tcPr>
          <w:p w:rsidR="000E6BAE" w:rsidRDefault="00CD6463">
            <w:pPr>
              <w:spacing w:line="360" w:lineRule="auto"/>
              <w:rPr>
                <w:rFonts w:eastAsiaTheme="minorEastAsia"/>
                <w:color w:val="000000"/>
                <w:kern w:val="0"/>
                <w:sz w:val="24"/>
              </w:rPr>
            </w:pPr>
            <w:r>
              <w:rPr>
                <w:rFonts w:eastAsiaTheme="minorEastAsia"/>
                <w:kern w:val="0"/>
                <w:sz w:val="24"/>
              </w:rPr>
              <w:t>其他存款</w:t>
            </w:r>
          </w:p>
        </w:tc>
        <w:tc>
          <w:tcPr>
            <w:tcW w:w="3157" w:type="dxa"/>
            <w:tcMar>
              <w:top w:w="15" w:type="dxa"/>
              <w:left w:w="15" w:type="dxa"/>
              <w:bottom w:w="0" w:type="dxa"/>
              <w:right w:w="15" w:type="dxa"/>
            </w:tcMar>
            <w:vAlign w:val="center"/>
          </w:tcPr>
          <w:p w:rsidR="000E6BAE" w:rsidRDefault="00CD6463">
            <w:pPr>
              <w:spacing w:line="360" w:lineRule="auto"/>
              <w:jc w:val="right"/>
              <w:rPr>
                <w:rFonts w:eastAsiaTheme="minorEastAsia"/>
                <w:kern w:val="0"/>
                <w:sz w:val="24"/>
              </w:rPr>
            </w:pPr>
            <w:r>
              <w:rPr>
                <w:rFonts w:eastAsiaTheme="minorEastAsia"/>
                <w:kern w:val="0"/>
                <w:sz w:val="24"/>
              </w:rPr>
              <w:t>-</w:t>
            </w:r>
          </w:p>
        </w:tc>
        <w:tc>
          <w:tcPr>
            <w:tcW w:w="3158" w:type="dxa"/>
            <w:tcMar>
              <w:top w:w="15" w:type="dxa"/>
              <w:left w:w="15" w:type="dxa"/>
              <w:bottom w:w="0" w:type="dxa"/>
              <w:right w:w="15" w:type="dxa"/>
            </w:tcMar>
            <w:vAlign w:val="center"/>
          </w:tcPr>
          <w:p w:rsidR="000E6BAE" w:rsidRDefault="00CD6463">
            <w:pPr>
              <w:spacing w:line="360" w:lineRule="auto"/>
              <w:jc w:val="right"/>
              <w:rPr>
                <w:rFonts w:eastAsiaTheme="minorEastAsia"/>
                <w:kern w:val="0"/>
                <w:sz w:val="24"/>
              </w:rPr>
            </w:pPr>
            <w:r>
              <w:rPr>
                <w:rFonts w:eastAsiaTheme="minorEastAsia"/>
                <w:kern w:val="0"/>
                <w:sz w:val="24"/>
              </w:rPr>
              <w:t>100,000,000.00</w:t>
            </w:r>
          </w:p>
        </w:tc>
      </w:tr>
      <w:tr w:rsidR="000E6BAE">
        <w:trPr>
          <w:trHeight w:val="315"/>
          <w:jc w:val="center"/>
        </w:trPr>
        <w:tc>
          <w:tcPr>
            <w:tcW w:w="2634" w:type="dxa"/>
            <w:tcMar>
              <w:top w:w="15" w:type="dxa"/>
              <w:left w:w="15" w:type="dxa"/>
              <w:bottom w:w="0" w:type="dxa"/>
              <w:right w:w="15" w:type="dxa"/>
            </w:tcMar>
            <w:vAlign w:val="center"/>
          </w:tcPr>
          <w:p w:rsidR="000E6BAE" w:rsidRDefault="00CD6463">
            <w:pPr>
              <w:spacing w:line="360" w:lineRule="auto"/>
              <w:rPr>
                <w:rFonts w:eastAsiaTheme="minorEastAsia"/>
                <w:color w:val="000000"/>
                <w:kern w:val="0"/>
                <w:sz w:val="24"/>
              </w:rPr>
            </w:pPr>
            <w:r>
              <w:rPr>
                <w:rFonts w:eastAsiaTheme="minorEastAsia"/>
                <w:kern w:val="0"/>
                <w:sz w:val="24"/>
              </w:rPr>
              <w:t>合计</w:t>
            </w:r>
          </w:p>
        </w:tc>
        <w:tc>
          <w:tcPr>
            <w:tcW w:w="3157" w:type="dxa"/>
            <w:tcMar>
              <w:top w:w="15" w:type="dxa"/>
              <w:left w:w="15" w:type="dxa"/>
              <w:bottom w:w="0" w:type="dxa"/>
              <w:right w:w="15" w:type="dxa"/>
            </w:tcMar>
            <w:vAlign w:val="center"/>
          </w:tcPr>
          <w:p w:rsidR="000E6BAE" w:rsidRDefault="00CD6463">
            <w:pPr>
              <w:spacing w:line="360" w:lineRule="auto"/>
              <w:jc w:val="right"/>
              <w:rPr>
                <w:rFonts w:eastAsiaTheme="minorEastAsia"/>
                <w:kern w:val="0"/>
                <w:sz w:val="24"/>
              </w:rPr>
            </w:pPr>
            <w:r>
              <w:rPr>
                <w:rFonts w:eastAsiaTheme="minorEastAsia"/>
                <w:kern w:val="0"/>
                <w:sz w:val="24"/>
              </w:rPr>
              <w:t>1,264,779.45</w:t>
            </w:r>
          </w:p>
        </w:tc>
        <w:tc>
          <w:tcPr>
            <w:tcW w:w="3158" w:type="dxa"/>
            <w:tcMar>
              <w:top w:w="15" w:type="dxa"/>
              <w:left w:w="15" w:type="dxa"/>
              <w:bottom w:w="0" w:type="dxa"/>
              <w:right w:w="15" w:type="dxa"/>
            </w:tcMar>
            <w:vAlign w:val="center"/>
          </w:tcPr>
          <w:p w:rsidR="000E6BAE" w:rsidRDefault="00CD6463">
            <w:pPr>
              <w:spacing w:line="360" w:lineRule="auto"/>
              <w:jc w:val="right"/>
              <w:rPr>
                <w:rFonts w:eastAsiaTheme="minorEastAsia"/>
                <w:kern w:val="0"/>
                <w:sz w:val="24"/>
              </w:rPr>
            </w:pPr>
            <w:r>
              <w:rPr>
                <w:rFonts w:eastAsiaTheme="minorEastAsia"/>
                <w:kern w:val="0"/>
                <w:sz w:val="24"/>
              </w:rPr>
              <w:t>109,845,965.00</w:t>
            </w:r>
          </w:p>
        </w:tc>
      </w:tr>
    </w:tbl>
    <w:p w:rsidR="000E6BAE" w:rsidRDefault="00CD6463">
      <w:pPr>
        <w:tabs>
          <w:tab w:val="left" w:pos="426"/>
        </w:tabs>
        <w:spacing w:line="360" w:lineRule="auto"/>
        <w:ind w:firstLineChars="200" w:firstLine="480"/>
        <w:jc w:val="left"/>
        <w:rPr>
          <w:rFonts w:eastAsiaTheme="minorEastAsia"/>
          <w:kern w:val="0"/>
          <w:sz w:val="24"/>
        </w:rPr>
      </w:pPr>
      <w:r>
        <w:rPr>
          <w:rFonts w:eastAsiaTheme="minorEastAsia"/>
          <w:kern w:val="0"/>
          <w:sz w:val="24"/>
        </w:rPr>
        <w:t>注：本基金持有的其他存款，均为有存款期限，但根据协议可提前支取且没有利息损失的银行存款。</w:t>
      </w:r>
    </w:p>
    <w:p w:rsidR="000E6BAE" w:rsidRDefault="00CD6463">
      <w:pPr>
        <w:tabs>
          <w:tab w:val="left" w:pos="426"/>
        </w:tabs>
        <w:spacing w:before="29" w:line="288" w:lineRule="auto"/>
        <w:jc w:val="left"/>
        <w:rPr>
          <w:rFonts w:asciiTheme="minorEastAsia" w:eastAsiaTheme="minorEastAsia" w:hAnsiTheme="minorEastAsia"/>
          <w:bCs/>
          <w:color w:val="000000"/>
          <w:szCs w:val="21"/>
        </w:rPr>
      </w:pPr>
      <w:r>
        <w:rPr>
          <w:rFonts w:asciiTheme="minorEastAsia" w:eastAsiaTheme="minorEastAsia" w:hAnsiTheme="minorEastAsia"/>
          <w:bCs/>
          <w:color w:val="000000"/>
          <w:szCs w:val="21"/>
        </w:rPr>
        <w:tab/>
      </w:r>
    </w:p>
    <w:p w:rsidR="000E6BAE" w:rsidRDefault="00CD6463">
      <w:pPr>
        <w:spacing w:before="29" w:line="288" w:lineRule="auto"/>
        <w:rPr>
          <w:rFonts w:eastAsiaTheme="minorEastAsia"/>
          <w:b/>
          <w:sz w:val="24"/>
        </w:rPr>
      </w:pPr>
      <w:r>
        <w:rPr>
          <w:rFonts w:eastAsiaTheme="minorEastAsia"/>
          <w:b/>
          <w:sz w:val="24"/>
        </w:rPr>
        <w:t>7.4.7.2</w:t>
      </w:r>
      <w:r>
        <w:rPr>
          <w:rFonts w:eastAsiaTheme="minorEastAsia" w:hint="eastAsia"/>
          <w:b/>
          <w:sz w:val="24"/>
        </w:rPr>
        <w:t>交易性金融资产</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440"/>
        <w:gridCol w:w="2339"/>
        <w:gridCol w:w="2339"/>
        <w:gridCol w:w="2340"/>
      </w:tblGrid>
      <w:tr w:rsidR="000E6BAE">
        <w:trPr>
          <w:trHeight w:val="255"/>
          <w:jc w:val="center"/>
        </w:trPr>
        <w:tc>
          <w:tcPr>
            <w:tcW w:w="2268" w:type="dxa"/>
            <w:gridSpan w:val="2"/>
            <w:vMerge w:val="restart"/>
            <w:vAlign w:val="center"/>
          </w:tcPr>
          <w:p w:rsidR="000E6BAE" w:rsidRDefault="00CD6463">
            <w:pPr>
              <w:spacing w:before="29" w:line="288" w:lineRule="auto"/>
              <w:jc w:val="center"/>
              <w:rPr>
                <w:color w:val="000000"/>
                <w:kern w:val="0"/>
                <w:sz w:val="24"/>
              </w:rPr>
            </w:pPr>
            <w:r>
              <w:rPr>
                <w:rFonts w:hint="eastAsia"/>
                <w:color w:val="000000"/>
                <w:kern w:val="0"/>
                <w:sz w:val="24"/>
              </w:rPr>
              <w:t>项目</w:t>
            </w:r>
          </w:p>
        </w:tc>
        <w:tc>
          <w:tcPr>
            <w:tcW w:w="7018" w:type="dxa"/>
            <w:gridSpan w:val="3"/>
            <w:vAlign w:val="center"/>
          </w:tcPr>
          <w:p w:rsidR="000E6BAE" w:rsidRDefault="00CD6463">
            <w:pPr>
              <w:spacing w:before="29" w:line="288" w:lineRule="auto"/>
              <w:jc w:val="center"/>
              <w:rPr>
                <w:color w:val="000000"/>
                <w:kern w:val="0"/>
                <w:sz w:val="24"/>
              </w:rPr>
            </w:pPr>
            <w:r>
              <w:rPr>
                <w:rFonts w:hint="eastAsia"/>
                <w:color w:val="000000"/>
                <w:kern w:val="0"/>
                <w:sz w:val="24"/>
              </w:rPr>
              <w:t>本期末</w:t>
            </w:r>
          </w:p>
          <w:p w:rsidR="000E6BAE" w:rsidRDefault="00CD6463">
            <w:pPr>
              <w:spacing w:before="29" w:line="288" w:lineRule="auto"/>
              <w:jc w:val="center"/>
              <w:rPr>
                <w:color w:val="000000"/>
                <w:kern w:val="0"/>
                <w:sz w:val="24"/>
              </w:rPr>
            </w:pPr>
            <w:r>
              <w:rPr>
                <w:color w:val="000000"/>
                <w:kern w:val="0"/>
                <w:sz w:val="24"/>
              </w:rPr>
              <w:t>2020</w:t>
            </w:r>
            <w:r>
              <w:rPr>
                <w:color w:val="000000"/>
                <w:kern w:val="0"/>
                <w:sz w:val="24"/>
              </w:rPr>
              <w:t>年</w:t>
            </w:r>
            <w:r>
              <w:rPr>
                <w:color w:val="000000"/>
                <w:kern w:val="0"/>
                <w:sz w:val="24"/>
              </w:rPr>
              <w:t>12</w:t>
            </w:r>
            <w:r>
              <w:rPr>
                <w:color w:val="000000"/>
                <w:kern w:val="0"/>
                <w:sz w:val="24"/>
              </w:rPr>
              <w:t>月</w:t>
            </w:r>
            <w:r>
              <w:rPr>
                <w:color w:val="000000"/>
                <w:kern w:val="0"/>
                <w:sz w:val="24"/>
              </w:rPr>
              <w:t>31</w:t>
            </w:r>
            <w:r>
              <w:rPr>
                <w:color w:val="000000"/>
                <w:kern w:val="0"/>
                <w:sz w:val="24"/>
              </w:rPr>
              <w:t>日</w:t>
            </w:r>
          </w:p>
        </w:tc>
      </w:tr>
      <w:tr w:rsidR="000E6BAE">
        <w:trPr>
          <w:trHeight w:val="270"/>
          <w:jc w:val="center"/>
        </w:trPr>
        <w:tc>
          <w:tcPr>
            <w:tcW w:w="2268" w:type="dxa"/>
            <w:gridSpan w:val="2"/>
            <w:vMerge/>
            <w:vAlign w:val="center"/>
          </w:tcPr>
          <w:p w:rsidR="000E6BAE" w:rsidRDefault="000E6BAE">
            <w:pPr>
              <w:spacing w:before="29" w:line="288" w:lineRule="auto"/>
              <w:jc w:val="center"/>
              <w:rPr>
                <w:color w:val="000000"/>
                <w:kern w:val="0"/>
                <w:sz w:val="24"/>
              </w:rPr>
            </w:pPr>
          </w:p>
        </w:tc>
        <w:tc>
          <w:tcPr>
            <w:tcW w:w="2339" w:type="dxa"/>
            <w:vAlign w:val="center"/>
          </w:tcPr>
          <w:p w:rsidR="000E6BAE" w:rsidRDefault="00CD6463">
            <w:pPr>
              <w:spacing w:before="29" w:line="288" w:lineRule="auto"/>
              <w:jc w:val="center"/>
              <w:rPr>
                <w:color w:val="000000"/>
                <w:kern w:val="0"/>
                <w:sz w:val="24"/>
              </w:rPr>
            </w:pPr>
            <w:r>
              <w:rPr>
                <w:rFonts w:hint="eastAsia"/>
                <w:color w:val="000000"/>
                <w:kern w:val="0"/>
                <w:sz w:val="24"/>
              </w:rPr>
              <w:t>成本</w:t>
            </w:r>
          </w:p>
        </w:tc>
        <w:tc>
          <w:tcPr>
            <w:tcW w:w="2339" w:type="dxa"/>
            <w:vAlign w:val="center"/>
          </w:tcPr>
          <w:p w:rsidR="000E6BAE" w:rsidRDefault="00CD6463">
            <w:pPr>
              <w:spacing w:before="29" w:line="288" w:lineRule="auto"/>
              <w:jc w:val="center"/>
              <w:rPr>
                <w:color w:val="000000"/>
                <w:kern w:val="0"/>
                <w:sz w:val="24"/>
              </w:rPr>
            </w:pPr>
            <w:r>
              <w:rPr>
                <w:rFonts w:hint="eastAsia"/>
                <w:color w:val="000000"/>
                <w:kern w:val="0"/>
                <w:sz w:val="24"/>
              </w:rPr>
              <w:t>公允价值</w:t>
            </w:r>
          </w:p>
        </w:tc>
        <w:tc>
          <w:tcPr>
            <w:tcW w:w="2340" w:type="dxa"/>
            <w:vAlign w:val="center"/>
          </w:tcPr>
          <w:p w:rsidR="000E6BAE" w:rsidRDefault="00CD6463">
            <w:pPr>
              <w:spacing w:before="29" w:line="288" w:lineRule="auto"/>
              <w:jc w:val="center"/>
              <w:rPr>
                <w:color w:val="000000"/>
                <w:kern w:val="0"/>
                <w:sz w:val="24"/>
              </w:rPr>
            </w:pPr>
            <w:r>
              <w:rPr>
                <w:rFonts w:hint="eastAsia"/>
                <w:color w:val="000000"/>
                <w:kern w:val="0"/>
                <w:sz w:val="24"/>
              </w:rPr>
              <w:t>公允价值变动</w:t>
            </w:r>
          </w:p>
        </w:tc>
      </w:tr>
      <w:tr w:rsidR="000E6BAE">
        <w:trPr>
          <w:trHeight w:val="270"/>
          <w:jc w:val="center"/>
        </w:trPr>
        <w:tc>
          <w:tcPr>
            <w:tcW w:w="2268" w:type="dxa"/>
            <w:gridSpan w:val="2"/>
            <w:vAlign w:val="center"/>
          </w:tcPr>
          <w:p w:rsidR="000E6BAE" w:rsidRDefault="00CD6463">
            <w:pPr>
              <w:widowControl/>
              <w:spacing w:before="29" w:line="288" w:lineRule="auto"/>
              <w:rPr>
                <w:color w:val="000000"/>
                <w:kern w:val="0"/>
                <w:sz w:val="24"/>
              </w:rPr>
            </w:pPr>
            <w:r>
              <w:rPr>
                <w:rFonts w:hint="eastAsia"/>
                <w:color w:val="000000"/>
                <w:kern w:val="0"/>
                <w:sz w:val="24"/>
              </w:rPr>
              <w:t>股票</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270"/>
          <w:jc w:val="center"/>
        </w:trPr>
        <w:tc>
          <w:tcPr>
            <w:tcW w:w="2268" w:type="dxa"/>
            <w:gridSpan w:val="2"/>
            <w:vAlign w:val="center"/>
          </w:tcPr>
          <w:p w:rsidR="000E6BAE" w:rsidRDefault="00CD6463">
            <w:pPr>
              <w:widowControl/>
              <w:spacing w:before="29" w:line="288" w:lineRule="auto"/>
              <w:rPr>
                <w:color w:val="000000"/>
                <w:kern w:val="0"/>
                <w:sz w:val="24"/>
              </w:rPr>
            </w:pPr>
            <w:r>
              <w:rPr>
                <w:rFonts w:hint="eastAsia"/>
                <w:color w:val="000000"/>
                <w:kern w:val="0"/>
                <w:sz w:val="24"/>
              </w:rPr>
              <w:t>贵金属投资</w:t>
            </w:r>
            <w:r>
              <w:rPr>
                <w:rFonts w:hint="eastAsia"/>
                <w:color w:val="000000"/>
                <w:kern w:val="0"/>
                <w:sz w:val="24"/>
              </w:rPr>
              <w:t>-</w:t>
            </w:r>
            <w:r>
              <w:rPr>
                <w:rFonts w:hint="eastAsia"/>
                <w:color w:val="000000"/>
                <w:kern w:val="0"/>
                <w:sz w:val="24"/>
              </w:rPr>
              <w:t>金交所黄金合约</w:t>
            </w:r>
          </w:p>
        </w:tc>
        <w:tc>
          <w:tcPr>
            <w:tcW w:w="2339" w:type="dxa"/>
            <w:vAlign w:val="center"/>
          </w:tcPr>
          <w:p w:rsidR="000E6BAE" w:rsidRDefault="00CD6463">
            <w:pPr>
              <w:spacing w:before="29" w:line="288" w:lineRule="auto"/>
              <w:jc w:val="right"/>
              <w:rPr>
                <w:color w:val="000000"/>
                <w:kern w:val="0"/>
                <w:sz w:val="24"/>
              </w:rPr>
            </w:pPr>
            <w:r>
              <w:rPr>
                <w:rFonts w:hint="eastAsia"/>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rFonts w:hint="eastAsia"/>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rFonts w:hint="eastAsia"/>
                <w:color w:val="000000"/>
                <w:kern w:val="0"/>
                <w:sz w:val="24"/>
              </w:rPr>
              <w:t>-</w:t>
            </w:r>
          </w:p>
        </w:tc>
      </w:tr>
      <w:tr w:rsidR="000E6BAE">
        <w:trPr>
          <w:trHeight w:val="285"/>
          <w:jc w:val="center"/>
        </w:trPr>
        <w:tc>
          <w:tcPr>
            <w:tcW w:w="828" w:type="dxa"/>
            <w:vMerge w:val="restart"/>
            <w:vAlign w:val="center"/>
          </w:tcPr>
          <w:p w:rsidR="000E6BAE" w:rsidRDefault="00CD6463">
            <w:pPr>
              <w:widowControl/>
              <w:spacing w:before="29" w:line="288" w:lineRule="auto"/>
              <w:rPr>
                <w:color w:val="000000"/>
                <w:kern w:val="0"/>
                <w:sz w:val="24"/>
              </w:rPr>
            </w:pPr>
            <w:r>
              <w:rPr>
                <w:rFonts w:hint="eastAsia"/>
                <w:color w:val="000000"/>
                <w:kern w:val="0"/>
                <w:sz w:val="24"/>
              </w:rPr>
              <w:t>债券</w:t>
            </w:r>
          </w:p>
        </w:tc>
        <w:tc>
          <w:tcPr>
            <w:tcW w:w="1440" w:type="dxa"/>
            <w:vAlign w:val="center"/>
          </w:tcPr>
          <w:p w:rsidR="000E6BAE" w:rsidRDefault="00CD6463">
            <w:pPr>
              <w:widowControl/>
              <w:spacing w:before="29" w:line="288" w:lineRule="auto"/>
              <w:rPr>
                <w:color w:val="000000"/>
                <w:kern w:val="0"/>
                <w:sz w:val="24"/>
              </w:rPr>
            </w:pPr>
            <w:r>
              <w:rPr>
                <w:rFonts w:hint="eastAsia"/>
                <w:color w:val="000000"/>
                <w:kern w:val="0"/>
                <w:sz w:val="24"/>
              </w:rPr>
              <w:t>交易所市场</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103"/>
          <w:jc w:val="center"/>
        </w:trPr>
        <w:tc>
          <w:tcPr>
            <w:tcW w:w="828" w:type="dxa"/>
            <w:vMerge/>
            <w:vAlign w:val="center"/>
          </w:tcPr>
          <w:p w:rsidR="000E6BAE" w:rsidRDefault="000E6BAE">
            <w:pPr>
              <w:widowControl/>
              <w:spacing w:before="29" w:line="288" w:lineRule="auto"/>
              <w:rPr>
                <w:color w:val="000000"/>
                <w:kern w:val="0"/>
                <w:sz w:val="24"/>
              </w:rPr>
            </w:pPr>
          </w:p>
        </w:tc>
        <w:tc>
          <w:tcPr>
            <w:tcW w:w="1440" w:type="dxa"/>
            <w:vAlign w:val="center"/>
          </w:tcPr>
          <w:p w:rsidR="000E6BAE" w:rsidRDefault="00CD6463">
            <w:pPr>
              <w:widowControl/>
              <w:spacing w:before="29" w:line="288" w:lineRule="auto"/>
              <w:rPr>
                <w:color w:val="000000"/>
                <w:kern w:val="0"/>
                <w:sz w:val="24"/>
              </w:rPr>
            </w:pPr>
            <w:r>
              <w:rPr>
                <w:rFonts w:hint="eastAsia"/>
                <w:color w:val="000000"/>
                <w:kern w:val="0"/>
                <w:sz w:val="24"/>
              </w:rPr>
              <w:t>银行间市场</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1,498,987,749.99</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1,489,772,000.00</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-9,215,749.99</w:t>
            </w:r>
          </w:p>
        </w:tc>
      </w:tr>
      <w:tr w:rsidR="000E6BAE">
        <w:trPr>
          <w:trHeight w:val="103"/>
          <w:jc w:val="center"/>
        </w:trPr>
        <w:tc>
          <w:tcPr>
            <w:tcW w:w="828" w:type="dxa"/>
            <w:vMerge/>
            <w:vAlign w:val="center"/>
          </w:tcPr>
          <w:p w:rsidR="000E6BAE" w:rsidRDefault="000E6BAE">
            <w:pPr>
              <w:widowControl/>
              <w:spacing w:before="29" w:line="288" w:lineRule="auto"/>
              <w:rPr>
                <w:color w:val="000000"/>
                <w:kern w:val="0"/>
                <w:sz w:val="24"/>
              </w:rPr>
            </w:pPr>
          </w:p>
        </w:tc>
        <w:tc>
          <w:tcPr>
            <w:tcW w:w="1440" w:type="dxa"/>
            <w:vAlign w:val="center"/>
          </w:tcPr>
          <w:p w:rsidR="000E6BAE" w:rsidRDefault="00CD6463">
            <w:pPr>
              <w:widowControl/>
              <w:spacing w:before="29" w:line="288" w:lineRule="auto"/>
              <w:rPr>
                <w:color w:val="000000"/>
                <w:kern w:val="0"/>
                <w:sz w:val="24"/>
              </w:rPr>
            </w:pPr>
            <w:r>
              <w:rPr>
                <w:rFonts w:hint="eastAsia"/>
                <w:color w:val="000000"/>
                <w:kern w:val="0"/>
                <w:sz w:val="24"/>
              </w:rPr>
              <w:t>合计</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1,498,987,749.99</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1,489,772,000.00</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-9,215,749.99</w:t>
            </w:r>
          </w:p>
        </w:tc>
      </w:tr>
      <w:tr w:rsidR="000E6BAE">
        <w:trPr>
          <w:trHeight w:val="270"/>
          <w:jc w:val="center"/>
        </w:trPr>
        <w:tc>
          <w:tcPr>
            <w:tcW w:w="2268" w:type="dxa"/>
            <w:gridSpan w:val="2"/>
            <w:vAlign w:val="center"/>
          </w:tcPr>
          <w:p w:rsidR="000E6BAE" w:rsidRDefault="00CD6463">
            <w:pPr>
              <w:widowControl/>
              <w:spacing w:before="29" w:line="288" w:lineRule="auto"/>
              <w:rPr>
                <w:color w:val="000000"/>
                <w:kern w:val="0"/>
                <w:sz w:val="24"/>
              </w:rPr>
            </w:pPr>
            <w:r>
              <w:rPr>
                <w:rFonts w:hint="eastAsia"/>
                <w:color w:val="000000"/>
                <w:kern w:val="0"/>
                <w:sz w:val="24"/>
              </w:rPr>
              <w:t>资产支持证券</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270"/>
          <w:jc w:val="center"/>
        </w:trPr>
        <w:tc>
          <w:tcPr>
            <w:tcW w:w="2268" w:type="dxa"/>
            <w:gridSpan w:val="2"/>
            <w:vAlign w:val="center"/>
          </w:tcPr>
          <w:p w:rsidR="000E6BAE" w:rsidRDefault="00CD6463">
            <w:pPr>
              <w:widowControl/>
              <w:spacing w:before="29" w:line="288" w:lineRule="auto"/>
              <w:rPr>
                <w:color w:val="000000"/>
                <w:kern w:val="0"/>
                <w:sz w:val="24"/>
              </w:rPr>
            </w:pPr>
            <w:r>
              <w:rPr>
                <w:rFonts w:hint="eastAsia"/>
                <w:color w:val="000000"/>
                <w:kern w:val="0"/>
                <w:sz w:val="24"/>
              </w:rPr>
              <w:t>基金</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270"/>
          <w:jc w:val="center"/>
        </w:trPr>
        <w:tc>
          <w:tcPr>
            <w:tcW w:w="2268" w:type="dxa"/>
            <w:gridSpan w:val="2"/>
            <w:vAlign w:val="center"/>
          </w:tcPr>
          <w:p w:rsidR="000E6BAE" w:rsidRDefault="00CD6463">
            <w:pPr>
              <w:widowControl/>
              <w:spacing w:before="29" w:line="288" w:lineRule="auto"/>
              <w:rPr>
                <w:color w:val="000000"/>
                <w:kern w:val="0"/>
                <w:sz w:val="24"/>
              </w:rPr>
            </w:pPr>
            <w:r>
              <w:rPr>
                <w:rFonts w:hint="eastAsia"/>
                <w:color w:val="000000"/>
                <w:kern w:val="0"/>
                <w:sz w:val="24"/>
              </w:rPr>
              <w:t>其他</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270"/>
          <w:jc w:val="center"/>
        </w:trPr>
        <w:tc>
          <w:tcPr>
            <w:tcW w:w="2268" w:type="dxa"/>
            <w:gridSpan w:val="2"/>
            <w:vAlign w:val="center"/>
          </w:tcPr>
          <w:p w:rsidR="000E6BAE" w:rsidRDefault="00CD6463">
            <w:pPr>
              <w:widowControl/>
              <w:spacing w:before="29" w:line="288" w:lineRule="auto"/>
              <w:jc w:val="center"/>
              <w:rPr>
                <w:color w:val="000000"/>
                <w:kern w:val="0"/>
                <w:sz w:val="24"/>
              </w:rPr>
            </w:pPr>
            <w:r>
              <w:rPr>
                <w:rFonts w:hint="eastAsia"/>
                <w:color w:val="000000"/>
                <w:kern w:val="0"/>
                <w:sz w:val="24"/>
              </w:rPr>
              <w:t>合计</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1,498,987,749.99</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1,489,772,000.00</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-9,215,749.99</w:t>
            </w:r>
          </w:p>
        </w:tc>
      </w:tr>
      <w:tr w:rsidR="000E6BAE">
        <w:trPr>
          <w:trHeight w:val="255"/>
          <w:jc w:val="center"/>
        </w:trPr>
        <w:tc>
          <w:tcPr>
            <w:tcW w:w="2268" w:type="dxa"/>
            <w:gridSpan w:val="2"/>
            <w:vMerge w:val="restart"/>
            <w:vAlign w:val="center"/>
          </w:tcPr>
          <w:p w:rsidR="000E6BAE" w:rsidRDefault="00CD6463">
            <w:pPr>
              <w:spacing w:before="29" w:line="288" w:lineRule="auto"/>
              <w:jc w:val="center"/>
              <w:rPr>
                <w:color w:val="000000"/>
                <w:kern w:val="0"/>
                <w:sz w:val="24"/>
              </w:rPr>
            </w:pPr>
            <w:r>
              <w:rPr>
                <w:rFonts w:hint="eastAsia"/>
                <w:color w:val="000000"/>
                <w:kern w:val="0"/>
                <w:sz w:val="24"/>
              </w:rPr>
              <w:t>项目</w:t>
            </w:r>
          </w:p>
        </w:tc>
        <w:tc>
          <w:tcPr>
            <w:tcW w:w="7018" w:type="dxa"/>
            <w:gridSpan w:val="3"/>
            <w:vAlign w:val="center"/>
          </w:tcPr>
          <w:p w:rsidR="000E6BAE" w:rsidRDefault="00CD6463">
            <w:pPr>
              <w:spacing w:before="29" w:line="288" w:lineRule="auto"/>
              <w:jc w:val="center"/>
              <w:rPr>
                <w:color w:val="000000"/>
                <w:kern w:val="0"/>
                <w:sz w:val="24"/>
              </w:rPr>
            </w:pPr>
            <w:r>
              <w:rPr>
                <w:rFonts w:hint="eastAsia"/>
                <w:color w:val="000000"/>
                <w:kern w:val="0"/>
                <w:sz w:val="24"/>
              </w:rPr>
              <w:t>上年度末</w:t>
            </w:r>
          </w:p>
          <w:p w:rsidR="000E6BAE" w:rsidRDefault="00CD6463">
            <w:pPr>
              <w:spacing w:before="29" w:line="288" w:lineRule="auto"/>
              <w:jc w:val="center"/>
              <w:rPr>
                <w:color w:val="000000"/>
                <w:kern w:val="0"/>
                <w:sz w:val="24"/>
              </w:rPr>
            </w:pPr>
            <w:r>
              <w:rPr>
                <w:color w:val="000000"/>
                <w:kern w:val="0"/>
                <w:sz w:val="24"/>
              </w:rPr>
              <w:t>2019</w:t>
            </w:r>
            <w:r>
              <w:rPr>
                <w:color w:val="000000"/>
                <w:kern w:val="0"/>
                <w:sz w:val="24"/>
              </w:rPr>
              <w:t>年</w:t>
            </w:r>
            <w:r>
              <w:rPr>
                <w:color w:val="000000"/>
                <w:kern w:val="0"/>
                <w:sz w:val="24"/>
              </w:rPr>
              <w:t>12</w:t>
            </w:r>
            <w:r>
              <w:rPr>
                <w:color w:val="000000"/>
                <w:kern w:val="0"/>
                <w:sz w:val="24"/>
              </w:rPr>
              <w:t>月</w:t>
            </w:r>
            <w:r>
              <w:rPr>
                <w:color w:val="000000"/>
                <w:kern w:val="0"/>
                <w:sz w:val="24"/>
              </w:rPr>
              <w:t>31</w:t>
            </w:r>
            <w:r>
              <w:rPr>
                <w:color w:val="000000"/>
                <w:kern w:val="0"/>
                <w:sz w:val="24"/>
              </w:rPr>
              <w:t>日</w:t>
            </w:r>
          </w:p>
        </w:tc>
      </w:tr>
      <w:tr w:rsidR="000E6BAE">
        <w:trPr>
          <w:trHeight w:val="270"/>
          <w:jc w:val="center"/>
        </w:trPr>
        <w:tc>
          <w:tcPr>
            <w:tcW w:w="2268" w:type="dxa"/>
            <w:gridSpan w:val="2"/>
            <w:vMerge/>
            <w:vAlign w:val="center"/>
          </w:tcPr>
          <w:p w:rsidR="000E6BAE" w:rsidRDefault="000E6BAE">
            <w:pPr>
              <w:spacing w:before="29" w:line="288" w:lineRule="auto"/>
              <w:jc w:val="center"/>
              <w:rPr>
                <w:color w:val="000000"/>
                <w:kern w:val="0"/>
                <w:sz w:val="24"/>
              </w:rPr>
            </w:pPr>
          </w:p>
        </w:tc>
        <w:tc>
          <w:tcPr>
            <w:tcW w:w="2339" w:type="dxa"/>
            <w:vAlign w:val="center"/>
          </w:tcPr>
          <w:p w:rsidR="000E6BAE" w:rsidRDefault="00CD6463">
            <w:pPr>
              <w:spacing w:before="29" w:line="288" w:lineRule="auto"/>
              <w:jc w:val="center"/>
              <w:rPr>
                <w:color w:val="000000"/>
                <w:kern w:val="0"/>
                <w:sz w:val="24"/>
              </w:rPr>
            </w:pPr>
            <w:r>
              <w:rPr>
                <w:rFonts w:hint="eastAsia"/>
                <w:color w:val="000000"/>
                <w:kern w:val="0"/>
                <w:sz w:val="24"/>
              </w:rPr>
              <w:t>成本</w:t>
            </w:r>
          </w:p>
        </w:tc>
        <w:tc>
          <w:tcPr>
            <w:tcW w:w="2339" w:type="dxa"/>
            <w:vAlign w:val="center"/>
          </w:tcPr>
          <w:p w:rsidR="000E6BAE" w:rsidRDefault="00CD6463">
            <w:pPr>
              <w:spacing w:before="29" w:line="288" w:lineRule="auto"/>
              <w:jc w:val="center"/>
              <w:rPr>
                <w:color w:val="000000"/>
                <w:kern w:val="0"/>
                <w:sz w:val="24"/>
              </w:rPr>
            </w:pPr>
            <w:r>
              <w:rPr>
                <w:rFonts w:hint="eastAsia"/>
                <w:color w:val="000000"/>
                <w:kern w:val="0"/>
                <w:sz w:val="24"/>
              </w:rPr>
              <w:t>公允价值</w:t>
            </w:r>
          </w:p>
        </w:tc>
        <w:tc>
          <w:tcPr>
            <w:tcW w:w="2340" w:type="dxa"/>
            <w:vAlign w:val="center"/>
          </w:tcPr>
          <w:p w:rsidR="000E6BAE" w:rsidRDefault="00CD6463">
            <w:pPr>
              <w:spacing w:before="29" w:line="288" w:lineRule="auto"/>
              <w:jc w:val="center"/>
              <w:rPr>
                <w:color w:val="000000"/>
                <w:kern w:val="0"/>
                <w:sz w:val="24"/>
              </w:rPr>
            </w:pPr>
            <w:r>
              <w:rPr>
                <w:rFonts w:hint="eastAsia"/>
                <w:color w:val="000000"/>
                <w:kern w:val="0"/>
                <w:sz w:val="24"/>
              </w:rPr>
              <w:t>公允价值变动</w:t>
            </w:r>
          </w:p>
        </w:tc>
      </w:tr>
      <w:tr w:rsidR="000E6BAE">
        <w:trPr>
          <w:trHeight w:val="270"/>
          <w:jc w:val="center"/>
        </w:trPr>
        <w:tc>
          <w:tcPr>
            <w:tcW w:w="2268" w:type="dxa"/>
            <w:gridSpan w:val="2"/>
            <w:vAlign w:val="center"/>
          </w:tcPr>
          <w:p w:rsidR="000E6BAE" w:rsidRDefault="00CD6463">
            <w:pPr>
              <w:widowControl/>
              <w:spacing w:before="29" w:line="288" w:lineRule="auto"/>
              <w:rPr>
                <w:kern w:val="0"/>
                <w:sz w:val="24"/>
              </w:rPr>
            </w:pPr>
            <w:r>
              <w:rPr>
                <w:rFonts w:hint="eastAsia"/>
                <w:kern w:val="0"/>
                <w:sz w:val="24"/>
              </w:rPr>
              <w:t>股票</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39" w:type="dxa"/>
            <w:vAlign w:val="center"/>
          </w:tcPr>
          <w:p w:rsidR="000E6BAE" w:rsidRDefault="00CD6463">
            <w:pPr>
              <w:spacing w:line="360" w:lineRule="auto"/>
              <w:jc w:val="right"/>
              <w:rPr>
                <w:color w:val="000000"/>
                <w:kern w:val="0"/>
                <w:sz w:val="24"/>
              </w:rPr>
            </w:pPr>
            <w:r>
              <w:rPr>
                <w:color w:val="000000"/>
                <w:kern w:val="0"/>
                <w:sz w:val="24"/>
              </w:rPr>
              <w:t>-</w:t>
            </w:r>
          </w:p>
        </w:tc>
        <w:tc>
          <w:tcPr>
            <w:tcW w:w="2340" w:type="dxa"/>
            <w:vAlign w:val="center"/>
          </w:tcPr>
          <w:p w:rsidR="000E6BAE" w:rsidRDefault="00CD6463">
            <w:pPr>
              <w:spacing w:line="360" w:lineRule="auto"/>
              <w:jc w:val="right"/>
              <w:rPr>
                <w:color w:val="000000"/>
                <w:kern w:val="0"/>
                <w:sz w:val="24"/>
              </w:rPr>
            </w:pPr>
            <w:r>
              <w:rPr>
                <w:color w:val="000000"/>
                <w:kern w:val="0"/>
                <w:sz w:val="24"/>
              </w:rPr>
              <w:t>-</w:t>
            </w:r>
          </w:p>
        </w:tc>
      </w:tr>
      <w:tr w:rsidR="000E6BAE">
        <w:trPr>
          <w:trHeight w:val="270"/>
          <w:jc w:val="center"/>
        </w:trPr>
        <w:tc>
          <w:tcPr>
            <w:tcW w:w="2268" w:type="dxa"/>
            <w:gridSpan w:val="2"/>
            <w:vAlign w:val="center"/>
          </w:tcPr>
          <w:p w:rsidR="000E6BAE" w:rsidRDefault="00CD6463">
            <w:pPr>
              <w:widowControl/>
              <w:spacing w:before="29" w:line="288" w:lineRule="auto"/>
              <w:rPr>
                <w:kern w:val="0"/>
                <w:sz w:val="24"/>
              </w:rPr>
            </w:pPr>
            <w:r>
              <w:rPr>
                <w:rFonts w:hint="eastAsia"/>
                <w:kern w:val="0"/>
                <w:sz w:val="24"/>
              </w:rPr>
              <w:t>贵金属投资</w:t>
            </w:r>
            <w:r>
              <w:rPr>
                <w:rFonts w:hint="eastAsia"/>
                <w:kern w:val="0"/>
                <w:sz w:val="24"/>
              </w:rPr>
              <w:t>-</w:t>
            </w:r>
            <w:r>
              <w:rPr>
                <w:rFonts w:hint="eastAsia"/>
                <w:kern w:val="0"/>
                <w:sz w:val="24"/>
              </w:rPr>
              <w:t>金交所黄金合约</w:t>
            </w:r>
          </w:p>
        </w:tc>
        <w:tc>
          <w:tcPr>
            <w:tcW w:w="2339" w:type="dxa"/>
            <w:vAlign w:val="center"/>
          </w:tcPr>
          <w:p w:rsidR="000E6BAE" w:rsidRDefault="00CD6463">
            <w:pPr>
              <w:spacing w:before="29" w:line="288" w:lineRule="auto"/>
              <w:jc w:val="right"/>
              <w:rPr>
                <w:color w:val="000000"/>
                <w:kern w:val="0"/>
                <w:sz w:val="24"/>
              </w:rPr>
            </w:pPr>
            <w:r>
              <w:rPr>
                <w:rFonts w:hint="eastAsia"/>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rFonts w:hint="eastAsia"/>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rFonts w:hint="eastAsia"/>
                <w:color w:val="000000"/>
                <w:kern w:val="0"/>
                <w:sz w:val="24"/>
              </w:rPr>
              <w:t>-</w:t>
            </w:r>
          </w:p>
        </w:tc>
      </w:tr>
      <w:tr w:rsidR="000E6BAE">
        <w:trPr>
          <w:trHeight w:val="285"/>
          <w:jc w:val="center"/>
        </w:trPr>
        <w:tc>
          <w:tcPr>
            <w:tcW w:w="828" w:type="dxa"/>
            <w:vMerge w:val="restart"/>
            <w:vAlign w:val="center"/>
          </w:tcPr>
          <w:p w:rsidR="000E6BAE" w:rsidRDefault="00CD6463">
            <w:pPr>
              <w:widowControl/>
              <w:spacing w:before="29" w:line="288" w:lineRule="auto"/>
              <w:rPr>
                <w:kern w:val="0"/>
                <w:sz w:val="24"/>
              </w:rPr>
            </w:pPr>
            <w:r>
              <w:rPr>
                <w:rFonts w:hint="eastAsia"/>
                <w:kern w:val="0"/>
                <w:sz w:val="24"/>
              </w:rPr>
              <w:t>债券</w:t>
            </w:r>
          </w:p>
        </w:tc>
        <w:tc>
          <w:tcPr>
            <w:tcW w:w="1440" w:type="dxa"/>
            <w:vAlign w:val="center"/>
          </w:tcPr>
          <w:p w:rsidR="000E6BAE" w:rsidRDefault="00CD6463">
            <w:pPr>
              <w:widowControl/>
              <w:spacing w:before="29" w:line="288" w:lineRule="auto"/>
              <w:rPr>
                <w:kern w:val="0"/>
                <w:sz w:val="24"/>
              </w:rPr>
            </w:pPr>
            <w:r>
              <w:rPr>
                <w:rFonts w:hint="eastAsia"/>
                <w:kern w:val="0"/>
                <w:sz w:val="24"/>
              </w:rPr>
              <w:t>交易所市场</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103"/>
          <w:jc w:val="center"/>
        </w:trPr>
        <w:tc>
          <w:tcPr>
            <w:tcW w:w="828" w:type="dxa"/>
            <w:vMerge/>
            <w:vAlign w:val="center"/>
          </w:tcPr>
          <w:p w:rsidR="000E6BAE" w:rsidRDefault="000E6BAE">
            <w:pPr>
              <w:widowControl/>
              <w:spacing w:before="29" w:line="288" w:lineRule="auto"/>
              <w:rPr>
                <w:kern w:val="0"/>
                <w:sz w:val="24"/>
              </w:rPr>
            </w:pPr>
          </w:p>
        </w:tc>
        <w:tc>
          <w:tcPr>
            <w:tcW w:w="1440" w:type="dxa"/>
            <w:vAlign w:val="center"/>
          </w:tcPr>
          <w:p w:rsidR="000E6BAE" w:rsidRDefault="00CD6463">
            <w:pPr>
              <w:widowControl/>
              <w:spacing w:before="29" w:line="288" w:lineRule="auto"/>
              <w:rPr>
                <w:kern w:val="0"/>
                <w:sz w:val="24"/>
              </w:rPr>
            </w:pPr>
            <w:r>
              <w:rPr>
                <w:rFonts w:hint="eastAsia"/>
                <w:kern w:val="0"/>
                <w:sz w:val="24"/>
              </w:rPr>
              <w:t>银行间市场</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3,236,010,226.27</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3,238,237,000.00</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2,226,773.73</w:t>
            </w:r>
          </w:p>
        </w:tc>
      </w:tr>
      <w:tr w:rsidR="000E6BAE">
        <w:trPr>
          <w:trHeight w:val="103"/>
          <w:jc w:val="center"/>
        </w:trPr>
        <w:tc>
          <w:tcPr>
            <w:tcW w:w="828" w:type="dxa"/>
            <w:vMerge/>
            <w:vAlign w:val="center"/>
          </w:tcPr>
          <w:p w:rsidR="000E6BAE" w:rsidRDefault="000E6BAE">
            <w:pPr>
              <w:widowControl/>
              <w:spacing w:before="29" w:line="288" w:lineRule="auto"/>
              <w:rPr>
                <w:kern w:val="0"/>
                <w:sz w:val="24"/>
              </w:rPr>
            </w:pPr>
          </w:p>
        </w:tc>
        <w:tc>
          <w:tcPr>
            <w:tcW w:w="1440" w:type="dxa"/>
            <w:vAlign w:val="center"/>
          </w:tcPr>
          <w:p w:rsidR="000E6BAE" w:rsidRDefault="00CD6463">
            <w:pPr>
              <w:widowControl/>
              <w:spacing w:before="29" w:line="288" w:lineRule="auto"/>
              <w:rPr>
                <w:kern w:val="0"/>
                <w:sz w:val="24"/>
              </w:rPr>
            </w:pPr>
            <w:r>
              <w:rPr>
                <w:rFonts w:hint="eastAsia"/>
                <w:kern w:val="0"/>
                <w:sz w:val="24"/>
              </w:rPr>
              <w:t>合计</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3,236,010,226.27</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3,238,237,000.00</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2,226,773.73</w:t>
            </w:r>
          </w:p>
        </w:tc>
      </w:tr>
      <w:tr w:rsidR="000E6BAE">
        <w:trPr>
          <w:trHeight w:val="270"/>
          <w:jc w:val="center"/>
        </w:trPr>
        <w:tc>
          <w:tcPr>
            <w:tcW w:w="2268" w:type="dxa"/>
            <w:gridSpan w:val="2"/>
            <w:vAlign w:val="center"/>
          </w:tcPr>
          <w:p w:rsidR="000E6BAE" w:rsidRDefault="00CD6463">
            <w:pPr>
              <w:widowControl/>
              <w:spacing w:before="29" w:line="288" w:lineRule="auto"/>
              <w:rPr>
                <w:kern w:val="0"/>
                <w:sz w:val="24"/>
              </w:rPr>
            </w:pPr>
            <w:r>
              <w:rPr>
                <w:rFonts w:hint="eastAsia"/>
                <w:kern w:val="0"/>
                <w:sz w:val="24"/>
              </w:rPr>
              <w:t>资产支持证券</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270"/>
          <w:jc w:val="center"/>
        </w:trPr>
        <w:tc>
          <w:tcPr>
            <w:tcW w:w="2268" w:type="dxa"/>
            <w:gridSpan w:val="2"/>
            <w:vAlign w:val="center"/>
          </w:tcPr>
          <w:p w:rsidR="000E6BAE" w:rsidRDefault="00CD6463">
            <w:pPr>
              <w:widowControl/>
              <w:spacing w:before="29" w:line="288" w:lineRule="auto"/>
              <w:rPr>
                <w:kern w:val="0"/>
                <w:sz w:val="24"/>
              </w:rPr>
            </w:pPr>
            <w:r>
              <w:rPr>
                <w:rFonts w:hint="eastAsia"/>
                <w:kern w:val="0"/>
                <w:sz w:val="24"/>
              </w:rPr>
              <w:t>基金</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270"/>
          <w:jc w:val="center"/>
        </w:trPr>
        <w:tc>
          <w:tcPr>
            <w:tcW w:w="2268" w:type="dxa"/>
            <w:gridSpan w:val="2"/>
            <w:vAlign w:val="center"/>
          </w:tcPr>
          <w:p w:rsidR="000E6BAE" w:rsidRDefault="00CD6463">
            <w:pPr>
              <w:widowControl/>
              <w:spacing w:before="29" w:line="288" w:lineRule="auto"/>
              <w:rPr>
                <w:kern w:val="0"/>
                <w:sz w:val="24"/>
              </w:rPr>
            </w:pPr>
            <w:r>
              <w:rPr>
                <w:rFonts w:hint="eastAsia"/>
                <w:kern w:val="0"/>
                <w:sz w:val="24"/>
              </w:rPr>
              <w:t>其他</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270"/>
          <w:jc w:val="center"/>
        </w:trPr>
        <w:tc>
          <w:tcPr>
            <w:tcW w:w="2268" w:type="dxa"/>
            <w:gridSpan w:val="2"/>
            <w:vAlign w:val="center"/>
          </w:tcPr>
          <w:p w:rsidR="000E6BAE" w:rsidRDefault="00CD6463">
            <w:pPr>
              <w:widowControl/>
              <w:spacing w:before="29" w:line="288" w:lineRule="auto"/>
              <w:jc w:val="center"/>
              <w:rPr>
                <w:kern w:val="0"/>
                <w:sz w:val="24"/>
              </w:rPr>
            </w:pPr>
            <w:r>
              <w:rPr>
                <w:rFonts w:hint="eastAsia"/>
                <w:kern w:val="0"/>
                <w:sz w:val="24"/>
              </w:rPr>
              <w:t>合计</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3,236,010,226.27</w:t>
            </w:r>
          </w:p>
        </w:tc>
        <w:tc>
          <w:tcPr>
            <w:tcW w:w="2339" w:type="dxa"/>
            <w:vAlign w:val="center"/>
          </w:tcPr>
          <w:p w:rsidR="000E6BAE" w:rsidRDefault="00CD6463">
            <w:pPr>
              <w:spacing w:before="29" w:line="288" w:lineRule="auto"/>
              <w:jc w:val="right"/>
              <w:rPr>
                <w:color w:val="000000"/>
                <w:kern w:val="0"/>
                <w:sz w:val="24"/>
              </w:rPr>
            </w:pPr>
            <w:r>
              <w:rPr>
                <w:color w:val="000000"/>
                <w:kern w:val="0"/>
                <w:sz w:val="24"/>
              </w:rPr>
              <w:t>3,238,237,000.00</w:t>
            </w:r>
          </w:p>
        </w:tc>
        <w:tc>
          <w:tcPr>
            <w:tcW w:w="2340" w:type="dxa"/>
            <w:vAlign w:val="center"/>
          </w:tcPr>
          <w:p w:rsidR="000E6BAE" w:rsidRDefault="00CD6463">
            <w:pPr>
              <w:spacing w:before="29" w:line="288" w:lineRule="auto"/>
              <w:jc w:val="right"/>
              <w:rPr>
                <w:color w:val="000000"/>
                <w:kern w:val="0"/>
                <w:sz w:val="24"/>
              </w:rPr>
            </w:pPr>
            <w:r>
              <w:rPr>
                <w:color w:val="000000"/>
                <w:kern w:val="0"/>
                <w:sz w:val="24"/>
              </w:rPr>
              <w:t>2,226,773.73</w:t>
            </w:r>
          </w:p>
        </w:tc>
      </w:tr>
    </w:tbl>
    <w:p w:rsidR="000E6BAE" w:rsidRDefault="000E6BAE">
      <w:pPr>
        <w:adjustRightInd w:val="0"/>
        <w:snapToGrid w:val="0"/>
        <w:spacing w:line="360" w:lineRule="auto"/>
        <w:jc w:val="left"/>
        <w:rPr>
          <w:rFonts w:asciiTheme="minorEastAsia" w:eastAsiaTheme="minorEastAsia" w:hAnsiTheme="minorEastAsia"/>
          <w:bCs/>
          <w:color w:val="000000"/>
          <w:szCs w:val="21"/>
        </w:rPr>
      </w:pPr>
    </w:p>
    <w:p w:rsidR="000E6BAE" w:rsidRDefault="00CD6463">
      <w:pPr>
        <w:spacing w:before="29" w:line="288" w:lineRule="auto"/>
        <w:rPr>
          <w:rFonts w:asciiTheme="minorEastAsia" w:eastAsiaTheme="minorEastAsia" w:hAnsiTheme="minorEastAsia"/>
          <w:b/>
          <w:color w:val="000000"/>
          <w:szCs w:val="21"/>
        </w:rPr>
      </w:pPr>
      <w:r>
        <w:rPr>
          <w:rFonts w:eastAsiaTheme="minorEastAsia"/>
          <w:b/>
          <w:sz w:val="24"/>
        </w:rPr>
        <w:t>7.4.7.3</w:t>
      </w:r>
      <w:r>
        <w:rPr>
          <w:rFonts w:eastAsiaTheme="minorEastAsia" w:hint="eastAsia"/>
          <w:b/>
          <w:sz w:val="24"/>
        </w:rPr>
        <w:t>衍生金融资产</w:t>
      </w:r>
      <w:r>
        <w:rPr>
          <w:rFonts w:eastAsiaTheme="minorEastAsia"/>
          <w:b/>
          <w:sz w:val="24"/>
        </w:rPr>
        <w:t>/</w:t>
      </w:r>
      <w:r>
        <w:rPr>
          <w:rFonts w:eastAsiaTheme="minorEastAsia" w:hint="eastAsia"/>
          <w:b/>
          <w:sz w:val="24"/>
        </w:rPr>
        <w:t>负债</w:t>
      </w:r>
    </w:p>
    <w:p w:rsidR="000E6BAE" w:rsidRDefault="00CD6463">
      <w:pPr>
        <w:tabs>
          <w:tab w:val="left" w:pos="426"/>
        </w:tabs>
        <w:spacing w:before="29" w:line="288" w:lineRule="auto"/>
        <w:jc w:val="left"/>
        <w:rPr>
          <w:kern w:val="0"/>
          <w:sz w:val="24"/>
        </w:rPr>
      </w:pPr>
      <w:r>
        <w:rPr>
          <w:kern w:val="0"/>
          <w:sz w:val="24"/>
        </w:rPr>
        <w:t>本基金本报告期末及上年度末未持有衍生金融工具。</w:t>
      </w: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7.4.7.4</w:t>
      </w:r>
      <w:r>
        <w:rPr>
          <w:rFonts w:eastAsiaTheme="minorEastAsia" w:hint="eastAsia"/>
          <w:b/>
          <w:sz w:val="24"/>
        </w:rPr>
        <w:t>买入返售金融资产</w:t>
      </w:r>
    </w:p>
    <w:p w:rsidR="000E6BAE" w:rsidRDefault="00CD6463">
      <w:pPr>
        <w:tabs>
          <w:tab w:val="left" w:pos="426"/>
        </w:tabs>
        <w:spacing w:before="29" w:line="288" w:lineRule="auto"/>
        <w:jc w:val="left"/>
        <w:rPr>
          <w:kern w:val="0"/>
          <w:sz w:val="24"/>
        </w:rPr>
      </w:pPr>
      <w:r>
        <w:rPr>
          <w:kern w:val="0"/>
          <w:sz w:val="24"/>
        </w:rPr>
        <w:t>本基金本报告期末及上年度末未持有买入返售金融资产。</w:t>
      </w: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7.4.7.5</w:t>
      </w:r>
      <w:r>
        <w:rPr>
          <w:rFonts w:eastAsiaTheme="minorEastAsia" w:hint="eastAsia"/>
          <w:b/>
          <w:sz w:val="24"/>
        </w:rPr>
        <w:t>应收利息</w:t>
      </w:r>
    </w:p>
    <w:p w:rsidR="000E6BAE" w:rsidRDefault="00CD6463">
      <w:pPr>
        <w:spacing w:line="360" w:lineRule="auto"/>
        <w:jc w:val="right"/>
        <w:rPr>
          <w:rFonts w:eastAsiaTheme="minorEastAsia"/>
          <w:color w:val="000000"/>
          <w:sz w:val="24"/>
        </w:rPr>
      </w:pPr>
      <w:r>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1"/>
        <w:gridCol w:w="3258"/>
        <w:gridCol w:w="3406"/>
      </w:tblGrid>
      <w:tr w:rsidR="000E6BAE">
        <w:trPr>
          <w:trHeight w:val="330"/>
        </w:trPr>
        <w:tc>
          <w:tcPr>
            <w:tcW w:w="2351" w:type="dxa"/>
            <w:vAlign w:val="center"/>
          </w:tcPr>
          <w:p w:rsidR="000E6BAE" w:rsidRDefault="00CD6463">
            <w:pPr>
              <w:spacing w:line="360" w:lineRule="auto"/>
              <w:jc w:val="center"/>
              <w:rPr>
                <w:rFonts w:eastAsiaTheme="minorEastAsia"/>
                <w:sz w:val="24"/>
              </w:rPr>
            </w:pPr>
            <w:r>
              <w:rPr>
                <w:rFonts w:eastAsiaTheme="minorEastAsia"/>
                <w:sz w:val="24"/>
              </w:rPr>
              <w:t>项目</w:t>
            </w:r>
          </w:p>
        </w:tc>
        <w:tc>
          <w:tcPr>
            <w:tcW w:w="3258" w:type="dxa"/>
            <w:vAlign w:val="bottom"/>
          </w:tcPr>
          <w:p w:rsidR="000E6BAE" w:rsidRDefault="00CD6463">
            <w:pPr>
              <w:spacing w:line="360" w:lineRule="auto"/>
              <w:jc w:val="center"/>
              <w:rPr>
                <w:rFonts w:eastAsiaTheme="minorEastAsia"/>
                <w:kern w:val="0"/>
                <w:sz w:val="24"/>
              </w:rPr>
            </w:pPr>
            <w:r>
              <w:rPr>
                <w:rFonts w:eastAsiaTheme="minorEastAsia"/>
                <w:kern w:val="0"/>
                <w:sz w:val="24"/>
              </w:rPr>
              <w:t>本期末</w:t>
            </w:r>
          </w:p>
          <w:p w:rsidR="000E6BAE" w:rsidRDefault="00CD6463">
            <w:pPr>
              <w:spacing w:line="360" w:lineRule="auto"/>
              <w:jc w:val="center"/>
              <w:rPr>
                <w:rFonts w:eastAsiaTheme="minorEastAsia"/>
                <w:sz w:val="24"/>
              </w:rPr>
            </w:pPr>
            <w:r>
              <w:rPr>
                <w:rFonts w:eastAsiaTheme="minorEastAsia"/>
                <w:sz w:val="24"/>
              </w:rPr>
              <w:t>2020</w:t>
            </w:r>
            <w:r>
              <w:rPr>
                <w:rFonts w:eastAsiaTheme="minorEastAsia"/>
                <w:sz w:val="24"/>
              </w:rPr>
              <w:t>年</w:t>
            </w:r>
            <w:r>
              <w:rPr>
                <w:rFonts w:eastAsiaTheme="minorEastAsia"/>
                <w:sz w:val="24"/>
              </w:rPr>
              <w:t>12</w:t>
            </w:r>
            <w:r>
              <w:rPr>
                <w:rFonts w:eastAsiaTheme="minorEastAsia"/>
                <w:sz w:val="24"/>
              </w:rPr>
              <w:t>月</w:t>
            </w:r>
            <w:r>
              <w:rPr>
                <w:rFonts w:eastAsiaTheme="minorEastAsia"/>
                <w:sz w:val="24"/>
              </w:rPr>
              <w:t>31</w:t>
            </w:r>
            <w:r>
              <w:rPr>
                <w:rFonts w:eastAsiaTheme="minorEastAsia"/>
                <w:sz w:val="24"/>
              </w:rPr>
              <w:t>日</w:t>
            </w:r>
          </w:p>
        </w:tc>
        <w:tc>
          <w:tcPr>
            <w:tcW w:w="3406" w:type="dxa"/>
          </w:tcPr>
          <w:p w:rsidR="000E6BAE" w:rsidRDefault="00CD6463">
            <w:pPr>
              <w:spacing w:line="360" w:lineRule="auto"/>
              <w:jc w:val="center"/>
              <w:rPr>
                <w:rFonts w:eastAsiaTheme="minorEastAsia"/>
                <w:kern w:val="0"/>
                <w:sz w:val="24"/>
              </w:rPr>
            </w:pPr>
            <w:r>
              <w:rPr>
                <w:rFonts w:eastAsiaTheme="minorEastAsia"/>
                <w:kern w:val="0"/>
                <w:sz w:val="24"/>
              </w:rPr>
              <w:t>上年度末</w:t>
            </w:r>
          </w:p>
          <w:p w:rsidR="000E6BAE" w:rsidRDefault="00CD6463">
            <w:pPr>
              <w:spacing w:line="360" w:lineRule="auto"/>
              <w:jc w:val="center"/>
              <w:rPr>
                <w:rFonts w:eastAsiaTheme="minorEastAsia"/>
                <w:sz w:val="24"/>
              </w:rPr>
            </w:pPr>
            <w:r>
              <w:rPr>
                <w:rFonts w:eastAsiaTheme="minorEastAsia"/>
                <w:sz w:val="24"/>
              </w:rPr>
              <w:t>2019</w:t>
            </w:r>
            <w:r>
              <w:rPr>
                <w:rFonts w:eastAsiaTheme="minorEastAsia"/>
                <w:sz w:val="24"/>
              </w:rPr>
              <w:t>年</w:t>
            </w:r>
            <w:r>
              <w:rPr>
                <w:rFonts w:eastAsiaTheme="minorEastAsia"/>
                <w:sz w:val="24"/>
              </w:rPr>
              <w:t>12</w:t>
            </w:r>
            <w:r>
              <w:rPr>
                <w:rFonts w:eastAsiaTheme="minorEastAsia"/>
                <w:sz w:val="24"/>
              </w:rPr>
              <w:t>月</w:t>
            </w:r>
            <w:r>
              <w:rPr>
                <w:rFonts w:eastAsiaTheme="minorEastAsia"/>
                <w:sz w:val="24"/>
              </w:rPr>
              <w:t>31</w:t>
            </w:r>
            <w:r>
              <w:rPr>
                <w:rFonts w:eastAsiaTheme="minorEastAsia"/>
                <w:sz w:val="24"/>
              </w:rPr>
              <w:t>日</w:t>
            </w:r>
          </w:p>
        </w:tc>
      </w:tr>
      <w:tr w:rsidR="000E6BAE">
        <w:trPr>
          <w:trHeight w:val="257"/>
        </w:trPr>
        <w:tc>
          <w:tcPr>
            <w:tcW w:w="2351" w:type="dxa"/>
            <w:vAlign w:val="center"/>
          </w:tcPr>
          <w:p w:rsidR="000E6BAE" w:rsidRDefault="00CD6463">
            <w:pPr>
              <w:spacing w:line="360" w:lineRule="auto"/>
              <w:rPr>
                <w:rFonts w:eastAsiaTheme="minorEastAsia"/>
                <w:sz w:val="24"/>
              </w:rPr>
            </w:pPr>
            <w:r>
              <w:rPr>
                <w:rFonts w:eastAsiaTheme="minorEastAsia"/>
                <w:sz w:val="24"/>
              </w:rPr>
              <w:t>应收活期存款利息</w:t>
            </w:r>
          </w:p>
        </w:tc>
        <w:tc>
          <w:tcPr>
            <w:tcW w:w="3258" w:type="dxa"/>
            <w:vAlign w:val="center"/>
          </w:tcPr>
          <w:p w:rsidR="000E6BAE" w:rsidRDefault="00CD6463">
            <w:pPr>
              <w:spacing w:line="360" w:lineRule="auto"/>
              <w:jc w:val="right"/>
              <w:rPr>
                <w:rFonts w:eastAsiaTheme="minorEastAsia"/>
                <w:sz w:val="24"/>
              </w:rPr>
            </w:pPr>
            <w:r>
              <w:rPr>
                <w:rFonts w:eastAsiaTheme="minorEastAsia"/>
                <w:sz w:val="24"/>
              </w:rPr>
              <w:t>4,504.21</w:t>
            </w:r>
          </w:p>
        </w:tc>
        <w:tc>
          <w:tcPr>
            <w:tcW w:w="3406" w:type="dxa"/>
            <w:noWrap/>
            <w:vAlign w:val="center"/>
          </w:tcPr>
          <w:p w:rsidR="000E6BAE" w:rsidRDefault="00CD6463">
            <w:pPr>
              <w:spacing w:line="360" w:lineRule="auto"/>
              <w:jc w:val="right"/>
              <w:rPr>
                <w:rFonts w:eastAsiaTheme="minorEastAsia"/>
                <w:sz w:val="24"/>
              </w:rPr>
            </w:pPr>
            <w:r>
              <w:rPr>
                <w:rFonts w:eastAsiaTheme="minorEastAsia"/>
                <w:sz w:val="24"/>
              </w:rPr>
              <w:t>5,733.84</w:t>
            </w:r>
          </w:p>
        </w:tc>
      </w:tr>
      <w:tr w:rsidR="000E6BAE">
        <w:trPr>
          <w:trHeight w:val="223"/>
        </w:trPr>
        <w:tc>
          <w:tcPr>
            <w:tcW w:w="2351" w:type="dxa"/>
            <w:vAlign w:val="center"/>
          </w:tcPr>
          <w:p w:rsidR="000E6BAE" w:rsidRDefault="00CD6463">
            <w:pPr>
              <w:spacing w:line="360" w:lineRule="auto"/>
              <w:rPr>
                <w:rFonts w:eastAsiaTheme="minorEastAsia"/>
                <w:sz w:val="24"/>
              </w:rPr>
            </w:pPr>
            <w:r>
              <w:rPr>
                <w:rFonts w:eastAsiaTheme="minorEastAsia"/>
                <w:sz w:val="24"/>
              </w:rPr>
              <w:t>应收定期存款利息</w:t>
            </w:r>
          </w:p>
        </w:tc>
        <w:tc>
          <w:tcPr>
            <w:tcW w:w="3258" w:type="dxa"/>
            <w:vAlign w:val="center"/>
          </w:tcPr>
          <w:p w:rsidR="000E6BAE" w:rsidRDefault="00CD6463">
            <w:pPr>
              <w:spacing w:line="360" w:lineRule="auto"/>
              <w:jc w:val="right"/>
              <w:rPr>
                <w:rFonts w:eastAsiaTheme="minorEastAsia"/>
                <w:sz w:val="24"/>
              </w:rPr>
            </w:pPr>
            <w:r>
              <w:rPr>
                <w:rFonts w:eastAsiaTheme="minorEastAsia"/>
                <w:sz w:val="24"/>
              </w:rPr>
              <w:t>-</w:t>
            </w:r>
          </w:p>
        </w:tc>
        <w:tc>
          <w:tcPr>
            <w:tcW w:w="3406" w:type="dxa"/>
            <w:noWrap/>
            <w:vAlign w:val="center"/>
          </w:tcPr>
          <w:p w:rsidR="000E6BAE" w:rsidRDefault="00CD6463">
            <w:pPr>
              <w:spacing w:line="360" w:lineRule="auto"/>
              <w:jc w:val="right"/>
              <w:rPr>
                <w:rFonts w:eastAsiaTheme="minorEastAsia"/>
                <w:sz w:val="24"/>
              </w:rPr>
            </w:pPr>
            <w:r>
              <w:rPr>
                <w:rFonts w:eastAsiaTheme="minorEastAsia"/>
                <w:sz w:val="24"/>
              </w:rPr>
              <w:t>-</w:t>
            </w:r>
          </w:p>
        </w:tc>
      </w:tr>
      <w:tr w:rsidR="000E6BAE">
        <w:trPr>
          <w:trHeight w:val="223"/>
        </w:trPr>
        <w:tc>
          <w:tcPr>
            <w:tcW w:w="2351" w:type="dxa"/>
            <w:vAlign w:val="center"/>
          </w:tcPr>
          <w:p w:rsidR="000E6BAE" w:rsidRDefault="00CD6463">
            <w:pPr>
              <w:spacing w:line="360" w:lineRule="auto"/>
              <w:rPr>
                <w:rFonts w:eastAsiaTheme="minorEastAsia"/>
                <w:sz w:val="24"/>
              </w:rPr>
            </w:pPr>
            <w:r>
              <w:rPr>
                <w:rFonts w:eastAsiaTheme="minorEastAsia"/>
                <w:sz w:val="24"/>
              </w:rPr>
              <w:t>应收其他存款利息</w:t>
            </w:r>
          </w:p>
        </w:tc>
        <w:tc>
          <w:tcPr>
            <w:tcW w:w="3258" w:type="dxa"/>
            <w:vAlign w:val="center"/>
          </w:tcPr>
          <w:p w:rsidR="000E6BAE" w:rsidRDefault="00CD6463">
            <w:pPr>
              <w:spacing w:line="360" w:lineRule="auto"/>
              <w:jc w:val="right"/>
              <w:rPr>
                <w:rFonts w:eastAsiaTheme="minorEastAsia"/>
                <w:sz w:val="24"/>
              </w:rPr>
            </w:pPr>
            <w:r>
              <w:rPr>
                <w:rFonts w:eastAsiaTheme="minorEastAsia"/>
                <w:sz w:val="24"/>
              </w:rPr>
              <w:t>-</w:t>
            </w:r>
          </w:p>
        </w:tc>
        <w:tc>
          <w:tcPr>
            <w:tcW w:w="3406" w:type="dxa"/>
            <w:noWrap/>
            <w:vAlign w:val="center"/>
          </w:tcPr>
          <w:p w:rsidR="000E6BAE" w:rsidRDefault="00CD6463">
            <w:pPr>
              <w:spacing w:line="360" w:lineRule="auto"/>
              <w:jc w:val="right"/>
              <w:rPr>
                <w:rFonts w:eastAsiaTheme="minorEastAsia"/>
                <w:sz w:val="24"/>
              </w:rPr>
            </w:pPr>
            <w:r>
              <w:rPr>
                <w:rFonts w:eastAsiaTheme="minorEastAsia"/>
                <w:sz w:val="24"/>
              </w:rPr>
              <w:t>490,833.84</w:t>
            </w:r>
          </w:p>
        </w:tc>
      </w:tr>
      <w:tr w:rsidR="000E6BAE">
        <w:trPr>
          <w:trHeight w:val="223"/>
        </w:trPr>
        <w:tc>
          <w:tcPr>
            <w:tcW w:w="2351" w:type="dxa"/>
            <w:vAlign w:val="center"/>
          </w:tcPr>
          <w:p w:rsidR="000E6BAE" w:rsidRDefault="00CD6463">
            <w:pPr>
              <w:spacing w:line="360" w:lineRule="auto"/>
              <w:rPr>
                <w:rFonts w:eastAsiaTheme="minorEastAsia"/>
                <w:sz w:val="24"/>
              </w:rPr>
            </w:pPr>
            <w:r>
              <w:rPr>
                <w:rFonts w:eastAsiaTheme="minorEastAsia"/>
                <w:sz w:val="24"/>
              </w:rPr>
              <w:t>应收结算备付金利息</w:t>
            </w:r>
          </w:p>
        </w:tc>
        <w:tc>
          <w:tcPr>
            <w:tcW w:w="3258" w:type="dxa"/>
            <w:vAlign w:val="center"/>
          </w:tcPr>
          <w:p w:rsidR="000E6BAE" w:rsidRDefault="00CD6463">
            <w:pPr>
              <w:spacing w:line="360" w:lineRule="auto"/>
              <w:jc w:val="right"/>
              <w:rPr>
                <w:rFonts w:eastAsiaTheme="minorEastAsia"/>
                <w:sz w:val="24"/>
              </w:rPr>
            </w:pPr>
            <w:r>
              <w:rPr>
                <w:rFonts w:eastAsiaTheme="minorEastAsia"/>
                <w:sz w:val="24"/>
              </w:rPr>
              <w:t>-</w:t>
            </w:r>
          </w:p>
        </w:tc>
        <w:tc>
          <w:tcPr>
            <w:tcW w:w="3406" w:type="dxa"/>
            <w:noWrap/>
            <w:vAlign w:val="center"/>
          </w:tcPr>
          <w:p w:rsidR="000E6BAE" w:rsidRDefault="00CD6463">
            <w:pPr>
              <w:spacing w:line="360" w:lineRule="auto"/>
              <w:jc w:val="right"/>
              <w:rPr>
                <w:rFonts w:eastAsiaTheme="minorEastAsia"/>
                <w:sz w:val="24"/>
              </w:rPr>
            </w:pPr>
            <w:r>
              <w:rPr>
                <w:rFonts w:eastAsiaTheme="minorEastAsia"/>
                <w:sz w:val="24"/>
              </w:rPr>
              <w:t>-</w:t>
            </w:r>
          </w:p>
        </w:tc>
      </w:tr>
      <w:tr w:rsidR="000E6BAE">
        <w:trPr>
          <w:trHeight w:val="269"/>
        </w:trPr>
        <w:tc>
          <w:tcPr>
            <w:tcW w:w="2351" w:type="dxa"/>
            <w:vAlign w:val="center"/>
          </w:tcPr>
          <w:p w:rsidR="000E6BAE" w:rsidRDefault="00CD6463">
            <w:pPr>
              <w:spacing w:line="360" w:lineRule="auto"/>
              <w:rPr>
                <w:rFonts w:eastAsiaTheme="minorEastAsia"/>
                <w:sz w:val="24"/>
              </w:rPr>
            </w:pPr>
            <w:r>
              <w:rPr>
                <w:rFonts w:eastAsiaTheme="minorEastAsia"/>
                <w:sz w:val="24"/>
              </w:rPr>
              <w:t>应收债券利息</w:t>
            </w:r>
          </w:p>
        </w:tc>
        <w:tc>
          <w:tcPr>
            <w:tcW w:w="3258" w:type="dxa"/>
            <w:vAlign w:val="center"/>
          </w:tcPr>
          <w:p w:rsidR="000E6BAE" w:rsidRDefault="00CD6463">
            <w:pPr>
              <w:spacing w:line="360" w:lineRule="auto"/>
              <w:jc w:val="right"/>
              <w:rPr>
                <w:rFonts w:eastAsiaTheme="minorEastAsia"/>
                <w:sz w:val="24"/>
              </w:rPr>
            </w:pPr>
            <w:r>
              <w:rPr>
                <w:rFonts w:eastAsiaTheme="minorEastAsia"/>
                <w:sz w:val="24"/>
              </w:rPr>
              <w:t>32,736,827.25</w:t>
            </w:r>
          </w:p>
        </w:tc>
        <w:tc>
          <w:tcPr>
            <w:tcW w:w="3406" w:type="dxa"/>
            <w:noWrap/>
            <w:vAlign w:val="center"/>
          </w:tcPr>
          <w:p w:rsidR="000E6BAE" w:rsidRDefault="00CD6463">
            <w:pPr>
              <w:spacing w:line="360" w:lineRule="auto"/>
              <w:jc w:val="right"/>
              <w:rPr>
                <w:rFonts w:eastAsiaTheme="minorEastAsia"/>
                <w:sz w:val="24"/>
              </w:rPr>
            </w:pPr>
            <w:r>
              <w:rPr>
                <w:rFonts w:eastAsiaTheme="minorEastAsia"/>
                <w:sz w:val="24"/>
              </w:rPr>
              <w:t>74,884,802.49</w:t>
            </w:r>
          </w:p>
        </w:tc>
      </w:tr>
      <w:tr w:rsidR="000E6BAE">
        <w:trPr>
          <w:trHeight w:val="287"/>
        </w:trPr>
        <w:tc>
          <w:tcPr>
            <w:tcW w:w="2351" w:type="dxa"/>
            <w:vAlign w:val="bottom"/>
          </w:tcPr>
          <w:p w:rsidR="000E6BAE" w:rsidRDefault="00CD6463">
            <w:pPr>
              <w:spacing w:line="360" w:lineRule="auto"/>
              <w:rPr>
                <w:rFonts w:eastAsiaTheme="minorEastAsia"/>
                <w:sz w:val="24"/>
              </w:rPr>
            </w:pPr>
            <w:r>
              <w:rPr>
                <w:rFonts w:eastAsiaTheme="minorEastAsia" w:hint="eastAsia"/>
                <w:sz w:val="24"/>
              </w:rPr>
              <w:t>应收资产支持证券利息</w:t>
            </w:r>
          </w:p>
        </w:tc>
        <w:tc>
          <w:tcPr>
            <w:tcW w:w="3258" w:type="dxa"/>
          </w:tcPr>
          <w:p w:rsidR="000E6BAE" w:rsidRDefault="00CD6463">
            <w:pPr>
              <w:spacing w:line="360" w:lineRule="auto"/>
              <w:jc w:val="right"/>
              <w:rPr>
                <w:rFonts w:eastAsiaTheme="minorEastAsia"/>
                <w:sz w:val="24"/>
              </w:rPr>
            </w:pPr>
            <w:r>
              <w:rPr>
                <w:rFonts w:eastAsiaTheme="minorEastAsia"/>
                <w:sz w:val="24"/>
              </w:rPr>
              <w:t>-</w:t>
            </w:r>
          </w:p>
        </w:tc>
        <w:tc>
          <w:tcPr>
            <w:tcW w:w="3406" w:type="dxa"/>
            <w:noWrap/>
          </w:tcPr>
          <w:p w:rsidR="000E6BAE" w:rsidRDefault="00CD6463">
            <w:pPr>
              <w:spacing w:line="360" w:lineRule="auto"/>
              <w:jc w:val="right"/>
              <w:rPr>
                <w:rFonts w:eastAsiaTheme="minorEastAsia"/>
                <w:sz w:val="24"/>
              </w:rPr>
            </w:pPr>
            <w:r>
              <w:rPr>
                <w:rFonts w:eastAsiaTheme="minorEastAsia"/>
                <w:sz w:val="24"/>
              </w:rPr>
              <w:t>-</w:t>
            </w:r>
          </w:p>
        </w:tc>
      </w:tr>
      <w:tr w:rsidR="000E6BAE">
        <w:trPr>
          <w:trHeight w:val="287"/>
        </w:trPr>
        <w:tc>
          <w:tcPr>
            <w:tcW w:w="2351" w:type="dxa"/>
            <w:vAlign w:val="center"/>
          </w:tcPr>
          <w:p w:rsidR="000E6BAE" w:rsidRDefault="00CD6463">
            <w:pPr>
              <w:spacing w:line="360" w:lineRule="auto"/>
              <w:rPr>
                <w:rFonts w:eastAsiaTheme="minorEastAsia"/>
                <w:sz w:val="24"/>
              </w:rPr>
            </w:pPr>
            <w:r>
              <w:rPr>
                <w:rFonts w:eastAsiaTheme="minorEastAsia"/>
                <w:sz w:val="24"/>
              </w:rPr>
              <w:t>应收买入返售证券利息</w:t>
            </w:r>
          </w:p>
        </w:tc>
        <w:tc>
          <w:tcPr>
            <w:tcW w:w="3258" w:type="dxa"/>
            <w:vAlign w:val="center"/>
          </w:tcPr>
          <w:p w:rsidR="000E6BAE" w:rsidRDefault="00CD6463">
            <w:pPr>
              <w:spacing w:line="360" w:lineRule="auto"/>
              <w:jc w:val="right"/>
              <w:rPr>
                <w:rFonts w:eastAsiaTheme="minorEastAsia"/>
                <w:sz w:val="24"/>
              </w:rPr>
            </w:pPr>
            <w:r>
              <w:rPr>
                <w:rFonts w:eastAsiaTheme="minorEastAsia"/>
                <w:sz w:val="24"/>
              </w:rPr>
              <w:t>-</w:t>
            </w:r>
          </w:p>
        </w:tc>
        <w:tc>
          <w:tcPr>
            <w:tcW w:w="3406" w:type="dxa"/>
            <w:noWrap/>
            <w:vAlign w:val="center"/>
          </w:tcPr>
          <w:p w:rsidR="000E6BAE" w:rsidRDefault="00CD6463">
            <w:pPr>
              <w:spacing w:line="360" w:lineRule="auto"/>
              <w:jc w:val="right"/>
              <w:rPr>
                <w:rFonts w:eastAsiaTheme="minorEastAsia"/>
                <w:sz w:val="24"/>
              </w:rPr>
            </w:pPr>
            <w:r>
              <w:rPr>
                <w:rFonts w:eastAsiaTheme="minorEastAsia"/>
                <w:sz w:val="24"/>
              </w:rPr>
              <w:t>-</w:t>
            </w:r>
          </w:p>
        </w:tc>
      </w:tr>
      <w:tr w:rsidR="000E6BAE">
        <w:trPr>
          <w:trHeight w:val="305"/>
        </w:trPr>
        <w:tc>
          <w:tcPr>
            <w:tcW w:w="2351" w:type="dxa"/>
            <w:vAlign w:val="center"/>
          </w:tcPr>
          <w:p w:rsidR="000E6BAE" w:rsidRDefault="00CD6463">
            <w:pPr>
              <w:spacing w:line="360" w:lineRule="auto"/>
              <w:rPr>
                <w:rFonts w:eastAsiaTheme="minorEastAsia"/>
                <w:sz w:val="24"/>
              </w:rPr>
            </w:pPr>
            <w:r>
              <w:rPr>
                <w:rFonts w:eastAsiaTheme="minorEastAsia"/>
                <w:sz w:val="24"/>
              </w:rPr>
              <w:t>应收申购款利息</w:t>
            </w:r>
          </w:p>
        </w:tc>
        <w:tc>
          <w:tcPr>
            <w:tcW w:w="3258" w:type="dxa"/>
            <w:vAlign w:val="center"/>
          </w:tcPr>
          <w:p w:rsidR="000E6BAE" w:rsidRDefault="00CD6463">
            <w:pPr>
              <w:spacing w:line="360" w:lineRule="auto"/>
              <w:jc w:val="right"/>
              <w:rPr>
                <w:rFonts w:eastAsiaTheme="minorEastAsia"/>
                <w:sz w:val="24"/>
              </w:rPr>
            </w:pPr>
            <w:r>
              <w:rPr>
                <w:rFonts w:eastAsiaTheme="minorEastAsia"/>
                <w:sz w:val="24"/>
              </w:rPr>
              <w:t>4,000.00</w:t>
            </w:r>
          </w:p>
        </w:tc>
        <w:tc>
          <w:tcPr>
            <w:tcW w:w="3406" w:type="dxa"/>
            <w:noWrap/>
            <w:vAlign w:val="center"/>
          </w:tcPr>
          <w:p w:rsidR="000E6BAE" w:rsidRDefault="00CD6463">
            <w:pPr>
              <w:spacing w:line="360" w:lineRule="auto"/>
              <w:jc w:val="right"/>
              <w:rPr>
                <w:rFonts w:eastAsiaTheme="minorEastAsia"/>
                <w:sz w:val="24"/>
              </w:rPr>
            </w:pPr>
            <w:r>
              <w:rPr>
                <w:rFonts w:eastAsiaTheme="minorEastAsia"/>
                <w:sz w:val="24"/>
              </w:rPr>
              <w:t>-</w:t>
            </w:r>
          </w:p>
        </w:tc>
      </w:tr>
      <w:tr w:rsidR="000E6BAE">
        <w:trPr>
          <w:trHeight w:val="305"/>
        </w:trPr>
        <w:tc>
          <w:tcPr>
            <w:tcW w:w="2351" w:type="dxa"/>
            <w:vAlign w:val="center"/>
          </w:tcPr>
          <w:p w:rsidR="000E6BAE" w:rsidRDefault="00CD6463">
            <w:pPr>
              <w:spacing w:line="360" w:lineRule="auto"/>
              <w:rPr>
                <w:rFonts w:eastAsiaTheme="minorEastAsia"/>
                <w:sz w:val="24"/>
              </w:rPr>
            </w:pPr>
            <w:r>
              <w:rPr>
                <w:rFonts w:eastAsiaTheme="minorEastAsia"/>
                <w:sz w:val="24"/>
              </w:rPr>
              <w:t>应收黄金合约拆借孳息</w:t>
            </w:r>
          </w:p>
        </w:tc>
        <w:tc>
          <w:tcPr>
            <w:tcW w:w="3258" w:type="dxa"/>
            <w:vAlign w:val="center"/>
          </w:tcPr>
          <w:p w:rsidR="000E6BAE" w:rsidRDefault="00CD6463">
            <w:pPr>
              <w:spacing w:line="360" w:lineRule="auto"/>
              <w:jc w:val="right"/>
              <w:rPr>
                <w:rFonts w:eastAsiaTheme="minorEastAsia"/>
                <w:sz w:val="24"/>
              </w:rPr>
            </w:pPr>
            <w:r>
              <w:rPr>
                <w:rFonts w:eastAsiaTheme="minorEastAsia"/>
                <w:sz w:val="24"/>
              </w:rPr>
              <w:t>-</w:t>
            </w:r>
          </w:p>
        </w:tc>
        <w:tc>
          <w:tcPr>
            <w:tcW w:w="3406" w:type="dxa"/>
            <w:noWrap/>
            <w:vAlign w:val="center"/>
          </w:tcPr>
          <w:p w:rsidR="000E6BAE" w:rsidRDefault="00CD6463">
            <w:pPr>
              <w:spacing w:line="360" w:lineRule="auto"/>
              <w:jc w:val="right"/>
              <w:rPr>
                <w:rFonts w:eastAsiaTheme="minorEastAsia"/>
                <w:sz w:val="24"/>
              </w:rPr>
            </w:pPr>
            <w:r>
              <w:rPr>
                <w:rFonts w:eastAsiaTheme="minorEastAsia"/>
                <w:sz w:val="24"/>
              </w:rPr>
              <w:t>-</w:t>
            </w:r>
          </w:p>
        </w:tc>
      </w:tr>
      <w:tr w:rsidR="000E6BAE">
        <w:trPr>
          <w:trHeight w:val="305"/>
        </w:trPr>
        <w:tc>
          <w:tcPr>
            <w:tcW w:w="2351" w:type="dxa"/>
            <w:vAlign w:val="center"/>
          </w:tcPr>
          <w:p w:rsidR="000E6BAE" w:rsidRDefault="00CD6463">
            <w:pPr>
              <w:spacing w:line="360" w:lineRule="auto"/>
              <w:rPr>
                <w:rFonts w:eastAsiaTheme="minorEastAsia"/>
                <w:sz w:val="24"/>
              </w:rPr>
            </w:pPr>
            <w:r>
              <w:rPr>
                <w:rFonts w:eastAsiaTheme="minorEastAsia"/>
                <w:sz w:val="24"/>
              </w:rPr>
              <w:t>其他</w:t>
            </w:r>
          </w:p>
        </w:tc>
        <w:tc>
          <w:tcPr>
            <w:tcW w:w="3258" w:type="dxa"/>
            <w:vAlign w:val="center"/>
          </w:tcPr>
          <w:p w:rsidR="000E6BAE" w:rsidRDefault="00CD6463">
            <w:pPr>
              <w:spacing w:line="360" w:lineRule="auto"/>
              <w:jc w:val="right"/>
              <w:rPr>
                <w:rFonts w:eastAsiaTheme="minorEastAsia"/>
                <w:sz w:val="24"/>
              </w:rPr>
            </w:pPr>
            <w:r>
              <w:rPr>
                <w:rFonts w:eastAsiaTheme="minorEastAsia"/>
                <w:sz w:val="24"/>
              </w:rPr>
              <w:t>-</w:t>
            </w:r>
          </w:p>
        </w:tc>
        <w:tc>
          <w:tcPr>
            <w:tcW w:w="3406" w:type="dxa"/>
            <w:noWrap/>
            <w:vAlign w:val="center"/>
          </w:tcPr>
          <w:p w:rsidR="000E6BAE" w:rsidRDefault="00CD6463">
            <w:pPr>
              <w:spacing w:line="360" w:lineRule="auto"/>
              <w:jc w:val="right"/>
              <w:rPr>
                <w:rFonts w:eastAsiaTheme="minorEastAsia"/>
                <w:sz w:val="24"/>
              </w:rPr>
            </w:pPr>
            <w:r>
              <w:rPr>
                <w:rFonts w:eastAsiaTheme="minorEastAsia"/>
                <w:sz w:val="24"/>
              </w:rPr>
              <w:t>5.06</w:t>
            </w:r>
          </w:p>
        </w:tc>
      </w:tr>
      <w:tr w:rsidR="000E6BAE">
        <w:trPr>
          <w:trHeight w:val="330"/>
        </w:trPr>
        <w:tc>
          <w:tcPr>
            <w:tcW w:w="2351" w:type="dxa"/>
            <w:vAlign w:val="center"/>
          </w:tcPr>
          <w:p w:rsidR="000E6BAE" w:rsidRDefault="00CD6463">
            <w:pPr>
              <w:spacing w:line="360" w:lineRule="auto"/>
              <w:jc w:val="center"/>
              <w:rPr>
                <w:rFonts w:eastAsiaTheme="minorEastAsia"/>
                <w:sz w:val="24"/>
              </w:rPr>
            </w:pPr>
            <w:r>
              <w:rPr>
                <w:rFonts w:eastAsiaTheme="minorEastAsia"/>
                <w:sz w:val="24"/>
              </w:rPr>
              <w:t>合计</w:t>
            </w:r>
          </w:p>
        </w:tc>
        <w:tc>
          <w:tcPr>
            <w:tcW w:w="3258" w:type="dxa"/>
            <w:vAlign w:val="center"/>
          </w:tcPr>
          <w:p w:rsidR="000E6BAE" w:rsidRDefault="00CD6463">
            <w:pPr>
              <w:spacing w:line="360" w:lineRule="auto"/>
              <w:jc w:val="right"/>
              <w:rPr>
                <w:rFonts w:eastAsiaTheme="minorEastAsia"/>
                <w:sz w:val="24"/>
              </w:rPr>
            </w:pPr>
            <w:r>
              <w:rPr>
                <w:rFonts w:eastAsiaTheme="minorEastAsia"/>
                <w:sz w:val="24"/>
              </w:rPr>
              <w:t>32,745,331.46</w:t>
            </w:r>
          </w:p>
        </w:tc>
        <w:tc>
          <w:tcPr>
            <w:tcW w:w="3406" w:type="dxa"/>
            <w:noWrap/>
            <w:vAlign w:val="center"/>
          </w:tcPr>
          <w:p w:rsidR="000E6BAE" w:rsidRDefault="00CD6463">
            <w:pPr>
              <w:spacing w:line="360" w:lineRule="auto"/>
              <w:jc w:val="right"/>
              <w:rPr>
                <w:rFonts w:eastAsiaTheme="minorEastAsia"/>
                <w:sz w:val="24"/>
              </w:rPr>
            </w:pPr>
            <w:r>
              <w:rPr>
                <w:rFonts w:eastAsiaTheme="minorEastAsia"/>
                <w:sz w:val="24"/>
              </w:rPr>
              <w:t>75,381,375.23</w:t>
            </w:r>
          </w:p>
        </w:tc>
      </w:tr>
    </w:tbl>
    <w:p w:rsidR="000E6BAE" w:rsidRDefault="000E6BAE">
      <w:pPr>
        <w:spacing w:line="360" w:lineRule="auto"/>
        <w:rPr>
          <w:rFonts w:asciiTheme="minorEastAsia" w:eastAsiaTheme="minorEastAsia" w:hAnsiTheme="minorEastAsia"/>
          <w:color w:val="000000"/>
          <w:szCs w:val="21"/>
        </w:rPr>
      </w:pPr>
    </w:p>
    <w:p w:rsidR="000E6BAE" w:rsidRDefault="00CD6463">
      <w:pPr>
        <w:spacing w:beforeLines="100" w:before="312" w:line="360" w:lineRule="auto"/>
        <w:rPr>
          <w:rFonts w:eastAsiaTheme="minorEastAsia"/>
          <w:b/>
          <w:color w:val="000000" w:themeColor="text1"/>
          <w:sz w:val="24"/>
        </w:rPr>
      </w:pPr>
      <w:r>
        <w:rPr>
          <w:rFonts w:eastAsiaTheme="minorEastAsia"/>
          <w:b/>
          <w:bCs/>
          <w:color w:val="000000" w:themeColor="text1"/>
          <w:kern w:val="0"/>
          <w:sz w:val="24"/>
        </w:rPr>
        <w:t xml:space="preserve">7.4.7.6 </w:t>
      </w:r>
      <w:r>
        <w:rPr>
          <w:rFonts w:eastAsiaTheme="minorEastAsia"/>
          <w:b/>
          <w:color w:val="000000" w:themeColor="text1"/>
          <w:sz w:val="24"/>
        </w:rPr>
        <w:t>其他资产</w:t>
      </w:r>
    </w:p>
    <w:p w:rsidR="000E6BAE" w:rsidRDefault="00CD6463">
      <w:pPr>
        <w:tabs>
          <w:tab w:val="left" w:pos="426"/>
        </w:tabs>
        <w:spacing w:line="360" w:lineRule="auto"/>
        <w:ind w:firstLineChars="200" w:firstLine="480"/>
        <w:jc w:val="left"/>
        <w:rPr>
          <w:rFonts w:eastAsiaTheme="minorEastAsia"/>
          <w:color w:val="000000" w:themeColor="text1"/>
          <w:kern w:val="0"/>
          <w:sz w:val="24"/>
        </w:rPr>
      </w:pPr>
      <w:r>
        <w:rPr>
          <w:rFonts w:eastAsiaTheme="minorEastAsia"/>
          <w:color w:val="000000" w:themeColor="text1"/>
          <w:kern w:val="0"/>
          <w:sz w:val="24"/>
        </w:rPr>
        <w:t>本基金本报告期末及上年度末未持有其他资产。</w:t>
      </w:r>
    </w:p>
    <w:p w:rsidR="000E6BAE" w:rsidRDefault="00CD6463">
      <w:pPr>
        <w:spacing w:before="29" w:line="288" w:lineRule="auto"/>
        <w:rPr>
          <w:rFonts w:eastAsiaTheme="minorEastAsia"/>
          <w:b/>
          <w:sz w:val="24"/>
        </w:rPr>
      </w:pPr>
      <w:r>
        <w:rPr>
          <w:rFonts w:eastAsiaTheme="minorEastAsia"/>
          <w:b/>
          <w:sz w:val="24"/>
        </w:rPr>
        <w:t>7.4.7.7</w:t>
      </w:r>
      <w:r>
        <w:rPr>
          <w:rFonts w:eastAsiaTheme="minorEastAsia" w:hint="eastAsia"/>
          <w:b/>
          <w:sz w:val="24"/>
        </w:rPr>
        <w:t>应付交易费用</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65"/>
        <w:gridCol w:w="3150"/>
        <w:gridCol w:w="3150"/>
      </w:tblGrid>
      <w:tr w:rsidR="000E6BAE">
        <w:trPr>
          <w:trHeight w:val="285"/>
        </w:trPr>
        <w:tc>
          <w:tcPr>
            <w:tcW w:w="2765" w:type="dxa"/>
            <w:vAlign w:val="center"/>
          </w:tcPr>
          <w:p w:rsidR="000E6BAE" w:rsidRDefault="00CD6463">
            <w:pPr>
              <w:spacing w:before="29" w:line="288" w:lineRule="auto"/>
              <w:jc w:val="center"/>
              <w:rPr>
                <w:sz w:val="24"/>
              </w:rPr>
            </w:pPr>
            <w:r>
              <w:rPr>
                <w:rFonts w:hint="eastAsia"/>
                <w:sz w:val="24"/>
              </w:rPr>
              <w:t>项目</w:t>
            </w:r>
          </w:p>
        </w:tc>
        <w:tc>
          <w:tcPr>
            <w:tcW w:w="3150" w:type="dxa"/>
            <w:vAlign w:val="bottom"/>
          </w:tcPr>
          <w:p w:rsidR="000E6BAE" w:rsidRDefault="00CD6463">
            <w:pPr>
              <w:spacing w:before="29" w:line="288" w:lineRule="auto"/>
              <w:jc w:val="center"/>
              <w:rPr>
                <w:sz w:val="24"/>
              </w:rPr>
            </w:pPr>
            <w:r>
              <w:rPr>
                <w:rFonts w:hint="eastAsia"/>
                <w:sz w:val="24"/>
              </w:rPr>
              <w:t>本期末</w:t>
            </w:r>
          </w:p>
          <w:p w:rsidR="000E6BAE" w:rsidRDefault="00CD6463">
            <w:pPr>
              <w:spacing w:before="29" w:line="288" w:lineRule="auto"/>
              <w:jc w:val="center"/>
              <w:rPr>
                <w:sz w:val="24"/>
              </w:rPr>
            </w:pPr>
            <w:r>
              <w:rPr>
                <w:sz w:val="24"/>
              </w:rPr>
              <w:t>2020</w:t>
            </w:r>
            <w:r>
              <w:rPr>
                <w:sz w:val="24"/>
              </w:rPr>
              <w:t>年</w:t>
            </w:r>
            <w:r>
              <w:rPr>
                <w:sz w:val="24"/>
              </w:rPr>
              <w:t>12</w:t>
            </w:r>
            <w:r>
              <w:rPr>
                <w:sz w:val="24"/>
              </w:rPr>
              <w:t>月</w:t>
            </w:r>
            <w:r>
              <w:rPr>
                <w:sz w:val="24"/>
              </w:rPr>
              <w:t>31</w:t>
            </w:r>
            <w:r>
              <w:rPr>
                <w:sz w:val="24"/>
              </w:rPr>
              <w:t>日</w:t>
            </w:r>
          </w:p>
        </w:tc>
        <w:tc>
          <w:tcPr>
            <w:tcW w:w="3150" w:type="dxa"/>
          </w:tcPr>
          <w:p w:rsidR="000E6BAE" w:rsidRDefault="00CD6463">
            <w:pPr>
              <w:spacing w:before="29" w:line="288" w:lineRule="auto"/>
              <w:jc w:val="center"/>
              <w:rPr>
                <w:sz w:val="24"/>
              </w:rPr>
            </w:pPr>
            <w:r>
              <w:rPr>
                <w:rFonts w:hint="eastAsia"/>
                <w:sz w:val="24"/>
              </w:rPr>
              <w:t>上年度末</w:t>
            </w:r>
          </w:p>
          <w:p w:rsidR="000E6BAE" w:rsidRDefault="00CD6463">
            <w:pPr>
              <w:spacing w:before="29" w:line="288" w:lineRule="auto"/>
              <w:jc w:val="center"/>
              <w:rPr>
                <w:sz w:val="24"/>
              </w:rPr>
            </w:pPr>
            <w:r>
              <w:rPr>
                <w:sz w:val="24"/>
              </w:rPr>
              <w:t>2019</w:t>
            </w:r>
            <w:r>
              <w:rPr>
                <w:sz w:val="24"/>
              </w:rPr>
              <w:t>年</w:t>
            </w:r>
            <w:r>
              <w:rPr>
                <w:sz w:val="24"/>
              </w:rPr>
              <w:t>12</w:t>
            </w:r>
            <w:r>
              <w:rPr>
                <w:sz w:val="24"/>
              </w:rPr>
              <w:t>月</w:t>
            </w:r>
            <w:r>
              <w:rPr>
                <w:sz w:val="24"/>
              </w:rPr>
              <w:t>31</w:t>
            </w:r>
            <w:r>
              <w:rPr>
                <w:sz w:val="24"/>
              </w:rPr>
              <w:t>日</w:t>
            </w:r>
          </w:p>
        </w:tc>
      </w:tr>
      <w:tr w:rsidR="000E6BAE">
        <w:trPr>
          <w:trHeight w:val="211"/>
        </w:trPr>
        <w:tc>
          <w:tcPr>
            <w:tcW w:w="2765" w:type="dxa"/>
            <w:vAlign w:val="center"/>
          </w:tcPr>
          <w:p w:rsidR="000E6BAE" w:rsidRDefault="00CD6463">
            <w:pPr>
              <w:spacing w:before="29" w:line="288" w:lineRule="auto"/>
              <w:rPr>
                <w:sz w:val="24"/>
              </w:rPr>
            </w:pPr>
            <w:r>
              <w:rPr>
                <w:rFonts w:hint="eastAsia"/>
                <w:sz w:val="24"/>
              </w:rPr>
              <w:t>交易所市场应付交易费用</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296"/>
        </w:trPr>
        <w:tc>
          <w:tcPr>
            <w:tcW w:w="2765" w:type="dxa"/>
            <w:vAlign w:val="center"/>
          </w:tcPr>
          <w:p w:rsidR="000E6BAE" w:rsidRDefault="00CD6463">
            <w:pPr>
              <w:spacing w:before="29" w:line="288" w:lineRule="auto"/>
              <w:rPr>
                <w:sz w:val="24"/>
              </w:rPr>
            </w:pPr>
            <w:r>
              <w:rPr>
                <w:rFonts w:hint="eastAsia"/>
                <w:sz w:val="24"/>
              </w:rPr>
              <w:t>银行间市场应付交易费用</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26,000.97</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35,704.61</w:t>
            </w:r>
          </w:p>
        </w:tc>
      </w:tr>
      <w:tr w:rsidR="000E6BAE">
        <w:trPr>
          <w:trHeight w:val="285"/>
        </w:trPr>
        <w:tc>
          <w:tcPr>
            <w:tcW w:w="2765" w:type="dxa"/>
            <w:vAlign w:val="center"/>
          </w:tcPr>
          <w:p w:rsidR="000E6BAE" w:rsidRDefault="00CD6463">
            <w:pPr>
              <w:spacing w:before="29" w:line="288" w:lineRule="auto"/>
              <w:jc w:val="center"/>
              <w:rPr>
                <w:rFonts w:asciiTheme="minorEastAsia" w:eastAsiaTheme="minorEastAsia" w:hAnsiTheme="minorEastAsia"/>
                <w:szCs w:val="21"/>
              </w:rPr>
            </w:pPr>
            <w:r>
              <w:rPr>
                <w:rFonts w:hint="eastAsia"/>
                <w:sz w:val="24"/>
              </w:rPr>
              <w:t>合计</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26,000.97</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35,704.61</w:t>
            </w:r>
          </w:p>
        </w:tc>
      </w:tr>
    </w:tbl>
    <w:p w:rsidR="000E6BAE" w:rsidRDefault="000E6BAE">
      <w:pPr>
        <w:spacing w:line="360" w:lineRule="auto"/>
        <w:rPr>
          <w:rFonts w:asciiTheme="minorEastAsia" w:eastAsiaTheme="minorEastAsia" w:hAnsiTheme="minorEastAsia"/>
          <w:b/>
          <w:bCs/>
          <w:color w:val="000000"/>
          <w:szCs w:val="21"/>
        </w:rPr>
      </w:pPr>
    </w:p>
    <w:p w:rsidR="000E6BAE" w:rsidRDefault="00CD6463">
      <w:pPr>
        <w:spacing w:before="29" w:line="288" w:lineRule="auto"/>
        <w:rPr>
          <w:rFonts w:eastAsiaTheme="minorEastAsia"/>
          <w:b/>
          <w:sz w:val="24"/>
        </w:rPr>
      </w:pPr>
      <w:r>
        <w:rPr>
          <w:rFonts w:eastAsiaTheme="minorEastAsia"/>
          <w:b/>
          <w:sz w:val="24"/>
        </w:rPr>
        <w:t>7.4.7.8</w:t>
      </w:r>
      <w:r>
        <w:rPr>
          <w:rFonts w:eastAsiaTheme="minorEastAsia" w:hint="eastAsia"/>
          <w:b/>
          <w:sz w:val="24"/>
        </w:rPr>
        <w:t>其他负债</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5"/>
        <w:gridCol w:w="3150"/>
        <w:gridCol w:w="3150"/>
      </w:tblGrid>
      <w:tr w:rsidR="000E6BAE">
        <w:trPr>
          <w:trHeight w:val="330"/>
        </w:trPr>
        <w:tc>
          <w:tcPr>
            <w:tcW w:w="2715" w:type="dxa"/>
            <w:vAlign w:val="center"/>
          </w:tcPr>
          <w:p w:rsidR="000E6BAE" w:rsidRDefault="00CD6463">
            <w:pPr>
              <w:spacing w:before="29" w:line="288" w:lineRule="auto"/>
              <w:jc w:val="center"/>
              <w:rPr>
                <w:sz w:val="24"/>
              </w:rPr>
            </w:pPr>
            <w:r>
              <w:rPr>
                <w:rFonts w:hint="eastAsia"/>
                <w:sz w:val="24"/>
              </w:rPr>
              <w:t>项目</w:t>
            </w:r>
          </w:p>
        </w:tc>
        <w:tc>
          <w:tcPr>
            <w:tcW w:w="3150" w:type="dxa"/>
            <w:vAlign w:val="center"/>
          </w:tcPr>
          <w:p w:rsidR="000E6BAE" w:rsidRDefault="00CD6463">
            <w:pPr>
              <w:spacing w:before="29" w:line="288" w:lineRule="auto"/>
              <w:jc w:val="center"/>
              <w:rPr>
                <w:sz w:val="24"/>
              </w:rPr>
            </w:pPr>
            <w:r>
              <w:rPr>
                <w:rFonts w:hint="eastAsia"/>
                <w:sz w:val="24"/>
              </w:rPr>
              <w:t>本期末</w:t>
            </w:r>
          </w:p>
          <w:p w:rsidR="000E6BAE" w:rsidRDefault="00CD6463">
            <w:pPr>
              <w:spacing w:before="29" w:line="288" w:lineRule="auto"/>
              <w:jc w:val="center"/>
              <w:rPr>
                <w:sz w:val="24"/>
              </w:rPr>
            </w:pPr>
            <w:r>
              <w:rPr>
                <w:sz w:val="24"/>
              </w:rPr>
              <w:t>2020</w:t>
            </w:r>
            <w:r>
              <w:rPr>
                <w:sz w:val="24"/>
              </w:rPr>
              <w:t>年</w:t>
            </w:r>
            <w:r>
              <w:rPr>
                <w:sz w:val="24"/>
              </w:rPr>
              <w:t>12</w:t>
            </w:r>
            <w:r>
              <w:rPr>
                <w:sz w:val="24"/>
              </w:rPr>
              <w:t>月</w:t>
            </w:r>
            <w:r>
              <w:rPr>
                <w:sz w:val="24"/>
              </w:rPr>
              <w:t>31</w:t>
            </w:r>
            <w:r>
              <w:rPr>
                <w:sz w:val="24"/>
              </w:rPr>
              <w:t>日</w:t>
            </w:r>
          </w:p>
        </w:tc>
        <w:tc>
          <w:tcPr>
            <w:tcW w:w="3150" w:type="dxa"/>
            <w:vAlign w:val="center"/>
          </w:tcPr>
          <w:p w:rsidR="000E6BAE" w:rsidRDefault="00CD6463">
            <w:pPr>
              <w:spacing w:before="29" w:line="288" w:lineRule="auto"/>
              <w:jc w:val="center"/>
              <w:rPr>
                <w:sz w:val="24"/>
              </w:rPr>
            </w:pPr>
            <w:r>
              <w:rPr>
                <w:rFonts w:hint="eastAsia"/>
                <w:sz w:val="24"/>
              </w:rPr>
              <w:t>上年度末</w:t>
            </w:r>
          </w:p>
          <w:p w:rsidR="000E6BAE" w:rsidRDefault="00CD6463">
            <w:pPr>
              <w:spacing w:before="29" w:line="288" w:lineRule="auto"/>
              <w:jc w:val="center"/>
              <w:rPr>
                <w:sz w:val="24"/>
              </w:rPr>
            </w:pPr>
            <w:r>
              <w:rPr>
                <w:sz w:val="24"/>
              </w:rPr>
              <w:t>2019</w:t>
            </w:r>
            <w:r>
              <w:rPr>
                <w:sz w:val="24"/>
              </w:rPr>
              <w:t>年</w:t>
            </w:r>
            <w:r>
              <w:rPr>
                <w:sz w:val="24"/>
              </w:rPr>
              <w:t>12</w:t>
            </w:r>
            <w:r>
              <w:rPr>
                <w:sz w:val="24"/>
              </w:rPr>
              <w:t>月</w:t>
            </w:r>
            <w:r>
              <w:rPr>
                <w:sz w:val="24"/>
              </w:rPr>
              <w:t>31</w:t>
            </w:r>
            <w:r>
              <w:rPr>
                <w:sz w:val="24"/>
              </w:rPr>
              <w:t>日</w:t>
            </w:r>
          </w:p>
        </w:tc>
      </w:tr>
      <w:tr w:rsidR="000E6BAE">
        <w:trPr>
          <w:trHeight w:val="325"/>
        </w:trPr>
        <w:tc>
          <w:tcPr>
            <w:tcW w:w="2715" w:type="dxa"/>
            <w:vAlign w:val="center"/>
          </w:tcPr>
          <w:p w:rsidR="000E6BAE" w:rsidRDefault="00CD6463">
            <w:pPr>
              <w:spacing w:before="29" w:line="288" w:lineRule="auto"/>
              <w:rPr>
                <w:sz w:val="24"/>
              </w:rPr>
            </w:pPr>
            <w:r>
              <w:rPr>
                <w:rFonts w:hint="eastAsia"/>
                <w:sz w:val="24"/>
              </w:rPr>
              <w:t>应付券商交易单元保证金</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trHeight w:val="325"/>
        </w:trPr>
        <w:tc>
          <w:tcPr>
            <w:tcW w:w="2715" w:type="dxa"/>
            <w:vAlign w:val="center"/>
          </w:tcPr>
          <w:p w:rsidR="000E6BAE" w:rsidRDefault="00CD6463">
            <w:pPr>
              <w:spacing w:before="29" w:line="288" w:lineRule="auto"/>
              <w:rPr>
                <w:sz w:val="24"/>
              </w:rPr>
            </w:pPr>
            <w:r>
              <w:rPr>
                <w:rFonts w:hint="eastAsia"/>
                <w:sz w:val="24"/>
              </w:rPr>
              <w:t>应付赎回费</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0.04</w:t>
            </w:r>
          </w:p>
        </w:tc>
      </w:tr>
      <w:tr w:rsidR="000E6BAE">
        <w:tc>
          <w:tcPr>
            <w:tcW w:w="2715" w:type="dxa"/>
            <w:vAlign w:val="center"/>
          </w:tcPr>
          <w:p w:rsidR="000E6BAE" w:rsidRDefault="00CD6463">
            <w:pPr>
              <w:jc w:val="left"/>
            </w:pPr>
            <w:r>
              <w:rPr>
                <w:sz w:val="24"/>
              </w:rPr>
              <w:t>预提信息披露费</w:t>
            </w:r>
          </w:p>
        </w:tc>
        <w:tc>
          <w:tcPr>
            <w:tcW w:w="3150" w:type="dxa"/>
            <w:vAlign w:val="center"/>
          </w:tcPr>
          <w:p w:rsidR="000E6BAE" w:rsidRDefault="00CD6463">
            <w:pPr>
              <w:jc w:val="right"/>
            </w:pPr>
            <w:r>
              <w:rPr>
                <w:sz w:val="24"/>
              </w:rPr>
              <w:t>120,000.00</w:t>
            </w:r>
          </w:p>
        </w:tc>
        <w:tc>
          <w:tcPr>
            <w:tcW w:w="3150" w:type="dxa"/>
            <w:vAlign w:val="center"/>
          </w:tcPr>
          <w:p w:rsidR="000E6BAE" w:rsidRDefault="00CD6463">
            <w:pPr>
              <w:jc w:val="right"/>
            </w:pPr>
            <w:r>
              <w:rPr>
                <w:sz w:val="24"/>
              </w:rPr>
              <w:t>120,000.00</w:t>
            </w:r>
          </w:p>
        </w:tc>
      </w:tr>
      <w:tr w:rsidR="000E6BAE">
        <w:tc>
          <w:tcPr>
            <w:tcW w:w="2715" w:type="dxa"/>
            <w:vAlign w:val="center"/>
          </w:tcPr>
          <w:p w:rsidR="000E6BAE" w:rsidRDefault="00CD6463">
            <w:pPr>
              <w:jc w:val="left"/>
            </w:pPr>
            <w:r>
              <w:rPr>
                <w:sz w:val="24"/>
              </w:rPr>
              <w:t>预提审计费</w:t>
            </w:r>
          </w:p>
        </w:tc>
        <w:tc>
          <w:tcPr>
            <w:tcW w:w="3150" w:type="dxa"/>
            <w:vAlign w:val="center"/>
          </w:tcPr>
          <w:p w:rsidR="000E6BAE" w:rsidRDefault="00CD6463">
            <w:pPr>
              <w:jc w:val="right"/>
            </w:pPr>
            <w:r>
              <w:rPr>
                <w:sz w:val="24"/>
              </w:rPr>
              <w:t>80,000.00</w:t>
            </w:r>
          </w:p>
        </w:tc>
        <w:tc>
          <w:tcPr>
            <w:tcW w:w="3150" w:type="dxa"/>
            <w:vAlign w:val="center"/>
          </w:tcPr>
          <w:p w:rsidR="000E6BAE" w:rsidRDefault="00CD6463">
            <w:pPr>
              <w:jc w:val="right"/>
            </w:pPr>
            <w:r>
              <w:rPr>
                <w:sz w:val="24"/>
              </w:rPr>
              <w:t>70,000.00</w:t>
            </w:r>
          </w:p>
        </w:tc>
      </w:tr>
      <w:tr w:rsidR="000E6BAE">
        <w:tc>
          <w:tcPr>
            <w:tcW w:w="2715" w:type="dxa"/>
            <w:vAlign w:val="center"/>
          </w:tcPr>
          <w:p w:rsidR="000E6BAE" w:rsidRDefault="00CD6463">
            <w:pPr>
              <w:jc w:val="left"/>
            </w:pPr>
            <w:r>
              <w:rPr>
                <w:sz w:val="24"/>
              </w:rPr>
              <w:t>预提账户维护费</w:t>
            </w:r>
          </w:p>
        </w:tc>
        <w:tc>
          <w:tcPr>
            <w:tcW w:w="3150" w:type="dxa"/>
            <w:vAlign w:val="center"/>
          </w:tcPr>
          <w:p w:rsidR="000E6BAE" w:rsidRDefault="00CD6463">
            <w:pPr>
              <w:jc w:val="right"/>
            </w:pPr>
            <w:r>
              <w:rPr>
                <w:sz w:val="24"/>
              </w:rPr>
              <w:t>9,300.00</w:t>
            </w:r>
          </w:p>
        </w:tc>
        <w:tc>
          <w:tcPr>
            <w:tcW w:w="3150" w:type="dxa"/>
            <w:vAlign w:val="center"/>
          </w:tcPr>
          <w:p w:rsidR="000E6BAE" w:rsidRDefault="00CD6463">
            <w:pPr>
              <w:jc w:val="right"/>
            </w:pPr>
            <w:r>
              <w:rPr>
                <w:sz w:val="24"/>
              </w:rPr>
              <w:t>9,300.00</w:t>
            </w:r>
          </w:p>
        </w:tc>
      </w:tr>
      <w:tr w:rsidR="000E6BAE">
        <w:trPr>
          <w:trHeight w:val="325"/>
        </w:trPr>
        <w:tc>
          <w:tcPr>
            <w:tcW w:w="2715" w:type="dxa"/>
            <w:vAlign w:val="center"/>
          </w:tcPr>
          <w:p w:rsidR="000E6BAE" w:rsidRDefault="00CD6463">
            <w:pPr>
              <w:spacing w:before="29" w:line="288" w:lineRule="auto"/>
              <w:jc w:val="center"/>
              <w:rPr>
                <w:rFonts w:asciiTheme="minorEastAsia" w:eastAsiaTheme="minorEastAsia" w:hAnsiTheme="minorEastAsia"/>
                <w:szCs w:val="21"/>
              </w:rPr>
            </w:pPr>
            <w:r>
              <w:rPr>
                <w:rFonts w:hint="eastAsia"/>
                <w:sz w:val="24"/>
              </w:rPr>
              <w:t>合计</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209,300.00</w:t>
            </w:r>
          </w:p>
        </w:tc>
        <w:tc>
          <w:tcPr>
            <w:tcW w:w="3150" w:type="dxa"/>
            <w:vAlign w:val="center"/>
          </w:tcPr>
          <w:p w:rsidR="000E6BAE" w:rsidRDefault="00CD6463">
            <w:pPr>
              <w:spacing w:before="29" w:line="288" w:lineRule="auto"/>
              <w:jc w:val="right"/>
              <w:rPr>
                <w:color w:val="000000"/>
                <w:kern w:val="0"/>
                <w:sz w:val="24"/>
              </w:rPr>
            </w:pPr>
            <w:r>
              <w:rPr>
                <w:color w:val="000000"/>
                <w:kern w:val="0"/>
                <w:sz w:val="24"/>
              </w:rPr>
              <w:t>199,300.04</w:t>
            </w:r>
          </w:p>
        </w:tc>
      </w:tr>
    </w:tbl>
    <w:p w:rsidR="000E6BAE" w:rsidRDefault="000E6BAE">
      <w:pPr>
        <w:spacing w:before="29" w:line="288" w:lineRule="auto"/>
        <w:rPr>
          <w:rFonts w:eastAsiaTheme="minorEastAsia"/>
          <w:b/>
          <w:sz w:val="24"/>
        </w:rPr>
      </w:pPr>
    </w:p>
    <w:p w:rsidR="000E6BAE" w:rsidRDefault="00CD6463">
      <w:pPr>
        <w:spacing w:before="29" w:line="288" w:lineRule="auto"/>
        <w:rPr>
          <w:rFonts w:eastAsiaTheme="minorEastAsia"/>
          <w:b/>
          <w:sz w:val="24"/>
        </w:rPr>
      </w:pPr>
      <w:r>
        <w:rPr>
          <w:rFonts w:eastAsiaTheme="minorEastAsia"/>
          <w:b/>
          <w:sz w:val="24"/>
        </w:rPr>
        <w:t>7.4.7.9</w:t>
      </w:r>
      <w:r>
        <w:rPr>
          <w:rFonts w:eastAsiaTheme="minorEastAsia" w:hint="eastAsia"/>
          <w:b/>
          <w:sz w:val="24"/>
        </w:rPr>
        <w:t>实收基金</w:t>
      </w:r>
    </w:p>
    <w:p w:rsidR="000E6BAE" w:rsidRDefault="00CD6463">
      <w:pPr>
        <w:adjustRightInd w:val="0"/>
        <w:snapToGrid w:val="0"/>
        <w:spacing w:before="29" w:line="288" w:lineRule="auto"/>
        <w:rPr>
          <w:b/>
          <w:sz w:val="24"/>
        </w:rPr>
      </w:pPr>
      <w:r>
        <w:rPr>
          <w:b/>
          <w:sz w:val="24"/>
        </w:rPr>
        <w:t>交银丰润收益债券</w:t>
      </w:r>
      <w:r>
        <w:rPr>
          <w:b/>
          <w:sz w:val="24"/>
        </w:rPr>
        <w:t>A</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120"/>
        <w:gridCol w:w="3120"/>
      </w:tblGrid>
      <w:tr w:rsidR="000E6BAE">
        <w:trPr>
          <w:jc w:val="center"/>
        </w:trPr>
        <w:tc>
          <w:tcPr>
            <w:tcW w:w="3120" w:type="dxa"/>
            <w:vMerge w:val="restart"/>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项目</w:t>
            </w:r>
          </w:p>
        </w:tc>
        <w:tc>
          <w:tcPr>
            <w:tcW w:w="6240" w:type="dxa"/>
            <w:gridSpan w:val="2"/>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本期</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w:t>
            </w:r>
            <w:r>
              <w:rPr>
                <w:rFonts w:hint="eastAsia"/>
                <w:color w:val="000000"/>
                <w:sz w:val="24"/>
              </w:rPr>
              <w:t>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rPr>
          <w:jc w:val="center"/>
        </w:trPr>
        <w:tc>
          <w:tcPr>
            <w:tcW w:w="3120" w:type="dxa"/>
            <w:vMerge/>
            <w:vAlign w:val="center"/>
          </w:tcPr>
          <w:p w:rsidR="000E6BAE" w:rsidRDefault="000E6BAE">
            <w:pPr>
              <w:widowControl/>
              <w:autoSpaceDE w:val="0"/>
              <w:autoSpaceDN w:val="0"/>
              <w:spacing w:before="29" w:line="288" w:lineRule="auto"/>
              <w:ind w:right="-15"/>
              <w:jc w:val="center"/>
              <w:textAlignment w:val="bottom"/>
              <w:rPr>
                <w:color w:val="000000"/>
                <w:sz w:val="24"/>
              </w:rPr>
            </w:pPr>
          </w:p>
        </w:tc>
        <w:tc>
          <w:tcPr>
            <w:tcW w:w="312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基金份额（份）</w:t>
            </w:r>
          </w:p>
        </w:tc>
        <w:tc>
          <w:tcPr>
            <w:tcW w:w="312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账面金额</w:t>
            </w:r>
          </w:p>
        </w:tc>
      </w:tr>
      <w:tr w:rsidR="000E6BAE">
        <w:trPr>
          <w:jc w:val="center"/>
        </w:trPr>
        <w:tc>
          <w:tcPr>
            <w:tcW w:w="3120" w:type="dxa"/>
            <w:vAlign w:val="center"/>
          </w:tcPr>
          <w:p w:rsidR="000E6BAE" w:rsidRDefault="00CD6463">
            <w:pPr>
              <w:spacing w:before="29" w:line="288" w:lineRule="auto"/>
              <w:rPr>
                <w:sz w:val="24"/>
              </w:rPr>
            </w:pPr>
            <w:r>
              <w:rPr>
                <w:sz w:val="24"/>
              </w:rPr>
              <w:t>上年度末</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3,260,676,375.80</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3,260,676,375.80</w:t>
            </w:r>
          </w:p>
        </w:tc>
      </w:tr>
      <w:tr w:rsidR="000E6BAE">
        <w:trPr>
          <w:jc w:val="center"/>
        </w:trPr>
        <w:tc>
          <w:tcPr>
            <w:tcW w:w="3120" w:type="dxa"/>
            <w:vAlign w:val="center"/>
          </w:tcPr>
          <w:p w:rsidR="000E6BAE" w:rsidRDefault="00CD6463">
            <w:pPr>
              <w:spacing w:before="29" w:line="288" w:lineRule="auto"/>
              <w:rPr>
                <w:sz w:val="24"/>
              </w:rPr>
            </w:pPr>
            <w:r>
              <w:rPr>
                <w:rFonts w:hint="eastAsia"/>
                <w:sz w:val="24"/>
              </w:rPr>
              <w:t>本期申购</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4,836,678,814.15</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4,836,678,814.15</w:t>
            </w:r>
          </w:p>
        </w:tc>
      </w:tr>
      <w:tr w:rsidR="000E6BAE">
        <w:trPr>
          <w:jc w:val="center"/>
        </w:trPr>
        <w:tc>
          <w:tcPr>
            <w:tcW w:w="3120" w:type="dxa"/>
            <w:vAlign w:val="center"/>
          </w:tcPr>
          <w:p w:rsidR="000E6BAE" w:rsidRDefault="00CD6463">
            <w:pPr>
              <w:spacing w:before="29" w:line="288" w:lineRule="auto"/>
              <w:rPr>
                <w:sz w:val="24"/>
              </w:rPr>
            </w:pPr>
            <w:r>
              <w:rPr>
                <w:rFonts w:hint="eastAsia"/>
                <w:sz w:val="24"/>
              </w:rPr>
              <w:t>本期赎回（以</w:t>
            </w:r>
            <w:r>
              <w:rPr>
                <w:sz w:val="24"/>
              </w:rPr>
              <w:t>“-”</w:t>
            </w:r>
            <w:r>
              <w:rPr>
                <w:rFonts w:hint="eastAsia"/>
                <w:sz w:val="24"/>
              </w:rPr>
              <w:t>号填列）</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-6,773,298,596.43</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-6,773,298,596.43</w:t>
            </w:r>
          </w:p>
        </w:tc>
      </w:tr>
      <w:tr w:rsidR="000E6BAE">
        <w:trPr>
          <w:jc w:val="center"/>
        </w:trPr>
        <w:tc>
          <w:tcPr>
            <w:tcW w:w="3120" w:type="dxa"/>
            <w:vAlign w:val="center"/>
          </w:tcPr>
          <w:p w:rsidR="000E6BAE" w:rsidRDefault="00CD6463">
            <w:pPr>
              <w:spacing w:before="29" w:line="288" w:lineRule="auto"/>
              <w:rPr>
                <w:rFonts w:asciiTheme="minorEastAsia" w:eastAsiaTheme="minorEastAsia" w:hAnsiTheme="minorEastAsia"/>
                <w:color w:val="000000"/>
                <w:szCs w:val="21"/>
              </w:rPr>
            </w:pPr>
            <w:r>
              <w:rPr>
                <w:rFonts w:hint="eastAsia"/>
                <w:sz w:val="24"/>
              </w:rPr>
              <w:t>本期末</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1,324,056,593.52</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1,324,056,593.52</w:t>
            </w:r>
          </w:p>
        </w:tc>
      </w:tr>
    </w:tbl>
    <w:p w:rsidR="000E6BAE" w:rsidRDefault="000E6BAE">
      <w:pPr>
        <w:tabs>
          <w:tab w:val="left" w:pos="426"/>
        </w:tabs>
        <w:spacing w:before="29" w:line="288" w:lineRule="auto"/>
        <w:jc w:val="left"/>
        <w:rPr>
          <w:kern w:val="0"/>
          <w:sz w:val="24"/>
        </w:rPr>
      </w:pPr>
    </w:p>
    <w:p w:rsidR="000E6BAE" w:rsidRDefault="00CD6463">
      <w:pPr>
        <w:adjustRightInd w:val="0"/>
        <w:snapToGrid w:val="0"/>
        <w:spacing w:before="29" w:line="288" w:lineRule="auto"/>
        <w:rPr>
          <w:b/>
          <w:sz w:val="24"/>
        </w:rPr>
      </w:pPr>
      <w:r>
        <w:rPr>
          <w:b/>
          <w:sz w:val="24"/>
        </w:rPr>
        <w:t>交银丰润收益债券</w:t>
      </w:r>
      <w:r>
        <w:rPr>
          <w:b/>
          <w:sz w:val="24"/>
        </w:rPr>
        <w:t>C</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120"/>
        <w:gridCol w:w="3120"/>
      </w:tblGrid>
      <w:tr w:rsidR="000E6BAE">
        <w:trPr>
          <w:jc w:val="center"/>
        </w:trPr>
        <w:tc>
          <w:tcPr>
            <w:tcW w:w="3120" w:type="dxa"/>
            <w:vMerge w:val="restart"/>
            <w:vAlign w:val="center"/>
          </w:tcPr>
          <w:p w:rsidR="000E6BAE" w:rsidRDefault="00CD6463">
            <w:pPr>
              <w:spacing w:before="29" w:line="288" w:lineRule="auto"/>
              <w:rPr>
                <w:sz w:val="24"/>
              </w:rPr>
            </w:pPr>
            <w:r>
              <w:rPr>
                <w:rFonts w:hint="eastAsia"/>
                <w:sz w:val="24"/>
              </w:rPr>
              <w:t>项目</w:t>
            </w:r>
          </w:p>
        </w:tc>
        <w:tc>
          <w:tcPr>
            <w:tcW w:w="6240" w:type="dxa"/>
            <w:gridSpan w:val="2"/>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本期</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w:t>
            </w:r>
            <w:r>
              <w:rPr>
                <w:rFonts w:hint="eastAsia"/>
                <w:color w:val="000000"/>
                <w:sz w:val="24"/>
              </w:rPr>
              <w:t>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rPr>
          <w:jc w:val="center"/>
        </w:trPr>
        <w:tc>
          <w:tcPr>
            <w:tcW w:w="3120" w:type="dxa"/>
            <w:vMerge/>
            <w:vAlign w:val="center"/>
          </w:tcPr>
          <w:p w:rsidR="000E6BAE" w:rsidRDefault="000E6BAE">
            <w:pPr>
              <w:spacing w:before="29" w:line="288" w:lineRule="auto"/>
              <w:rPr>
                <w:sz w:val="24"/>
              </w:rPr>
            </w:pPr>
          </w:p>
        </w:tc>
        <w:tc>
          <w:tcPr>
            <w:tcW w:w="312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基金份额（份）</w:t>
            </w:r>
          </w:p>
        </w:tc>
        <w:tc>
          <w:tcPr>
            <w:tcW w:w="312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账面金额</w:t>
            </w:r>
          </w:p>
        </w:tc>
      </w:tr>
      <w:tr w:rsidR="000E6BAE">
        <w:trPr>
          <w:jc w:val="center"/>
        </w:trPr>
        <w:tc>
          <w:tcPr>
            <w:tcW w:w="3120" w:type="dxa"/>
            <w:vAlign w:val="center"/>
          </w:tcPr>
          <w:p w:rsidR="000E6BAE" w:rsidRDefault="00CD6463">
            <w:pPr>
              <w:spacing w:before="29" w:line="288" w:lineRule="auto"/>
              <w:rPr>
                <w:sz w:val="24"/>
              </w:rPr>
            </w:pPr>
            <w:r>
              <w:rPr>
                <w:sz w:val="24"/>
              </w:rPr>
              <w:t>上年度末</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936,176.19</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936,176.19</w:t>
            </w:r>
          </w:p>
        </w:tc>
      </w:tr>
      <w:tr w:rsidR="000E6BAE">
        <w:trPr>
          <w:jc w:val="center"/>
        </w:trPr>
        <w:tc>
          <w:tcPr>
            <w:tcW w:w="3120" w:type="dxa"/>
            <w:vAlign w:val="center"/>
          </w:tcPr>
          <w:p w:rsidR="000E6BAE" w:rsidRDefault="00CD6463">
            <w:pPr>
              <w:spacing w:before="29" w:line="288" w:lineRule="auto"/>
              <w:rPr>
                <w:sz w:val="24"/>
              </w:rPr>
            </w:pPr>
            <w:r>
              <w:rPr>
                <w:rFonts w:hint="eastAsia"/>
                <w:sz w:val="24"/>
              </w:rPr>
              <w:t>本期申购</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16,681,751.31</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16,681,751.31</w:t>
            </w:r>
          </w:p>
        </w:tc>
      </w:tr>
      <w:tr w:rsidR="000E6BAE">
        <w:trPr>
          <w:jc w:val="center"/>
        </w:trPr>
        <w:tc>
          <w:tcPr>
            <w:tcW w:w="3120" w:type="dxa"/>
            <w:vAlign w:val="center"/>
          </w:tcPr>
          <w:p w:rsidR="000E6BAE" w:rsidRDefault="00CD6463">
            <w:pPr>
              <w:spacing w:before="29" w:line="288" w:lineRule="auto"/>
              <w:rPr>
                <w:sz w:val="24"/>
              </w:rPr>
            </w:pPr>
            <w:r>
              <w:rPr>
                <w:rFonts w:hint="eastAsia"/>
                <w:sz w:val="24"/>
              </w:rPr>
              <w:t>本期赎回（以</w:t>
            </w:r>
            <w:r>
              <w:rPr>
                <w:sz w:val="24"/>
              </w:rPr>
              <w:t>“-”</w:t>
            </w:r>
            <w:r>
              <w:rPr>
                <w:rFonts w:hint="eastAsia"/>
                <w:sz w:val="24"/>
              </w:rPr>
              <w:t>号填列）</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-15,588,841.50</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-15,588,841.50</w:t>
            </w:r>
          </w:p>
        </w:tc>
      </w:tr>
      <w:tr w:rsidR="000E6BAE">
        <w:trPr>
          <w:jc w:val="center"/>
        </w:trPr>
        <w:tc>
          <w:tcPr>
            <w:tcW w:w="3120" w:type="dxa"/>
            <w:vAlign w:val="center"/>
          </w:tcPr>
          <w:p w:rsidR="000E6BAE" w:rsidRDefault="00CD6463">
            <w:pPr>
              <w:spacing w:before="29" w:line="288" w:lineRule="auto"/>
              <w:rPr>
                <w:rFonts w:asciiTheme="minorEastAsia" w:eastAsiaTheme="minorEastAsia" w:hAnsiTheme="minorEastAsia"/>
                <w:color w:val="000000"/>
                <w:szCs w:val="21"/>
              </w:rPr>
            </w:pPr>
            <w:r>
              <w:rPr>
                <w:rFonts w:hint="eastAsia"/>
                <w:sz w:val="24"/>
              </w:rPr>
              <w:t>本期末</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2,029,086.00</w:t>
            </w:r>
          </w:p>
        </w:tc>
        <w:tc>
          <w:tcPr>
            <w:tcW w:w="3120" w:type="dxa"/>
            <w:vAlign w:val="center"/>
          </w:tcPr>
          <w:p w:rsidR="000E6BAE" w:rsidRDefault="00CD6463">
            <w:pPr>
              <w:spacing w:before="29" w:line="288" w:lineRule="auto"/>
              <w:jc w:val="right"/>
              <w:rPr>
                <w:color w:val="000000"/>
                <w:kern w:val="0"/>
                <w:sz w:val="24"/>
              </w:rPr>
            </w:pPr>
            <w:r>
              <w:rPr>
                <w:color w:val="000000"/>
                <w:kern w:val="0"/>
                <w:sz w:val="24"/>
              </w:rPr>
              <w:t>2,029,086.00</w:t>
            </w:r>
          </w:p>
        </w:tc>
      </w:tr>
    </w:tbl>
    <w:p w:rsidR="000E6BAE" w:rsidRDefault="00CD6463">
      <w:pPr>
        <w:tabs>
          <w:tab w:val="left" w:pos="426"/>
        </w:tabs>
        <w:spacing w:before="29" w:line="288" w:lineRule="auto"/>
        <w:jc w:val="left"/>
        <w:rPr>
          <w:rFonts w:eastAsiaTheme="minorEastAsia"/>
          <w:b/>
          <w:sz w:val="24"/>
        </w:rPr>
      </w:pPr>
      <w:r>
        <w:rPr>
          <w:kern w:val="0"/>
          <w:sz w:val="24"/>
        </w:rPr>
        <w:t>注：</w:t>
      </w:r>
      <w:r>
        <w:rPr>
          <w:kern w:val="0"/>
          <w:sz w:val="24"/>
        </w:rPr>
        <w:t>1</w:t>
      </w:r>
      <w:r>
        <w:rPr>
          <w:kern w:val="0"/>
          <w:sz w:val="24"/>
        </w:rPr>
        <w:t>、如果本报告期间发生转换入、红利再投业务，则总申购份额中包含该业务。</w:t>
      </w:r>
    </w:p>
    <w:p w:rsidR="000E6BAE" w:rsidRDefault="00CD6463">
      <w:pPr>
        <w:tabs>
          <w:tab w:val="left" w:pos="426"/>
        </w:tabs>
        <w:spacing w:before="29" w:line="288" w:lineRule="auto"/>
        <w:jc w:val="left"/>
        <w:rPr>
          <w:rFonts w:eastAsiaTheme="minorEastAsia"/>
          <w:b/>
          <w:sz w:val="24"/>
        </w:rPr>
      </w:pPr>
      <w:r>
        <w:rPr>
          <w:kern w:val="0"/>
          <w:sz w:val="24"/>
        </w:rPr>
        <w:t>2</w:t>
      </w:r>
      <w:r>
        <w:rPr>
          <w:kern w:val="0"/>
          <w:sz w:val="24"/>
        </w:rPr>
        <w:t>、如果本报告期间发生转换出业务，则总赎回份额中包含该业务。</w:t>
      </w:r>
      <w:r>
        <w:rPr>
          <w:rFonts w:hint="eastAsia"/>
          <w:kern w:val="0"/>
          <w:sz w:val="24"/>
        </w:rPr>
        <w:br/>
      </w:r>
    </w:p>
    <w:p w:rsidR="000E6BAE" w:rsidRDefault="00CD6463">
      <w:pPr>
        <w:spacing w:before="29" w:line="288" w:lineRule="auto"/>
        <w:rPr>
          <w:rFonts w:eastAsiaTheme="minorEastAsia"/>
          <w:b/>
          <w:sz w:val="24"/>
        </w:rPr>
      </w:pPr>
      <w:r>
        <w:rPr>
          <w:rFonts w:eastAsiaTheme="minorEastAsia"/>
          <w:b/>
          <w:sz w:val="24"/>
        </w:rPr>
        <w:t>7.4.7.10</w:t>
      </w:r>
      <w:r>
        <w:rPr>
          <w:rFonts w:eastAsiaTheme="minorEastAsia" w:hint="eastAsia"/>
          <w:b/>
          <w:sz w:val="24"/>
        </w:rPr>
        <w:t>未分配利润</w:t>
      </w:r>
    </w:p>
    <w:p w:rsidR="000E6BAE" w:rsidRDefault="00CD6463">
      <w:pPr>
        <w:spacing w:before="29" w:line="288" w:lineRule="auto"/>
        <w:rPr>
          <w:rFonts w:asciiTheme="minorEastAsia" w:eastAsiaTheme="minorEastAsia" w:hAnsiTheme="minorEastAsia"/>
          <w:b/>
          <w:color w:val="000000"/>
          <w:szCs w:val="21"/>
        </w:rPr>
      </w:pPr>
      <w:r>
        <w:rPr>
          <w:b/>
          <w:bCs/>
          <w:color w:val="000000"/>
          <w:kern w:val="0"/>
          <w:sz w:val="24"/>
        </w:rPr>
        <w:t>交银丰润收益债券</w:t>
      </w:r>
      <w:r>
        <w:rPr>
          <w:b/>
          <w:bCs/>
          <w:color w:val="000000"/>
          <w:kern w:val="0"/>
          <w:sz w:val="24"/>
        </w:rPr>
        <w:t>A</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6"/>
        <w:gridCol w:w="2236"/>
        <w:gridCol w:w="2236"/>
        <w:gridCol w:w="2237"/>
      </w:tblGrid>
      <w:tr w:rsidR="000E6BAE">
        <w:trPr>
          <w:jc w:val="center"/>
        </w:trPr>
        <w:tc>
          <w:tcPr>
            <w:tcW w:w="2706" w:type="dxa"/>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项目</w:t>
            </w:r>
          </w:p>
        </w:tc>
        <w:tc>
          <w:tcPr>
            <w:tcW w:w="2236"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已实现部分</w:t>
            </w:r>
          </w:p>
        </w:tc>
        <w:tc>
          <w:tcPr>
            <w:tcW w:w="2236"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未实现部分</w:t>
            </w:r>
          </w:p>
        </w:tc>
        <w:tc>
          <w:tcPr>
            <w:tcW w:w="2237"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未分配利润合计</w:t>
            </w:r>
          </w:p>
        </w:tc>
      </w:tr>
      <w:tr w:rsidR="000E6BAE">
        <w:trPr>
          <w:jc w:val="center"/>
        </w:trPr>
        <w:tc>
          <w:tcPr>
            <w:tcW w:w="2706" w:type="dxa"/>
            <w:vAlign w:val="center"/>
          </w:tcPr>
          <w:p w:rsidR="000E6BAE" w:rsidRDefault="00CD6463">
            <w:pPr>
              <w:spacing w:before="29" w:line="288" w:lineRule="auto"/>
              <w:rPr>
                <w:color w:val="000000"/>
                <w:sz w:val="24"/>
              </w:rPr>
            </w:pPr>
            <w:r>
              <w:rPr>
                <w:color w:val="000000"/>
                <w:sz w:val="24"/>
              </w:rPr>
              <w:t>上年度末</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447,671,976.10</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-286,832,834.86</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160,839,141.24</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本期利润</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13,357,539.06</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-11,392,887.92</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1,964,651.14</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本期基金份额交易产生的变动数</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-8,120,699.42</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214,478,581.14</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206,357,881.72</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其中：基金申购款</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691,612,058.47</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-386,824,007.63</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304,788,050.84</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基金赎回款</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-699,732,757.89</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601,302,588.77</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-98,430,169.12</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本期已分配利润</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-347,497,335.00</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-347,497,335.00</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本期末</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105,411,480.74</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-83,747,141.64</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21,664,339.10</w:t>
            </w:r>
          </w:p>
        </w:tc>
      </w:tr>
    </w:tbl>
    <w:p w:rsidR="000E6BAE" w:rsidRDefault="000E6BAE">
      <w:pPr>
        <w:adjustRightInd w:val="0"/>
        <w:snapToGrid w:val="0"/>
        <w:spacing w:line="360" w:lineRule="auto"/>
        <w:jc w:val="left"/>
        <w:rPr>
          <w:rFonts w:asciiTheme="minorEastAsia" w:eastAsiaTheme="minorEastAsia" w:hAnsiTheme="minorEastAsia"/>
          <w:bCs/>
          <w:color w:val="000000"/>
          <w:szCs w:val="21"/>
        </w:rPr>
      </w:pPr>
    </w:p>
    <w:p w:rsidR="000E6BAE" w:rsidRDefault="00CD6463">
      <w:pPr>
        <w:spacing w:before="29" w:line="288" w:lineRule="auto"/>
        <w:rPr>
          <w:b/>
          <w:bCs/>
          <w:color w:val="000000"/>
          <w:kern w:val="0"/>
          <w:sz w:val="24"/>
        </w:rPr>
      </w:pPr>
      <w:r>
        <w:rPr>
          <w:b/>
          <w:bCs/>
          <w:color w:val="000000"/>
          <w:kern w:val="0"/>
          <w:sz w:val="24"/>
        </w:rPr>
        <w:t>交银丰润收益债券</w:t>
      </w:r>
      <w:r>
        <w:rPr>
          <w:b/>
          <w:bCs/>
          <w:color w:val="000000"/>
          <w:kern w:val="0"/>
          <w:sz w:val="24"/>
        </w:rPr>
        <w:t>C</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6"/>
        <w:gridCol w:w="2236"/>
        <w:gridCol w:w="2236"/>
        <w:gridCol w:w="2237"/>
      </w:tblGrid>
      <w:tr w:rsidR="000E6BAE">
        <w:trPr>
          <w:jc w:val="center"/>
        </w:trPr>
        <w:tc>
          <w:tcPr>
            <w:tcW w:w="2706" w:type="dxa"/>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项目</w:t>
            </w:r>
          </w:p>
        </w:tc>
        <w:tc>
          <w:tcPr>
            <w:tcW w:w="2236"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已实现部分</w:t>
            </w:r>
          </w:p>
        </w:tc>
        <w:tc>
          <w:tcPr>
            <w:tcW w:w="2236"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未实现部分</w:t>
            </w:r>
          </w:p>
        </w:tc>
        <w:tc>
          <w:tcPr>
            <w:tcW w:w="2237"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未分配利润合计</w:t>
            </w:r>
          </w:p>
        </w:tc>
      </w:tr>
      <w:tr w:rsidR="000E6BAE">
        <w:trPr>
          <w:jc w:val="center"/>
        </w:trPr>
        <w:tc>
          <w:tcPr>
            <w:tcW w:w="2706" w:type="dxa"/>
            <w:vAlign w:val="center"/>
          </w:tcPr>
          <w:p w:rsidR="000E6BAE" w:rsidRDefault="00CD6463">
            <w:pPr>
              <w:spacing w:before="29" w:line="288" w:lineRule="auto"/>
              <w:rPr>
                <w:color w:val="000000"/>
                <w:sz w:val="24"/>
              </w:rPr>
            </w:pPr>
            <w:r>
              <w:rPr>
                <w:color w:val="000000"/>
                <w:sz w:val="24"/>
              </w:rPr>
              <w:t>上年度末</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152,329.49</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-82,506.52</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69,822.97</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本期利润</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27,993.31</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-49,635.80</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-21,642.49</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本期基金份额交易产生的变动数</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131,210.07</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7,663.12</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138,873.19</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其中：基金申购款</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2,777,188.87</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-1,196,276.02</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1,580,912.85</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基金赎回款</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-2,645,978.80</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1,203,939.14</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-1,442,039.66</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本期已分配利润</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-7,954.88</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-7,954.88</w:t>
            </w:r>
          </w:p>
        </w:tc>
      </w:tr>
      <w:tr w:rsidR="000E6BAE">
        <w:trPr>
          <w:jc w:val="center"/>
        </w:trPr>
        <w:tc>
          <w:tcPr>
            <w:tcW w:w="2706" w:type="dxa"/>
            <w:vAlign w:val="center"/>
          </w:tcPr>
          <w:p w:rsidR="000E6BAE" w:rsidRDefault="00CD6463">
            <w:pPr>
              <w:spacing w:before="29" w:line="288" w:lineRule="auto"/>
              <w:rPr>
                <w:color w:val="000000"/>
                <w:sz w:val="24"/>
              </w:rPr>
            </w:pPr>
            <w:r>
              <w:rPr>
                <w:rFonts w:hint="eastAsia"/>
                <w:color w:val="000000"/>
                <w:sz w:val="24"/>
              </w:rPr>
              <w:t>本期末</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303,577.99</w:t>
            </w:r>
          </w:p>
        </w:tc>
        <w:tc>
          <w:tcPr>
            <w:tcW w:w="2236" w:type="dxa"/>
            <w:vAlign w:val="center"/>
          </w:tcPr>
          <w:p w:rsidR="000E6BAE" w:rsidRDefault="00CD6463">
            <w:pPr>
              <w:spacing w:before="29" w:line="288" w:lineRule="auto"/>
              <w:jc w:val="right"/>
              <w:rPr>
                <w:color w:val="000000"/>
                <w:kern w:val="0"/>
                <w:sz w:val="24"/>
              </w:rPr>
            </w:pPr>
            <w:r>
              <w:rPr>
                <w:color w:val="000000"/>
                <w:kern w:val="0"/>
                <w:sz w:val="24"/>
              </w:rPr>
              <w:t>-124,479.20</w:t>
            </w:r>
          </w:p>
        </w:tc>
        <w:tc>
          <w:tcPr>
            <w:tcW w:w="2237" w:type="dxa"/>
            <w:vAlign w:val="center"/>
          </w:tcPr>
          <w:p w:rsidR="000E6BAE" w:rsidRDefault="00CD6463">
            <w:pPr>
              <w:spacing w:before="29" w:line="288" w:lineRule="auto"/>
              <w:jc w:val="right"/>
              <w:rPr>
                <w:color w:val="000000"/>
                <w:kern w:val="0"/>
                <w:sz w:val="24"/>
              </w:rPr>
            </w:pPr>
            <w:r>
              <w:rPr>
                <w:color w:val="000000"/>
                <w:kern w:val="0"/>
                <w:sz w:val="24"/>
              </w:rPr>
              <w:t>179,098.79</w:t>
            </w:r>
          </w:p>
        </w:tc>
      </w:tr>
    </w:tbl>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7.4.7.11</w:t>
      </w:r>
      <w:r>
        <w:rPr>
          <w:rFonts w:eastAsiaTheme="minorEastAsia" w:hint="eastAsia"/>
          <w:b/>
          <w:sz w:val="24"/>
        </w:rPr>
        <w:t>存款利息收入</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2"/>
        <w:gridCol w:w="3207"/>
        <w:gridCol w:w="2879"/>
      </w:tblGrid>
      <w:tr w:rsidR="000E6BAE">
        <w:tc>
          <w:tcPr>
            <w:tcW w:w="2912"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项目</w:t>
            </w:r>
          </w:p>
        </w:tc>
        <w:tc>
          <w:tcPr>
            <w:tcW w:w="3208"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本期</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w:t>
            </w:r>
            <w:r>
              <w:rPr>
                <w:rFonts w:hint="eastAsia"/>
                <w:color w:val="000000"/>
                <w:sz w:val="24"/>
              </w:rPr>
              <w:t>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c>
          <w:tcPr>
            <w:tcW w:w="288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上年度可比期间</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2019</w:t>
            </w:r>
            <w:r>
              <w:rPr>
                <w:color w:val="000000"/>
                <w:sz w:val="24"/>
              </w:rPr>
              <w:t>年</w:t>
            </w:r>
            <w:r>
              <w:rPr>
                <w:color w:val="000000"/>
                <w:sz w:val="24"/>
              </w:rPr>
              <w:t>1</w:t>
            </w:r>
            <w:r>
              <w:rPr>
                <w:color w:val="000000"/>
                <w:sz w:val="24"/>
              </w:rPr>
              <w:t>月</w:t>
            </w:r>
            <w:r>
              <w:rPr>
                <w:color w:val="000000"/>
                <w:sz w:val="24"/>
              </w:rPr>
              <w:t>1</w:t>
            </w:r>
            <w:r>
              <w:rPr>
                <w:color w:val="000000"/>
                <w:sz w:val="24"/>
              </w:rPr>
              <w:t>日至</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c>
          <w:tcPr>
            <w:tcW w:w="2912" w:type="dxa"/>
            <w:vAlign w:val="center"/>
          </w:tcPr>
          <w:p w:rsidR="000E6BAE" w:rsidRDefault="00CD6463">
            <w:pPr>
              <w:spacing w:before="29" w:line="288" w:lineRule="auto"/>
              <w:rPr>
                <w:sz w:val="24"/>
              </w:rPr>
            </w:pPr>
            <w:r>
              <w:rPr>
                <w:rFonts w:hint="eastAsia"/>
                <w:sz w:val="24"/>
              </w:rPr>
              <w:t>活期存款利息收入</w:t>
            </w:r>
          </w:p>
        </w:tc>
        <w:tc>
          <w:tcPr>
            <w:tcW w:w="3208" w:type="dxa"/>
            <w:vAlign w:val="center"/>
          </w:tcPr>
          <w:p w:rsidR="000E6BAE" w:rsidRDefault="00CD6463">
            <w:pPr>
              <w:spacing w:before="29" w:line="288" w:lineRule="auto"/>
              <w:jc w:val="right"/>
              <w:rPr>
                <w:color w:val="000000"/>
                <w:kern w:val="0"/>
                <w:sz w:val="24"/>
              </w:rPr>
            </w:pPr>
            <w:r>
              <w:rPr>
                <w:color w:val="000000"/>
                <w:kern w:val="0"/>
                <w:sz w:val="24"/>
              </w:rPr>
              <w:t>233,458.67</w:t>
            </w:r>
          </w:p>
        </w:tc>
        <w:tc>
          <w:tcPr>
            <w:tcW w:w="2880" w:type="dxa"/>
            <w:vAlign w:val="center"/>
          </w:tcPr>
          <w:p w:rsidR="000E6BAE" w:rsidRDefault="00CD6463">
            <w:pPr>
              <w:spacing w:before="29" w:line="288" w:lineRule="auto"/>
              <w:jc w:val="right"/>
              <w:rPr>
                <w:color w:val="000000"/>
                <w:kern w:val="0"/>
                <w:sz w:val="24"/>
              </w:rPr>
            </w:pPr>
            <w:r>
              <w:rPr>
                <w:color w:val="000000"/>
                <w:kern w:val="0"/>
                <w:sz w:val="24"/>
              </w:rPr>
              <w:t>30,945.51</w:t>
            </w:r>
          </w:p>
        </w:tc>
      </w:tr>
      <w:tr w:rsidR="000E6BAE">
        <w:tc>
          <w:tcPr>
            <w:tcW w:w="2912" w:type="dxa"/>
            <w:vAlign w:val="center"/>
          </w:tcPr>
          <w:p w:rsidR="000E6BAE" w:rsidRDefault="00CD6463">
            <w:pPr>
              <w:spacing w:before="29" w:line="288" w:lineRule="auto"/>
              <w:rPr>
                <w:sz w:val="24"/>
              </w:rPr>
            </w:pPr>
            <w:r>
              <w:rPr>
                <w:rFonts w:hint="eastAsia"/>
                <w:sz w:val="24"/>
              </w:rPr>
              <w:t>定期存款利息收入</w:t>
            </w:r>
          </w:p>
        </w:tc>
        <w:tc>
          <w:tcPr>
            <w:tcW w:w="3208" w:type="dxa"/>
            <w:vAlign w:val="center"/>
          </w:tcPr>
          <w:p w:rsidR="000E6BAE" w:rsidRDefault="00CD6463">
            <w:pPr>
              <w:spacing w:before="29" w:line="288" w:lineRule="auto"/>
              <w:jc w:val="right"/>
              <w:rPr>
                <w:color w:val="000000"/>
                <w:kern w:val="0"/>
                <w:sz w:val="24"/>
              </w:rPr>
            </w:pPr>
            <w:r>
              <w:rPr>
                <w:color w:val="000000"/>
                <w:kern w:val="0"/>
                <w:sz w:val="24"/>
              </w:rPr>
              <w:t>-</w:t>
            </w:r>
          </w:p>
        </w:tc>
        <w:tc>
          <w:tcPr>
            <w:tcW w:w="2880"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c>
          <w:tcPr>
            <w:tcW w:w="2912" w:type="dxa"/>
            <w:vAlign w:val="center"/>
          </w:tcPr>
          <w:p w:rsidR="000E6BAE" w:rsidRDefault="00CD6463">
            <w:pPr>
              <w:spacing w:before="29" w:line="288" w:lineRule="auto"/>
              <w:rPr>
                <w:sz w:val="24"/>
              </w:rPr>
            </w:pPr>
            <w:r>
              <w:rPr>
                <w:rFonts w:hint="eastAsia"/>
                <w:sz w:val="24"/>
              </w:rPr>
              <w:t>其他存款利息收入</w:t>
            </w:r>
          </w:p>
        </w:tc>
        <w:tc>
          <w:tcPr>
            <w:tcW w:w="3208" w:type="dxa"/>
            <w:vAlign w:val="center"/>
          </w:tcPr>
          <w:p w:rsidR="000E6BAE" w:rsidRDefault="00CD6463">
            <w:pPr>
              <w:spacing w:before="29" w:line="288" w:lineRule="auto"/>
              <w:jc w:val="right"/>
              <w:rPr>
                <w:color w:val="000000"/>
                <w:kern w:val="0"/>
                <w:sz w:val="24"/>
              </w:rPr>
            </w:pPr>
            <w:r>
              <w:rPr>
                <w:color w:val="000000"/>
                <w:kern w:val="0"/>
                <w:sz w:val="24"/>
              </w:rPr>
              <w:t>167,916.16</w:t>
            </w:r>
          </w:p>
        </w:tc>
        <w:tc>
          <w:tcPr>
            <w:tcW w:w="2880" w:type="dxa"/>
            <w:vAlign w:val="center"/>
          </w:tcPr>
          <w:p w:rsidR="000E6BAE" w:rsidRDefault="00CD6463">
            <w:pPr>
              <w:spacing w:before="29" w:line="288" w:lineRule="auto"/>
              <w:jc w:val="right"/>
              <w:rPr>
                <w:color w:val="000000"/>
                <w:kern w:val="0"/>
                <w:sz w:val="24"/>
              </w:rPr>
            </w:pPr>
            <w:r>
              <w:rPr>
                <w:color w:val="000000"/>
                <w:kern w:val="0"/>
                <w:sz w:val="24"/>
              </w:rPr>
              <w:t>490,833.84</w:t>
            </w:r>
          </w:p>
        </w:tc>
      </w:tr>
      <w:tr w:rsidR="000E6BAE">
        <w:tc>
          <w:tcPr>
            <w:tcW w:w="2912" w:type="dxa"/>
            <w:vAlign w:val="center"/>
          </w:tcPr>
          <w:p w:rsidR="000E6BAE" w:rsidRDefault="00CD6463">
            <w:pPr>
              <w:spacing w:before="29" w:line="288" w:lineRule="auto"/>
              <w:rPr>
                <w:sz w:val="24"/>
              </w:rPr>
            </w:pPr>
            <w:r>
              <w:rPr>
                <w:rFonts w:hint="eastAsia"/>
                <w:sz w:val="24"/>
              </w:rPr>
              <w:t>结算备付金利息收入</w:t>
            </w:r>
          </w:p>
        </w:tc>
        <w:tc>
          <w:tcPr>
            <w:tcW w:w="3208" w:type="dxa"/>
            <w:vAlign w:val="center"/>
          </w:tcPr>
          <w:p w:rsidR="000E6BAE" w:rsidRDefault="00CD6463">
            <w:pPr>
              <w:spacing w:before="29" w:line="288" w:lineRule="auto"/>
              <w:jc w:val="right"/>
              <w:rPr>
                <w:color w:val="000000"/>
                <w:kern w:val="0"/>
                <w:sz w:val="24"/>
              </w:rPr>
            </w:pPr>
            <w:r>
              <w:rPr>
                <w:color w:val="000000"/>
                <w:kern w:val="0"/>
                <w:sz w:val="24"/>
              </w:rPr>
              <w:t>-</w:t>
            </w:r>
          </w:p>
        </w:tc>
        <w:tc>
          <w:tcPr>
            <w:tcW w:w="2880" w:type="dxa"/>
            <w:vAlign w:val="center"/>
          </w:tcPr>
          <w:p w:rsidR="000E6BAE" w:rsidRDefault="00CD6463">
            <w:pPr>
              <w:spacing w:before="29" w:line="288" w:lineRule="auto"/>
              <w:jc w:val="right"/>
              <w:rPr>
                <w:color w:val="000000"/>
                <w:kern w:val="0"/>
                <w:sz w:val="24"/>
              </w:rPr>
            </w:pPr>
            <w:r>
              <w:rPr>
                <w:color w:val="000000"/>
                <w:kern w:val="0"/>
                <w:sz w:val="24"/>
              </w:rPr>
              <w:t>2,932.09</w:t>
            </w:r>
          </w:p>
        </w:tc>
      </w:tr>
      <w:tr w:rsidR="000E6BAE">
        <w:tc>
          <w:tcPr>
            <w:tcW w:w="2912" w:type="dxa"/>
            <w:vAlign w:val="center"/>
          </w:tcPr>
          <w:p w:rsidR="000E6BAE" w:rsidRDefault="00CD6463">
            <w:pPr>
              <w:spacing w:before="29" w:line="288" w:lineRule="auto"/>
              <w:rPr>
                <w:sz w:val="24"/>
              </w:rPr>
            </w:pPr>
            <w:r>
              <w:rPr>
                <w:rFonts w:hint="eastAsia"/>
                <w:sz w:val="24"/>
              </w:rPr>
              <w:t>其他</w:t>
            </w:r>
          </w:p>
        </w:tc>
        <w:tc>
          <w:tcPr>
            <w:tcW w:w="3208" w:type="dxa"/>
            <w:vAlign w:val="center"/>
          </w:tcPr>
          <w:p w:rsidR="000E6BAE" w:rsidRDefault="00CD6463">
            <w:pPr>
              <w:spacing w:before="29" w:line="288" w:lineRule="auto"/>
              <w:jc w:val="right"/>
              <w:rPr>
                <w:color w:val="000000"/>
                <w:kern w:val="0"/>
                <w:sz w:val="24"/>
              </w:rPr>
            </w:pPr>
            <w:r>
              <w:rPr>
                <w:color w:val="000000"/>
                <w:kern w:val="0"/>
                <w:sz w:val="24"/>
              </w:rPr>
              <w:t>8,938.35</w:t>
            </w:r>
          </w:p>
        </w:tc>
        <w:tc>
          <w:tcPr>
            <w:tcW w:w="2880" w:type="dxa"/>
            <w:vAlign w:val="center"/>
          </w:tcPr>
          <w:p w:rsidR="000E6BAE" w:rsidRDefault="00CD6463">
            <w:pPr>
              <w:spacing w:before="29" w:line="288" w:lineRule="auto"/>
              <w:jc w:val="right"/>
              <w:rPr>
                <w:color w:val="000000"/>
                <w:kern w:val="0"/>
                <w:sz w:val="24"/>
              </w:rPr>
            </w:pPr>
            <w:r>
              <w:rPr>
                <w:color w:val="000000"/>
                <w:kern w:val="0"/>
                <w:sz w:val="24"/>
              </w:rPr>
              <w:t>40,068.17</w:t>
            </w:r>
          </w:p>
        </w:tc>
      </w:tr>
      <w:tr w:rsidR="000E6BAE">
        <w:tc>
          <w:tcPr>
            <w:tcW w:w="2912" w:type="dxa"/>
            <w:vAlign w:val="center"/>
          </w:tcPr>
          <w:p w:rsidR="000E6BAE" w:rsidRDefault="00CD6463">
            <w:pPr>
              <w:spacing w:before="29" w:line="288" w:lineRule="auto"/>
              <w:rPr>
                <w:sz w:val="24"/>
              </w:rPr>
            </w:pPr>
            <w:r>
              <w:rPr>
                <w:rFonts w:hint="eastAsia"/>
                <w:sz w:val="24"/>
              </w:rPr>
              <w:t>合计</w:t>
            </w:r>
          </w:p>
        </w:tc>
        <w:tc>
          <w:tcPr>
            <w:tcW w:w="3208" w:type="dxa"/>
            <w:vAlign w:val="center"/>
          </w:tcPr>
          <w:p w:rsidR="000E6BAE" w:rsidRDefault="00CD6463">
            <w:pPr>
              <w:spacing w:before="29" w:line="288" w:lineRule="auto"/>
              <w:jc w:val="right"/>
              <w:rPr>
                <w:color w:val="000000"/>
                <w:kern w:val="0"/>
                <w:sz w:val="24"/>
              </w:rPr>
            </w:pPr>
            <w:r>
              <w:rPr>
                <w:color w:val="000000"/>
                <w:kern w:val="0"/>
                <w:sz w:val="24"/>
              </w:rPr>
              <w:t>410,313.18</w:t>
            </w:r>
          </w:p>
        </w:tc>
        <w:tc>
          <w:tcPr>
            <w:tcW w:w="2880" w:type="dxa"/>
            <w:vAlign w:val="center"/>
          </w:tcPr>
          <w:p w:rsidR="000E6BAE" w:rsidRDefault="00CD6463">
            <w:pPr>
              <w:spacing w:before="29" w:line="288" w:lineRule="auto"/>
              <w:jc w:val="right"/>
              <w:rPr>
                <w:color w:val="000000"/>
                <w:kern w:val="0"/>
                <w:sz w:val="24"/>
              </w:rPr>
            </w:pPr>
            <w:r>
              <w:rPr>
                <w:color w:val="000000"/>
                <w:kern w:val="0"/>
                <w:sz w:val="24"/>
              </w:rPr>
              <w:t>564,779.61</w:t>
            </w:r>
          </w:p>
        </w:tc>
      </w:tr>
    </w:tbl>
    <w:p w:rsidR="000E6BAE" w:rsidRDefault="00CD6463">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ab/>
      </w:r>
    </w:p>
    <w:p w:rsidR="000E6BAE" w:rsidRDefault="00CD6463">
      <w:pPr>
        <w:spacing w:before="29" w:line="288" w:lineRule="auto"/>
        <w:rPr>
          <w:rFonts w:eastAsiaTheme="minorEastAsia"/>
          <w:b/>
          <w:sz w:val="24"/>
        </w:rPr>
      </w:pPr>
      <w:r>
        <w:rPr>
          <w:rFonts w:eastAsiaTheme="minorEastAsia"/>
          <w:b/>
          <w:sz w:val="24"/>
        </w:rPr>
        <w:t xml:space="preserve">7.4.7.12 </w:t>
      </w:r>
      <w:r>
        <w:rPr>
          <w:rFonts w:eastAsiaTheme="minorEastAsia" w:hint="eastAsia"/>
          <w:b/>
          <w:sz w:val="24"/>
        </w:rPr>
        <w:t>股票投资收益</w:t>
      </w:r>
    </w:p>
    <w:p w:rsidR="000E6BAE" w:rsidRDefault="00CD6463">
      <w:pPr>
        <w:tabs>
          <w:tab w:val="left" w:pos="426"/>
        </w:tabs>
        <w:spacing w:before="29" w:line="288" w:lineRule="auto"/>
        <w:jc w:val="left"/>
        <w:rPr>
          <w:kern w:val="0"/>
          <w:sz w:val="24"/>
        </w:rPr>
      </w:pPr>
      <w:r>
        <w:rPr>
          <w:kern w:val="0"/>
          <w:sz w:val="24"/>
        </w:rPr>
        <w:t>本基金本报告期内及上年度可比期间无股票投资收益。</w:t>
      </w:r>
    </w:p>
    <w:p w:rsidR="000E6BAE" w:rsidRDefault="00CD6463">
      <w:pPr>
        <w:spacing w:before="29" w:line="288" w:lineRule="auto"/>
        <w:rPr>
          <w:rFonts w:eastAsiaTheme="minorEastAsia"/>
          <w:b/>
          <w:sz w:val="24"/>
        </w:rPr>
      </w:pPr>
      <w:r>
        <w:rPr>
          <w:rFonts w:eastAsiaTheme="minorEastAsia"/>
          <w:b/>
          <w:sz w:val="24"/>
        </w:rPr>
        <w:t>7.4.7.13</w:t>
      </w:r>
      <w:r>
        <w:rPr>
          <w:rFonts w:eastAsiaTheme="minorEastAsia" w:hint="eastAsia"/>
          <w:b/>
          <w:sz w:val="24"/>
        </w:rPr>
        <w:t>债券投资收益</w:t>
      </w:r>
    </w:p>
    <w:p w:rsidR="000E6BAE" w:rsidRDefault="00CD6463">
      <w:pPr>
        <w:autoSpaceDE w:val="0"/>
        <w:autoSpaceDN w:val="0"/>
        <w:adjustRightInd w:val="0"/>
        <w:spacing w:before="29" w:line="288" w:lineRule="auto"/>
        <w:ind w:left="15"/>
        <w:jc w:val="right"/>
        <w:rPr>
          <w:kern w:val="0"/>
          <w:szCs w:val="21"/>
        </w:rPr>
      </w:pPr>
      <w:r>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3968"/>
        <w:gridCol w:w="2515"/>
        <w:gridCol w:w="2515"/>
      </w:tblGrid>
      <w:tr w:rsidR="000E6BAE">
        <w:trPr>
          <w:trHeight w:val="315"/>
        </w:trPr>
        <w:tc>
          <w:tcPr>
            <w:tcW w:w="4129"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项目</w:t>
            </w:r>
          </w:p>
        </w:tc>
        <w:tc>
          <w:tcPr>
            <w:tcW w:w="2616" w:type="dxa"/>
            <w:vAlign w:val="center"/>
          </w:tcPr>
          <w:p w:rsidR="000E6BAE" w:rsidRDefault="00CD6463">
            <w:pPr>
              <w:widowControl/>
              <w:spacing w:before="29" w:line="288" w:lineRule="auto"/>
              <w:ind w:right="-15"/>
              <w:jc w:val="center"/>
              <w:rPr>
                <w:color w:val="000000"/>
                <w:sz w:val="24"/>
              </w:rPr>
            </w:pPr>
            <w:r>
              <w:rPr>
                <w:color w:val="000000"/>
                <w:sz w:val="24"/>
              </w:rPr>
              <w:t>本期</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c>
          <w:tcPr>
            <w:tcW w:w="2616" w:type="dxa"/>
            <w:vAlign w:val="center"/>
          </w:tcPr>
          <w:p w:rsidR="000E6BAE" w:rsidRDefault="00CD6463">
            <w:pPr>
              <w:widowControl/>
              <w:spacing w:before="29" w:line="288" w:lineRule="auto"/>
              <w:ind w:right="-15"/>
              <w:jc w:val="center"/>
              <w:rPr>
                <w:color w:val="000000"/>
                <w:sz w:val="24"/>
              </w:rPr>
            </w:pPr>
            <w:r>
              <w:rPr>
                <w:color w:val="000000"/>
                <w:sz w:val="24"/>
              </w:rPr>
              <w:t>上年度可比期间</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2019</w:t>
            </w:r>
            <w:r>
              <w:rPr>
                <w:color w:val="000000"/>
                <w:sz w:val="24"/>
              </w:rPr>
              <w:t>年</w:t>
            </w:r>
            <w:r>
              <w:rPr>
                <w:color w:val="000000"/>
                <w:sz w:val="24"/>
              </w:rPr>
              <w:t>1</w:t>
            </w:r>
            <w:r>
              <w:rPr>
                <w:color w:val="000000"/>
                <w:sz w:val="24"/>
              </w:rPr>
              <w:t>月</w:t>
            </w:r>
            <w:r>
              <w:rPr>
                <w:color w:val="000000"/>
                <w:sz w:val="24"/>
              </w:rPr>
              <w:t>1</w:t>
            </w:r>
            <w:r>
              <w:rPr>
                <w:color w:val="000000"/>
                <w:sz w:val="24"/>
              </w:rPr>
              <w:t>日至</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0E6BAE" w:rsidRDefault="00CD6463">
            <w:pPr>
              <w:spacing w:before="29" w:line="288" w:lineRule="auto"/>
              <w:rPr>
                <w:color w:val="000000"/>
                <w:sz w:val="24"/>
              </w:rPr>
            </w:pPr>
            <w:r>
              <w:rPr>
                <w:color w:val="000000"/>
                <w:sz w:val="24"/>
              </w:rPr>
              <w:t>卖出债券（债转股及债券到期兑付）成交总额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0E6BAE" w:rsidRDefault="00CD6463">
            <w:pPr>
              <w:spacing w:before="29" w:line="288" w:lineRule="auto"/>
              <w:jc w:val="right"/>
              <w:rPr>
                <w:color w:val="000000"/>
                <w:kern w:val="0"/>
                <w:sz w:val="24"/>
              </w:rPr>
            </w:pPr>
            <w:r>
              <w:rPr>
                <w:rFonts w:hint="eastAsia"/>
                <w:color w:val="000000"/>
                <w:kern w:val="0"/>
                <w:sz w:val="24"/>
              </w:rPr>
              <w:t>7,907,875,440.01</w:t>
            </w:r>
          </w:p>
        </w:tc>
        <w:tc>
          <w:tcPr>
            <w:tcW w:w="2616" w:type="dxa"/>
            <w:tcBorders>
              <w:top w:val="single" w:sz="4" w:space="0" w:color="auto"/>
              <w:left w:val="single" w:sz="4" w:space="0" w:color="auto"/>
              <w:bottom w:val="single" w:sz="4" w:space="0" w:color="auto"/>
              <w:right w:val="single" w:sz="4" w:space="0" w:color="auto"/>
            </w:tcBorders>
            <w:vAlign w:val="center"/>
          </w:tcPr>
          <w:p w:rsidR="000E6BAE" w:rsidRDefault="00CD6463">
            <w:pPr>
              <w:spacing w:before="29" w:line="288" w:lineRule="auto"/>
              <w:jc w:val="right"/>
              <w:rPr>
                <w:color w:val="000000"/>
                <w:kern w:val="0"/>
                <w:sz w:val="24"/>
              </w:rPr>
            </w:pPr>
            <w:r>
              <w:rPr>
                <w:rFonts w:hint="eastAsia"/>
                <w:color w:val="000000"/>
                <w:kern w:val="0"/>
                <w:sz w:val="24"/>
              </w:rPr>
              <w:t>2,140,779,174.29</w:t>
            </w:r>
          </w:p>
        </w:tc>
      </w:tr>
      <w:tr w:rsidR="000E6BA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0E6BAE" w:rsidRDefault="00CD6463">
            <w:pPr>
              <w:spacing w:before="29" w:line="288" w:lineRule="auto"/>
              <w:rPr>
                <w:color w:val="000000"/>
                <w:sz w:val="24"/>
              </w:rPr>
            </w:pPr>
            <w:r>
              <w:rPr>
                <w:color w:val="000000"/>
                <w:sz w:val="24"/>
              </w:rPr>
              <w:t>减：卖出债券（债转股及债券到期兑付）成本总额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0E6BAE" w:rsidRDefault="00CD6463">
            <w:pPr>
              <w:spacing w:before="29" w:line="288" w:lineRule="auto"/>
              <w:jc w:val="right"/>
              <w:rPr>
                <w:color w:val="000000"/>
                <w:kern w:val="0"/>
                <w:sz w:val="24"/>
              </w:rPr>
            </w:pPr>
            <w:r>
              <w:rPr>
                <w:rFonts w:hint="eastAsia"/>
                <w:color w:val="000000"/>
                <w:kern w:val="0"/>
                <w:sz w:val="24"/>
              </w:rPr>
              <w:t>7,852,622,571.91</w:t>
            </w:r>
          </w:p>
        </w:tc>
        <w:tc>
          <w:tcPr>
            <w:tcW w:w="2616" w:type="dxa"/>
            <w:tcBorders>
              <w:top w:val="single" w:sz="4" w:space="0" w:color="auto"/>
              <w:left w:val="single" w:sz="4" w:space="0" w:color="auto"/>
              <w:bottom w:val="single" w:sz="4" w:space="0" w:color="auto"/>
              <w:right w:val="single" w:sz="4" w:space="0" w:color="auto"/>
            </w:tcBorders>
            <w:vAlign w:val="center"/>
          </w:tcPr>
          <w:p w:rsidR="000E6BAE" w:rsidRDefault="00CD6463">
            <w:pPr>
              <w:spacing w:before="29" w:line="288" w:lineRule="auto"/>
              <w:jc w:val="right"/>
              <w:rPr>
                <w:color w:val="000000"/>
                <w:kern w:val="0"/>
                <w:sz w:val="24"/>
              </w:rPr>
            </w:pPr>
            <w:r>
              <w:rPr>
                <w:rFonts w:hint="eastAsia"/>
                <w:color w:val="000000"/>
                <w:kern w:val="0"/>
                <w:sz w:val="24"/>
              </w:rPr>
              <w:t>2,096,325,194.86</w:t>
            </w:r>
          </w:p>
        </w:tc>
      </w:tr>
      <w:tr w:rsidR="000E6BA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0E6BAE" w:rsidRDefault="00CD6463">
            <w:pPr>
              <w:spacing w:before="29" w:line="288" w:lineRule="auto"/>
              <w:rPr>
                <w:color w:val="000000"/>
                <w:sz w:val="24"/>
              </w:rPr>
            </w:pPr>
            <w:r>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0E6BAE" w:rsidRDefault="00CD6463">
            <w:pPr>
              <w:spacing w:before="29" w:line="288" w:lineRule="auto"/>
              <w:jc w:val="right"/>
              <w:rPr>
                <w:color w:val="000000"/>
                <w:kern w:val="0"/>
                <w:sz w:val="24"/>
              </w:rPr>
            </w:pPr>
            <w:r>
              <w:rPr>
                <w:rFonts w:hint="eastAsia"/>
                <w:color w:val="000000"/>
                <w:kern w:val="0"/>
                <w:sz w:val="24"/>
              </w:rPr>
              <w:t>138,304,150.01</w:t>
            </w:r>
          </w:p>
        </w:tc>
        <w:tc>
          <w:tcPr>
            <w:tcW w:w="2616" w:type="dxa"/>
            <w:tcBorders>
              <w:top w:val="single" w:sz="4" w:space="0" w:color="auto"/>
              <w:left w:val="single" w:sz="4" w:space="0" w:color="auto"/>
              <w:bottom w:val="single" w:sz="4" w:space="0" w:color="auto"/>
              <w:right w:val="single" w:sz="4" w:space="0" w:color="auto"/>
            </w:tcBorders>
            <w:vAlign w:val="center"/>
          </w:tcPr>
          <w:p w:rsidR="000E6BAE" w:rsidRDefault="00CD6463">
            <w:pPr>
              <w:spacing w:before="29" w:line="288" w:lineRule="auto"/>
              <w:jc w:val="right"/>
              <w:rPr>
                <w:color w:val="000000"/>
                <w:kern w:val="0"/>
                <w:sz w:val="24"/>
              </w:rPr>
            </w:pPr>
            <w:r>
              <w:rPr>
                <w:rFonts w:hint="eastAsia"/>
                <w:color w:val="000000"/>
                <w:kern w:val="0"/>
                <w:sz w:val="24"/>
              </w:rPr>
              <w:t>42,692,384.29</w:t>
            </w:r>
          </w:p>
        </w:tc>
      </w:tr>
      <w:tr w:rsidR="000E6BA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0E6BAE" w:rsidRDefault="00CD6463">
            <w:pPr>
              <w:spacing w:before="29" w:line="288" w:lineRule="auto"/>
              <w:rPr>
                <w:color w:val="000000"/>
                <w:sz w:val="24"/>
              </w:rPr>
            </w:pPr>
            <w:r>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0E6BAE" w:rsidRDefault="00CD6463">
            <w:pPr>
              <w:spacing w:before="29" w:line="288" w:lineRule="auto"/>
              <w:jc w:val="right"/>
              <w:rPr>
                <w:color w:val="000000"/>
                <w:kern w:val="0"/>
                <w:sz w:val="24"/>
              </w:rPr>
            </w:pPr>
            <w:r>
              <w:rPr>
                <w:rFonts w:hint="eastAsia"/>
                <w:color w:val="000000"/>
                <w:kern w:val="0"/>
                <w:sz w:val="24"/>
              </w:rPr>
              <w:t>-83,051,281.91</w:t>
            </w:r>
          </w:p>
        </w:tc>
        <w:tc>
          <w:tcPr>
            <w:tcW w:w="2616" w:type="dxa"/>
            <w:tcBorders>
              <w:top w:val="single" w:sz="4" w:space="0" w:color="auto"/>
              <w:left w:val="single" w:sz="4" w:space="0" w:color="auto"/>
              <w:bottom w:val="single" w:sz="4" w:space="0" w:color="auto"/>
              <w:right w:val="single" w:sz="4" w:space="0" w:color="auto"/>
            </w:tcBorders>
            <w:vAlign w:val="center"/>
          </w:tcPr>
          <w:p w:rsidR="000E6BAE" w:rsidRDefault="00CD6463">
            <w:pPr>
              <w:spacing w:before="29" w:line="288" w:lineRule="auto"/>
              <w:jc w:val="right"/>
              <w:rPr>
                <w:color w:val="000000"/>
                <w:kern w:val="0"/>
                <w:sz w:val="24"/>
              </w:rPr>
            </w:pPr>
            <w:r>
              <w:rPr>
                <w:rFonts w:hint="eastAsia"/>
                <w:color w:val="000000"/>
                <w:kern w:val="0"/>
                <w:sz w:val="24"/>
              </w:rPr>
              <w:t>1,761,595.14</w:t>
            </w:r>
          </w:p>
        </w:tc>
      </w:tr>
    </w:tbl>
    <w:p w:rsidR="000E6BAE" w:rsidRDefault="000E6BAE">
      <w:pPr>
        <w:tabs>
          <w:tab w:val="left" w:pos="426"/>
        </w:tabs>
        <w:spacing w:before="29" w:line="288" w:lineRule="auto"/>
        <w:jc w:val="left"/>
        <w:rPr>
          <w:kern w:val="0"/>
          <w:sz w:val="24"/>
        </w:rPr>
      </w:pPr>
    </w:p>
    <w:p w:rsidR="000E6BAE" w:rsidRDefault="00CD6463">
      <w:pPr>
        <w:spacing w:before="29" w:line="288" w:lineRule="auto"/>
        <w:rPr>
          <w:rFonts w:asciiTheme="minorEastAsia" w:eastAsiaTheme="minorEastAsia" w:hAnsiTheme="minorEastAsia"/>
          <w:b/>
          <w:bCs/>
          <w:color w:val="000000"/>
          <w:szCs w:val="21"/>
        </w:rPr>
      </w:pPr>
      <w:r>
        <w:rPr>
          <w:rFonts w:eastAsiaTheme="minorEastAsia"/>
          <w:b/>
          <w:sz w:val="24"/>
        </w:rPr>
        <w:t>7.4.7.</w:t>
      </w:r>
      <w:r>
        <w:rPr>
          <w:rFonts w:eastAsiaTheme="minorEastAsia" w:hint="eastAsia"/>
          <w:b/>
          <w:sz w:val="24"/>
        </w:rPr>
        <w:t xml:space="preserve">14 </w:t>
      </w:r>
      <w:r>
        <w:rPr>
          <w:rFonts w:eastAsiaTheme="minorEastAsia" w:hint="eastAsia"/>
          <w:b/>
          <w:sz w:val="24"/>
        </w:rPr>
        <w:t>资产支持证券投资收益</w:t>
      </w:r>
    </w:p>
    <w:p w:rsidR="000E6BAE" w:rsidRDefault="00CD6463">
      <w:pPr>
        <w:tabs>
          <w:tab w:val="left" w:pos="426"/>
        </w:tabs>
        <w:spacing w:before="29" w:line="288" w:lineRule="auto"/>
        <w:jc w:val="left"/>
        <w:rPr>
          <w:rFonts w:asciiTheme="minorEastAsia" w:eastAsiaTheme="minorEastAsia" w:hAnsiTheme="minorEastAsia" w:cs="宋体"/>
          <w:kern w:val="0"/>
          <w:szCs w:val="21"/>
        </w:rPr>
      </w:pPr>
      <w:r>
        <w:rPr>
          <w:kern w:val="0"/>
          <w:sz w:val="24"/>
        </w:rPr>
        <w:t>本基金本报告期内及上年度可比期间无资产支持证券投资收益。</w:t>
      </w: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7.4.7.15</w:t>
      </w:r>
      <w:r>
        <w:rPr>
          <w:rFonts w:eastAsiaTheme="minorEastAsia" w:hint="eastAsia"/>
          <w:b/>
          <w:sz w:val="24"/>
        </w:rPr>
        <w:t>衍生工具收益</w:t>
      </w:r>
    </w:p>
    <w:p w:rsidR="000E6BAE" w:rsidRDefault="00CD6463">
      <w:pPr>
        <w:tabs>
          <w:tab w:val="left" w:pos="426"/>
        </w:tabs>
        <w:spacing w:before="29" w:line="288" w:lineRule="auto"/>
        <w:jc w:val="left"/>
        <w:rPr>
          <w:kern w:val="0"/>
          <w:sz w:val="24"/>
        </w:rPr>
      </w:pPr>
      <w:r>
        <w:rPr>
          <w:kern w:val="0"/>
          <w:sz w:val="24"/>
        </w:rPr>
        <w:t>本基金本报告期内及上年度可比期间无衍生工具收益。</w:t>
      </w:r>
    </w:p>
    <w:p w:rsidR="000E6BAE" w:rsidRDefault="00CD6463">
      <w:pPr>
        <w:spacing w:before="29" w:line="288" w:lineRule="auto"/>
        <w:rPr>
          <w:rFonts w:eastAsiaTheme="minorEastAsia"/>
          <w:b/>
          <w:sz w:val="24"/>
        </w:rPr>
      </w:pPr>
      <w:r>
        <w:rPr>
          <w:rFonts w:eastAsiaTheme="minorEastAsia"/>
          <w:b/>
          <w:sz w:val="24"/>
        </w:rPr>
        <w:t>7.4.7.16</w:t>
      </w:r>
      <w:r>
        <w:rPr>
          <w:rFonts w:eastAsiaTheme="minorEastAsia" w:hint="eastAsia"/>
          <w:b/>
          <w:sz w:val="24"/>
        </w:rPr>
        <w:t>股利收益</w:t>
      </w:r>
    </w:p>
    <w:p w:rsidR="000E6BAE" w:rsidRDefault="00CD6463">
      <w:pPr>
        <w:tabs>
          <w:tab w:val="left" w:pos="426"/>
        </w:tabs>
        <w:spacing w:before="29" w:line="288" w:lineRule="auto"/>
        <w:jc w:val="left"/>
        <w:rPr>
          <w:kern w:val="0"/>
          <w:sz w:val="24"/>
        </w:rPr>
      </w:pPr>
      <w:r>
        <w:rPr>
          <w:kern w:val="0"/>
          <w:sz w:val="24"/>
        </w:rPr>
        <w:t>本基金本报告期内及上年度可比期间无股利收益。</w:t>
      </w:r>
    </w:p>
    <w:p w:rsidR="000E6BAE" w:rsidRDefault="00CD6463">
      <w:pPr>
        <w:spacing w:line="360" w:lineRule="auto"/>
        <w:rPr>
          <w:rFonts w:eastAsiaTheme="minorEastAsia"/>
          <w:b/>
          <w:color w:val="000000"/>
          <w:sz w:val="24"/>
        </w:rPr>
      </w:pPr>
      <w:r>
        <w:rPr>
          <w:rFonts w:eastAsiaTheme="minorEastAsia"/>
          <w:b/>
          <w:color w:val="000000"/>
          <w:sz w:val="24"/>
        </w:rPr>
        <w:t>7.4.7.17</w:t>
      </w:r>
      <w:r>
        <w:rPr>
          <w:rFonts w:eastAsiaTheme="minorEastAsia"/>
          <w:b/>
          <w:color w:val="000000"/>
          <w:sz w:val="24"/>
        </w:rPr>
        <w:t>公允价值变动收益</w:t>
      </w:r>
    </w:p>
    <w:p w:rsidR="000E6BAE" w:rsidRDefault="00CD6463">
      <w:pPr>
        <w:tabs>
          <w:tab w:val="left" w:pos="8820"/>
        </w:tabs>
        <w:spacing w:line="360" w:lineRule="auto"/>
        <w:ind w:rightChars="-52" w:right="-109"/>
        <w:jc w:val="right"/>
        <w:rPr>
          <w:rFonts w:eastAsiaTheme="minorEastAsia"/>
          <w:color w:val="000000"/>
          <w:sz w:val="24"/>
        </w:rPr>
      </w:pPr>
      <w:r>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7"/>
        <w:gridCol w:w="3149"/>
        <w:gridCol w:w="3149"/>
      </w:tblGrid>
      <w:tr w:rsidR="000E6BAE">
        <w:trPr>
          <w:trHeight w:val="285"/>
        </w:trPr>
        <w:tc>
          <w:tcPr>
            <w:tcW w:w="2987" w:type="dxa"/>
            <w:vAlign w:val="center"/>
          </w:tcPr>
          <w:p w:rsidR="000E6BAE" w:rsidRDefault="00CD6463">
            <w:pPr>
              <w:spacing w:line="360" w:lineRule="auto"/>
              <w:jc w:val="center"/>
              <w:rPr>
                <w:rFonts w:eastAsiaTheme="minorEastAsia"/>
                <w:sz w:val="24"/>
              </w:rPr>
            </w:pPr>
            <w:r>
              <w:rPr>
                <w:rFonts w:eastAsiaTheme="minorEastAsia"/>
                <w:kern w:val="0"/>
                <w:sz w:val="24"/>
              </w:rPr>
              <w:t>项目名称</w:t>
            </w:r>
          </w:p>
        </w:tc>
        <w:tc>
          <w:tcPr>
            <w:tcW w:w="3149" w:type="dxa"/>
          </w:tcPr>
          <w:p w:rsidR="000E6BAE" w:rsidRDefault="00CD6463">
            <w:pPr>
              <w:spacing w:line="360" w:lineRule="auto"/>
              <w:jc w:val="center"/>
              <w:rPr>
                <w:rFonts w:eastAsiaTheme="minorEastAsia"/>
                <w:sz w:val="24"/>
              </w:rPr>
            </w:pPr>
            <w:r>
              <w:rPr>
                <w:rFonts w:eastAsiaTheme="minorEastAsia"/>
                <w:sz w:val="24"/>
              </w:rPr>
              <w:t>本期</w:t>
            </w:r>
          </w:p>
          <w:p w:rsidR="000E6BAE" w:rsidRDefault="00CD6463">
            <w:pPr>
              <w:widowControl/>
              <w:autoSpaceDE w:val="0"/>
              <w:autoSpaceDN w:val="0"/>
              <w:spacing w:line="360" w:lineRule="auto"/>
              <w:ind w:right="-15"/>
              <w:jc w:val="center"/>
              <w:textAlignment w:val="bottom"/>
              <w:rPr>
                <w:rFonts w:eastAsiaTheme="minorEastAsia"/>
                <w:sz w:val="24"/>
              </w:rPr>
            </w:pPr>
            <w:r>
              <w:rPr>
                <w:rFonts w:eastAsiaTheme="minorEastAsia"/>
                <w:sz w:val="24"/>
              </w:rPr>
              <w:t>2020</w:t>
            </w:r>
            <w:r>
              <w:rPr>
                <w:rFonts w:eastAsiaTheme="minorEastAsia"/>
                <w:sz w:val="24"/>
              </w:rPr>
              <w:t>年</w:t>
            </w:r>
            <w:r>
              <w:rPr>
                <w:rFonts w:eastAsiaTheme="minorEastAsia"/>
                <w:sz w:val="24"/>
              </w:rPr>
              <w:t>1</w:t>
            </w:r>
            <w:r>
              <w:rPr>
                <w:rFonts w:eastAsiaTheme="minorEastAsia"/>
                <w:sz w:val="24"/>
              </w:rPr>
              <w:t>月</w:t>
            </w:r>
            <w:r>
              <w:rPr>
                <w:rFonts w:eastAsiaTheme="minorEastAsia"/>
                <w:sz w:val="24"/>
              </w:rPr>
              <w:t>1</w:t>
            </w:r>
            <w:r>
              <w:rPr>
                <w:rFonts w:eastAsiaTheme="minorEastAsia"/>
                <w:sz w:val="24"/>
              </w:rPr>
              <w:t>日至</w:t>
            </w:r>
            <w:r>
              <w:rPr>
                <w:rFonts w:eastAsiaTheme="minorEastAsia"/>
                <w:sz w:val="24"/>
              </w:rPr>
              <w:t>2020</w:t>
            </w:r>
            <w:r>
              <w:rPr>
                <w:rFonts w:eastAsiaTheme="minorEastAsia"/>
                <w:sz w:val="24"/>
              </w:rPr>
              <w:t>年</w:t>
            </w:r>
            <w:r>
              <w:rPr>
                <w:rFonts w:eastAsiaTheme="minorEastAsia"/>
                <w:sz w:val="24"/>
              </w:rPr>
              <w:t>12</w:t>
            </w:r>
            <w:r>
              <w:rPr>
                <w:rFonts w:eastAsiaTheme="minorEastAsia"/>
                <w:sz w:val="24"/>
              </w:rPr>
              <w:t>月</w:t>
            </w:r>
            <w:r>
              <w:rPr>
                <w:rFonts w:eastAsiaTheme="minorEastAsia"/>
                <w:sz w:val="24"/>
              </w:rPr>
              <w:t>31</w:t>
            </w:r>
            <w:r>
              <w:rPr>
                <w:rFonts w:eastAsiaTheme="minorEastAsia"/>
                <w:sz w:val="24"/>
              </w:rPr>
              <w:t>日</w:t>
            </w:r>
          </w:p>
        </w:tc>
        <w:tc>
          <w:tcPr>
            <w:tcW w:w="3149" w:type="dxa"/>
          </w:tcPr>
          <w:p w:rsidR="000E6BAE" w:rsidRDefault="00CD6463">
            <w:pPr>
              <w:spacing w:line="360" w:lineRule="auto"/>
              <w:jc w:val="center"/>
              <w:rPr>
                <w:rFonts w:eastAsiaTheme="minorEastAsia"/>
                <w:sz w:val="24"/>
              </w:rPr>
            </w:pPr>
            <w:r>
              <w:rPr>
                <w:rFonts w:eastAsiaTheme="minorEastAsia"/>
                <w:sz w:val="24"/>
              </w:rPr>
              <w:t>上年度可比期间</w:t>
            </w:r>
          </w:p>
          <w:p w:rsidR="000E6BAE" w:rsidRDefault="00CD6463">
            <w:pPr>
              <w:widowControl/>
              <w:autoSpaceDE w:val="0"/>
              <w:autoSpaceDN w:val="0"/>
              <w:spacing w:line="360" w:lineRule="auto"/>
              <w:ind w:right="-15"/>
              <w:jc w:val="center"/>
              <w:textAlignment w:val="bottom"/>
              <w:rPr>
                <w:rFonts w:eastAsiaTheme="minorEastAsia"/>
                <w:kern w:val="0"/>
                <w:sz w:val="24"/>
              </w:rPr>
            </w:pPr>
            <w:r>
              <w:rPr>
                <w:rFonts w:eastAsiaTheme="minorEastAsia"/>
                <w:sz w:val="24"/>
              </w:rPr>
              <w:t>2019</w:t>
            </w:r>
            <w:r>
              <w:rPr>
                <w:rFonts w:eastAsiaTheme="minorEastAsia"/>
                <w:sz w:val="24"/>
              </w:rPr>
              <w:t>年</w:t>
            </w:r>
            <w:r>
              <w:rPr>
                <w:rFonts w:eastAsiaTheme="minorEastAsia"/>
                <w:sz w:val="24"/>
              </w:rPr>
              <w:t>1</w:t>
            </w:r>
            <w:r>
              <w:rPr>
                <w:rFonts w:eastAsiaTheme="minorEastAsia"/>
                <w:sz w:val="24"/>
              </w:rPr>
              <w:t>月</w:t>
            </w:r>
            <w:r>
              <w:rPr>
                <w:rFonts w:eastAsiaTheme="minorEastAsia"/>
                <w:sz w:val="24"/>
              </w:rPr>
              <w:t>1</w:t>
            </w:r>
            <w:r>
              <w:rPr>
                <w:rFonts w:eastAsiaTheme="minorEastAsia"/>
                <w:sz w:val="24"/>
              </w:rPr>
              <w:t>日至</w:t>
            </w:r>
            <w:r>
              <w:rPr>
                <w:rFonts w:eastAsiaTheme="minorEastAsia"/>
                <w:sz w:val="24"/>
              </w:rPr>
              <w:t>2019</w:t>
            </w:r>
            <w:r>
              <w:rPr>
                <w:rFonts w:eastAsiaTheme="minorEastAsia"/>
                <w:sz w:val="24"/>
              </w:rPr>
              <w:t>年</w:t>
            </w:r>
            <w:r>
              <w:rPr>
                <w:rFonts w:eastAsiaTheme="minorEastAsia"/>
                <w:sz w:val="24"/>
              </w:rPr>
              <w:t>12</w:t>
            </w:r>
            <w:r>
              <w:rPr>
                <w:rFonts w:eastAsiaTheme="minorEastAsia"/>
                <w:sz w:val="24"/>
              </w:rPr>
              <w:t>月</w:t>
            </w:r>
            <w:r>
              <w:rPr>
                <w:rFonts w:eastAsiaTheme="minorEastAsia"/>
                <w:sz w:val="24"/>
              </w:rPr>
              <w:t>31</w:t>
            </w:r>
            <w:r>
              <w:rPr>
                <w:rFonts w:eastAsiaTheme="minorEastAsia"/>
                <w:sz w:val="24"/>
              </w:rPr>
              <w:t>日</w:t>
            </w:r>
          </w:p>
        </w:tc>
      </w:tr>
      <w:tr w:rsidR="000E6BAE">
        <w:trPr>
          <w:trHeight w:val="285"/>
        </w:trPr>
        <w:tc>
          <w:tcPr>
            <w:tcW w:w="2987" w:type="dxa"/>
            <w:vAlign w:val="center"/>
          </w:tcPr>
          <w:p w:rsidR="000E6BAE" w:rsidRDefault="00CD6463">
            <w:pPr>
              <w:widowControl/>
              <w:spacing w:line="360" w:lineRule="auto"/>
              <w:rPr>
                <w:rFonts w:eastAsiaTheme="minorEastAsia"/>
                <w:sz w:val="24"/>
              </w:rPr>
            </w:pPr>
            <w:r>
              <w:rPr>
                <w:rFonts w:eastAsiaTheme="minorEastAsia"/>
                <w:kern w:val="0"/>
                <w:sz w:val="24"/>
              </w:rPr>
              <w:t>1.</w:t>
            </w:r>
            <w:r>
              <w:rPr>
                <w:rFonts w:eastAsiaTheme="minorEastAsia"/>
                <w:kern w:val="0"/>
                <w:sz w:val="24"/>
              </w:rPr>
              <w:t>交易性金融资产</w:t>
            </w:r>
          </w:p>
        </w:tc>
        <w:tc>
          <w:tcPr>
            <w:tcW w:w="3149" w:type="dxa"/>
            <w:vAlign w:val="center"/>
          </w:tcPr>
          <w:p w:rsidR="000E6BAE" w:rsidRDefault="00CD6463">
            <w:pPr>
              <w:spacing w:line="360" w:lineRule="auto"/>
              <w:jc w:val="right"/>
              <w:rPr>
                <w:rFonts w:eastAsiaTheme="minorEastAsia"/>
                <w:sz w:val="24"/>
              </w:rPr>
            </w:pPr>
            <w:r>
              <w:rPr>
                <w:rFonts w:eastAsiaTheme="minorEastAsia"/>
                <w:sz w:val="24"/>
              </w:rPr>
              <w:t>-11,442,523.72</w:t>
            </w:r>
          </w:p>
        </w:tc>
        <w:tc>
          <w:tcPr>
            <w:tcW w:w="3149" w:type="dxa"/>
            <w:vAlign w:val="center"/>
          </w:tcPr>
          <w:p w:rsidR="000E6BAE" w:rsidRDefault="00CD6463">
            <w:pPr>
              <w:spacing w:line="360" w:lineRule="auto"/>
              <w:jc w:val="right"/>
              <w:rPr>
                <w:rFonts w:eastAsiaTheme="minorEastAsia"/>
                <w:sz w:val="24"/>
              </w:rPr>
            </w:pPr>
            <w:r>
              <w:rPr>
                <w:rFonts w:eastAsiaTheme="minorEastAsia"/>
                <w:sz w:val="24"/>
              </w:rPr>
              <w:t>-5,094,676.09</w:t>
            </w:r>
          </w:p>
        </w:tc>
      </w:tr>
      <w:tr w:rsidR="000E6BAE">
        <w:trPr>
          <w:trHeight w:val="285"/>
        </w:trPr>
        <w:tc>
          <w:tcPr>
            <w:tcW w:w="2987" w:type="dxa"/>
            <w:vAlign w:val="center"/>
          </w:tcPr>
          <w:p w:rsidR="000E6BAE" w:rsidRDefault="00CD6463">
            <w:pPr>
              <w:widowControl/>
              <w:spacing w:line="360" w:lineRule="auto"/>
              <w:rPr>
                <w:rFonts w:eastAsiaTheme="minorEastAsia"/>
                <w:sz w:val="24"/>
              </w:rPr>
            </w:pPr>
            <w:r>
              <w:rPr>
                <w:rFonts w:eastAsiaTheme="minorEastAsia"/>
                <w:kern w:val="0"/>
                <w:sz w:val="24"/>
              </w:rPr>
              <w:t>——</w:t>
            </w:r>
            <w:r>
              <w:rPr>
                <w:rFonts w:eastAsiaTheme="minorEastAsia"/>
                <w:kern w:val="0"/>
                <w:sz w:val="24"/>
              </w:rPr>
              <w:t>股票投资</w:t>
            </w:r>
          </w:p>
        </w:tc>
        <w:tc>
          <w:tcPr>
            <w:tcW w:w="3149" w:type="dxa"/>
            <w:vAlign w:val="center"/>
          </w:tcPr>
          <w:p w:rsidR="000E6BAE" w:rsidRDefault="00CD6463">
            <w:pPr>
              <w:spacing w:line="360" w:lineRule="auto"/>
              <w:jc w:val="right"/>
              <w:rPr>
                <w:rFonts w:eastAsiaTheme="minorEastAsia"/>
                <w:sz w:val="24"/>
              </w:rPr>
            </w:pPr>
            <w:r>
              <w:rPr>
                <w:rFonts w:eastAsiaTheme="minorEastAsia"/>
                <w:sz w:val="24"/>
              </w:rPr>
              <w:t>-</w:t>
            </w:r>
          </w:p>
        </w:tc>
        <w:tc>
          <w:tcPr>
            <w:tcW w:w="3149" w:type="dxa"/>
            <w:vAlign w:val="center"/>
          </w:tcPr>
          <w:p w:rsidR="000E6BAE" w:rsidRDefault="00CD6463">
            <w:pPr>
              <w:spacing w:line="360" w:lineRule="auto"/>
              <w:jc w:val="right"/>
              <w:rPr>
                <w:rFonts w:eastAsiaTheme="minorEastAsia"/>
                <w:sz w:val="24"/>
              </w:rPr>
            </w:pPr>
            <w:r>
              <w:rPr>
                <w:rFonts w:eastAsiaTheme="minorEastAsia"/>
                <w:sz w:val="24"/>
              </w:rPr>
              <w:t>-</w:t>
            </w:r>
          </w:p>
        </w:tc>
      </w:tr>
      <w:tr w:rsidR="000E6BAE">
        <w:trPr>
          <w:trHeight w:val="285"/>
        </w:trPr>
        <w:tc>
          <w:tcPr>
            <w:tcW w:w="2987" w:type="dxa"/>
            <w:vAlign w:val="center"/>
          </w:tcPr>
          <w:p w:rsidR="000E6BAE" w:rsidRDefault="00CD6463">
            <w:pPr>
              <w:widowControl/>
              <w:spacing w:line="360" w:lineRule="auto"/>
              <w:rPr>
                <w:rFonts w:eastAsiaTheme="minorEastAsia"/>
                <w:sz w:val="24"/>
              </w:rPr>
            </w:pPr>
            <w:r>
              <w:rPr>
                <w:rFonts w:eastAsiaTheme="minorEastAsia"/>
                <w:kern w:val="0"/>
                <w:sz w:val="24"/>
              </w:rPr>
              <w:t>——</w:t>
            </w:r>
            <w:r>
              <w:rPr>
                <w:rFonts w:eastAsiaTheme="minorEastAsia"/>
                <w:kern w:val="0"/>
                <w:sz w:val="24"/>
              </w:rPr>
              <w:t>债券投资</w:t>
            </w:r>
          </w:p>
        </w:tc>
        <w:tc>
          <w:tcPr>
            <w:tcW w:w="3149" w:type="dxa"/>
            <w:vAlign w:val="center"/>
          </w:tcPr>
          <w:p w:rsidR="000E6BAE" w:rsidRDefault="00CD6463">
            <w:pPr>
              <w:spacing w:line="360" w:lineRule="auto"/>
              <w:jc w:val="right"/>
              <w:rPr>
                <w:rFonts w:eastAsiaTheme="minorEastAsia"/>
                <w:sz w:val="24"/>
              </w:rPr>
            </w:pPr>
            <w:r>
              <w:rPr>
                <w:rFonts w:eastAsiaTheme="minorEastAsia"/>
                <w:sz w:val="24"/>
              </w:rPr>
              <w:t>-11,442,523.72</w:t>
            </w:r>
          </w:p>
        </w:tc>
        <w:tc>
          <w:tcPr>
            <w:tcW w:w="3149" w:type="dxa"/>
            <w:vAlign w:val="center"/>
          </w:tcPr>
          <w:p w:rsidR="000E6BAE" w:rsidRDefault="00CD6463">
            <w:pPr>
              <w:spacing w:line="360" w:lineRule="auto"/>
              <w:jc w:val="right"/>
              <w:rPr>
                <w:rFonts w:eastAsiaTheme="minorEastAsia"/>
                <w:sz w:val="24"/>
              </w:rPr>
            </w:pPr>
            <w:r>
              <w:rPr>
                <w:rFonts w:eastAsiaTheme="minorEastAsia"/>
                <w:sz w:val="24"/>
              </w:rPr>
              <w:t>-5,094,676.09</w:t>
            </w:r>
          </w:p>
        </w:tc>
      </w:tr>
      <w:tr w:rsidR="000E6BAE">
        <w:trPr>
          <w:trHeight w:val="285"/>
        </w:trPr>
        <w:tc>
          <w:tcPr>
            <w:tcW w:w="2987" w:type="dxa"/>
            <w:vAlign w:val="center"/>
          </w:tcPr>
          <w:p w:rsidR="000E6BAE" w:rsidRDefault="00CD6463">
            <w:pPr>
              <w:widowControl/>
              <w:spacing w:line="360" w:lineRule="auto"/>
              <w:rPr>
                <w:rFonts w:eastAsiaTheme="minorEastAsia"/>
                <w:sz w:val="24"/>
              </w:rPr>
            </w:pPr>
            <w:r>
              <w:rPr>
                <w:rFonts w:eastAsiaTheme="minorEastAsia"/>
                <w:kern w:val="0"/>
                <w:sz w:val="24"/>
              </w:rPr>
              <w:t>——</w:t>
            </w:r>
            <w:r>
              <w:rPr>
                <w:rFonts w:eastAsiaTheme="minorEastAsia"/>
                <w:kern w:val="0"/>
                <w:sz w:val="24"/>
              </w:rPr>
              <w:t>资产支持证券投资</w:t>
            </w:r>
          </w:p>
        </w:tc>
        <w:tc>
          <w:tcPr>
            <w:tcW w:w="3149" w:type="dxa"/>
            <w:vAlign w:val="center"/>
          </w:tcPr>
          <w:p w:rsidR="000E6BAE" w:rsidRDefault="00CD6463">
            <w:pPr>
              <w:spacing w:line="360" w:lineRule="auto"/>
              <w:jc w:val="right"/>
              <w:rPr>
                <w:rFonts w:eastAsiaTheme="minorEastAsia"/>
                <w:sz w:val="24"/>
              </w:rPr>
            </w:pPr>
            <w:r>
              <w:rPr>
                <w:rFonts w:eastAsiaTheme="minorEastAsia"/>
                <w:sz w:val="24"/>
              </w:rPr>
              <w:t>-</w:t>
            </w:r>
          </w:p>
        </w:tc>
        <w:tc>
          <w:tcPr>
            <w:tcW w:w="3149" w:type="dxa"/>
            <w:vAlign w:val="center"/>
          </w:tcPr>
          <w:p w:rsidR="000E6BAE" w:rsidRDefault="00CD6463">
            <w:pPr>
              <w:spacing w:line="360" w:lineRule="auto"/>
              <w:jc w:val="right"/>
              <w:rPr>
                <w:rFonts w:eastAsiaTheme="minorEastAsia"/>
                <w:sz w:val="24"/>
              </w:rPr>
            </w:pPr>
            <w:r>
              <w:rPr>
                <w:rFonts w:eastAsiaTheme="minorEastAsia"/>
                <w:sz w:val="24"/>
              </w:rPr>
              <w:t>-</w:t>
            </w:r>
          </w:p>
        </w:tc>
      </w:tr>
      <w:tr w:rsidR="000E6BAE">
        <w:trPr>
          <w:trHeight w:val="285"/>
        </w:trPr>
        <w:tc>
          <w:tcPr>
            <w:tcW w:w="2987" w:type="dxa"/>
            <w:vAlign w:val="center"/>
          </w:tcPr>
          <w:p w:rsidR="000E6BAE" w:rsidRDefault="00CD6463">
            <w:pPr>
              <w:widowControl/>
              <w:spacing w:line="360" w:lineRule="auto"/>
              <w:jc w:val="left"/>
              <w:rPr>
                <w:kern w:val="0"/>
                <w:sz w:val="24"/>
              </w:rPr>
            </w:pPr>
            <w:r>
              <w:rPr>
                <w:kern w:val="0"/>
                <w:sz w:val="24"/>
              </w:rPr>
              <w:t>——</w:t>
            </w:r>
            <w:r>
              <w:rPr>
                <w:kern w:val="0"/>
                <w:sz w:val="24"/>
              </w:rPr>
              <w:t>基金投资</w:t>
            </w:r>
          </w:p>
        </w:tc>
        <w:tc>
          <w:tcPr>
            <w:tcW w:w="3149" w:type="dxa"/>
            <w:vAlign w:val="center"/>
          </w:tcPr>
          <w:p w:rsidR="000E6BAE" w:rsidRDefault="00CD6463">
            <w:pPr>
              <w:spacing w:line="360" w:lineRule="auto"/>
              <w:jc w:val="right"/>
              <w:rPr>
                <w:sz w:val="24"/>
              </w:rPr>
            </w:pPr>
            <w:r>
              <w:rPr>
                <w:sz w:val="24"/>
              </w:rPr>
              <w:t>-</w:t>
            </w:r>
          </w:p>
        </w:tc>
        <w:tc>
          <w:tcPr>
            <w:tcW w:w="3149" w:type="dxa"/>
            <w:vAlign w:val="center"/>
          </w:tcPr>
          <w:p w:rsidR="000E6BAE" w:rsidRDefault="00CD6463">
            <w:pPr>
              <w:spacing w:line="360" w:lineRule="auto"/>
              <w:jc w:val="right"/>
              <w:rPr>
                <w:sz w:val="24"/>
              </w:rPr>
            </w:pPr>
            <w:r>
              <w:rPr>
                <w:sz w:val="24"/>
              </w:rPr>
              <w:t>-</w:t>
            </w:r>
          </w:p>
        </w:tc>
      </w:tr>
      <w:tr w:rsidR="000E6BAE">
        <w:trPr>
          <w:trHeight w:val="285"/>
        </w:trPr>
        <w:tc>
          <w:tcPr>
            <w:tcW w:w="2987" w:type="dxa"/>
            <w:vAlign w:val="center"/>
          </w:tcPr>
          <w:p w:rsidR="000E6BAE" w:rsidRDefault="00CD6463">
            <w:pPr>
              <w:widowControl/>
              <w:spacing w:line="360" w:lineRule="auto"/>
              <w:jc w:val="left"/>
              <w:rPr>
                <w:kern w:val="0"/>
                <w:sz w:val="24"/>
              </w:rPr>
            </w:pPr>
            <w:r>
              <w:rPr>
                <w:kern w:val="0"/>
                <w:sz w:val="24"/>
              </w:rPr>
              <w:t>——</w:t>
            </w:r>
            <w:r>
              <w:rPr>
                <w:kern w:val="0"/>
                <w:sz w:val="24"/>
              </w:rPr>
              <w:t>贵金属投资</w:t>
            </w:r>
          </w:p>
        </w:tc>
        <w:tc>
          <w:tcPr>
            <w:tcW w:w="3149" w:type="dxa"/>
            <w:vAlign w:val="center"/>
          </w:tcPr>
          <w:p w:rsidR="000E6BAE" w:rsidRDefault="00CD6463">
            <w:pPr>
              <w:spacing w:line="360" w:lineRule="auto"/>
              <w:jc w:val="right"/>
              <w:rPr>
                <w:sz w:val="24"/>
              </w:rPr>
            </w:pPr>
            <w:r>
              <w:rPr>
                <w:sz w:val="24"/>
              </w:rPr>
              <w:t>-</w:t>
            </w:r>
          </w:p>
        </w:tc>
        <w:tc>
          <w:tcPr>
            <w:tcW w:w="3149" w:type="dxa"/>
            <w:vAlign w:val="center"/>
          </w:tcPr>
          <w:p w:rsidR="000E6BAE" w:rsidRDefault="00CD6463">
            <w:pPr>
              <w:spacing w:line="360" w:lineRule="auto"/>
              <w:jc w:val="right"/>
              <w:rPr>
                <w:sz w:val="24"/>
              </w:rPr>
            </w:pPr>
            <w:r>
              <w:rPr>
                <w:sz w:val="24"/>
              </w:rPr>
              <w:t>-</w:t>
            </w:r>
          </w:p>
        </w:tc>
      </w:tr>
      <w:tr w:rsidR="000E6BAE">
        <w:trPr>
          <w:trHeight w:val="285"/>
        </w:trPr>
        <w:tc>
          <w:tcPr>
            <w:tcW w:w="2987" w:type="dxa"/>
            <w:vAlign w:val="center"/>
          </w:tcPr>
          <w:p w:rsidR="000E6BAE" w:rsidRDefault="00CD6463">
            <w:pPr>
              <w:widowControl/>
              <w:jc w:val="left"/>
              <w:rPr>
                <w:rFonts w:eastAsiaTheme="minorEastAsia"/>
                <w:kern w:val="0"/>
                <w:sz w:val="24"/>
              </w:rPr>
            </w:pPr>
            <w:r>
              <w:rPr>
                <w:rFonts w:eastAsiaTheme="minorEastAsia"/>
                <w:kern w:val="0"/>
                <w:sz w:val="24"/>
              </w:rPr>
              <w:t>——</w:t>
            </w:r>
            <w:r>
              <w:rPr>
                <w:rFonts w:eastAsiaTheme="minorEastAsia" w:hint="eastAsia"/>
                <w:kern w:val="0"/>
                <w:sz w:val="24"/>
              </w:rPr>
              <w:t>其他</w:t>
            </w:r>
          </w:p>
        </w:tc>
        <w:tc>
          <w:tcPr>
            <w:tcW w:w="3149" w:type="dxa"/>
            <w:vAlign w:val="center"/>
          </w:tcPr>
          <w:p w:rsidR="000E6BAE" w:rsidRDefault="00CD6463">
            <w:pPr>
              <w:spacing w:line="360" w:lineRule="auto"/>
              <w:jc w:val="right"/>
              <w:rPr>
                <w:sz w:val="24"/>
              </w:rPr>
            </w:pPr>
            <w:r>
              <w:rPr>
                <w:rFonts w:hint="eastAsia"/>
                <w:sz w:val="24"/>
              </w:rPr>
              <w:t>-</w:t>
            </w:r>
          </w:p>
        </w:tc>
        <w:tc>
          <w:tcPr>
            <w:tcW w:w="3149" w:type="dxa"/>
            <w:vAlign w:val="center"/>
          </w:tcPr>
          <w:p w:rsidR="000E6BAE" w:rsidRDefault="00CD6463">
            <w:pPr>
              <w:spacing w:line="360" w:lineRule="auto"/>
              <w:jc w:val="right"/>
              <w:rPr>
                <w:sz w:val="24"/>
              </w:rPr>
            </w:pPr>
            <w:r>
              <w:rPr>
                <w:rFonts w:hint="eastAsia"/>
                <w:sz w:val="24"/>
              </w:rPr>
              <w:t>-</w:t>
            </w:r>
          </w:p>
        </w:tc>
      </w:tr>
      <w:tr w:rsidR="000E6BAE">
        <w:trPr>
          <w:trHeight w:val="285"/>
        </w:trPr>
        <w:tc>
          <w:tcPr>
            <w:tcW w:w="2987" w:type="dxa"/>
            <w:vAlign w:val="center"/>
          </w:tcPr>
          <w:p w:rsidR="000E6BAE" w:rsidRDefault="00CD6463">
            <w:pPr>
              <w:widowControl/>
              <w:spacing w:line="360" w:lineRule="auto"/>
              <w:jc w:val="left"/>
              <w:rPr>
                <w:sz w:val="24"/>
              </w:rPr>
            </w:pPr>
            <w:r>
              <w:rPr>
                <w:kern w:val="0"/>
                <w:sz w:val="24"/>
              </w:rPr>
              <w:t>2.</w:t>
            </w:r>
            <w:r>
              <w:rPr>
                <w:kern w:val="0"/>
                <w:sz w:val="24"/>
              </w:rPr>
              <w:t>衍生工具</w:t>
            </w:r>
          </w:p>
        </w:tc>
        <w:tc>
          <w:tcPr>
            <w:tcW w:w="3149" w:type="dxa"/>
            <w:vAlign w:val="center"/>
          </w:tcPr>
          <w:p w:rsidR="000E6BAE" w:rsidRDefault="00CD6463">
            <w:pPr>
              <w:spacing w:line="360" w:lineRule="auto"/>
              <w:jc w:val="right"/>
              <w:rPr>
                <w:sz w:val="24"/>
              </w:rPr>
            </w:pPr>
            <w:r>
              <w:rPr>
                <w:sz w:val="24"/>
              </w:rPr>
              <w:t>-</w:t>
            </w:r>
          </w:p>
        </w:tc>
        <w:tc>
          <w:tcPr>
            <w:tcW w:w="3149" w:type="dxa"/>
            <w:vAlign w:val="center"/>
          </w:tcPr>
          <w:p w:rsidR="000E6BAE" w:rsidRDefault="00CD6463">
            <w:pPr>
              <w:spacing w:line="360" w:lineRule="auto"/>
              <w:jc w:val="right"/>
              <w:rPr>
                <w:sz w:val="24"/>
              </w:rPr>
            </w:pPr>
            <w:r>
              <w:rPr>
                <w:sz w:val="24"/>
              </w:rPr>
              <w:t>-</w:t>
            </w:r>
          </w:p>
        </w:tc>
      </w:tr>
      <w:tr w:rsidR="000E6BAE">
        <w:trPr>
          <w:trHeight w:val="285"/>
        </w:trPr>
        <w:tc>
          <w:tcPr>
            <w:tcW w:w="2987" w:type="dxa"/>
            <w:vAlign w:val="center"/>
          </w:tcPr>
          <w:p w:rsidR="000E6BAE" w:rsidRDefault="00CD6463">
            <w:pPr>
              <w:widowControl/>
              <w:spacing w:line="360" w:lineRule="auto"/>
              <w:jc w:val="left"/>
              <w:rPr>
                <w:sz w:val="24"/>
              </w:rPr>
            </w:pPr>
            <w:r>
              <w:rPr>
                <w:kern w:val="0"/>
                <w:sz w:val="24"/>
              </w:rPr>
              <w:t>——</w:t>
            </w:r>
            <w:r>
              <w:rPr>
                <w:kern w:val="0"/>
                <w:sz w:val="24"/>
              </w:rPr>
              <w:t>权证投资</w:t>
            </w:r>
          </w:p>
        </w:tc>
        <w:tc>
          <w:tcPr>
            <w:tcW w:w="3149" w:type="dxa"/>
            <w:vAlign w:val="center"/>
          </w:tcPr>
          <w:p w:rsidR="000E6BAE" w:rsidRDefault="00CD6463">
            <w:pPr>
              <w:spacing w:line="360" w:lineRule="auto"/>
              <w:jc w:val="right"/>
              <w:rPr>
                <w:sz w:val="24"/>
              </w:rPr>
            </w:pPr>
            <w:r>
              <w:rPr>
                <w:sz w:val="24"/>
              </w:rPr>
              <w:t>-</w:t>
            </w:r>
          </w:p>
        </w:tc>
        <w:tc>
          <w:tcPr>
            <w:tcW w:w="3149" w:type="dxa"/>
            <w:vAlign w:val="center"/>
          </w:tcPr>
          <w:p w:rsidR="000E6BAE" w:rsidRDefault="00CD6463">
            <w:pPr>
              <w:spacing w:line="360" w:lineRule="auto"/>
              <w:jc w:val="right"/>
              <w:rPr>
                <w:sz w:val="24"/>
              </w:rPr>
            </w:pPr>
            <w:r>
              <w:rPr>
                <w:sz w:val="24"/>
              </w:rPr>
              <w:t>-</w:t>
            </w:r>
          </w:p>
        </w:tc>
      </w:tr>
      <w:tr w:rsidR="000E6BAE">
        <w:trPr>
          <w:trHeight w:val="285"/>
        </w:trPr>
        <w:tc>
          <w:tcPr>
            <w:tcW w:w="2987" w:type="dxa"/>
            <w:vAlign w:val="center"/>
          </w:tcPr>
          <w:p w:rsidR="000E6BAE" w:rsidRDefault="00CD6463">
            <w:pPr>
              <w:widowControl/>
              <w:spacing w:line="360" w:lineRule="auto"/>
              <w:rPr>
                <w:rFonts w:eastAsiaTheme="minorEastAsia"/>
                <w:sz w:val="24"/>
              </w:rPr>
            </w:pPr>
            <w:r>
              <w:rPr>
                <w:rFonts w:eastAsiaTheme="minorEastAsia"/>
                <w:kern w:val="0"/>
                <w:sz w:val="24"/>
              </w:rPr>
              <w:t>3.</w:t>
            </w:r>
            <w:r>
              <w:rPr>
                <w:rFonts w:eastAsiaTheme="minorEastAsia"/>
                <w:kern w:val="0"/>
                <w:sz w:val="24"/>
              </w:rPr>
              <w:t>其他</w:t>
            </w:r>
          </w:p>
        </w:tc>
        <w:tc>
          <w:tcPr>
            <w:tcW w:w="3149" w:type="dxa"/>
            <w:vAlign w:val="bottom"/>
          </w:tcPr>
          <w:p w:rsidR="000E6BAE" w:rsidRDefault="00CD6463">
            <w:pPr>
              <w:spacing w:line="360" w:lineRule="auto"/>
              <w:jc w:val="right"/>
              <w:rPr>
                <w:sz w:val="24"/>
              </w:rPr>
            </w:pPr>
            <w:r>
              <w:rPr>
                <w:sz w:val="24"/>
              </w:rPr>
              <w:t>-</w:t>
            </w:r>
          </w:p>
        </w:tc>
        <w:tc>
          <w:tcPr>
            <w:tcW w:w="3149" w:type="dxa"/>
            <w:vAlign w:val="bottom"/>
          </w:tcPr>
          <w:p w:rsidR="000E6BAE" w:rsidRDefault="00CD6463">
            <w:pPr>
              <w:spacing w:line="360" w:lineRule="auto"/>
              <w:jc w:val="right"/>
              <w:rPr>
                <w:rFonts w:eastAsiaTheme="minorEastAsia"/>
                <w:sz w:val="24"/>
              </w:rPr>
            </w:pPr>
            <w:r>
              <w:rPr>
                <w:rFonts w:eastAsiaTheme="minorEastAsia"/>
                <w:sz w:val="24"/>
              </w:rPr>
              <w:t>-</w:t>
            </w:r>
          </w:p>
        </w:tc>
      </w:tr>
      <w:tr w:rsidR="000E6BAE">
        <w:trPr>
          <w:trHeight w:val="285"/>
        </w:trPr>
        <w:tc>
          <w:tcPr>
            <w:tcW w:w="2987" w:type="dxa"/>
            <w:vAlign w:val="center"/>
          </w:tcPr>
          <w:p w:rsidR="000E6BAE" w:rsidRDefault="00CD6463">
            <w:pPr>
              <w:widowControl/>
              <w:jc w:val="left"/>
              <w:rPr>
                <w:rFonts w:eastAsiaTheme="minorEastAsia"/>
                <w:kern w:val="0"/>
                <w:sz w:val="24"/>
              </w:rPr>
            </w:pPr>
            <w:r>
              <w:rPr>
                <w:rFonts w:eastAsiaTheme="minorEastAsia" w:hint="eastAsia"/>
                <w:kern w:val="0"/>
                <w:sz w:val="24"/>
              </w:rPr>
              <w:t>减：应税金融商品公允价值变动产生的预估增值税</w:t>
            </w:r>
          </w:p>
        </w:tc>
        <w:tc>
          <w:tcPr>
            <w:tcW w:w="3149" w:type="dxa"/>
            <w:vAlign w:val="bottom"/>
          </w:tcPr>
          <w:p w:rsidR="000E6BAE" w:rsidRDefault="00CD6463">
            <w:pPr>
              <w:jc w:val="right"/>
              <w:rPr>
                <w:rFonts w:eastAsiaTheme="minorEastAsia"/>
                <w:sz w:val="24"/>
              </w:rPr>
            </w:pPr>
            <w:r>
              <w:rPr>
                <w:rFonts w:eastAsiaTheme="minorEastAsia"/>
                <w:sz w:val="24"/>
              </w:rPr>
              <w:t>-</w:t>
            </w:r>
          </w:p>
        </w:tc>
        <w:tc>
          <w:tcPr>
            <w:tcW w:w="3149" w:type="dxa"/>
            <w:vAlign w:val="bottom"/>
          </w:tcPr>
          <w:p w:rsidR="000E6BAE" w:rsidRDefault="00CD6463">
            <w:pPr>
              <w:spacing w:line="360" w:lineRule="auto"/>
              <w:jc w:val="right"/>
              <w:rPr>
                <w:rFonts w:eastAsiaTheme="minorEastAsia"/>
                <w:sz w:val="24"/>
              </w:rPr>
            </w:pPr>
            <w:r>
              <w:rPr>
                <w:rFonts w:eastAsiaTheme="minorEastAsia"/>
                <w:sz w:val="24"/>
              </w:rPr>
              <w:t>-</w:t>
            </w:r>
          </w:p>
        </w:tc>
      </w:tr>
      <w:tr w:rsidR="000E6BAE">
        <w:trPr>
          <w:trHeight w:val="285"/>
        </w:trPr>
        <w:tc>
          <w:tcPr>
            <w:tcW w:w="2987" w:type="dxa"/>
            <w:vAlign w:val="center"/>
          </w:tcPr>
          <w:p w:rsidR="000E6BAE" w:rsidRDefault="00CD6463">
            <w:pPr>
              <w:widowControl/>
              <w:spacing w:line="360" w:lineRule="auto"/>
              <w:rPr>
                <w:rFonts w:eastAsiaTheme="minorEastAsia"/>
                <w:sz w:val="24"/>
              </w:rPr>
            </w:pPr>
            <w:r>
              <w:rPr>
                <w:rFonts w:eastAsiaTheme="minorEastAsia"/>
                <w:kern w:val="0"/>
                <w:sz w:val="24"/>
              </w:rPr>
              <w:t>合计</w:t>
            </w:r>
          </w:p>
        </w:tc>
        <w:tc>
          <w:tcPr>
            <w:tcW w:w="3149" w:type="dxa"/>
            <w:vAlign w:val="bottom"/>
          </w:tcPr>
          <w:p w:rsidR="000E6BAE" w:rsidRDefault="00CD6463">
            <w:pPr>
              <w:spacing w:line="360" w:lineRule="auto"/>
              <w:jc w:val="right"/>
              <w:rPr>
                <w:rFonts w:eastAsiaTheme="minorEastAsia"/>
                <w:sz w:val="24"/>
              </w:rPr>
            </w:pPr>
            <w:r>
              <w:rPr>
                <w:rFonts w:eastAsiaTheme="minorEastAsia"/>
                <w:sz w:val="24"/>
              </w:rPr>
              <w:t>-11,442,523.72</w:t>
            </w:r>
          </w:p>
        </w:tc>
        <w:tc>
          <w:tcPr>
            <w:tcW w:w="3149" w:type="dxa"/>
            <w:vAlign w:val="bottom"/>
          </w:tcPr>
          <w:p w:rsidR="000E6BAE" w:rsidRDefault="00CD6463">
            <w:pPr>
              <w:spacing w:line="360" w:lineRule="auto"/>
              <w:jc w:val="right"/>
              <w:rPr>
                <w:rFonts w:eastAsiaTheme="minorEastAsia"/>
                <w:sz w:val="24"/>
              </w:rPr>
            </w:pPr>
            <w:r>
              <w:rPr>
                <w:rFonts w:eastAsiaTheme="minorEastAsia"/>
                <w:sz w:val="24"/>
              </w:rPr>
              <w:t>-5,094,676.09</w:t>
            </w:r>
          </w:p>
        </w:tc>
      </w:tr>
    </w:tbl>
    <w:p w:rsidR="000E6BAE" w:rsidRDefault="000E6BAE">
      <w:pPr>
        <w:spacing w:line="360" w:lineRule="auto"/>
        <w:ind w:firstLineChars="100" w:firstLine="210"/>
        <w:rPr>
          <w:rFonts w:asciiTheme="minorEastAsia" w:eastAsiaTheme="minorEastAsia" w:hAnsiTheme="minorEastAsia"/>
          <w:szCs w:val="21"/>
        </w:rPr>
      </w:pPr>
    </w:p>
    <w:p w:rsidR="000E6BAE" w:rsidRDefault="00CD6463">
      <w:pPr>
        <w:spacing w:before="29" w:line="288" w:lineRule="auto"/>
        <w:rPr>
          <w:rFonts w:eastAsiaTheme="minorEastAsia"/>
          <w:b/>
          <w:sz w:val="24"/>
        </w:rPr>
      </w:pPr>
      <w:r>
        <w:rPr>
          <w:rFonts w:eastAsiaTheme="minorEastAsia"/>
          <w:b/>
          <w:sz w:val="24"/>
        </w:rPr>
        <w:t>7.4.7.18</w:t>
      </w:r>
      <w:r>
        <w:rPr>
          <w:rFonts w:eastAsiaTheme="minorEastAsia" w:hint="eastAsia"/>
          <w:b/>
          <w:sz w:val="24"/>
        </w:rPr>
        <w:t>其他收入</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32"/>
        <w:gridCol w:w="2977"/>
        <w:gridCol w:w="3289"/>
      </w:tblGrid>
      <w:tr w:rsidR="000E6BAE">
        <w:trPr>
          <w:trHeight w:val="255"/>
        </w:trPr>
        <w:tc>
          <w:tcPr>
            <w:tcW w:w="2732"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项目</w:t>
            </w:r>
          </w:p>
        </w:tc>
        <w:tc>
          <w:tcPr>
            <w:tcW w:w="2977" w:type="dxa"/>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本期</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w:t>
            </w:r>
            <w:r>
              <w:rPr>
                <w:rFonts w:hint="eastAsia"/>
                <w:color w:val="000000"/>
                <w:sz w:val="24"/>
              </w:rPr>
              <w:t>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c>
          <w:tcPr>
            <w:tcW w:w="3289" w:type="dxa"/>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上年度可比期间</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2019</w:t>
            </w:r>
            <w:r>
              <w:rPr>
                <w:color w:val="000000"/>
                <w:sz w:val="24"/>
              </w:rPr>
              <w:t>年</w:t>
            </w:r>
            <w:r>
              <w:rPr>
                <w:color w:val="000000"/>
                <w:sz w:val="24"/>
              </w:rPr>
              <w:t>1</w:t>
            </w:r>
            <w:r>
              <w:rPr>
                <w:color w:val="000000"/>
                <w:sz w:val="24"/>
              </w:rPr>
              <w:t>月</w:t>
            </w:r>
            <w:r>
              <w:rPr>
                <w:color w:val="000000"/>
                <w:sz w:val="24"/>
              </w:rPr>
              <w:t>1</w:t>
            </w:r>
            <w:r>
              <w:rPr>
                <w:color w:val="000000"/>
                <w:sz w:val="24"/>
              </w:rPr>
              <w:t>日至</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rPr>
          <w:trHeight w:val="255"/>
        </w:trPr>
        <w:tc>
          <w:tcPr>
            <w:tcW w:w="2732" w:type="dxa"/>
            <w:vAlign w:val="center"/>
          </w:tcPr>
          <w:p w:rsidR="000E6BAE" w:rsidRDefault="00CD6463">
            <w:pPr>
              <w:spacing w:before="29" w:line="288" w:lineRule="auto"/>
              <w:rPr>
                <w:rFonts w:asciiTheme="minorEastAsia" w:eastAsiaTheme="minorEastAsia" w:hAnsiTheme="minorEastAsia"/>
                <w:szCs w:val="21"/>
              </w:rPr>
            </w:pPr>
            <w:r>
              <w:rPr>
                <w:rFonts w:hint="eastAsia"/>
                <w:sz w:val="24"/>
              </w:rPr>
              <w:t>基金赎回费收入</w:t>
            </w:r>
          </w:p>
        </w:tc>
        <w:tc>
          <w:tcPr>
            <w:tcW w:w="2977" w:type="dxa"/>
            <w:vAlign w:val="center"/>
          </w:tcPr>
          <w:p w:rsidR="000E6BAE" w:rsidRDefault="00CD6463">
            <w:pPr>
              <w:spacing w:before="29" w:line="288" w:lineRule="auto"/>
              <w:jc w:val="right"/>
              <w:rPr>
                <w:color w:val="000000"/>
                <w:kern w:val="0"/>
                <w:sz w:val="24"/>
              </w:rPr>
            </w:pPr>
            <w:r>
              <w:rPr>
                <w:color w:val="000000"/>
                <w:kern w:val="0"/>
                <w:sz w:val="24"/>
              </w:rPr>
              <w:t>97,279.07</w:t>
            </w:r>
          </w:p>
        </w:tc>
        <w:tc>
          <w:tcPr>
            <w:tcW w:w="3289" w:type="dxa"/>
            <w:vAlign w:val="center"/>
          </w:tcPr>
          <w:p w:rsidR="000E6BAE" w:rsidRDefault="00CD6463">
            <w:pPr>
              <w:spacing w:before="29" w:line="288" w:lineRule="auto"/>
              <w:jc w:val="right"/>
              <w:rPr>
                <w:color w:val="000000"/>
                <w:kern w:val="0"/>
                <w:sz w:val="24"/>
              </w:rPr>
            </w:pPr>
            <w:r>
              <w:rPr>
                <w:color w:val="000000"/>
                <w:kern w:val="0"/>
                <w:sz w:val="24"/>
              </w:rPr>
              <w:t>855.91</w:t>
            </w:r>
          </w:p>
        </w:tc>
      </w:tr>
      <w:tr w:rsidR="000E6BAE">
        <w:trPr>
          <w:trHeight w:val="255"/>
        </w:trPr>
        <w:tc>
          <w:tcPr>
            <w:tcW w:w="2732" w:type="dxa"/>
            <w:vAlign w:val="center"/>
          </w:tcPr>
          <w:p w:rsidR="000E6BAE" w:rsidRDefault="00CD6463">
            <w:pPr>
              <w:spacing w:before="29" w:line="288" w:lineRule="auto"/>
              <w:rPr>
                <w:rFonts w:asciiTheme="minorEastAsia" w:eastAsiaTheme="minorEastAsia" w:hAnsiTheme="minorEastAsia"/>
                <w:szCs w:val="21"/>
              </w:rPr>
            </w:pPr>
            <w:r>
              <w:rPr>
                <w:rFonts w:hint="eastAsia"/>
                <w:sz w:val="24"/>
              </w:rPr>
              <w:t>合计</w:t>
            </w:r>
          </w:p>
        </w:tc>
        <w:tc>
          <w:tcPr>
            <w:tcW w:w="2977" w:type="dxa"/>
            <w:vAlign w:val="center"/>
          </w:tcPr>
          <w:p w:rsidR="000E6BAE" w:rsidRDefault="00CD6463">
            <w:pPr>
              <w:spacing w:before="29" w:line="288" w:lineRule="auto"/>
              <w:jc w:val="right"/>
              <w:rPr>
                <w:color w:val="000000"/>
                <w:kern w:val="0"/>
                <w:sz w:val="24"/>
              </w:rPr>
            </w:pPr>
            <w:r>
              <w:rPr>
                <w:color w:val="000000"/>
                <w:kern w:val="0"/>
                <w:sz w:val="24"/>
              </w:rPr>
              <w:t>97,279.07</w:t>
            </w:r>
          </w:p>
        </w:tc>
        <w:tc>
          <w:tcPr>
            <w:tcW w:w="3289" w:type="dxa"/>
            <w:vAlign w:val="center"/>
          </w:tcPr>
          <w:p w:rsidR="000E6BAE" w:rsidRDefault="00CD6463">
            <w:pPr>
              <w:spacing w:before="29" w:line="288" w:lineRule="auto"/>
              <w:jc w:val="right"/>
              <w:rPr>
                <w:color w:val="000000"/>
                <w:kern w:val="0"/>
                <w:sz w:val="24"/>
              </w:rPr>
            </w:pPr>
            <w:r>
              <w:rPr>
                <w:color w:val="000000"/>
                <w:kern w:val="0"/>
                <w:sz w:val="24"/>
              </w:rPr>
              <w:t>855.91</w:t>
            </w:r>
          </w:p>
        </w:tc>
      </w:tr>
    </w:tbl>
    <w:p w:rsidR="000E6BAE" w:rsidRDefault="00CD6463">
      <w:pPr>
        <w:tabs>
          <w:tab w:val="left" w:pos="426"/>
        </w:tabs>
        <w:spacing w:before="29" w:line="288" w:lineRule="auto"/>
        <w:jc w:val="left"/>
        <w:rPr>
          <w:kern w:val="0"/>
          <w:sz w:val="24"/>
        </w:rPr>
      </w:pPr>
      <w:r>
        <w:rPr>
          <w:kern w:val="0"/>
          <w:sz w:val="24"/>
        </w:rPr>
        <w:t>注：本基金的赎回费率按持有期间递减，不低于赎回费总额的</w:t>
      </w:r>
      <w:r>
        <w:rPr>
          <w:kern w:val="0"/>
          <w:sz w:val="24"/>
        </w:rPr>
        <w:t>25%</w:t>
      </w:r>
      <w:r>
        <w:rPr>
          <w:kern w:val="0"/>
          <w:sz w:val="24"/>
        </w:rPr>
        <w:t>归入基金资产。</w:t>
      </w:r>
    </w:p>
    <w:p w:rsidR="000E6BAE" w:rsidRDefault="00CD6463">
      <w:pPr>
        <w:spacing w:line="360" w:lineRule="auto"/>
        <w:ind w:firstLineChars="100" w:firstLine="210"/>
        <w:rPr>
          <w:rFonts w:asciiTheme="minorEastAsia" w:eastAsiaTheme="minorEastAsia" w:hAnsiTheme="minorEastAsia"/>
          <w:szCs w:val="21"/>
        </w:rPr>
      </w:pPr>
      <w:r>
        <w:rPr>
          <w:rFonts w:asciiTheme="minorEastAsia" w:eastAsiaTheme="minorEastAsia" w:hAnsiTheme="minorEastAsia"/>
          <w:szCs w:val="21"/>
        </w:rPr>
        <w:tab/>
      </w:r>
    </w:p>
    <w:p w:rsidR="000E6BAE" w:rsidRDefault="00CD6463">
      <w:pPr>
        <w:spacing w:beforeLines="50" w:before="156" w:line="360" w:lineRule="auto"/>
        <w:rPr>
          <w:rFonts w:eastAsiaTheme="minorEastAsia"/>
          <w:b/>
          <w:color w:val="000000" w:themeColor="text1"/>
          <w:szCs w:val="21"/>
        </w:rPr>
      </w:pPr>
      <w:r>
        <w:rPr>
          <w:rFonts w:eastAsiaTheme="minorEastAsia"/>
          <w:b/>
          <w:bCs/>
          <w:color w:val="000000" w:themeColor="text1"/>
          <w:kern w:val="0"/>
          <w:szCs w:val="21"/>
        </w:rPr>
        <w:t xml:space="preserve">7.4.7.19 </w:t>
      </w:r>
      <w:r>
        <w:rPr>
          <w:rFonts w:eastAsiaTheme="minorEastAsia"/>
          <w:b/>
          <w:color w:val="000000" w:themeColor="text1"/>
          <w:szCs w:val="21"/>
        </w:rPr>
        <w:t>交易费用</w:t>
      </w:r>
    </w:p>
    <w:p w:rsidR="000E6BAE" w:rsidRDefault="00CD6463">
      <w:pPr>
        <w:tabs>
          <w:tab w:val="left" w:pos="7200"/>
          <w:tab w:val="left" w:pos="8280"/>
        </w:tabs>
        <w:spacing w:line="360" w:lineRule="auto"/>
        <w:ind w:rightChars="-52" w:right="-109"/>
        <w:jc w:val="right"/>
        <w:rPr>
          <w:rFonts w:eastAsiaTheme="minorEastAsia"/>
          <w:color w:val="000000" w:themeColor="text1"/>
          <w:szCs w:val="21"/>
        </w:rPr>
      </w:pPr>
      <w:r>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8"/>
        <w:gridCol w:w="3114"/>
        <w:gridCol w:w="3553"/>
      </w:tblGrid>
      <w:tr w:rsidR="000E6BAE">
        <w:trPr>
          <w:trHeight w:val="285"/>
        </w:trPr>
        <w:tc>
          <w:tcPr>
            <w:tcW w:w="2528" w:type="dxa"/>
            <w:vAlign w:val="center"/>
          </w:tcPr>
          <w:p w:rsidR="000E6BAE" w:rsidRDefault="00CD6463">
            <w:pPr>
              <w:spacing w:line="360" w:lineRule="auto"/>
              <w:jc w:val="center"/>
              <w:rPr>
                <w:rFonts w:eastAsiaTheme="minorEastAsia"/>
                <w:color w:val="000000" w:themeColor="text1"/>
                <w:szCs w:val="21"/>
              </w:rPr>
            </w:pPr>
            <w:r>
              <w:rPr>
                <w:rFonts w:eastAsiaTheme="minorEastAsia"/>
                <w:color w:val="000000" w:themeColor="text1"/>
                <w:szCs w:val="21"/>
              </w:rPr>
              <w:t>项目</w:t>
            </w:r>
          </w:p>
        </w:tc>
        <w:tc>
          <w:tcPr>
            <w:tcW w:w="3114" w:type="dxa"/>
            <w:vAlign w:val="center"/>
          </w:tcPr>
          <w:p w:rsidR="000E6BAE" w:rsidRDefault="00CD6463">
            <w:pPr>
              <w:spacing w:line="360" w:lineRule="auto"/>
              <w:jc w:val="center"/>
              <w:rPr>
                <w:rFonts w:eastAsiaTheme="minorEastAsia"/>
                <w:color w:val="000000" w:themeColor="text1"/>
                <w:szCs w:val="21"/>
              </w:rPr>
            </w:pPr>
            <w:r>
              <w:rPr>
                <w:rFonts w:eastAsiaTheme="minorEastAsia"/>
                <w:color w:val="000000" w:themeColor="text1"/>
                <w:szCs w:val="21"/>
              </w:rPr>
              <w:t>本期</w:t>
            </w:r>
          </w:p>
          <w:p w:rsidR="000E6BAE" w:rsidRDefault="00CD6463">
            <w:pPr>
              <w:widowControl/>
              <w:autoSpaceDE w:val="0"/>
              <w:autoSpaceDN w:val="0"/>
              <w:spacing w:line="360" w:lineRule="auto"/>
              <w:ind w:right="-15"/>
              <w:jc w:val="center"/>
              <w:textAlignment w:val="bottom"/>
              <w:rPr>
                <w:rFonts w:eastAsiaTheme="minorEastAsia"/>
                <w:color w:val="000000" w:themeColor="text1"/>
                <w:szCs w:val="21"/>
              </w:rPr>
            </w:pPr>
            <w:r>
              <w:rPr>
                <w:rFonts w:eastAsiaTheme="minorEastAsia"/>
                <w:color w:val="000000" w:themeColor="text1"/>
                <w:szCs w:val="21"/>
              </w:rPr>
              <w:t>2020</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日至</w:t>
            </w:r>
            <w:r>
              <w:rPr>
                <w:rFonts w:eastAsiaTheme="minorEastAsia"/>
                <w:color w:val="000000" w:themeColor="text1"/>
                <w:szCs w:val="21"/>
              </w:rPr>
              <w:t>2020</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p>
        </w:tc>
        <w:tc>
          <w:tcPr>
            <w:tcW w:w="3553" w:type="dxa"/>
            <w:vAlign w:val="center"/>
          </w:tcPr>
          <w:p w:rsidR="000E6BAE" w:rsidRDefault="00CD6463">
            <w:pPr>
              <w:spacing w:line="360" w:lineRule="auto"/>
              <w:jc w:val="center"/>
              <w:rPr>
                <w:rFonts w:eastAsiaTheme="minorEastAsia"/>
                <w:color w:val="000000" w:themeColor="text1"/>
                <w:szCs w:val="21"/>
              </w:rPr>
            </w:pPr>
            <w:r>
              <w:rPr>
                <w:rFonts w:eastAsiaTheme="minorEastAsia"/>
                <w:color w:val="000000" w:themeColor="text1"/>
                <w:szCs w:val="21"/>
              </w:rPr>
              <w:t>上年度可比期间</w:t>
            </w:r>
          </w:p>
          <w:p w:rsidR="000E6BAE" w:rsidRDefault="00CD6463">
            <w:pPr>
              <w:spacing w:line="360" w:lineRule="auto"/>
              <w:jc w:val="center"/>
              <w:rPr>
                <w:rFonts w:eastAsiaTheme="minorEastAsia"/>
                <w:color w:val="000000" w:themeColor="text1"/>
                <w:kern w:val="0"/>
                <w:szCs w:val="21"/>
              </w:rPr>
            </w:pP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日至</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p>
        </w:tc>
      </w:tr>
      <w:tr w:rsidR="000E6BAE">
        <w:trPr>
          <w:trHeight w:val="285"/>
        </w:trPr>
        <w:tc>
          <w:tcPr>
            <w:tcW w:w="2528" w:type="dxa"/>
            <w:vAlign w:val="center"/>
          </w:tcPr>
          <w:p w:rsidR="000E6BAE" w:rsidRDefault="00CD6463">
            <w:pPr>
              <w:spacing w:line="360" w:lineRule="auto"/>
              <w:rPr>
                <w:rFonts w:eastAsiaTheme="minorEastAsia"/>
                <w:color w:val="000000" w:themeColor="text1"/>
                <w:szCs w:val="21"/>
              </w:rPr>
            </w:pPr>
            <w:r>
              <w:rPr>
                <w:rFonts w:eastAsiaTheme="minorEastAsia"/>
                <w:color w:val="000000" w:themeColor="text1"/>
                <w:szCs w:val="21"/>
              </w:rPr>
              <w:t>交易所市场交易费用</w:t>
            </w:r>
          </w:p>
        </w:tc>
        <w:tc>
          <w:tcPr>
            <w:tcW w:w="3114" w:type="dxa"/>
            <w:vAlign w:val="center"/>
          </w:tcPr>
          <w:p w:rsidR="000E6BAE" w:rsidRDefault="00CD6463">
            <w:pPr>
              <w:spacing w:line="360" w:lineRule="auto"/>
              <w:jc w:val="right"/>
              <w:rPr>
                <w:rFonts w:eastAsiaTheme="minorEastAsia"/>
                <w:color w:val="000000" w:themeColor="text1"/>
                <w:szCs w:val="21"/>
              </w:rPr>
            </w:pPr>
            <w:r>
              <w:rPr>
                <w:rFonts w:eastAsiaTheme="minorEastAsia"/>
                <w:color w:val="000000" w:themeColor="text1"/>
                <w:szCs w:val="21"/>
              </w:rPr>
              <w:t>-</w:t>
            </w:r>
          </w:p>
        </w:tc>
        <w:tc>
          <w:tcPr>
            <w:tcW w:w="3553" w:type="dxa"/>
            <w:vAlign w:val="center"/>
          </w:tcPr>
          <w:p w:rsidR="000E6BAE" w:rsidRDefault="00CD6463">
            <w:pPr>
              <w:spacing w:line="360" w:lineRule="auto"/>
              <w:jc w:val="right"/>
              <w:rPr>
                <w:rFonts w:eastAsiaTheme="minorEastAsia"/>
                <w:color w:val="000000" w:themeColor="text1"/>
                <w:szCs w:val="21"/>
              </w:rPr>
            </w:pPr>
            <w:r>
              <w:rPr>
                <w:rFonts w:eastAsiaTheme="minorEastAsia"/>
                <w:color w:val="000000" w:themeColor="text1"/>
                <w:szCs w:val="21"/>
              </w:rPr>
              <w:t>143.09</w:t>
            </w:r>
          </w:p>
        </w:tc>
      </w:tr>
      <w:tr w:rsidR="000E6BAE">
        <w:trPr>
          <w:trHeight w:val="285"/>
        </w:trPr>
        <w:tc>
          <w:tcPr>
            <w:tcW w:w="2528" w:type="dxa"/>
            <w:vAlign w:val="center"/>
          </w:tcPr>
          <w:p w:rsidR="000E6BAE" w:rsidRDefault="00CD6463">
            <w:pPr>
              <w:spacing w:line="360" w:lineRule="auto"/>
              <w:rPr>
                <w:rFonts w:eastAsiaTheme="minorEastAsia"/>
                <w:color w:val="000000" w:themeColor="text1"/>
                <w:szCs w:val="21"/>
              </w:rPr>
            </w:pPr>
            <w:r>
              <w:rPr>
                <w:rFonts w:eastAsiaTheme="minorEastAsia"/>
                <w:color w:val="000000" w:themeColor="text1"/>
                <w:szCs w:val="21"/>
              </w:rPr>
              <w:t>银行间市场交易费用</w:t>
            </w:r>
          </w:p>
        </w:tc>
        <w:tc>
          <w:tcPr>
            <w:tcW w:w="3114" w:type="dxa"/>
            <w:vAlign w:val="center"/>
          </w:tcPr>
          <w:p w:rsidR="000E6BAE" w:rsidRDefault="00CD6463">
            <w:pPr>
              <w:spacing w:line="360" w:lineRule="auto"/>
              <w:jc w:val="right"/>
              <w:rPr>
                <w:rFonts w:eastAsiaTheme="minorEastAsia"/>
                <w:color w:val="000000" w:themeColor="text1"/>
                <w:szCs w:val="21"/>
              </w:rPr>
            </w:pPr>
            <w:r>
              <w:rPr>
                <w:rFonts w:eastAsiaTheme="minorEastAsia"/>
                <w:color w:val="000000" w:themeColor="text1"/>
                <w:szCs w:val="21"/>
              </w:rPr>
              <w:t>77,175.00</w:t>
            </w:r>
          </w:p>
        </w:tc>
        <w:tc>
          <w:tcPr>
            <w:tcW w:w="3553" w:type="dxa"/>
            <w:vAlign w:val="center"/>
          </w:tcPr>
          <w:p w:rsidR="000E6BAE" w:rsidRDefault="00CD6463">
            <w:pPr>
              <w:spacing w:line="360" w:lineRule="auto"/>
              <w:jc w:val="right"/>
              <w:rPr>
                <w:rFonts w:eastAsiaTheme="minorEastAsia"/>
                <w:color w:val="000000" w:themeColor="text1"/>
                <w:szCs w:val="21"/>
              </w:rPr>
            </w:pPr>
            <w:r>
              <w:rPr>
                <w:rFonts w:eastAsiaTheme="minorEastAsia"/>
                <w:color w:val="000000" w:themeColor="text1"/>
                <w:szCs w:val="21"/>
              </w:rPr>
              <w:t>38,225.00</w:t>
            </w:r>
          </w:p>
        </w:tc>
      </w:tr>
      <w:tr w:rsidR="000E6BAE">
        <w:trPr>
          <w:trHeight w:val="285"/>
        </w:trPr>
        <w:tc>
          <w:tcPr>
            <w:tcW w:w="2528" w:type="dxa"/>
            <w:vAlign w:val="center"/>
          </w:tcPr>
          <w:p w:rsidR="000E6BAE" w:rsidRDefault="00CD6463">
            <w:pPr>
              <w:spacing w:line="360" w:lineRule="auto"/>
              <w:rPr>
                <w:rFonts w:eastAsiaTheme="minorEastAsia"/>
                <w:color w:val="000000" w:themeColor="text1"/>
                <w:szCs w:val="21"/>
              </w:rPr>
            </w:pPr>
            <w:r>
              <w:rPr>
                <w:rFonts w:eastAsiaTheme="minorEastAsia"/>
                <w:color w:val="000000" w:themeColor="text1"/>
                <w:szCs w:val="21"/>
                <w:lang w:val="en-AU"/>
              </w:rPr>
              <w:t>合计</w:t>
            </w:r>
          </w:p>
        </w:tc>
        <w:tc>
          <w:tcPr>
            <w:tcW w:w="3114" w:type="dxa"/>
            <w:vAlign w:val="center"/>
          </w:tcPr>
          <w:p w:rsidR="000E6BAE" w:rsidRDefault="00CD6463">
            <w:pPr>
              <w:spacing w:line="360" w:lineRule="auto"/>
              <w:jc w:val="right"/>
              <w:rPr>
                <w:rFonts w:eastAsiaTheme="minorEastAsia"/>
                <w:color w:val="000000" w:themeColor="text1"/>
                <w:szCs w:val="21"/>
              </w:rPr>
            </w:pPr>
            <w:r>
              <w:rPr>
                <w:rFonts w:eastAsiaTheme="minorEastAsia"/>
                <w:color w:val="000000" w:themeColor="text1"/>
                <w:szCs w:val="21"/>
              </w:rPr>
              <w:t>77,175.00</w:t>
            </w:r>
          </w:p>
        </w:tc>
        <w:tc>
          <w:tcPr>
            <w:tcW w:w="3553" w:type="dxa"/>
            <w:vAlign w:val="center"/>
          </w:tcPr>
          <w:p w:rsidR="000E6BAE" w:rsidRDefault="00CD6463">
            <w:pPr>
              <w:spacing w:line="360" w:lineRule="auto"/>
              <w:jc w:val="right"/>
              <w:rPr>
                <w:rFonts w:eastAsiaTheme="minorEastAsia"/>
                <w:color w:val="000000" w:themeColor="text1"/>
                <w:szCs w:val="21"/>
              </w:rPr>
            </w:pPr>
            <w:r>
              <w:rPr>
                <w:rFonts w:eastAsiaTheme="minorEastAsia"/>
                <w:color w:val="000000" w:themeColor="text1"/>
                <w:szCs w:val="21"/>
              </w:rPr>
              <w:t>38,368.09</w:t>
            </w:r>
          </w:p>
        </w:tc>
      </w:tr>
    </w:tbl>
    <w:p w:rsidR="000E6BAE" w:rsidRDefault="00CD6463">
      <w:pPr>
        <w:spacing w:before="29" w:line="288" w:lineRule="auto"/>
        <w:rPr>
          <w:rFonts w:eastAsiaTheme="minorEastAsia"/>
          <w:b/>
          <w:sz w:val="24"/>
        </w:rPr>
      </w:pPr>
      <w:r>
        <w:rPr>
          <w:rFonts w:eastAsiaTheme="minorEastAsia"/>
          <w:b/>
          <w:sz w:val="24"/>
        </w:rPr>
        <w:t>7.4.7.20</w:t>
      </w:r>
      <w:r>
        <w:rPr>
          <w:rFonts w:eastAsiaTheme="minorEastAsia" w:hint="eastAsia"/>
          <w:b/>
          <w:sz w:val="24"/>
        </w:rPr>
        <w:t>其他费用</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2856"/>
        <w:gridCol w:w="3323"/>
      </w:tblGrid>
      <w:tr w:rsidR="000E6BAE">
        <w:tc>
          <w:tcPr>
            <w:tcW w:w="2855"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项目</w:t>
            </w:r>
          </w:p>
        </w:tc>
        <w:tc>
          <w:tcPr>
            <w:tcW w:w="2893" w:type="dxa"/>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本期</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w:t>
            </w:r>
            <w:r>
              <w:rPr>
                <w:rFonts w:hint="eastAsia"/>
                <w:color w:val="000000"/>
                <w:sz w:val="24"/>
              </w:rPr>
              <w:t>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c>
          <w:tcPr>
            <w:tcW w:w="3367" w:type="dxa"/>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上年度可比期间</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2019</w:t>
            </w:r>
            <w:r>
              <w:rPr>
                <w:color w:val="000000"/>
                <w:sz w:val="24"/>
              </w:rPr>
              <w:t>年</w:t>
            </w:r>
            <w:r>
              <w:rPr>
                <w:color w:val="000000"/>
                <w:sz w:val="24"/>
              </w:rPr>
              <w:t>1</w:t>
            </w:r>
            <w:r>
              <w:rPr>
                <w:color w:val="000000"/>
                <w:sz w:val="24"/>
              </w:rPr>
              <w:t>月</w:t>
            </w:r>
            <w:r>
              <w:rPr>
                <w:color w:val="000000"/>
                <w:sz w:val="24"/>
              </w:rPr>
              <w:t>1</w:t>
            </w:r>
            <w:r>
              <w:rPr>
                <w:color w:val="000000"/>
                <w:sz w:val="24"/>
              </w:rPr>
              <w:t>日至</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c>
          <w:tcPr>
            <w:tcW w:w="2855" w:type="dxa"/>
            <w:vAlign w:val="center"/>
          </w:tcPr>
          <w:p w:rsidR="000E6BAE" w:rsidRDefault="00CD6463">
            <w:pPr>
              <w:spacing w:before="29" w:line="288" w:lineRule="auto"/>
              <w:rPr>
                <w:sz w:val="24"/>
              </w:rPr>
            </w:pPr>
            <w:r>
              <w:rPr>
                <w:rFonts w:hint="eastAsia"/>
                <w:sz w:val="24"/>
              </w:rPr>
              <w:t>审计费用</w:t>
            </w:r>
          </w:p>
        </w:tc>
        <w:tc>
          <w:tcPr>
            <w:tcW w:w="2893" w:type="dxa"/>
            <w:vAlign w:val="bottom"/>
          </w:tcPr>
          <w:p w:rsidR="000E6BAE" w:rsidRDefault="00CD6463">
            <w:pPr>
              <w:spacing w:before="29" w:line="288" w:lineRule="auto"/>
              <w:jc w:val="right"/>
              <w:rPr>
                <w:color w:val="000000"/>
                <w:kern w:val="0"/>
                <w:sz w:val="24"/>
              </w:rPr>
            </w:pPr>
            <w:r>
              <w:rPr>
                <w:color w:val="000000"/>
                <w:kern w:val="0"/>
                <w:sz w:val="24"/>
              </w:rPr>
              <w:t>80,000.00</w:t>
            </w:r>
          </w:p>
        </w:tc>
        <w:tc>
          <w:tcPr>
            <w:tcW w:w="3367" w:type="dxa"/>
            <w:vAlign w:val="bottom"/>
          </w:tcPr>
          <w:p w:rsidR="000E6BAE" w:rsidRDefault="00CD6463">
            <w:pPr>
              <w:spacing w:before="29" w:line="288" w:lineRule="auto"/>
              <w:jc w:val="right"/>
              <w:rPr>
                <w:color w:val="000000"/>
                <w:kern w:val="0"/>
                <w:sz w:val="24"/>
              </w:rPr>
            </w:pPr>
            <w:r>
              <w:rPr>
                <w:color w:val="000000"/>
                <w:kern w:val="0"/>
                <w:sz w:val="24"/>
              </w:rPr>
              <w:t>70,000.00</w:t>
            </w:r>
          </w:p>
        </w:tc>
      </w:tr>
      <w:tr w:rsidR="000E6BAE">
        <w:tc>
          <w:tcPr>
            <w:tcW w:w="2855" w:type="dxa"/>
            <w:vAlign w:val="center"/>
          </w:tcPr>
          <w:p w:rsidR="000E6BAE" w:rsidRDefault="00CD6463">
            <w:pPr>
              <w:spacing w:before="29" w:line="288" w:lineRule="auto"/>
              <w:rPr>
                <w:sz w:val="24"/>
              </w:rPr>
            </w:pPr>
            <w:r>
              <w:rPr>
                <w:rFonts w:hint="eastAsia"/>
                <w:sz w:val="24"/>
              </w:rPr>
              <w:t>信息披露费</w:t>
            </w:r>
          </w:p>
        </w:tc>
        <w:tc>
          <w:tcPr>
            <w:tcW w:w="2893" w:type="dxa"/>
            <w:vAlign w:val="bottom"/>
          </w:tcPr>
          <w:p w:rsidR="000E6BAE" w:rsidRDefault="00CD6463">
            <w:pPr>
              <w:spacing w:before="29" w:line="288" w:lineRule="auto"/>
              <w:jc w:val="right"/>
              <w:rPr>
                <w:color w:val="000000"/>
                <w:kern w:val="0"/>
                <w:sz w:val="24"/>
              </w:rPr>
            </w:pPr>
            <w:r>
              <w:rPr>
                <w:color w:val="000000"/>
                <w:kern w:val="0"/>
                <w:sz w:val="24"/>
              </w:rPr>
              <w:t>120,000.00</w:t>
            </w:r>
          </w:p>
        </w:tc>
        <w:tc>
          <w:tcPr>
            <w:tcW w:w="3367" w:type="dxa"/>
            <w:vAlign w:val="bottom"/>
          </w:tcPr>
          <w:p w:rsidR="000E6BAE" w:rsidRDefault="00CD6463">
            <w:pPr>
              <w:spacing w:before="29" w:line="288" w:lineRule="auto"/>
              <w:jc w:val="right"/>
              <w:rPr>
                <w:color w:val="000000"/>
                <w:kern w:val="0"/>
                <w:sz w:val="24"/>
              </w:rPr>
            </w:pPr>
            <w:r>
              <w:rPr>
                <w:color w:val="000000"/>
                <w:kern w:val="0"/>
                <w:sz w:val="24"/>
              </w:rPr>
              <w:t>120,000.00</w:t>
            </w:r>
          </w:p>
        </w:tc>
      </w:tr>
      <w:tr w:rsidR="000E6BAE">
        <w:tc>
          <w:tcPr>
            <w:tcW w:w="2819" w:type="dxa"/>
            <w:vAlign w:val="center"/>
          </w:tcPr>
          <w:p w:rsidR="000E6BAE" w:rsidRDefault="00CD6463">
            <w:pPr>
              <w:jc w:val="left"/>
            </w:pPr>
            <w:r>
              <w:rPr>
                <w:sz w:val="24"/>
              </w:rPr>
              <w:t>律师费</w:t>
            </w:r>
          </w:p>
        </w:tc>
        <w:tc>
          <w:tcPr>
            <w:tcW w:w="2856" w:type="dxa"/>
            <w:vAlign w:val="center"/>
          </w:tcPr>
          <w:p w:rsidR="000E6BAE" w:rsidRDefault="00CD6463">
            <w:pPr>
              <w:jc w:val="right"/>
            </w:pPr>
            <w:r>
              <w:rPr>
                <w:sz w:val="24"/>
              </w:rPr>
              <w:t>-</w:t>
            </w:r>
          </w:p>
        </w:tc>
        <w:tc>
          <w:tcPr>
            <w:tcW w:w="3323" w:type="dxa"/>
            <w:vAlign w:val="center"/>
          </w:tcPr>
          <w:p w:rsidR="000E6BAE" w:rsidRDefault="00CD6463">
            <w:pPr>
              <w:jc w:val="right"/>
            </w:pPr>
            <w:r>
              <w:rPr>
                <w:sz w:val="24"/>
              </w:rPr>
              <w:t>40,000.00</w:t>
            </w:r>
          </w:p>
        </w:tc>
      </w:tr>
      <w:tr w:rsidR="000E6BAE">
        <w:tc>
          <w:tcPr>
            <w:tcW w:w="2819" w:type="dxa"/>
            <w:vAlign w:val="center"/>
          </w:tcPr>
          <w:p w:rsidR="000E6BAE" w:rsidRDefault="00CD6463">
            <w:pPr>
              <w:jc w:val="left"/>
            </w:pPr>
            <w:r>
              <w:rPr>
                <w:sz w:val="24"/>
              </w:rPr>
              <w:t>债券账户维护费</w:t>
            </w:r>
          </w:p>
        </w:tc>
        <w:tc>
          <w:tcPr>
            <w:tcW w:w="2856" w:type="dxa"/>
            <w:vAlign w:val="center"/>
          </w:tcPr>
          <w:p w:rsidR="000E6BAE" w:rsidRDefault="00CD6463">
            <w:pPr>
              <w:jc w:val="right"/>
            </w:pPr>
            <w:r>
              <w:rPr>
                <w:sz w:val="24"/>
              </w:rPr>
              <w:t>37,200.00</w:t>
            </w:r>
          </w:p>
        </w:tc>
        <w:tc>
          <w:tcPr>
            <w:tcW w:w="3323" w:type="dxa"/>
            <w:vAlign w:val="center"/>
          </w:tcPr>
          <w:p w:rsidR="000E6BAE" w:rsidRDefault="00CD6463">
            <w:pPr>
              <w:jc w:val="right"/>
            </w:pPr>
            <w:r>
              <w:rPr>
                <w:sz w:val="24"/>
              </w:rPr>
              <w:t>37,200.00</w:t>
            </w:r>
          </w:p>
        </w:tc>
      </w:tr>
      <w:tr w:rsidR="000E6BAE">
        <w:tc>
          <w:tcPr>
            <w:tcW w:w="2819" w:type="dxa"/>
            <w:vAlign w:val="center"/>
          </w:tcPr>
          <w:p w:rsidR="000E6BAE" w:rsidRDefault="00CD6463">
            <w:pPr>
              <w:jc w:val="left"/>
            </w:pPr>
            <w:r>
              <w:rPr>
                <w:sz w:val="24"/>
              </w:rPr>
              <w:t>公证费</w:t>
            </w:r>
          </w:p>
        </w:tc>
        <w:tc>
          <w:tcPr>
            <w:tcW w:w="2856" w:type="dxa"/>
            <w:vAlign w:val="center"/>
          </w:tcPr>
          <w:p w:rsidR="000E6BAE" w:rsidRDefault="00CD6463">
            <w:pPr>
              <w:jc w:val="right"/>
            </w:pPr>
            <w:r>
              <w:rPr>
                <w:sz w:val="24"/>
              </w:rPr>
              <w:t>-</w:t>
            </w:r>
          </w:p>
        </w:tc>
        <w:tc>
          <w:tcPr>
            <w:tcW w:w="3323" w:type="dxa"/>
            <w:vAlign w:val="center"/>
          </w:tcPr>
          <w:p w:rsidR="000E6BAE" w:rsidRDefault="00CD6463">
            <w:pPr>
              <w:jc w:val="right"/>
            </w:pPr>
            <w:r>
              <w:rPr>
                <w:sz w:val="24"/>
              </w:rPr>
              <w:t>10,000.00</w:t>
            </w:r>
          </w:p>
        </w:tc>
      </w:tr>
      <w:tr w:rsidR="000E6BAE">
        <w:tc>
          <w:tcPr>
            <w:tcW w:w="2819" w:type="dxa"/>
            <w:vAlign w:val="center"/>
          </w:tcPr>
          <w:p w:rsidR="000E6BAE" w:rsidRDefault="00CD6463">
            <w:pPr>
              <w:jc w:val="left"/>
            </w:pPr>
            <w:r>
              <w:rPr>
                <w:sz w:val="24"/>
              </w:rPr>
              <w:t>银行汇划费</w:t>
            </w:r>
          </w:p>
        </w:tc>
        <w:tc>
          <w:tcPr>
            <w:tcW w:w="2856" w:type="dxa"/>
            <w:vAlign w:val="center"/>
          </w:tcPr>
          <w:p w:rsidR="000E6BAE" w:rsidRDefault="00CD6463">
            <w:pPr>
              <w:jc w:val="right"/>
            </w:pPr>
            <w:r>
              <w:rPr>
                <w:sz w:val="24"/>
              </w:rPr>
              <w:t>2,221.92</w:t>
            </w:r>
          </w:p>
        </w:tc>
        <w:tc>
          <w:tcPr>
            <w:tcW w:w="3323" w:type="dxa"/>
            <w:vAlign w:val="center"/>
          </w:tcPr>
          <w:p w:rsidR="000E6BAE" w:rsidRDefault="00CD6463">
            <w:pPr>
              <w:jc w:val="right"/>
            </w:pPr>
            <w:r>
              <w:rPr>
                <w:sz w:val="24"/>
              </w:rPr>
              <w:t>9,390.18</w:t>
            </w:r>
          </w:p>
        </w:tc>
      </w:tr>
      <w:tr w:rsidR="000E6BAE">
        <w:tc>
          <w:tcPr>
            <w:tcW w:w="2819" w:type="dxa"/>
            <w:vAlign w:val="center"/>
          </w:tcPr>
          <w:p w:rsidR="000E6BAE" w:rsidRDefault="00CD6463">
            <w:pPr>
              <w:jc w:val="left"/>
            </w:pPr>
            <w:r>
              <w:rPr>
                <w:sz w:val="24"/>
              </w:rPr>
              <w:t>其他</w:t>
            </w:r>
          </w:p>
        </w:tc>
        <w:tc>
          <w:tcPr>
            <w:tcW w:w="2856" w:type="dxa"/>
            <w:vAlign w:val="center"/>
          </w:tcPr>
          <w:p w:rsidR="000E6BAE" w:rsidRDefault="00CD6463">
            <w:pPr>
              <w:jc w:val="right"/>
            </w:pPr>
            <w:r>
              <w:rPr>
                <w:sz w:val="24"/>
              </w:rPr>
              <w:t>-</w:t>
            </w:r>
          </w:p>
        </w:tc>
        <w:tc>
          <w:tcPr>
            <w:tcW w:w="3323" w:type="dxa"/>
            <w:vAlign w:val="center"/>
          </w:tcPr>
          <w:p w:rsidR="000E6BAE" w:rsidRDefault="00CD6463">
            <w:pPr>
              <w:jc w:val="right"/>
            </w:pPr>
            <w:r>
              <w:rPr>
                <w:sz w:val="24"/>
              </w:rPr>
              <w:t>-</w:t>
            </w:r>
          </w:p>
        </w:tc>
      </w:tr>
      <w:tr w:rsidR="000E6BAE">
        <w:tc>
          <w:tcPr>
            <w:tcW w:w="2855" w:type="dxa"/>
            <w:vAlign w:val="center"/>
          </w:tcPr>
          <w:p w:rsidR="000E6BAE" w:rsidRDefault="00CD6463">
            <w:pPr>
              <w:spacing w:before="29" w:line="288" w:lineRule="auto"/>
              <w:rPr>
                <w:rFonts w:asciiTheme="minorEastAsia" w:eastAsiaTheme="minorEastAsia" w:hAnsiTheme="minorEastAsia"/>
                <w:szCs w:val="21"/>
              </w:rPr>
            </w:pPr>
            <w:r>
              <w:rPr>
                <w:rFonts w:hint="eastAsia"/>
                <w:sz w:val="24"/>
              </w:rPr>
              <w:t>合计</w:t>
            </w:r>
          </w:p>
        </w:tc>
        <w:tc>
          <w:tcPr>
            <w:tcW w:w="2893" w:type="dxa"/>
            <w:vAlign w:val="center"/>
          </w:tcPr>
          <w:p w:rsidR="000E6BAE" w:rsidRDefault="00CD6463">
            <w:pPr>
              <w:spacing w:before="29" w:line="288" w:lineRule="auto"/>
              <w:jc w:val="right"/>
              <w:rPr>
                <w:color w:val="000000"/>
                <w:kern w:val="0"/>
                <w:sz w:val="24"/>
              </w:rPr>
            </w:pPr>
            <w:r>
              <w:rPr>
                <w:color w:val="000000"/>
                <w:kern w:val="0"/>
                <w:sz w:val="24"/>
              </w:rPr>
              <w:t>239,421.92</w:t>
            </w:r>
          </w:p>
        </w:tc>
        <w:tc>
          <w:tcPr>
            <w:tcW w:w="3367" w:type="dxa"/>
            <w:vAlign w:val="center"/>
          </w:tcPr>
          <w:p w:rsidR="000E6BAE" w:rsidRDefault="00CD6463">
            <w:pPr>
              <w:spacing w:before="29" w:line="288" w:lineRule="auto"/>
              <w:jc w:val="right"/>
              <w:rPr>
                <w:color w:val="000000"/>
                <w:kern w:val="0"/>
                <w:sz w:val="24"/>
              </w:rPr>
            </w:pPr>
            <w:r>
              <w:rPr>
                <w:color w:val="000000"/>
                <w:kern w:val="0"/>
                <w:sz w:val="24"/>
              </w:rPr>
              <w:t>286,590.18</w:t>
            </w:r>
          </w:p>
        </w:tc>
      </w:tr>
    </w:tbl>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7.4.8</w:t>
      </w:r>
      <w:r>
        <w:rPr>
          <w:rFonts w:eastAsiaTheme="minorEastAsia" w:hint="eastAsia"/>
          <w:b/>
          <w:sz w:val="24"/>
        </w:rPr>
        <w:t>或有事项、资产负债表日后事项的说明</w:t>
      </w:r>
    </w:p>
    <w:p w:rsidR="000E6BAE" w:rsidRDefault="00CD6463">
      <w:pPr>
        <w:spacing w:before="29" w:line="288" w:lineRule="auto"/>
        <w:rPr>
          <w:rFonts w:eastAsiaTheme="minorEastAsia"/>
          <w:b/>
          <w:sz w:val="24"/>
        </w:rPr>
      </w:pPr>
      <w:r>
        <w:rPr>
          <w:rFonts w:eastAsiaTheme="minorEastAsia"/>
          <w:b/>
          <w:sz w:val="24"/>
        </w:rPr>
        <w:t xml:space="preserve">7.4.8.1 </w:t>
      </w:r>
      <w:r>
        <w:rPr>
          <w:rFonts w:eastAsiaTheme="minorEastAsia" w:hint="eastAsia"/>
          <w:b/>
          <w:sz w:val="24"/>
        </w:rPr>
        <w:t>或有事项</w:t>
      </w:r>
    </w:p>
    <w:p w:rsidR="000E6BAE" w:rsidRDefault="00CD6463">
      <w:pPr>
        <w:spacing w:before="29" w:line="288" w:lineRule="auto"/>
        <w:ind w:firstLineChars="200" w:firstLine="480"/>
        <w:rPr>
          <w:kern w:val="0"/>
          <w:sz w:val="24"/>
        </w:rPr>
      </w:pPr>
      <w:r>
        <w:rPr>
          <w:kern w:val="0"/>
          <w:sz w:val="24"/>
        </w:rPr>
        <w:t>无。</w:t>
      </w:r>
    </w:p>
    <w:p w:rsidR="000E6BAE" w:rsidRDefault="000E6BAE">
      <w:pPr>
        <w:autoSpaceDE w:val="0"/>
        <w:autoSpaceDN w:val="0"/>
        <w:adjustRightInd w:val="0"/>
        <w:spacing w:line="360" w:lineRule="auto"/>
        <w:jc w:val="left"/>
        <w:rPr>
          <w:rFonts w:asciiTheme="minorEastAsia" w:eastAsiaTheme="minorEastAsia" w:hAnsiTheme="minorEastAsia"/>
          <w:color w:val="000000"/>
          <w:kern w:val="0"/>
          <w:szCs w:val="21"/>
        </w:rPr>
      </w:pPr>
    </w:p>
    <w:p w:rsidR="000E6BAE" w:rsidRDefault="00CD6463">
      <w:pPr>
        <w:spacing w:before="29" w:line="288" w:lineRule="auto"/>
        <w:rPr>
          <w:rFonts w:eastAsiaTheme="minorEastAsia"/>
          <w:b/>
          <w:sz w:val="24"/>
        </w:rPr>
      </w:pPr>
      <w:r>
        <w:rPr>
          <w:rFonts w:eastAsiaTheme="minorEastAsia"/>
          <w:b/>
          <w:sz w:val="24"/>
        </w:rPr>
        <w:t xml:space="preserve">7.4.8.2 </w:t>
      </w:r>
      <w:r>
        <w:rPr>
          <w:rFonts w:eastAsiaTheme="minorEastAsia" w:hint="eastAsia"/>
          <w:b/>
          <w:sz w:val="24"/>
        </w:rPr>
        <w:t>资产负债表日后事项</w:t>
      </w:r>
    </w:p>
    <w:p w:rsidR="000E6BAE" w:rsidRDefault="00CD6463">
      <w:pPr>
        <w:spacing w:before="29" w:line="288" w:lineRule="auto"/>
        <w:ind w:firstLineChars="200" w:firstLine="480"/>
        <w:rPr>
          <w:kern w:val="0"/>
          <w:sz w:val="24"/>
        </w:rPr>
      </w:pPr>
      <w:r>
        <w:rPr>
          <w:kern w:val="0"/>
          <w:sz w:val="24"/>
        </w:rPr>
        <w:t>无。</w:t>
      </w:r>
    </w:p>
    <w:p w:rsidR="000E6BAE" w:rsidRDefault="000E6BAE">
      <w:pPr>
        <w:spacing w:before="29" w:line="288" w:lineRule="auto"/>
        <w:rPr>
          <w:rFonts w:eastAsiaTheme="minorEastAsia"/>
          <w:b/>
          <w:sz w:val="24"/>
        </w:rPr>
      </w:pPr>
    </w:p>
    <w:p w:rsidR="000E6BAE" w:rsidRDefault="00CD6463">
      <w:pPr>
        <w:spacing w:before="29" w:line="288" w:lineRule="auto"/>
        <w:rPr>
          <w:b/>
          <w:bCs/>
          <w:color w:val="000000"/>
          <w:kern w:val="0"/>
          <w:sz w:val="24"/>
        </w:rPr>
      </w:pPr>
      <w:r>
        <w:rPr>
          <w:b/>
          <w:bCs/>
          <w:color w:val="000000"/>
          <w:kern w:val="0"/>
          <w:sz w:val="24"/>
        </w:rPr>
        <w:t>7.4.9</w:t>
      </w:r>
      <w:r>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0E6BAE">
        <w:tc>
          <w:tcPr>
            <w:tcW w:w="5220" w:type="dxa"/>
          </w:tcPr>
          <w:p w:rsidR="000E6BAE" w:rsidRDefault="00CD6463">
            <w:pPr>
              <w:spacing w:before="29" w:line="288" w:lineRule="auto"/>
              <w:jc w:val="center"/>
              <w:rPr>
                <w:color w:val="000000"/>
                <w:sz w:val="24"/>
              </w:rPr>
            </w:pPr>
            <w:r>
              <w:rPr>
                <w:rFonts w:hint="eastAsia"/>
                <w:color w:val="000000"/>
                <w:sz w:val="24"/>
              </w:rPr>
              <w:t>关联方名称</w:t>
            </w:r>
          </w:p>
        </w:tc>
        <w:tc>
          <w:tcPr>
            <w:tcW w:w="3780" w:type="dxa"/>
          </w:tcPr>
          <w:p w:rsidR="000E6BAE" w:rsidRDefault="00CD6463">
            <w:pPr>
              <w:spacing w:before="29" w:line="288" w:lineRule="auto"/>
              <w:jc w:val="center"/>
              <w:rPr>
                <w:color w:val="000000"/>
                <w:sz w:val="24"/>
              </w:rPr>
            </w:pPr>
            <w:r>
              <w:rPr>
                <w:rFonts w:hint="eastAsia"/>
                <w:color w:val="000000"/>
                <w:sz w:val="24"/>
              </w:rPr>
              <w:t>与本基金的关系</w:t>
            </w:r>
          </w:p>
        </w:tc>
      </w:tr>
      <w:tr w:rsidR="000E6BAE">
        <w:tc>
          <w:tcPr>
            <w:tcW w:w="5220" w:type="dxa"/>
            <w:vAlign w:val="center"/>
          </w:tcPr>
          <w:p w:rsidR="000E6BAE" w:rsidRDefault="00CD646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0E6BAE" w:rsidRDefault="00CD6463">
            <w:pPr>
              <w:jc w:val="center"/>
            </w:pPr>
            <w:r>
              <w:rPr>
                <w:color w:val="000000"/>
                <w:sz w:val="24"/>
              </w:rPr>
              <w:t>基金管理人、基金销售机构</w:t>
            </w:r>
          </w:p>
        </w:tc>
      </w:tr>
      <w:tr w:rsidR="000E6BAE">
        <w:tc>
          <w:tcPr>
            <w:tcW w:w="5220" w:type="dxa"/>
            <w:vAlign w:val="center"/>
          </w:tcPr>
          <w:p w:rsidR="000E6BAE" w:rsidRDefault="00CD6463">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0E6BAE" w:rsidRDefault="00CD6463">
            <w:pPr>
              <w:jc w:val="center"/>
            </w:pPr>
            <w:r>
              <w:rPr>
                <w:color w:val="000000"/>
                <w:sz w:val="24"/>
              </w:rPr>
              <w:t>基金托管人、基金销售机构</w:t>
            </w:r>
          </w:p>
        </w:tc>
      </w:tr>
      <w:tr w:rsidR="000E6BAE">
        <w:tc>
          <w:tcPr>
            <w:tcW w:w="5220" w:type="dxa"/>
            <w:vAlign w:val="center"/>
          </w:tcPr>
          <w:p w:rsidR="000E6BAE" w:rsidRDefault="00CD646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0E6BAE" w:rsidRDefault="00CD6463">
            <w:pPr>
              <w:jc w:val="center"/>
            </w:pPr>
            <w:r>
              <w:rPr>
                <w:color w:val="000000"/>
                <w:sz w:val="24"/>
              </w:rPr>
              <w:t>基金管理人的股东、基金销售机构</w:t>
            </w:r>
          </w:p>
        </w:tc>
      </w:tr>
      <w:tr w:rsidR="000E6BAE">
        <w:tc>
          <w:tcPr>
            <w:tcW w:w="5220" w:type="dxa"/>
            <w:vAlign w:val="center"/>
          </w:tcPr>
          <w:p w:rsidR="000E6BAE" w:rsidRDefault="00CD6463">
            <w:pPr>
              <w:jc w:val="left"/>
            </w:pPr>
            <w:r>
              <w:rPr>
                <w:color w:val="000000"/>
                <w:sz w:val="24"/>
              </w:rPr>
              <w:t>施罗德投资管理有限公司</w:t>
            </w:r>
          </w:p>
        </w:tc>
        <w:tc>
          <w:tcPr>
            <w:tcW w:w="3780" w:type="dxa"/>
            <w:vAlign w:val="center"/>
          </w:tcPr>
          <w:p w:rsidR="000E6BAE" w:rsidRDefault="00CD6463">
            <w:pPr>
              <w:jc w:val="center"/>
            </w:pPr>
            <w:r>
              <w:rPr>
                <w:color w:val="000000"/>
                <w:sz w:val="24"/>
              </w:rPr>
              <w:t>基金管理人的股东</w:t>
            </w:r>
          </w:p>
        </w:tc>
      </w:tr>
      <w:tr w:rsidR="000E6BAE">
        <w:tc>
          <w:tcPr>
            <w:tcW w:w="5220" w:type="dxa"/>
            <w:vAlign w:val="center"/>
          </w:tcPr>
          <w:p w:rsidR="000E6BAE" w:rsidRDefault="00CD6463">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0E6BAE" w:rsidRDefault="00CD6463">
            <w:pPr>
              <w:jc w:val="center"/>
            </w:pPr>
            <w:r>
              <w:rPr>
                <w:color w:val="000000"/>
                <w:sz w:val="24"/>
              </w:rPr>
              <w:t>基金管理人的股东</w:t>
            </w:r>
          </w:p>
        </w:tc>
      </w:tr>
      <w:tr w:rsidR="000E6BAE">
        <w:tc>
          <w:tcPr>
            <w:tcW w:w="5220" w:type="dxa"/>
            <w:vAlign w:val="center"/>
          </w:tcPr>
          <w:p w:rsidR="000E6BAE" w:rsidRDefault="00CD6463">
            <w:pPr>
              <w:jc w:val="left"/>
            </w:pPr>
            <w:r>
              <w:rPr>
                <w:color w:val="000000"/>
                <w:sz w:val="24"/>
              </w:rPr>
              <w:t>交银施罗德资产管理有限公司</w:t>
            </w:r>
          </w:p>
        </w:tc>
        <w:tc>
          <w:tcPr>
            <w:tcW w:w="3780" w:type="dxa"/>
            <w:vAlign w:val="center"/>
          </w:tcPr>
          <w:p w:rsidR="000E6BAE" w:rsidRDefault="00CD6463">
            <w:pPr>
              <w:jc w:val="center"/>
            </w:pPr>
            <w:r>
              <w:rPr>
                <w:color w:val="000000"/>
                <w:sz w:val="24"/>
              </w:rPr>
              <w:t>基金管理人的子公司</w:t>
            </w:r>
          </w:p>
        </w:tc>
      </w:tr>
      <w:tr w:rsidR="000E6BAE">
        <w:tc>
          <w:tcPr>
            <w:tcW w:w="5220" w:type="dxa"/>
            <w:vAlign w:val="center"/>
          </w:tcPr>
          <w:p w:rsidR="000E6BAE" w:rsidRDefault="00CD6463">
            <w:pPr>
              <w:jc w:val="left"/>
            </w:pPr>
            <w:r>
              <w:rPr>
                <w:color w:val="000000"/>
                <w:sz w:val="24"/>
              </w:rPr>
              <w:t>上海直源投资管理有限公司</w:t>
            </w:r>
          </w:p>
        </w:tc>
        <w:tc>
          <w:tcPr>
            <w:tcW w:w="3780" w:type="dxa"/>
            <w:vAlign w:val="center"/>
          </w:tcPr>
          <w:p w:rsidR="000E6BAE" w:rsidRDefault="00CD6463">
            <w:pPr>
              <w:jc w:val="center"/>
            </w:pPr>
            <w:r>
              <w:rPr>
                <w:color w:val="000000"/>
                <w:sz w:val="24"/>
              </w:rPr>
              <w:t>受基金管理人控制的公司</w:t>
            </w:r>
          </w:p>
        </w:tc>
      </w:tr>
    </w:tbl>
    <w:p w:rsidR="000E6BAE" w:rsidRDefault="00CD6463">
      <w:pPr>
        <w:tabs>
          <w:tab w:val="left" w:pos="426"/>
        </w:tabs>
        <w:spacing w:before="29" w:line="288" w:lineRule="auto"/>
        <w:jc w:val="left"/>
        <w:rPr>
          <w:kern w:val="0"/>
          <w:sz w:val="24"/>
        </w:rPr>
      </w:pPr>
      <w:r>
        <w:rPr>
          <w:kern w:val="0"/>
          <w:sz w:val="24"/>
        </w:rPr>
        <w:t>注：下述关联交易均在正常业务范围内按一般商业条款订立。</w:t>
      </w:r>
    </w:p>
    <w:p w:rsidR="000E6BAE" w:rsidRDefault="00CD6463">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ab/>
      </w:r>
    </w:p>
    <w:p w:rsidR="000E6BAE" w:rsidRDefault="00CD6463">
      <w:pPr>
        <w:spacing w:before="29" w:line="288" w:lineRule="auto"/>
        <w:rPr>
          <w:rFonts w:eastAsiaTheme="minorEastAsia"/>
          <w:b/>
          <w:sz w:val="24"/>
        </w:rPr>
      </w:pPr>
      <w:r>
        <w:rPr>
          <w:rFonts w:eastAsiaTheme="minorEastAsia"/>
          <w:b/>
          <w:sz w:val="24"/>
        </w:rPr>
        <w:t>7.4.10</w:t>
      </w:r>
      <w:r>
        <w:rPr>
          <w:rFonts w:eastAsiaTheme="minorEastAsia" w:hint="eastAsia"/>
          <w:b/>
          <w:sz w:val="24"/>
        </w:rPr>
        <w:t>本报告期及上年度可比期间的关联方交易</w:t>
      </w:r>
    </w:p>
    <w:p w:rsidR="000E6BAE" w:rsidRDefault="00CD6463">
      <w:pPr>
        <w:spacing w:before="29" w:line="288" w:lineRule="auto"/>
        <w:rPr>
          <w:rFonts w:eastAsiaTheme="minorEastAsia"/>
          <w:b/>
          <w:sz w:val="24"/>
        </w:rPr>
      </w:pPr>
      <w:r>
        <w:rPr>
          <w:rFonts w:eastAsiaTheme="minorEastAsia"/>
          <w:b/>
          <w:sz w:val="24"/>
        </w:rPr>
        <w:t>7.4.10.1</w:t>
      </w:r>
      <w:r>
        <w:rPr>
          <w:rFonts w:eastAsiaTheme="minorEastAsia" w:hint="eastAsia"/>
          <w:b/>
          <w:sz w:val="24"/>
        </w:rPr>
        <w:t>通过关联方交易单元进行的交易</w:t>
      </w:r>
    </w:p>
    <w:p w:rsidR="000E6BAE" w:rsidRDefault="00CD6463">
      <w:pPr>
        <w:spacing w:before="29" w:line="288" w:lineRule="auto"/>
        <w:ind w:firstLineChars="200" w:firstLine="480"/>
        <w:rPr>
          <w:kern w:val="0"/>
          <w:sz w:val="24"/>
        </w:rPr>
      </w:pPr>
      <w:r>
        <w:rPr>
          <w:kern w:val="0"/>
          <w:sz w:val="24"/>
        </w:rPr>
        <w:t>本基金本报告期内及上年度可比期间无通过关联方交易单元进行的交易。</w:t>
      </w:r>
    </w:p>
    <w:p w:rsidR="000E6BAE" w:rsidRDefault="000E6BAE">
      <w:pPr>
        <w:spacing w:before="29" w:line="288" w:lineRule="auto"/>
        <w:ind w:firstLineChars="200" w:firstLine="480"/>
        <w:rPr>
          <w:kern w:val="0"/>
          <w:sz w:val="24"/>
        </w:rPr>
      </w:pPr>
    </w:p>
    <w:p w:rsidR="000E6BAE" w:rsidRDefault="00CD6463">
      <w:pPr>
        <w:spacing w:before="29" w:line="288" w:lineRule="auto"/>
        <w:rPr>
          <w:rFonts w:eastAsiaTheme="minorEastAsia"/>
          <w:b/>
          <w:sz w:val="24"/>
        </w:rPr>
      </w:pPr>
      <w:r>
        <w:rPr>
          <w:rFonts w:eastAsiaTheme="minorEastAsia"/>
          <w:b/>
          <w:sz w:val="24"/>
        </w:rPr>
        <w:t>7.4.10.2</w:t>
      </w:r>
      <w:r>
        <w:rPr>
          <w:rFonts w:eastAsiaTheme="minorEastAsia" w:hint="eastAsia"/>
          <w:b/>
          <w:sz w:val="24"/>
        </w:rPr>
        <w:t>关联方报酬</w:t>
      </w:r>
    </w:p>
    <w:p w:rsidR="000E6BAE" w:rsidRDefault="00CD6463">
      <w:pPr>
        <w:spacing w:before="29" w:line="288" w:lineRule="auto"/>
        <w:rPr>
          <w:rFonts w:eastAsiaTheme="minorEastAsia"/>
          <w:b/>
          <w:sz w:val="24"/>
        </w:rPr>
      </w:pPr>
      <w:r>
        <w:rPr>
          <w:rFonts w:eastAsiaTheme="minorEastAsia"/>
          <w:b/>
          <w:sz w:val="24"/>
        </w:rPr>
        <w:t>7.4.10.2.1</w:t>
      </w:r>
      <w:r>
        <w:rPr>
          <w:rFonts w:eastAsiaTheme="minorEastAsia" w:hint="eastAsia"/>
          <w:b/>
          <w:sz w:val="24"/>
        </w:rPr>
        <w:t>基金管理费</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0E6BAE">
        <w:tc>
          <w:tcPr>
            <w:tcW w:w="3686"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项目</w:t>
            </w:r>
          </w:p>
        </w:tc>
        <w:tc>
          <w:tcPr>
            <w:tcW w:w="2657" w:type="dxa"/>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本期</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w:t>
            </w:r>
            <w:r>
              <w:rPr>
                <w:rFonts w:hint="eastAsia"/>
                <w:color w:val="000000"/>
                <w:sz w:val="24"/>
              </w:rPr>
              <w:t>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c>
          <w:tcPr>
            <w:tcW w:w="2657" w:type="dxa"/>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上年度可比期间</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2019</w:t>
            </w:r>
            <w:r>
              <w:rPr>
                <w:color w:val="000000"/>
                <w:sz w:val="24"/>
              </w:rPr>
              <w:t>年</w:t>
            </w:r>
            <w:r>
              <w:rPr>
                <w:color w:val="000000"/>
                <w:sz w:val="24"/>
              </w:rPr>
              <w:t>1</w:t>
            </w:r>
            <w:r>
              <w:rPr>
                <w:color w:val="000000"/>
                <w:sz w:val="24"/>
              </w:rPr>
              <w:t>月</w:t>
            </w:r>
            <w:r>
              <w:rPr>
                <w:color w:val="000000"/>
                <w:sz w:val="24"/>
              </w:rPr>
              <w:t>1</w:t>
            </w:r>
            <w:r>
              <w:rPr>
                <w:color w:val="000000"/>
                <w:sz w:val="24"/>
              </w:rPr>
              <w:t>日至</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c>
          <w:tcPr>
            <w:tcW w:w="3686" w:type="dxa"/>
            <w:vAlign w:val="center"/>
          </w:tcPr>
          <w:p w:rsidR="000E6BAE" w:rsidRDefault="00CD6463">
            <w:pPr>
              <w:spacing w:before="29" w:line="288" w:lineRule="auto"/>
              <w:rPr>
                <w:sz w:val="24"/>
              </w:rPr>
            </w:pPr>
            <w:r>
              <w:rPr>
                <w:rFonts w:hint="eastAsia"/>
                <w:sz w:val="24"/>
              </w:rPr>
              <w:t>当期发生的基金应支付的管理费</w:t>
            </w:r>
          </w:p>
        </w:tc>
        <w:tc>
          <w:tcPr>
            <w:tcW w:w="2657" w:type="dxa"/>
            <w:vAlign w:val="center"/>
          </w:tcPr>
          <w:p w:rsidR="000E6BAE" w:rsidRDefault="00CD6463">
            <w:pPr>
              <w:spacing w:before="29" w:line="288" w:lineRule="auto"/>
              <w:jc w:val="right"/>
              <w:rPr>
                <w:color w:val="000000"/>
                <w:kern w:val="0"/>
                <w:sz w:val="24"/>
              </w:rPr>
            </w:pPr>
            <w:r>
              <w:rPr>
                <w:color w:val="000000"/>
                <w:kern w:val="0"/>
                <w:sz w:val="24"/>
              </w:rPr>
              <w:t>9,097,811.96</w:t>
            </w:r>
          </w:p>
        </w:tc>
        <w:tc>
          <w:tcPr>
            <w:tcW w:w="2657" w:type="dxa"/>
            <w:vAlign w:val="center"/>
          </w:tcPr>
          <w:p w:rsidR="000E6BAE" w:rsidRDefault="00CD6463">
            <w:pPr>
              <w:spacing w:before="29" w:line="288" w:lineRule="auto"/>
              <w:jc w:val="right"/>
              <w:rPr>
                <w:color w:val="000000"/>
                <w:kern w:val="0"/>
                <w:sz w:val="24"/>
              </w:rPr>
            </w:pPr>
            <w:r>
              <w:rPr>
                <w:color w:val="000000"/>
                <w:kern w:val="0"/>
                <w:sz w:val="24"/>
              </w:rPr>
              <w:t>5,150,448.21</w:t>
            </w:r>
          </w:p>
        </w:tc>
      </w:tr>
      <w:tr w:rsidR="000E6BAE">
        <w:tc>
          <w:tcPr>
            <w:tcW w:w="3686" w:type="dxa"/>
            <w:vAlign w:val="center"/>
          </w:tcPr>
          <w:p w:rsidR="000E6BAE" w:rsidRDefault="00CD6463">
            <w:pPr>
              <w:spacing w:before="29" w:line="288" w:lineRule="auto"/>
              <w:rPr>
                <w:sz w:val="24"/>
              </w:rPr>
            </w:pPr>
            <w:r>
              <w:rPr>
                <w:rFonts w:hint="eastAsia"/>
                <w:sz w:val="24"/>
              </w:rPr>
              <w:t>其中：支付销售机构的客户维护费</w:t>
            </w:r>
          </w:p>
        </w:tc>
        <w:tc>
          <w:tcPr>
            <w:tcW w:w="2657" w:type="dxa"/>
            <w:vAlign w:val="center"/>
          </w:tcPr>
          <w:p w:rsidR="000E6BAE" w:rsidRDefault="00CD6463">
            <w:pPr>
              <w:spacing w:before="29" w:line="288" w:lineRule="auto"/>
              <w:jc w:val="right"/>
              <w:rPr>
                <w:color w:val="000000"/>
                <w:kern w:val="0"/>
                <w:sz w:val="24"/>
              </w:rPr>
            </w:pPr>
            <w:r>
              <w:rPr>
                <w:color w:val="000000"/>
                <w:kern w:val="0"/>
                <w:sz w:val="24"/>
              </w:rPr>
              <w:t>434,919.75</w:t>
            </w:r>
          </w:p>
        </w:tc>
        <w:tc>
          <w:tcPr>
            <w:tcW w:w="2657" w:type="dxa"/>
            <w:vAlign w:val="center"/>
          </w:tcPr>
          <w:p w:rsidR="000E6BAE" w:rsidRDefault="00CD6463">
            <w:pPr>
              <w:spacing w:before="29" w:line="288" w:lineRule="auto"/>
              <w:jc w:val="right"/>
              <w:rPr>
                <w:color w:val="000000"/>
                <w:kern w:val="0"/>
                <w:sz w:val="24"/>
              </w:rPr>
            </w:pPr>
            <w:r>
              <w:rPr>
                <w:color w:val="000000"/>
                <w:kern w:val="0"/>
                <w:sz w:val="24"/>
              </w:rPr>
              <w:t>88,752.65</w:t>
            </w:r>
          </w:p>
        </w:tc>
      </w:tr>
    </w:tbl>
    <w:p w:rsidR="000E6BAE" w:rsidRDefault="00CD6463">
      <w:pPr>
        <w:tabs>
          <w:tab w:val="left" w:pos="426"/>
        </w:tabs>
        <w:spacing w:before="29" w:line="288" w:lineRule="auto"/>
        <w:jc w:val="left"/>
        <w:rPr>
          <w:kern w:val="0"/>
          <w:sz w:val="24"/>
        </w:rPr>
      </w:pPr>
      <w:r>
        <w:rPr>
          <w:kern w:val="0"/>
          <w:sz w:val="24"/>
        </w:rPr>
        <w:t>注：自</w:t>
      </w:r>
      <w:r>
        <w:rPr>
          <w:kern w:val="0"/>
          <w:sz w:val="24"/>
        </w:rPr>
        <w:t>2017</w:t>
      </w:r>
      <w:r>
        <w:rPr>
          <w:kern w:val="0"/>
          <w:sz w:val="24"/>
        </w:rPr>
        <w:t>年</w:t>
      </w:r>
      <w:r>
        <w:rPr>
          <w:kern w:val="0"/>
          <w:sz w:val="24"/>
        </w:rPr>
        <w:t>8</w:t>
      </w:r>
      <w:r>
        <w:rPr>
          <w:kern w:val="0"/>
          <w:sz w:val="24"/>
        </w:rPr>
        <w:t>月</w:t>
      </w:r>
      <w:r>
        <w:rPr>
          <w:kern w:val="0"/>
          <w:sz w:val="24"/>
        </w:rPr>
        <w:t>1</w:t>
      </w:r>
      <w:r>
        <w:rPr>
          <w:kern w:val="0"/>
          <w:sz w:val="24"/>
        </w:rPr>
        <w:t>日起，支付基金管理人的管理人报酬按前一日基金资产净值</w:t>
      </w:r>
      <w:r>
        <w:rPr>
          <w:kern w:val="0"/>
          <w:sz w:val="24"/>
        </w:rPr>
        <w:t>0.30%</w:t>
      </w:r>
      <w:r>
        <w:rPr>
          <w:kern w:val="0"/>
          <w:sz w:val="24"/>
        </w:rPr>
        <w:t>的年费率计提，逐日累计至每月月底，按月支付。其计算公式为：</w:t>
      </w:r>
    </w:p>
    <w:p w:rsidR="000E6BAE" w:rsidRDefault="00CD6463">
      <w:pPr>
        <w:tabs>
          <w:tab w:val="left" w:pos="426"/>
        </w:tabs>
        <w:spacing w:before="29" w:line="288" w:lineRule="auto"/>
        <w:jc w:val="left"/>
        <w:rPr>
          <w:kern w:val="0"/>
          <w:sz w:val="24"/>
        </w:rPr>
      </w:pPr>
      <w:r>
        <w:rPr>
          <w:kern w:val="0"/>
          <w:sz w:val="24"/>
        </w:rPr>
        <w:t>日管理人报酬＝前一日基金资产净值</w:t>
      </w:r>
      <w:r>
        <w:rPr>
          <w:kern w:val="0"/>
          <w:sz w:val="24"/>
        </w:rPr>
        <w:t xml:space="preserve"> × 0.30%÷</w:t>
      </w:r>
      <w:r>
        <w:rPr>
          <w:kern w:val="0"/>
          <w:sz w:val="24"/>
        </w:rPr>
        <w:t>当年天数。</w:t>
      </w: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7.4.10.2.2</w:t>
      </w:r>
      <w:r>
        <w:rPr>
          <w:rFonts w:eastAsiaTheme="minorEastAsia" w:hint="eastAsia"/>
          <w:b/>
          <w:sz w:val="24"/>
        </w:rPr>
        <w:t>基金托管费</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0E6BAE">
        <w:tc>
          <w:tcPr>
            <w:tcW w:w="3686"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项目</w:t>
            </w:r>
          </w:p>
        </w:tc>
        <w:tc>
          <w:tcPr>
            <w:tcW w:w="2657" w:type="dxa"/>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本期</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w:t>
            </w:r>
            <w:r>
              <w:rPr>
                <w:rFonts w:hint="eastAsia"/>
                <w:color w:val="000000"/>
                <w:sz w:val="24"/>
              </w:rPr>
              <w:t>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c>
          <w:tcPr>
            <w:tcW w:w="2657" w:type="dxa"/>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上年度可比期间</w:t>
            </w:r>
          </w:p>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2019</w:t>
            </w:r>
            <w:r>
              <w:rPr>
                <w:color w:val="000000"/>
                <w:sz w:val="24"/>
              </w:rPr>
              <w:t>年</w:t>
            </w:r>
            <w:r>
              <w:rPr>
                <w:color w:val="000000"/>
                <w:sz w:val="24"/>
              </w:rPr>
              <w:t>1</w:t>
            </w:r>
            <w:r>
              <w:rPr>
                <w:color w:val="000000"/>
                <w:sz w:val="24"/>
              </w:rPr>
              <w:t>月</w:t>
            </w:r>
            <w:r>
              <w:rPr>
                <w:color w:val="000000"/>
                <w:sz w:val="24"/>
              </w:rPr>
              <w:t>1</w:t>
            </w:r>
            <w:r>
              <w:rPr>
                <w:color w:val="000000"/>
                <w:sz w:val="24"/>
              </w:rPr>
              <w:t>日至</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c>
          <w:tcPr>
            <w:tcW w:w="3686" w:type="dxa"/>
            <w:vAlign w:val="center"/>
          </w:tcPr>
          <w:p w:rsidR="000E6BAE" w:rsidRDefault="00CD6463">
            <w:pPr>
              <w:spacing w:before="29" w:line="288" w:lineRule="auto"/>
              <w:rPr>
                <w:rFonts w:asciiTheme="minorEastAsia" w:eastAsiaTheme="minorEastAsia" w:hAnsiTheme="minorEastAsia"/>
                <w:color w:val="000000"/>
                <w:szCs w:val="21"/>
              </w:rPr>
            </w:pPr>
            <w:r>
              <w:rPr>
                <w:rFonts w:hint="eastAsia"/>
                <w:sz w:val="24"/>
              </w:rPr>
              <w:t>当期发生的基金应支付的托管费</w:t>
            </w:r>
          </w:p>
        </w:tc>
        <w:tc>
          <w:tcPr>
            <w:tcW w:w="2657" w:type="dxa"/>
            <w:vAlign w:val="center"/>
          </w:tcPr>
          <w:p w:rsidR="000E6BAE" w:rsidRDefault="00CD6463">
            <w:pPr>
              <w:spacing w:before="29" w:line="288" w:lineRule="auto"/>
              <w:jc w:val="right"/>
              <w:rPr>
                <w:color w:val="000000"/>
                <w:kern w:val="0"/>
                <w:sz w:val="24"/>
              </w:rPr>
            </w:pPr>
            <w:r>
              <w:rPr>
                <w:color w:val="000000"/>
                <w:kern w:val="0"/>
                <w:sz w:val="24"/>
              </w:rPr>
              <w:t>3,032,604.03</w:t>
            </w:r>
          </w:p>
        </w:tc>
        <w:tc>
          <w:tcPr>
            <w:tcW w:w="2657" w:type="dxa"/>
            <w:vAlign w:val="center"/>
          </w:tcPr>
          <w:p w:rsidR="000E6BAE" w:rsidRDefault="00CD6463">
            <w:pPr>
              <w:spacing w:before="29" w:line="288" w:lineRule="auto"/>
              <w:jc w:val="right"/>
              <w:rPr>
                <w:color w:val="000000"/>
                <w:kern w:val="0"/>
                <w:sz w:val="24"/>
              </w:rPr>
            </w:pPr>
            <w:r>
              <w:rPr>
                <w:color w:val="000000"/>
                <w:kern w:val="0"/>
                <w:sz w:val="24"/>
              </w:rPr>
              <w:t>1,716,816.02</w:t>
            </w:r>
          </w:p>
        </w:tc>
      </w:tr>
    </w:tbl>
    <w:p w:rsidR="000E6BAE" w:rsidRDefault="00CD6463">
      <w:pPr>
        <w:tabs>
          <w:tab w:val="left" w:pos="426"/>
        </w:tabs>
        <w:spacing w:before="29" w:line="288" w:lineRule="auto"/>
        <w:jc w:val="left"/>
        <w:rPr>
          <w:kern w:val="0"/>
          <w:sz w:val="24"/>
        </w:rPr>
      </w:pPr>
      <w:r>
        <w:rPr>
          <w:kern w:val="0"/>
          <w:sz w:val="24"/>
        </w:rPr>
        <w:t>注：自</w:t>
      </w:r>
      <w:r>
        <w:rPr>
          <w:kern w:val="0"/>
          <w:sz w:val="24"/>
        </w:rPr>
        <w:t>2017</w:t>
      </w:r>
      <w:r>
        <w:rPr>
          <w:kern w:val="0"/>
          <w:sz w:val="24"/>
        </w:rPr>
        <w:t>年</w:t>
      </w:r>
      <w:r>
        <w:rPr>
          <w:kern w:val="0"/>
          <w:sz w:val="24"/>
        </w:rPr>
        <w:t>8</w:t>
      </w:r>
      <w:r>
        <w:rPr>
          <w:kern w:val="0"/>
          <w:sz w:val="24"/>
        </w:rPr>
        <w:t>月</w:t>
      </w:r>
      <w:r>
        <w:rPr>
          <w:kern w:val="0"/>
          <w:sz w:val="24"/>
        </w:rPr>
        <w:t>1</w:t>
      </w:r>
      <w:r>
        <w:rPr>
          <w:kern w:val="0"/>
          <w:sz w:val="24"/>
        </w:rPr>
        <w:t>日起，支付基金托管人</w:t>
      </w:r>
      <w:r>
        <w:rPr>
          <w:kern w:val="0"/>
          <w:sz w:val="24"/>
        </w:rPr>
        <w:t xml:space="preserve"> </w:t>
      </w:r>
      <w:r>
        <w:rPr>
          <w:kern w:val="0"/>
          <w:sz w:val="24"/>
        </w:rPr>
        <w:t>的托管费按前一日基金资产净值</w:t>
      </w:r>
      <w:r>
        <w:rPr>
          <w:kern w:val="0"/>
          <w:sz w:val="24"/>
        </w:rPr>
        <w:t>0.10%</w:t>
      </w:r>
      <w:r>
        <w:rPr>
          <w:kern w:val="0"/>
          <w:sz w:val="24"/>
        </w:rPr>
        <w:t>的年费率计提，逐日累计至每月月底，按月支付。其计算公式为：</w:t>
      </w:r>
    </w:p>
    <w:p w:rsidR="000E6BAE" w:rsidRDefault="00CD6463">
      <w:pPr>
        <w:tabs>
          <w:tab w:val="left" w:pos="426"/>
        </w:tabs>
        <w:spacing w:before="29" w:line="288" w:lineRule="auto"/>
        <w:jc w:val="left"/>
        <w:rPr>
          <w:kern w:val="0"/>
          <w:sz w:val="24"/>
        </w:rPr>
      </w:pPr>
      <w:r>
        <w:rPr>
          <w:kern w:val="0"/>
          <w:sz w:val="24"/>
        </w:rPr>
        <w:t>日托管费＝前一日基金资产净值</w:t>
      </w:r>
      <w:r>
        <w:rPr>
          <w:kern w:val="0"/>
          <w:sz w:val="24"/>
        </w:rPr>
        <w:t xml:space="preserve"> × 0.10%÷</w:t>
      </w:r>
      <w:r>
        <w:rPr>
          <w:kern w:val="0"/>
          <w:sz w:val="24"/>
        </w:rPr>
        <w:t>当年天数。</w:t>
      </w: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kern w:val="0"/>
          <w:sz w:val="24"/>
        </w:rPr>
      </w:pPr>
      <w:r>
        <w:rPr>
          <w:rFonts w:eastAsiaTheme="minorEastAsia"/>
          <w:b/>
          <w:sz w:val="24"/>
        </w:rPr>
        <w:t>7.4.10.2.3</w:t>
      </w:r>
      <w:r>
        <w:rPr>
          <w:rFonts w:eastAsiaTheme="minorEastAsia" w:hint="eastAsia"/>
          <w:b/>
          <w:sz w:val="24"/>
        </w:rPr>
        <w:t>销售服务费</w:t>
      </w:r>
    </w:p>
    <w:p w:rsidR="000E6BAE" w:rsidRDefault="00CD6463">
      <w:pPr>
        <w:autoSpaceDE w:val="0"/>
        <w:autoSpaceDN w:val="0"/>
        <w:adjustRightInd w:val="0"/>
        <w:spacing w:before="29" w:line="288" w:lineRule="auto"/>
        <w:ind w:left="15"/>
        <w:jc w:val="right"/>
        <w:rPr>
          <w:rFonts w:eastAsiaTheme="minorEastAsia"/>
          <w:color w:val="000000"/>
          <w:szCs w:val="21"/>
        </w:rPr>
      </w:pPr>
      <w:r>
        <w:rPr>
          <w:bCs/>
          <w:color w:val="000000"/>
          <w:sz w:val="24"/>
        </w:rPr>
        <w:t>单位：人民币元</w:t>
      </w:r>
    </w:p>
    <w:tbl>
      <w:tblPr>
        <w:tblStyle w:val="afc"/>
        <w:tblW w:w="8998" w:type="dxa"/>
        <w:tblInd w:w="108" w:type="dxa"/>
        <w:tblLayout w:type="fixed"/>
        <w:tblLook w:val="04A0" w:firstRow="1" w:lastRow="0" w:firstColumn="1" w:lastColumn="0" w:noHBand="0" w:noVBand="1"/>
      </w:tblPr>
      <w:tblGrid>
        <w:gridCol w:w="2045"/>
        <w:gridCol w:w="2455"/>
        <w:gridCol w:w="2609"/>
        <w:gridCol w:w="1889"/>
      </w:tblGrid>
      <w:tr w:rsidR="000E6BAE">
        <w:tc>
          <w:tcPr>
            <w:tcW w:w="2110" w:type="dxa"/>
            <w:vMerge w:val="restart"/>
            <w:vAlign w:val="center"/>
          </w:tcPr>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获得销售服务费的各关联方名称</w:t>
            </w:r>
          </w:p>
        </w:tc>
        <w:tc>
          <w:tcPr>
            <w:tcW w:w="7176" w:type="dxa"/>
            <w:gridSpan w:val="3"/>
            <w:vAlign w:val="center"/>
          </w:tcPr>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本期</w:t>
            </w:r>
          </w:p>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2020</w:t>
            </w:r>
            <w:r>
              <w:rPr>
                <w:color w:val="000000"/>
                <w:sz w:val="24"/>
              </w:rPr>
              <w:t>年</w:t>
            </w:r>
            <w:r>
              <w:rPr>
                <w:color w:val="000000"/>
                <w:sz w:val="24"/>
              </w:rPr>
              <w:t>1</w:t>
            </w:r>
            <w:r>
              <w:rPr>
                <w:color w:val="000000"/>
                <w:sz w:val="24"/>
              </w:rPr>
              <w:t>月</w:t>
            </w:r>
            <w:r>
              <w:rPr>
                <w:color w:val="000000"/>
                <w:sz w:val="24"/>
              </w:rPr>
              <w:t>1</w:t>
            </w:r>
            <w:r>
              <w:rPr>
                <w:color w:val="000000"/>
                <w:sz w:val="24"/>
              </w:rPr>
              <w:t>日至</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c>
          <w:tcPr>
            <w:tcW w:w="2110" w:type="dxa"/>
            <w:vMerge/>
          </w:tcPr>
          <w:p w:rsidR="000E6BAE" w:rsidRDefault="000E6BAE">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当期发生的基金应支付的销售服务费</w:t>
            </w:r>
          </w:p>
        </w:tc>
      </w:tr>
      <w:tr w:rsidR="000E6BAE">
        <w:tc>
          <w:tcPr>
            <w:tcW w:w="2110" w:type="dxa"/>
            <w:vMerge/>
          </w:tcPr>
          <w:p w:rsidR="000E6BAE" w:rsidRDefault="000E6BAE">
            <w:pPr>
              <w:widowControl/>
              <w:autoSpaceDE w:val="0"/>
              <w:autoSpaceDN w:val="0"/>
              <w:spacing w:before="29" w:line="288" w:lineRule="auto"/>
              <w:ind w:right="-15"/>
              <w:jc w:val="center"/>
              <w:textAlignment w:val="bottom"/>
              <w:rPr>
                <w:color w:val="000000"/>
                <w:sz w:val="24"/>
              </w:rPr>
            </w:pPr>
          </w:p>
        </w:tc>
        <w:tc>
          <w:tcPr>
            <w:tcW w:w="2534" w:type="dxa"/>
            <w:vAlign w:val="center"/>
          </w:tcPr>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交银丰润收益债券</w:t>
            </w:r>
            <w:r>
              <w:rPr>
                <w:color w:val="000000"/>
                <w:sz w:val="24"/>
              </w:rPr>
              <w:t>A</w:t>
            </w:r>
          </w:p>
        </w:tc>
        <w:tc>
          <w:tcPr>
            <w:tcW w:w="2694" w:type="dxa"/>
            <w:vAlign w:val="center"/>
          </w:tcPr>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交银丰润收益债券</w:t>
            </w:r>
            <w:r>
              <w:rPr>
                <w:color w:val="000000"/>
                <w:sz w:val="24"/>
              </w:rPr>
              <w:t>C</w:t>
            </w:r>
          </w:p>
        </w:tc>
        <w:tc>
          <w:tcPr>
            <w:tcW w:w="1948" w:type="dxa"/>
            <w:vAlign w:val="center"/>
          </w:tcPr>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合计</w:t>
            </w:r>
          </w:p>
        </w:tc>
      </w:tr>
      <w:tr w:rsidR="000E6BAE">
        <w:tc>
          <w:tcPr>
            <w:tcW w:w="2045" w:type="dxa"/>
            <w:vAlign w:val="center"/>
          </w:tcPr>
          <w:p w:rsidR="000E6BAE" w:rsidRDefault="00CD6463">
            <w:pPr>
              <w:jc w:val="left"/>
            </w:pPr>
            <w:r>
              <w:rPr>
                <w:sz w:val="24"/>
              </w:rPr>
              <w:t>中信银行</w:t>
            </w:r>
          </w:p>
        </w:tc>
        <w:tc>
          <w:tcPr>
            <w:tcW w:w="2455" w:type="dxa"/>
            <w:vAlign w:val="center"/>
          </w:tcPr>
          <w:p w:rsidR="000E6BAE" w:rsidRDefault="00CD6463">
            <w:pPr>
              <w:jc w:val="right"/>
            </w:pPr>
            <w:r>
              <w:rPr>
                <w:sz w:val="24"/>
              </w:rPr>
              <w:t>-</w:t>
            </w:r>
          </w:p>
        </w:tc>
        <w:tc>
          <w:tcPr>
            <w:tcW w:w="2609" w:type="dxa"/>
            <w:vAlign w:val="center"/>
          </w:tcPr>
          <w:p w:rsidR="000E6BAE" w:rsidRDefault="00CD6463">
            <w:pPr>
              <w:jc w:val="right"/>
            </w:pPr>
            <w:r>
              <w:rPr>
                <w:sz w:val="24"/>
              </w:rPr>
              <w:t>1,437.12</w:t>
            </w:r>
          </w:p>
        </w:tc>
        <w:tc>
          <w:tcPr>
            <w:tcW w:w="1889" w:type="dxa"/>
            <w:vAlign w:val="center"/>
          </w:tcPr>
          <w:p w:rsidR="000E6BAE" w:rsidRDefault="00CD6463">
            <w:pPr>
              <w:jc w:val="right"/>
            </w:pPr>
            <w:r>
              <w:rPr>
                <w:sz w:val="24"/>
              </w:rPr>
              <w:t>1,437.12</w:t>
            </w:r>
          </w:p>
        </w:tc>
      </w:tr>
      <w:tr w:rsidR="000E6BAE">
        <w:tc>
          <w:tcPr>
            <w:tcW w:w="2045" w:type="dxa"/>
            <w:vAlign w:val="center"/>
          </w:tcPr>
          <w:p w:rsidR="000E6BAE" w:rsidRDefault="00CD6463">
            <w:pPr>
              <w:jc w:val="left"/>
            </w:pPr>
            <w:r>
              <w:rPr>
                <w:sz w:val="24"/>
              </w:rPr>
              <w:t>交通银行</w:t>
            </w:r>
          </w:p>
        </w:tc>
        <w:tc>
          <w:tcPr>
            <w:tcW w:w="2455" w:type="dxa"/>
            <w:vAlign w:val="center"/>
          </w:tcPr>
          <w:p w:rsidR="000E6BAE" w:rsidRDefault="00CD6463">
            <w:pPr>
              <w:jc w:val="right"/>
            </w:pPr>
            <w:r>
              <w:rPr>
                <w:sz w:val="24"/>
              </w:rPr>
              <w:t>-</w:t>
            </w:r>
          </w:p>
        </w:tc>
        <w:tc>
          <w:tcPr>
            <w:tcW w:w="2609" w:type="dxa"/>
            <w:vAlign w:val="center"/>
          </w:tcPr>
          <w:p w:rsidR="000E6BAE" w:rsidRDefault="00CD6463">
            <w:pPr>
              <w:jc w:val="right"/>
            </w:pPr>
            <w:r>
              <w:rPr>
                <w:sz w:val="24"/>
              </w:rPr>
              <w:t>1,181.20</w:t>
            </w:r>
          </w:p>
        </w:tc>
        <w:tc>
          <w:tcPr>
            <w:tcW w:w="1889" w:type="dxa"/>
            <w:vAlign w:val="center"/>
          </w:tcPr>
          <w:p w:rsidR="000E6BAE" w:rsidRDefault="00CD6463">
            <w:pPr>
              <w:jc w:val="right"/>
            </w:pPr>
            <w:r>
              <w:rPr>
                <w:sz w:val="24"/>
              </w:rPr>
              <w:t>1,181.20</w:t>
            </w:r>
          </w:p>
        </w:tc>
      </w:tr>
      <w:tr w:rsidR="000E6BAE">
        <w:tc>
          <w:tcPr>
            <w:tcW w:w="2045" w:type="dxa"/>
            <w:vAlign w:val="center"/>
          </w:tcPr>
          <w:p w:rsidR="000E6BAE" w:rsidRDefault="00CD6463">
            <w:pPr>
              <w:jc w:val="left"/>
            </w:pPr>
            <w:r>
              <w:rPr>
                <w:sz w:val="24"/>
              </w:rPr>
              <w:t>交银施罗德基金公司</w:t>
            </w:r>
          </w:p>
        </w:tc>
        <w:tc>
          <w:tcPr>
            <w:tcW w:w="2455" w:type="dxa"/>
            <w:vAlign w:val="center"/>
          </w:tcPr>
          <w:p w:rsidR="000E6BAE" w:rsidRDefault="00CD6463">
            <w:pPr>
              <w:jc w:val="right"/>
            </w:pPr>
            <w:r>
              <w:rPr>
                <w:sz w:val="24"/>
              </w:rPr>
              <w:t>-</w:t>
            </w:r>
          </w:p>
        </w:tc>
        <w:tc>
          <w:tcPr>
            <w:tcW w:w="2609" w:type="dxa"/>
            <w:vAlign w:val="center"/>
          </w:tcPr>
          <w:p w:rsidR="000E6BAE" w:rsidRDefault="00CD6463">
            <w:pPr>
              <w:jc w:val="right"/>
            </w:pPr>
            <w:r>
              <w:rPr>
                <w:sz w:val="24"/>
              </w:rPr>
              <w:t>11.42</w:t>
            </w:r>
          </w:p>
        </w:tc>
        <w:tc>
          <w:tcPr>
            <w:tcW w:w="1889" w:type="dxa"/>
            <w:vAlign w:val="center"/>
          </w:tcPr>
          <w:p w:rsidR="000E6BAE" w:rsidRDefault="00CD6463">
            <w:pPr>
              <w:jc w:val="right"/>
            </w:pPr>
            <w:r>
              <w:rPr>
                <w:sz w:val="24"/>
              </w:rPr>
              <w:t>11.42</w:t>
            </w:r>
          </w:p>
        </w:tc>
      </w:tr>
      <w:tr w:rsidR="000E6BAE">
        <w:tc>
          <w:tcPr>
            <w:tcW w:w="2110" w:type="dxa"/>
            <w:vAlign w:val="center"/>
          </w:tcPr>
          <w:p w:rsidR="000E6BAE" w:rsidRDefault="00CD6463">
            <w:pPr>
              <w:widowControl/>
              <w:autoSpaceDE w:val="0"/>
              <w:autoSpaceDN w:val="0"/>
              <w:spacing w:before="29" w:line="288" w:lineRule="auto"/>
              <w:ind w:right="-15"/>
              <w:jc w:val="center"/>
              <w:textAlignment w:val="bottom"/>
              <w:rPr>
                <w:rFonts w:eastAsiaTheme="minorEastAsia"/>
                <w:kern w:val="0"/>
                <w:szCs w:val="21"/>
              </w:rPr>
            </w:pPr>
            <w:r>
              <w:rPr>
                <w:color w:val="000000"/>
                <w:sz w:val="24"/>
              </w:rPr>
              <w:t>合计</w:t>
            </w:r>
          </w:p>
        </w:tc>
        <w:tc>
          <w:tcPr>
            <w:tcW w:w="2534" w:type="dxa"/>
            <w:vAlign w:val="center"/>
          </w:tcPr>
          <w:p w:rsidR="000E6BAE" w:rsidRDefault="00CD6463">
            <w:pPr>
              <w:spacing w:before="29" w:line="288" w:lineRule="auto"/>
              <w:jc w:val="center"/>
              <w:rPr>
                <w:color w:val="000000"/>
                <w:kern w:val="0"/>
                <w:sz w:val="24"/>
              </w:rPr>
            </w:pPr>
            <w:r>
              <w:rPr>
                <w:color w:val="000000"/>
                <w:kern w:val="0"/>
                <w:sz w:val="24"/>
              </w:rPr>
              <w:t>-</w:t>
            </w:r>
          </w:p>
        </w:tc>
        <w:tc>
          <w:tcPr>
            <w:tcW w:w="2694" w:type="dxa"/>
            <w:vAlign w:val="center"/>
          </w:tcPr>
          <w:p w:rsidR="000E6BAE" w:rsidRDefault="00CD6463">
            <w:pPr>
              <w:spacing w:before="29" w:line="288" w:lineRule="auto"/>
              <w:jc w:val="center"/>
              <w:rPr>
                <w:color w:val="000000"/>
                <w:kern w:val="0"/>
                <w:sz w:val="24"/>
              </w:rPr>
            </w:pPr>
            <w:r>
              <w:rPr>
                <w:color w:val="000000"/>
                <w:kern w:val="0"/>
                <w:sz w:val="24"/>
              </w:rPr>
              <w:t>2,629.74</w:t>
            </w:r>
          </w:p>
        </w:tc>
        <w:tc>
          <w:tcPr>
            <w:tcW w:w="1948" w:type="dxa"/>
            <w:vAlign w:val="center"/>
          </w:tcPr>
          <w:p w:rsidR="000E6BAE" w:rsidRDefault="00CD6463">
            <w:pPr>
              <w:spacing w:before="29" w:line="288" w:lineRule="auto"/>
              <w:jc w:val="center"/>
              <w:rPr>
                <w:color w:val="000000"/>
                <w:kern w:val="0"/>
                <w:sz w:val="24"/>
              </w:rPr>
            </w:pPr>
            <w:r>
              <w:rPr>
                <w:color w:val="000000"/>
                <w:kern w:val="0"/>
                <w:sz w:val="24"/>
              </w:rPr>
              <w:t>2,629.74</w:t>
            </w:r>
          </w:p>
        </w:tc>
      </w:tr>
      <w:tr w:rsidR="000E6BAE">
        <w:tc>
          <w:tcPr>
            <w:tcW w:w="2110" w:type="dxa"/>
            <w:vMerge w:val="restart"/>
            <w:vAlign w:val="center"/>
          </w:tcPr>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获得销售服务费的各关联方名称</w:t>
            </w:r>
          </w:p>
        </w:tc>
        <w:tc>
          <w:tcPr>
            <w:tcW w:w="7176" w:type="dxa"/>
            <w:gridSpan w:val="3"/>
            <w:vAlign w:val="center"/>
          </w:tcPr>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上年度可比期间</w:t>
            </w:r>
          </w:p>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2019</w:t>
            </w:r>
            <w:r>
              <w:rPr>
                <w:color w:val="000000"/>
                <w:sz w:val="24"/>
              </w:rPr>
              <w:t>年</w:t>
            </w:r>
            <w:r>
              <w:rPr>
                <w:color w:val="000000"/>
                <w:sz w:val="24"/>
              </w:rPr>
              <w:t>1</w:t>
            </w:r>
            <w:r>
              <w:rPr>
                <w:color w:val="000000"/>
                <w:sz w:val="24"/>
              </w:rPr>
              <w:t>月</w:t>
            </w:r>
            <w:r>
              <w:rPr>
                <w:color w:val="000000"/>
                <w:sz w:val="24"/>
              </w:rPr>
              <w:t>1</w:t>
            </w:r>
            <w:r>
              <w:rPr>
                <w:color w:val="000000"/>
                <w:sz w:val="24"/>
              </w:rPr>
              <w:t>日至</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c>
          <w:tcPr>
            <w:tcW w:w="2110" w:type="dxa"/>
            <w:vMerge/>
          </w:tcPr>
          <w:p w:rsidR="000E6BAE" w:rsidRDefault="000E6BAE">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当期发生的基金应支付的销售服务费</w:t>
            </w:r>
          </w:p>
        </w:tc>
      </w:tr>
      <w:tr w:rsidR="000E6BAE">
        <w:tc>
          <w:tcPr>
            <w:tcW w:w="2110" w:type="dxa"/>
            <w:vMerge/>
          </w:tcPr>
          <w:p w:rsidR="000E6BAE" w:rsidRDefault="000E6BAE">
            <w:pPr>
              <w:widowControl/>
              <w:autoSpaceDE w:val="0"/>
              <w:autoSpaceDN w:val="0"/>
              <w:spacing w:before="29" w:line="288" w:lineRule="auto"/>
              <w:ind w:right="-15"/>
              <w:jc w:val="center"/>
              <w:textAlignment w:val="bottom"/>
              <w:rPr>
                <w:color w:val="000000"/>
                <w:sz w:val="24"/>
              </w:rPr>
            </w:pPr>
          </w:p>
        </w:tc>
        <w:tc>
          <w:tcPr>
            <w:tcW w:w="2534" w:type="dxa"/>
            <w:vAlign w:val="center"/>
          </w:tcPr>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交银丰润收益债券</w:t>
            </w:r>
            <w:r>
              <w:rPr>
                <w:color w:val="000000"/>
                <w:sz w:val="24"/>
              </w:rPr>
              <w:t>A</w:t>
            </w:r>
          </w:p>
        </w:tc>
        <w:tc>
          <w:tcPr>
            <w:tcW w:w="2694" w:type="dxa"/>
            <w:vAlign w:val="center"/>
          </w:tcPr>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交银丰润收益债券</w:t>
            </w:r>
            <w:r>
              <w:rPr>
                <w:color w:val="000000"/>
                <w:sz w:val="24"/>
              </w:rPr>
              <w:t>C</w:t>
            </w:r>
          </w:p>
        </w:tc>
        <w:tc>
          <w:tcPr>
            <w:tcW w:w="1948" w:type="dxa"/>
            <w:vAlign w:val="center"/>
          </w:tcPr>
          <w:p w:rsidR="000E6BAE" w:rsidRDefault="00CD6463">
            <w:pPr>
              <w:widowControl/>
              <w:autoSpaceDE w:val="0"/>
              <w:autoSpaceDN w:val="0"/>
              <w:spacing w:before="29" w:line="288" w:lineRule="auto"/>
              <w:ind w:leftChars="-51" w:left="-107" w:rightChars="-51" w:right="-107"/>
              <w:jc w:val="center"/>
              <w:textAlignment w:val="bottom"/>
              <w:rPr>
                <w:color w:val="000000"/>
                <w:sz w:val="24"/>
              </w:rPr>
            </w:pPr>
            <w:r>
              <w:rPr>
                <w:color w:val="000000"/>
                <w:sz w:val="24"/>
              </w:rPr>
              <w:t>合计</w:t>
            </w:r>
          </w:p>
        </w:tc>
      </w:tr>
      <w:tr w:rsidR="000E6BAE">
        <w:tc>
          <w:tcPr>
            <w:tcW w:w="2045" w:type="dxa"/>
            <w:vAlign w:val="center"/>
          </w:tcPr>
          <w:p w:rsidR="000E6BAE" w:rsidRDefault="00CD6463">
            <w:pPr>
              <w:jc w:val="left"/>
            </w:pPr>
            <w:r>
              <w:rPr>
                <w:sz w:val="24"/>
              </w:rPr>
              <w:t>中信银行</w:t>
            </w:r>
          </w:p>
        </w:tc>
        <w:tc>
          <w:tcPr>
            <w:tcW w:w="2455" w:type="dxa"/>
            <w:vAlign w:val="center"/>
          </w:tcPr>
          <w:p w:rsidR="000E6BAE" w:rsidRDefault="00CD6463">
            <w:pPr>
              <w:jc w:val="right"/>
            </w:pPr>
            <w:r>
              <w:rPr>
                <w:sz w:val="24"/>
              </w:rPr>
              <w:t>-</w:t>
            </w:r>
          </w:p>
        </w:tc>
        <w:tc>
          <w:tcPr>
            <w:tcW w:w="2609" w:type="dxa"/>
            <w:vAlign w:val="center"/>
          </w:tcPr>
          <w:p w:rsidR="000E6BAE" w:rsidRDefault="00CD6463">
            <w:pPr>
              <w:jc w:val="right"/>
            </w:pPr>
            <w:r>
              <w:rPr>
                <w:sz w:val="24"/>
              </w:rPr>
              <w:t>1,211.49</w:t>
            </w:r>
          </w:p>
        </w:tc>
        <w:tc>
          <w:tcPr>
            <w:tcW w:w="1889" w:type="dxa"/>
            <w:vAlign w:val="center"/>
          </w:tcPr>
          <w:p w:rsidR="000E6BAE" w:rsidRDefault="00CD6463">
            <w:pPr>
              <w:jc w:val="right"/>
            </w:pPr>
            <w:r>
              <w:rPr>
                <w:sz w:val="24"/>
              </w:rPr>
              <w:t>1,211.49</w:t>
            </w:r>
          </w:p>
        </w:tc>
      </w:tr>
      <w:tr w:rsidR="000E6BAE">
        <w:tc>
          <w:tcPr>
            <w:tcW w:w="2045" w:type="dxa"/>
            <w:vAlign w:val="center"/>
          </w:tcPr>
          <w:p w:rsidR="000E6BAE" w:rsidRDefault="00CD6463">
            <w:pPr>
              <w:jc w:val="left"/>
            </w:pPr>
            <w:r>
              <w:rPr>
                <w:sz w:val="24"/>
              </w:rPr>
              <w:t>交通银行</w:t>
            </w:r>
          </w:p>
        </w:tc>
        <w:tc>
          <w:tcPr>
            <w:tcW w:w="2455" w:type="dxa"/>
            <w:vAlign w:val="center"/>
          </w:tcPr>
          <w:p w:rsidR="000E6BAE" w:rsidRDefault="00CD6463">
            <w:pPr>
              <w:jc w:val="right"/>
            </w:pPr>
            <w:r>
              <w:rPr>
                <w:sz w:val="24"/>
              </w:rPr>
              <w:t>-</w:t>
            </w:r>
          </w:p>
        </w:tc>
        <w:tc>
          <w:tcPr>
            <w:tcW w:w="2609" w:type="dxa"/>
            <w:vAlign w:val="center"/>
          </w:tcPr>
          <w:p w:rsidR="000E6BAE" w:rsidRDefault="00CD6463">
            <w:pPr>
              <w:jc w:val="right"/>
            </w:pPr>
            <w:r>
              <w:rPr>
                <w:sz w:val="24"/>
              </w:rPr>
              <w:t>1,121.01</w:t>
            </w:r>
          </w:p>
        </w:tc>
        <w:tc>
          <w:tcPr>
            <w:tcW w:w="1889" w:type="dxa"/>
            <w:vAlign w:val="center"/>
          </w:tcPr>
          <w:p w:rsidR="000E6BAE" w:rsidRDefault="00CD6463">
            <w:pPr>
              <w:jc w:val="right"/>
            </w:pPr>
            <w:r>
              <w:rPr>
                <w:sz w:val="24"/>
              </w:rPr>
              <w:t>1,121.01</w:t>
            </w:r>
          </w:p>
        </w:tc>
      </w:tr>
      <w:tr w:rsidR="000E6BAE">
        <w:tc>
          <w:tcPr>
            <w:tcW w:w="2045" w:type="dxa"/>
            <w:vAlign w:val="center"/>
          </w:tcPr>
          <w:p w:rsidR="000E6BAE" w:rsidRDefault="00CD6463">
            <w:pPr>
              <w:jc w:val="left"/>
            </w:pPr>
            <w:r>
              <w:rPr>
                <w:sz w:val="24"/>
              </w:rPr>
              <w:t>交银施罗德基金公司</w:t>
            </w:r>
          </w:p>
        </w:tc>
        <w:tc>
          <w:tcPr>
            <w:tcW w:w="2455" w:type="dxa"/>
            <w:vAlign w:val="center"/>
          </w:tcPr>
          <w:p w:rsidR="000E6BAE" w:rsidRDefault="00CD6463">
            <w:pPr>
              <w:jc w:val="right"/>
            </w:pPr>
            <w:r>
              <w:rPr>
                <w:sz w:val="24"/>
              </w:rPr>
              <w:t>-</w:t>
            </w:r>
          </w:p>
        </w:tc>
        <w:tc>
          <w:tcPr>
            <w:tcW w:w="2609" w:type="dxa"/>
            <w:vAlign w:val="center"/>
          </w:tcPr>
          <w:p w:rsidR="000E6BAE" w:rsidRDefault="00CD6463">
            <w:pPr>
              <w:jc w:val="right"/>
            </w:pPr>
            <w:r>
              <w:rPr>
                <w:sz w:val="24"/>
              </w:rPr>
              <w:t>162.10</w:t>
            </w:r>
          </w:p>
        </w:tc>
        <w:tc>
          <w:tcPr>
            <w:tcW w:w="1889" w:type="dxa"/>
            <w:vAlign w:val="center"/>
          </w:tcPr>
          <w:p w:rsidR="000E6BAE" w:rsidRDefault="00CD6463">
            <w:pPr>
              <w:jc w:val="right"/>
            </w:pPr>
            <w:r>
              <w:rPr>
                <w:sz w:val="24"/>
              </w:rPr>
              <w:t>162.10</w:t>
            </w:r>
          </w:p>
        </w:tc>
      </w:tr>
      <w:tr w:rsidR="000E6BAE">
        <w:tc>
          <w:tcPr>
            <w:tcW w:w="2110" w:type="dxa"/>
            <w:vAlign w:val="center"/>
          </w:tcPr>
          <w:p w:rsidR="000E6BAE" w:rsidRDefault="00CD6463">
            <w:pPr>
              <w:widowControl/>
              <w:autoSpaceDE w:val="0"/>
              <w:autoSpaceDN w:val="0"/>
              <w:spacing w:before="29" w:line="288" w:lineRule="auto"/>
              <w:ind w:right="-15"/>
              <w:jc w:val="center"/>
              <w:textAlignment w:val="bottom"/>
              <w:rPr>
                <w:rFonts w:eastAsiaTheme="minorEastAsia"/>
                <w:szCs w:val="21"/>
              </w:rPr>
            </w:pPr>
            <w:r>
              <w:rPr>
                <w:color w:val="000000"/>
                <w:sz w:val="24"/>
              </w:rPr>
              <w:t>合计</w:t>
            </w:r>
          </w:p>
        </w:tc>
        <w:tc>
          <w:tcPr>
            <w:tcW w:w="2534" w:type="dxa"/>
            <w:vAlign w:val="center"/>
          </w:tcPr>
          <w:p w:rsidR="000E6BAE" w:rsidRDefault="00CD6463">
            <w:pPr>
              <w:spacing w:before="29" w:line="288" w:lineRule="auto"/>
              <w:jc w:val="center"/>
              <w:rPr>
                <w:color w:val="000000"/>
                <w:kern w:val="0"/>
                <w:sz w:val="24"/>
              </w:rPr>
            </w:pPr>
            <w:r>
              <w:rPr>
                <w:color w:val="000000"/>
                <w:kern w:val="0"/>
                <w:sz w:val="24"/>
              </w:rPr>
              <w:t>-</w:t>
            </w:r>
          </w:p>
        </w:tc>
        <w:tc>
          <w:tcPr>
            <w:tcW w:w="2694" w:type="dxa"/>
            <w:vAlign w:val="center"/>
          </w:tcPr>
          <w:p w:rsidR="000E6BAE" w:rsidRDefault="00CD6463">
            <w:pPr>
              <w:spacing w:before="29" w:line="288" w:lineRule="auto"/>
              <w:jc w:val="center"/>
              <w:rPr>
                <w:color w:val="000000"/>
                <w:kern w:val="0"/>
                <w:sz w:val="24"/>
              </w:rPr>
            </w:pPr>
            <w:r>
              <w:rPr>
                <w:color w:val="000000"/>
                <w:kern w:val="0"/>
                <w:sz w:val="24"/>
              </w:rPr>
              <w:t>2,494.60</w:t>
            </w:r>
          </w:p>
        </w:tc>
        <w:tc>
          <w:tcPr>
            <w:tcW w:w="1948" w:type="dxa"/>
            <w:vAlign w:val="center"/>
          </w:tcPr>
          <w:p w:rsidR="000E6BAE" w:rsidRDefault="00CD6463">
            <w:pPr>
              <w:spacing w:before="29" w:line="288" w:lineRule="auto"/>
              <w:jc w:val="center"/>
              <w:rPr>
                <w:color w:val="000000"/>
                <w:kern w:val="0"/>
                <w:sz w:val="24"/>
              </w:rPr>
            </w:pPr>
            <w:r>
              <w:rPr>
                <w:color w:val="000000"/>
                <w:kern w:val="0"/>
                <w:sz w:val="24"/>
              </w:rPr>
              <w:t>2,494.60</w:t>
            </w:r>
          </w:p>
        </w:tc>
      </w:tr>
    </w:tbl>
    <w:p w:rsidR="000E6BAE" w:rsidRDefault="00CD6463">
      <w:pPr>
        <w:tabs>
          <w:tab w:val="left" w:pos="426"/>
        </w:tabs>
        <w:spacing w:before="29" w:line="288" w:lineRule="auto"/>
        <w:jc w:val="left"/>
        <w:rPr>
          <w:kern w:val="0"/>
          <w:sz w:val="24"/>
        </w:rPr>
      </w:pPr>
      <w:r>
        <w:rPr>
          <w:kern w:val="0"/>
          <w:sz w:val="24"/>
        </w:rPr>
        <w:t>注：支付基金销售机构的销售服务费按前一日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0E6BAE" w:rsidRDefault="00CD6463">
      <w:pPr>
        <w:tabs>
          <w:tab w:val="left" w:pos="426"/>
        </w:tabs>
        <w:spacing w:before="29" w:line="288" w:lineRule="auto"/>
        <w:jc w:val="left"/>
        <w:rPr>
          <w:kern w:val="0"/>
          <w:sz w:val="24"/>
        </w:rPr>
      </w:pPr>
      <w:r>
        <w:rPr>
          <w:kern w:val="0"/>
          <w:sz w:val="24"/>
        </w:rPr>
        <w:t>日销售服务费＝前一日</w:t>
      </w:r>
      <w:r>
        <w:rPr>
          <w:kern w:val="0"/>
          <w:sz w:val="24"/>
        </w:rPr>
        <w:t>C</w:t>
      </w:r>
      <w:r>
        <w:rPr>
          <w:kern w:val="0"/>
          <w:sz w:val="24"/>
        </w:rPr>
        <w:t>类基金份额对应的基金资产净值</w:t>
      </w:r>
      <w:r>
        <w:rPr>
          <w:kern w:val="0"/>
          <w:sz w:val="24"/>
        </w:rPr>
        <w:t xml:space="preserve">×0.40%÷ </w:t>
      </w:r>
      <w:r>
        <w:rPr>
          <w:kern w:val="0"/>
          <w:sz w:val="24"/>
        </w:rPr>
        <w:t>当年天数。</w:t>
      </w: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asciiTheme="minorEastAsia" w:eastAsiaTheme="minorEastAsia" w:hAnsiTheme="minorEastAsia"/>
          <w:b/>
          <w:bCs/>
          <w:color w:val="000000"/>
          <w:szCs w:val="21"/>
        </w:rPr>
      </w:pPr>
      <w:r>
        <w:rPr>
          <w:rFonts w:eastAsiaTheme="minorEastAsia"/>
          <w:b/>
          <w:sz w:val="24"/>
        </w:rPr>
        <w:t>7.4.10.3</w:t>
      </w:r>
      <w:r>
        <w:rPr>
          <w:rFonts w:eastAsiaTheme="minorEastAsia" w:hint="eastAsia"/>
          <w:b/>
          <w:sz w:val="24"/>
        </w:rPr>
        <w:t>与关联方进行银行间同业市场的债券</w:t>
      </w:r>
      <w:r>
        <w:rPr>
          <w:rFonts w:eastAsiaTheme="minorEastAsia"/>
          <w:b/>
          <w:sz w:val="24"/>
        </w:rPr>
        <w:t>(</w:t>
      </w:r>
      <w:r>
        <w:rPr>
          <w:rFonts w:eastAsiaTheme="minorEastAsia" w:hint="eastAsia"/>
          <w:b/>
          <w:sz w:val="24"/>
        </w:rPr>
        <w:t>含回购</w:t>
      </w:r>
      <w:r>
        <w:rPr>
          <w:rFonts w:eastAsiaTheme="minorEastAsia"/>
          <w:b/>
          <w:sz w:val="24"/>
        </w:rPr>
        <w:t>)</w:t>
      </w:r>
      <w:r>
        <w:rPr>
          <w:rFonts w:eastAsiaTheme="minorEastAsia" w:hint="eastAsia"/>
          <w:b/>
          <w:sz w:val="24"/>
        </w:rPr>
        <w:t>交易</w:t>
      </w:r>
    </w:p>
    <w:p w:rsidR="000E6BAE" w:rsidRDefault="00CD6463">
      <w:pPr>
        <w:tabs>
          <w:tab w:val="left" w:pos="426"/>
        </w:tabs>
        <w:spacing w:before="29" w:line="288" w:lineRule="auto"/>
        <w:jc w:val="left"/>
        <w:rPr>
          <w:kern w:val="0"/>
          <w:sz w:val="24"/>
        </w:rPr>
      </w:pPr>
      <w:r>
        <w:rPr>
          <w:kern w:val="0"/>
          <w:sz w:val="24"/>
        </w:rPr>
        <w:t>本基金本报告期内及上年度可比期间未与关联方进行银行间同业市场的债券</w:t>
      </w:r>
      <w:r>
        <w:rPr>
          <w:kern w:val="0"/>
          <w:sz w:val="24"/>
        </w:rPr>
        <w:t>(</w:t>
      </w:r>
      <w:r>
        <w:rPr>
          <w:kern w:val="0"/>
          <w:sz w:val="24"/>
        </w:rPr>
        <w:t>含回购</w:t>
      </w:r>
      <w:r>
        <w:rPr>
          <w:kern w:val="0"/>
          <w:sz w:val="24"/>
        </w:rPr>
        <w:t>)</w:t>
      </w:r>
      <w:r>
        <w:rPr>
          <w:kern w:val="0"/>
          <w:sz w:val="24"/>
        </w:rPr>
        <w:t>交易。</w:t>
      </w: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7.4.10.4</w:t>
      </w:r>
      <w:r>
        <w:rPr>
          <w:rFonts w:eastAsiaTheme="minorEastAsia" w:hint="eastAsia"/>
          <w:b/>
          <w:sz w:val="24"/>
        </w:rPr>
        <w:t>各关联方投资本基金的情况</w:t>
      </w:r>
    </w:p>
    <w:p w:rsidR="000E6BAE" w:rsidRDefault="00CD6463">
      <w:pPr>
        <w:spacing w:before="29" w:line="288" w:lineRule="auto"/>
        <w:rPr>
          <w:rFonts w:eastAsiaTheme="minorEastAsia"/>
          <w:b/>
          <w:sz w:val="24"/>
        </w:rPr>
      </w:pPr>
      <w:r>
        <w:rPr>
          <w:rFonts w:eastAsiaTheme="minorEastAsia"/>
          <w:b/>
          <w:sz w:val="24"/>
        </w:rPr>
        <w:t>7.4.10.4.1</w:t>
      </w:r>
      <w:r>
        <w:rPr>
          <w:rFonts w:eastAsiaTheme="minorEastAsia" w:hint="eastAsia"/>
          <w:b/>
          <w:sz w:val="24"/>
        </w:rPr>
        <w:t>报告期内基金管理人运用固有</w:t>
      </w:r>
      <w:r>
        <w:rPr>
          <w:rFonts w:eastAsiaTheme="minorEastAsia" w:hint="eastAsia"/>
          <w:b/>
          <w:sz w:val="24"/>
        </w:rPr>
        <w:t>资金投资本基金的情况</w:t>
      </w:r>
    </w:p>
    <w:p w:rsidR="000E6BAE" w:rsidRDefault="00CD6463">
      <w:pPr>
        <w:tabs>
          <w:tab w:val="left" w:pos="426"/>
        </w:tabs>
        <w:spacing w:before="29" w:line="288" w:lineRule="auto"/>
        <w:jc w:val="left"/>
        <w:rPr>
          <w:kern w:val="0"/>
          <w:sz w:val="24"/>
        </w:rPr>
      </w:pPr>
      <w:r>
        <w:rPr>
          <w:kern w:val="0"/>
          <w:sz w:val="24"/>
        </w:rPr>
        <w:t>本报告期内及上年度可比期间未发生基金管理人运用固有资金投资本基金的情况。</w:t>
      </w:r>
    </w:p>
    <w:p w:rsidR="000E6BAE" w:rsidRDefault="00CD6463">
      <w:pPr>
        <w:adjustRightInd w:val="0"/>
        <w:snapToGrid w:val="0"/>
        <w:spacing w:line="360" w:lineRule="auto"/>
        <w:jc w:val="left"/>
        <w:rPr>
          <w:rFonts w:asciiTheme="minorEastAsia" w:eastAsiaTheme="minorEastAsia" w:hAnsiTheme="minorEastAsia"/>
          <w:bCs/>
          <w:color w:val="000000"/>
          <w:szCs w:val="21"/>
        </w:rPr>
      </w:pPr>
      <w:r>
        <w:rPr>
          <w:rFonts w:asciiTheme="minorEastAsia" w:eastAsiaTheme="minorEastAsia" w:hAnsiTheme="minorEastAsia"/>
          <w:bCs/>
          <w:color w:val="000000"/>
          <w:szCs w:val="21"/>
        </w:rPr>
        <w:tab/>
      </w:r>
    </w:p>
    <w:p w:rsidR="000E6BAE" w:rsidRDefault="00CD6463">
      <w:pPr>
        <w:spacing w:before="29" w:line="288" w:lineRule="auto"/>
        <w:rPr>
          <w:rFonts w:eastAsiaTheme="minorEastAsia"/>
          <w:b/>
          <w:sz w:val="24"/>
        </w:rPr>
      </w:pPr>
      <w:r>
        <w:rPr>
          <w:rFonts w:eastAsiaTheme="minorEastAsia"/>
          <w:b/>
          <w:sz w:val="24"/>
        </w:rPr>
        <w:t>7.4.10.4.2</w:t>
      </w:r>
      <w:r>
        <w:rPr>
          <w:rFonts w:eastAsiaTheme="minorEastAsia" w:hint="eastAsia"/>
          <w:b/>
          <w:sz w:val="24"/>
        </w:rPr>
        <w:t>报告期末除基金管理人之外的其他关联方投资本基金的情况</w:t>
      </w:r>
    </w:p>
    <w:p w:rsidR="000E6BAE" w:rsidRDefault="00CD6463">
      <w:pPr>
        <w:adjustRightInd w:val="0"/>
        <w:snapToGrid w:val="0"/>
        <w:spacing w:before="29" w:line="288" w:lineRule="auto"/>
        <w:rPr>
          <w:color w:val="000000"/>
          <w:sz w:val="24"/>
        </w:rPr>
      </w:pPr>
      <w:r>
        <w:rPr>
          <w:color w:val="000000"/>
          <w:sz w:val="24"/>
        </w:rPr>
        <w:t>交银丰润收益债券</w:t>
      </w:r>
      <w:r>
        <w:rPr>
          <w:color w:val="000000"/>
          <w:sz w:val="24"/>
        </w:rPr>
        <w:t>A</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980"/>
        <w:gridCol w:w="1440"/>
        <w:gridCol w:w="2160"/>
        <w:gridCol w:w="1620"/>
      </w:tblGrid>
      <w:tr w:rsidR="000E6BAE">
        <w:tc>
          <w:tcPr>
            <w:tcW w:w="1800" w:type="dxa"/>
            <w:vMerge w:val="restart"/>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关联方名称</w:t>
            </w:r>
          </w:p>
        </w:tc>
        <w:tc>
          <w:tcPr>
            <w:tcW w:w="3420" w:type="dxa"/>
            <w:gridSpan w:val="2"/>
            <w:vAlign w:val="center"/>
          </w:tcPr>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交银丰润收益债券</w:t>
            </w:r>
            <w:r>
              <w:rPr>
                <w:color w:val="000000"/>
                <w:sz w:val="24"/>
              </w:rPr>
              <w:t>A</w:t>
            </w:r>
            <w:r>
              <w:rPr>
                <w:rFonts w:hint="eastAsia"/>
                <w:color w:val="000000"/>
                <w:sz w:val="24"/>
              </w:rPr>
              <w:t>本期末</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c>
          <w:tcPr>
            <w:tcW w:w="3780" w:type="dxa"/>
            <w:gridSpan w:val="2"/>
            <w:vAlign w:val="center"/>
          </w:tcPr>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交银丰润收益债券</w:t>
            </w:r>
            <w:r>
              <w:rPr>
                <w:color w:val="000000"/>
                <w:sz w:val="24"/>
              </w:rPr>
              <w:t>A</w:t>
            </w:r>
            <w:r>
              <w:rPr>
                <w:rFonts w:hint="eastAsia"/>
                <w:color w:val="000000"/>
                <w:sz w:val="24"/>
              </w:rPr>
              <w:t>上年度末</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c>
          <w:tcPr>
            <w:tcW w:w="1800" w:type="dxa"/>
            <w:vMerge/>
            <w:vAlign w:val="center"/>
          </w:tcPr>
          <w:p w:rsidR="000E6BAE" w:rsidRDefault="000E6BAE">
            <w:pPr>
              <w:widowControl/>
              <w:spacing w:line="360" w:lineRule="auto"/>
              <w:jc w:val="left"/>
              <w:rPr>
                <w:rFonts w:ascii="宋体" w:hAnsi="宋体"/>
                <w:color w:val="000000"/>
                <w:szCs w:val="21"/>
              </w:rPr>
            </w:pPr>
          </w:p>
        </w:tc>
        <w:tc>
          <w:tcPr>
            <w:tcW w:w="198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持有的基金份额</w:t>
            </w:r>
          </w:p>
        </w:tc>
        <w:tc>
          <w:tcPr>
            <w:tcW w:w="144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持有的基金份额占该类基金份额的比例</w:t>
            </w:r>
          </w:p>
        </w:tc>
        <w:tc>
          <w:tcPr>
            <w:tcW w:w="216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持有的基金份额</w:t>
            </w:r>
          </w:p>
        </w:tc>
        <w:tc>
          <w:tcPr>
            <w:tcW w:w="162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持有的基金份额占该类基金份额的比例</w:t>
            </w:r>
          </w:p>
        </w:tc>
      </w:tr>
      <w:tr w:rsidR="000E6BAE">
        <w:tc>
          <w:tcPr>
            <w:tcW w:w="1800" w:type="dxa"/>
            <w:vAlign w:val="center"/>
          </w:tcPr>
          <w:p w:rsidR="000E6BAE" w:rsidRDefault="00CD6463">
            <w:pPr>
              <w:jc w:val="left"/>
            </w:pPr>
            <w:r>
              <w:rPr>
                <w:sz w:val="24"/>
              </w:rPr>
              <w:t>中信银行</w:t>
            </w:r>
          </w:p>
        </w:tc>
        <w:tc>
          <w:tcPr>
            <w:tcW w:w="1980" w:type="dxa"/>
            <w:vAlign w:val="center"/>
          </w:tcPr>
          <w:p w:rsidR="000E6BAE" w:rsidRDefault="00CD6463">
            <w:pPr>
              <w:jc w:val="right"/>
            </w:pPr>
            <w:r>
              <w:rPr>
                <w:sz w:val="24"/>
              </w:rPr>
              <w:t>-</w:t>
            </w:r>
          </w:p>
        </w:tc>
        <w:tc>
          <w:tcPr>
            <w:tcW w:w="1440" w:type="dxa"/>
            <w:vAlign w:val="center"/>
          </w:tcPr>
          <w:p w:rsidR="000E6BAE" w:rsidRDefault="00CD6463">
            <w:pPr>
              <w:jc w:val="right"/>
            </w:pPr>
            <w:r>
              <w:rPr>
                <w:sz w:val="24"/>
              </w:rPr>
              <w:t>-</w:t>
            </w:r>
          </w:p>
        </w:tc>
        <w:tc>
          <w:tcPr>
            <w:tcW w:w="2160" w:type="dxa"/>
            <w:vAlign w:val="center"/>
          </w:tcPr>
          <w:p w:rsidR="000E6BAE" w:rsidRDefault="00CD6463">
            <w:pPr>
              <w:jc w:val="right"/>
            </w:pPr>
            <w:r>
              <w:rPr>
                <w:sz w:val="24"/>
              </w:rPr>
              <w:t>282,484,934.09</w:t>
            </w:r>
          </w:p>
        </w:tc>
        <w:tc>
          <w:tcPr>
            <w:tcW w:w="1620" w:type="dxa"/>
            <w:vAlign w:val="center"/>
          </w:tcPr>
          <w:p w:rsidR="000E6BAE" w:rsidRDefault="00CD6463">
            <w:pPr>
              <w:jc w:val="right"/>
            </w:pPr>
            <w:r>
              <w:rPr>
                <w:sz w:val="24"/>
              </w:rPr>
              <w:t>8.66%</w:t>
            </w:r>
          </w:p>
        </w:tc>
      </w:tr>
    </w:tbl>
    <w:p w:rsidR="000E6BAE" w:rsidRDefault="00CD6463">
      <w:pPr>
        <w:tabs>
          <w:tab w:val="left" w:pos="426"/>
        </w:tabs>
        <w:spacing w:before="29" w:line="288" w:lineRule="auto"/>
        <w:jc w:val="left"/>
        <w:rPr>
          <w:kern w:val="0"/>
          <w:sz w:val="24"/>
        </w:rPr>
      </w:pPr>
      <w:r>
        <w:rPr>
          <w:kern w:val="0"/>
          <w:sz w:val="24"/>
        </w:rPr>
        <w:t>注：关联方投资本基金的费率按照基金合同和招募说明书规定的确定，符合公允性要求。</w:t>
      </w:r>
    </w:p>
    <w:p w:rsidR="000E6BAE" w:rsidRDefault="000E6BAE">
      <w:pPr>
        <w:tabs>
          <w:tab w:val="left" w:pos="426"/>
        </w:tabs>
        <w:spacing w:line="360" w:lineRule="auto"/>
        <w:jc w:val="left"/>
        <w:rPr>
          <w:rFonts w:asciiTheme="minorEastAsia" w:eastAsiaTheme="minorEastAsia" w:hAnsiTheme="minorEastAsia" w:cs="宋体"/>
          <w:kern w:val="0"/>
          <w:szCs w:val="21"/>
        </w:rPr>
      </w:pPr>
    </w:p>
    <w:p w:rsidR="000E6BAE" w:rsidRDefault="00CD6463">
      <w:pPr>
        <w:adjustRightInd w:val="0"/>
        <w:snapToGrid w:val="0"/>
        <w:spacing w:before="29" w:line="288" w:lineRule="auto"/>
        <w:rPr>
          <w:color w:val="000000"/>
          <w:sz w:val="24"/>
        </w:rPr>
      </w:pPr>
      <w:r>
        <w:rPr>
          <w:color w:val="000000"/>
          <w:sz w:val="24"/>
        </w:rPr>
        <w:t>交银丰润收益债券</w:t>
      </w:r>
      <w:r>
        <w:rPr>
          <w:color w:val="000000"/>
          <w:sz w:val="24"/>
        </w:rPr>
        <w:t>C</w:t>
      </w:r>
    </w:p>
    <w:p w:rsidR="000E6BAE" w:rsidRDefault="00CD6463">
      <w:pPr>
        <w:tabs>
          <w:tab w:val="left" w:pos="426"/>
        </w:tabs>
        <w:spacing w:before="29" w:line="288" w:lineRule="auto"/>
        <w:jc w:val="left"/>
        <w:rPr>
          <w:kern w:val="0"/>
          <w:sz w:val="24"/>
        </w:rPr>
      </w:pPr>
      <w:r>
        <w:rPr>
          <w:kern w:val="0"/>
          <w:sz w:val="24"/>
        </w:rPr>
        <w:t>本报告期末及上年度末除基金管理人之外的其他关联方未持有本基金</w:t>
      </w:r>
      <w:r>
        <w:rPr>
          <w:kern w:val="0"/>
          <w:sz w:val="24"/>
        </w:rPr>
        <w:t>C</w:t>
      </w:r>
      <w:r>
        <w:rPr>
          <w:kern w:val="0"/>
          <w:sz w:val="24"/>
        </w:rPr>
        <w:t>类基金份额。</w:t>
      </w:r>
    </w:p>
    <w:p w:rsidR="000E6BAE" w:rsidRDefault="00CD6463">
      <w:pPr>
        <w:spacing w:before="29" w:line="288" w:lineRule="auto"/>
        <w:rPr>
          <w:rFonts w:eastAsiaTheme="minorEastAsia"/>
          <w:b/>
          <w:sz w:val="24"/>
        </w:rPr>
      </w:pPr>
      <w:r>
        <w:rPr>
          <w:rFonts w:eastAsiaTheme="minorEastAsia"/>
          <w:b/>
          <w:sz w:val="24"/>
        </w:rPr>
        <w:t>7.4.10.5</w:t>
      </w:r>
      <w:r>
        <w:rPr>
          <w:rFonts w:eastAsiaTheme="minorEastAsia" w:hint="eastAsia"/>
          <w:b/>
          <w:sz w:val="24"/>
        </w:rPr>
        <w:t>由关联方保管的银行存款余额及当期产生的利息收入</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683"/>
        <w:gridCol w:w="1683"/>
        <w:gridCol w:w="1683"/>
        <w:gridCol w:w="1683"/>
      </w:tblGrid>
      <w:tr w:rsidR="000E6BAE">
        <w:tc>
          <w:tcPr>
            <w:tcW w:w="2268" w:type="dxa"/>
            <w:vMerge w:val="restart"/>
            <w:vAlign w:val="center"/>
          </w:tcPr>
          <w:p w:rsidR="000E6BAE" w:rsidRDefault="00CD6463">
            <w:pPr>
              <w:widowControl/>
              <w:autoSpaceDE w:val="0"/>
              <w:autoSpaceDN w:val="0"/>
              <w:spacing w:before="29" w:line="288" w:lineRule="auto"/>
              <w:ind w:right="-15"/>
              <w:jc w:val="center"/>
              <w:textAlignment w:val="bottom"/>
              <w:rPr>
                <w:color w:val="000000"/>
                <w:szCs w:val="21"/>
              </w:rPr>
            </w:pPr>
            <w:r>
              <w:rPr>
                <w:rFonts w:hint="eastAsia"/>
                <w:color w:val="000000"/>
                <w:szCs w:val="21"/>
              </w:rPr>
              <w:t>关联方名称</w:t>
            </w:r>
          </w:p>
        </w:tc>
        <w:tc>
          <w:tcPr>
            <w:tcW w:w="3366" w:type="dxa"/>
            <w:gridSpan w:val="2"/>
          </w:tcPr>
          <w:p w:rsidR="000E6BAE" w:rsidRDefault="00CD6463">
            <w:pPr>
              <w:widowControl/>
              <w:autoSpaceDE w:val="0"/>
              <w:autoSpaceDN w:val="0"/>
              <w:spacing w:before="29" w:line="288" w:lineRule="auto"/>
              <w:ind w:right="-15"/>
              <w:jc w:val="center"/>
              <w:textAlignment w:val="bottom"/>
              <w:rPr>
                <w:color w:val="000000"/>
                <w:szCs w:val="21"/>
              </w:rPr>
            </w:pPr>
            <w:r>
              <w:rPr>
                <w:rFonts w:hint="eastAsia"/>
                <w:color w:val="000000"/>
                <w:szCs w:val="21"/>
              </w:rPr>
              <w:t>本期</w:t>
            </w:r>
          </w:p>
          <w:p w:rsidR="000E6BAE" w:rsidRDefault="00CD6463">
            <w:pPr>
              <w:widowControl/>
              <w:autoSpaceDE w:val="0"/>
              <w:autoSpaceDN w:val="0"/>
              <w:spacing w:before="29" w:line="288" w:lineRule="auto"/>
              <w:ind w:right="-15"/>
              <w:jc w:val="center"/>
              <w:textAlignment w:val="bottom"/>
              <w:rPr>
                <w:color w:val="000000"/>
                <w:szCs w:val="21"/>
              </w:rPr>
            </w:pPr>
            <w:r>
              <w:rPr>
                <w:color w:val="000000"/>
                <w:szCs w:val="21"/>
              </w:rPr>
              <w:t>2020</w:t>
            </w:r>
            <w:r>
              <w:rPr>
                <w:color w:val="000000"/>
                <w:szCs w:val="21"/>
              </w:rPr>
              <w:t>年</w:t>
            </w:r>
            <w:r>
              <w:rPr>
                <w:color w:val="000000"/>
                <w:szCs w:val="21"/>
              </w:rPr>
              <w:t>1</w:t>
            </w:r>
            <w:r>
              <w:rPr>
                <w:color w:val="000000"/>
                <w:szCs w:val="21"/>
              </w:rPr>
              <w:t>月</w:t>
            </w:r>
            <w:r>
              <w:rPr>
                <w:color w:val="000000"/>
                <w:szCs w:val="21"/>
              </w:rPr>
              <w:t>1</w:t>
            </w:r>
            <w:r>
              <w:rPr>
                <w:color w:val="000000"/>
                <w:szCs w:val="21"/>
              </w:rPr>
              <w:t>日</w:t>
            </w:r>
            <w:r>
              <w:rPr>
                <w:rFonts w:hint="eastAsia"/>
                <w:color w:val="000000"/>
                <w:szCs w:val="21"/>
              </w:rPr>
              <w:t>至</w:t>
            </w:r>
            <w:r>
              <w:rPr>
                <w:color w:val="000000"/>
                <w:szCs w:val="21"/>
              </w:rPr>
              <w:t>2020</w:t>
            </w:r>
            <w:r>
              <w:rPr>
                <w:color w:val="000000"/>
                <w:szCs w:val="21"/>
              </w:rPr>
              <w:t>年</w:t>
            </w:r>
            <w:r>
              <w:rPr>
                <w:color w:val="000000"/>
                <w:szCs w:val="21"/>
              </w:rPr>
              <w:t>12</w:t>
            </w:r>
            <w:r>
              <w:rPr>
                <w:color w:val="000000"/>
                <w:szCs w:val="21"/>
              </w:rPr>
              <w:t>月</w:t>
            </w:r>
            <w:r>
              <w:rPr>
                <w:color w:val="000000"/>
                <w:szCs w:val="21"/>
              </w:rPr>
              <w:t>31</w:t>
            </w:r>
            <w:r>
              <w:rPr>
                <w:color w:val="000000"/>
                <w:szCs w:val="21"/>
              </w:rPr>
              <w:t>日</w:t>
            </w:r>
          </w:p>
        </w:tc>
        <w:tc>
          <w:tcPr>
            <w:tcW w:w="3366" w:type="dxa"/>
            <w:gridSpan w:val="2"/>
          </w:tcPr>
          <w:p w:rsidR="000E6BAE" w:rsidRDefault="00CD6463">
            <w:pPr>
              <w:widowControl/>
              <w:autoSpaceDE w:val="0"/>
              <w:autoSpaceDN w:val="0"/>
              <w:spacing w:before="29" w:line="288" w:lineRule="auto"/>
              <w:ind w:right="-15"/>
              <w:jc w:val="center"/>
              <w:textAlignment w:val="bottom"/>
              <w:rPr>
                <w:color w:val="000000"/>
                <w:szCs w:val="21"/>
              </w:rPr>
            </w:pPr>
            <w:r>
              <w:rPr>
                <w:rFonts w:hint="eastAsia"/>
                <w:color w:val="000000"/>
                <w:szCs w:val="21"/>
              </w:rPr>
              <w:t>上年度可比期间</w:t>
            </w:r>
          </w:p>
          <w:p w:rsidR="000E6BAE" w:rsidRDefault="00CD6463">
            <w:pPr>
              <w:widowControl/>
              <w:autoSpaceDE w:val="0"/>
              <w:autoSpaceDN w:val="0"/>
              <w:spacing w:before="29" w:line="288" w:lineRule="auto"/>
              <w:ind w:right="-15"/>
              <w:jc w:val="center"/>
              <w:textAlignment w:val="bottom"/>
              <w:rPr>
                <w:color w:val="000000"/>
                <w:szCs w:val="21"/>
              </w:rPr>
            </w:pPr>
            <w:r>
              <w:rPr>
                <w:color w:val="000000"/>
                <w:szCs w:val="21"/>
              </w:rPr>
              <w:t>2019</w:t>
            </w:r>
            <w:r>
              <w:rPr>
                <w:color w:val="000000"/>
                <w:szCs w:val="21"/>
              </w:rPr>
              <w:t>年</w:t>
            </w:r>
            <w:r>
              <w:rPr>
                <w:color w:val="000000"/>
                <w:szCs w:val="21"/>
              </w:rPr>
              <w:t>1</w:t>
            </w:r>
            <w:r>
              <w:rPr>
                <w:color w:val="000000"/>
                <w:szCs w:val="21"/>
              </w:rPr>
              <w:t>月</w:t>
            </w:r>
            <w:r>
              <w:rPr>
                <w:color w:val="000000"/>
                <w:szCs w:val="21"/>
              </w:rPr>
              <w:t>1</w:t>
            </w:r>
            <w:r>
              <w:rPr>
                <w:color w:val="000000"/>
                <w:szCs w:val="21"/>
              </w:rPr>
              <w:t>日至</w:t>
            </w:r>
            <w:r>
              <w:rPr>
                <w:color w:val="000000"/>
                <w:szCs w:val="21"/>
              </w:rPr>
              <w:t>2019</w:t>
            </w:r>
            <w:r>
              <w:rPr>
                <w:color w:val="000000"/>
                <w:szCs w:val="21"/>
              </w:rPr>
              <w:t>年</w:t>
            </w:r>
            <w:r>
              <w:rPr>
                <w:color w:val="000000"/>
                <w:szCs w:val="21"/>
              </w:rPr>
              <w:t>12</w:t>
            </w:r>
            <w:r>
              <w:rPr>
                <w:color w:val="000000"/>
                <w:szCs w:val="21"/>
              </w:rPr>
              <w:t>月</w:t>
            </w:r>
            <w:r>
              <w:rPr>
                <w:color w:val="000000"/>
                <w:szCs w:val="21"/>
              </w:rPr>
              <w:t>31</w:t>
            </w:r>
            <w:r>
              <w:rPr>
                <w:color w:val="000000"/>
                <w:szCs w:val="21"/>
              </w:rPr>
              <w:t>日</w:t>
            </w:r>
          </w:p>
        </w:tc>
      </w:tr>
      <w:tr w:rsidR="000E6BAE">
        <w:tc>
          <w:tcPr>
            <w:tcW w:w="2268" w:type="dxa"/>
            <w:vMerge/>
            <w:vAlign w:val="center"/>
          </w:tcPr>
          <w:p w:rsidR="000E6BAE" w:rsidRDefault="000E6BAE">
            <w:pPr>
              <w:widowControl/>
              <w:autoSpaceDE w:val="0"/>
              <w:autoSpaceDN w:val="0"/>
              <w:spacing w:before="29" w:line="288" w:lineRule="auto"/>
              <w:ind w:right="-15"/>
              <w:jc w:val="center"/>
              <w:textAlignment w:val="bottom"/>
              <w:rPr>
                <w:color w:val="000000"/>
                <w:szCs w:val="21"/>
              </w:rPr>
            </w:pPr>
          </w:p>
        </w:tc>
        <w:tc>
          <w:tcPr>
            <w:tcW w:w="1683" w:type="dxa"/>
            <w:vAlign w:val="center"/>
          </w:tcPr>
          <w:p w:rsidR="000E6BAE" w:rsidRDefault="00CD6463">
            <w:pPr>
              <w:autoSpaceDE w:val="0"/>
              <w:autoSpaceDN w:val="0"/>
              <w:spacing w:before="29" w:line="288" w:lineRule="auto"/>
              <w:ind w:right="-15"/>
              <w:jc w:val="center"/>
              <w:textAlignment w:val="bottom"/>
              <w:rPr>
                <w:color w:val="000000"/>
                <w:szCs w:val="21"/>
              </w:rPr>
            </w:pPr>
            <w:r>
              <w:rPr>
                <w:rFonts w:hint="eastAsia"/>
                <w:color w:val="000000"/>
                <w:szCs w:val="21"/>
              </w:rPr>
              <w:t>期末余额</w:t>
            </w:r>
          </w:p>
        </w:tc>
        <w:tc>
          <w:tcPr>
            <w:tcW w:w="1683" w:type="dxa"/>
            <w:vAlign w:val="center"/>
          </w:tcPr>
          <w:p w:rsidR="000E6BAE" w:rsidRDefault="00CD6463">
            <w:pPr>
              <w:autoSpaceDE w:val="0"/>
              <w:autoSpaceDN w:val="0"/>
              <w:spacing w:before="29" w:line="288" w:lineRule="auto"/>
              <w:ind w:right="-15"/>
              <w:jc w:val="center"/>
              <w:textAlignment w:val="bottom"/>
              <w:rPr>
                <w:color w:val="000000"/>
                <w:szCs w:val="21"/>
              </w:rPr>
            </w:pPr>
            <w:r>
              <w:rPr>
                <w:rFonts w:hint="eastAsia"/>
                <w:color w:val="000000"/>
                <w:szCs w:val="21"/>
              </w:rPr>
              <w:t>当期利息收入</w:t>
            </w:r>
          </w:p>
        </w:tc>
        <w:tc>
          <w:tcPr>
            <w:tcW w:w="1683" w:type="dxa"/>
            <w:vAlign w:val="center"/>
          </w:tcPr>
          <w:p w:rsidR="000E6BAE" w:rsidRDefault="00CD6463">
            <w:pPr>
              <w:autoSpaceDE w:val="0"/>
              <w:autoSpaceDN w:val="0"/>
              <w:spacing w:before="29" w:line="288" w:lineRule="auto"/>
              <w:ind w:right="-15"/>
              <w:jc w:val="center"/>
              <w:textAlignment w:val="bottom"/>
              <w:rPr>
                <w:color w:val="000000"/>
                <w:szCs w:val="21"/>
              </w:rPr>
            </w:pPr>
            <w:r>
              <w:rPr>
                <w:rFonts w:hint="eastAsia"/>
                <w:color w:val="000000"/>
                <w:szCs w:val="21"/>
              </w:rPr>
              <w:t>期末余额</w:t>
            </w:r>
          </w:p>
        </w:tc>
        <w:tc>
          <w:tcPr>
            <w:tcW w:w="1683" w:type="dxa"/>
            <w:vAlign w:val="center"/>
          </w:tcPr>
          <w:p w:rsidR="000E6BAE" w:rsidRDefault="00CD6463">
            <w:pPr>
              <w:autoSpaceDE w:val="0"/>
              <w:autoSpaceDN w:val="0"/>
              <w:spacing w:before="29" w:line="288" w:lineRule="auto"/>
              <w:ind w:right="-15"/>
              <w:jc w:val="center"/>
              <w:textAlignment w:val="bottom"/>
              <w:rPr>
                <w:color w:val="000000"/>
                <w:szCs w:val="21"/>
              </w:rPr>
            </w:pPr>
            <w:r>
              <w:rPr>
                <w:rFonts w:hint="eastAsia"/>
                <w:color w:val="000000"/>
                <w:szCs w:val="21"/>
              </w:rPr>
              <w:t>当期利息收入</w:t>
            </w:r>
          </w:p>
        </w:tc>
      </w:tr>
      <w:tr w:rsidR="000E6BAE">
        <w:tc>
          <w:tcPr>
            <w:tcW w:w="2268" w:type="dxa"/>
            <w:vAlign w:val="center"/>
          </w:tcPr>
          <w:p w:rsidR="000E6BAE" w:rsidRDefault="00CD6463">
            <w:pPr>
              <w:jc w:val="left"/>
            </w:pPr>
            <w:r>
              <w:rPr>
                <w:szCs w:val="21"/>
              </w:rPr>
              <w:t>中信银行</w:t>
            </w:r>
          </w:p>
        </w:tc>
        <w:tc>
          <w:tcPr>
            <w:tcW w:w="1683" w:type="dxa"/>
            <w:vAlign w:val="center"/>
          </w:tcPr>
          <w:p w:rsidR="000E6BAE" w:rsidRDefault="00CD6463">
            <w:pPr>
              <w:jc w:val="right"/>
            </w:pPr>
            <w:r>
              <w:rPr>
                <w:szCs w:val="21"/>
              </w:rPr>
              <w:t>1,264,779.45</w:t>
            </w:r>
          </w:p>
        </w:tc>
        <w:tc>
          <w:tcPr>
            <w:tcW w:w="1683" w:type="dxa"/>
            <w:vAlign w:val="center"/>
          </w:tcPr>
          <w:p w:rsidR="000E6BAE" w:rsidRDefault="00CD6463">
            <w:pPr>
              <w:jc w:val="right"/>
            </w:pPr>
            <w:r>
              <w:rPr>
                <w:szCs w:val="21"/>
              </w:rPr>
              <w:t>233,458.67</w:t>
            </w:r>
          </w:p>
        </w:tc>
        <w:tc>
          <w:tcPr>
            <w:tcW w:w="1683" w:type="dxa"/>
            <w:vAlign w:val="center"/>
          </w:tcPr>
          <w:p w:rsidR="000E6BAE" w:rsidRDefault="00CD6463">
            <w:pPr>
              <w:jc w:val="right"/>
            </w:pPr>
            <w:r>
              <w:rPr>
                <w:szCs w:val="21"/>
              </w:rPr>
              <w:t>9,845,965.00</w:t>
            </w:r>
          </w:p>
        </w:tc>
        <w:tc>
          <w:tcPr>
            <w:tcW w:w="1683" w:type="dxa"/>
            <w:vAlign w:val="center"/>
          </w:tcPr>
          <w:p w:rsidR="000E6BAE" w:rsidRDefault="00CD6463">
            <w:pPr>
              <w:jc w:val="right"/>
            </w:pPr>
            <w:r>
              <w:rPr>
                <w:szCs w:val="21"/>
              </w:rPr>
              <w:t>30,945.51</w:t>
            </w:r>
          </w:p>
        </w:tc>
      </w:tr>
    </w:tbl>
    <w:p w:rsidR="000E6BAE" w:rsidRDefault="00CD6463">
      <w:pPr>
        <w:tabs>
          <w:tab w:val="left" w:pos="426"/>
        </w:tabs>
        <w:spacing w:before="29" w:line="288" w:lineRule="auto"/>
        <w:jc w:val="left"/>
        <w:rPr>
          <w:kern w:val="0"/>
          <w:sz w:val="24"/>
        </w:rPr>
      </w:pPr>
      <w:r>
        <w:rPr>
          <w:kern w:val="0"/>
          <w:sz w:val="24"/>
        </w:rPr>
        <w:t>注：本基金的银行存款由基金托管人保管，按银行同业利率计息。</w:t>
      </w: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7.4.10.6</w:t>
      </w:r>
      <w:r>
        <w:rPr>
          <w:rFonts w:eastAsiaTheme="minorEastAsia" w:hint="eastAsia"/>
          <w:b/>
          <w:sz w:val="24"/>
        </w:rPr>
        <w:t>本基金在承销期内参与关联方承销证券的情况</w:t>
      </w:r>
    </w:p>
    <w:p w:rsidR="000E6BAE" w:rsidRDefault="00CD6463">
      <w:pPr>
        <w:tabs>
          <w:tab w:val="left" w:pos="426"/>
        </w:tabs>
        <w:spacing w:before="29" w:line="288" w:lineRule="auto"/>
        <w:jc w:val="left"/>
        <w:rPr>
          <w:kern w:val="0"/>
          <w:sz w:val="24"/>
        </w:rPr>
      </w:pPr>
      <w:r>
        <w:rPr>
          <w:kern w:val="0"/>
          <w:sz w:val="24"/>
        </w:rPr>
        <w:t>本基金本报告期内及上年度可比期间未在承销期内参与关联方承销的证券。</w:t>
      </w:r>
    </w:p>
    <w:p w:rsidR="000E6BAE" w:rsidRDefault="000E6BAE">
      <w:pPr>
        <w:adjustRightInd w:val="0"/>
        <w:snapToGrid w:val="0"/>
        <w:spacing w:line="360" w:lineRule="auto"/>
        <w:jc w:val="left"/>
        <w:rPr>
          <w:rFonts w:asciiTheme="minorEastAsia" w:eastAsiaTheme="minorEastAsia" w:hAnsiTheme="minorEastAsia"/>
          <w:bCs/>
          <w:color w:val="000000"/>
          <w:szCs w:val="21"/>
        </w:rPr>
      </w:pPr>
    </w:p>
    <w:p w:rsidR="000E6BAE" w:rsidRDefault="00CD6463">
      <w:pPr>
        <w:adjustRightInd w:val="0"/>
        <w:snapToGrid w:val="0"/>
        <w:spacing w:beforeLines="100" w:before="312" w:line="360" w:lineRule="auto"/>
        <w:rPr>
          <w:rFonts w:eastAsiaTheme="minorEastAsia"/>
          <w:b/>
          <w:color w:val="000000" w:themeColor="text1"/>
          <w:sz w:val="24"/>
        </w:rPr>
      </w:pPr>
      <w:r>
        <w:rPr>
          <w:rFonts w:eastAsiaTheme="minorEastAsia"/>
          <w:b/>
          <w:bCs/>
          <w:color w:val="000000" w:themeColor="text1"/>
          <w:kern w:val="0"/>
          <w:sz w:val="24"/>
        </w:rPr>
        <w:t xml:space="preserve">7.4.10.7 </w:t>
      </w:r>
      <w:r>
        <w:rPr>
          <w:rFonts w:eastAsiaTheme="minorEastAsia"/>
          <w:b/>
          <w:color w:val="000000" w:themeColor="text1"/>
          <w:sz w:val="24"/>
        </w:rPr>
        <w:t>其他关联交易事项的说明</w:t>
      </w:r>
    </w:p>
    <w:p w:rsidR="000E6BAE" w:rsidRDefault="00CD646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本基金本报告期内及上年度可比期间无其他关联交易事项。</w:t>
      </w:r>
    </w:p>
    <w:p w:rsidR="000E6BAE" w:rsidRDefault="00CD6463">
      <w:pPr>
        <w:spacing w:before="29" w:line="288" w:lineRule="auto"/>
        <w:rPr>
          <w:rFonts w:eastAsiaTheme="minorEastAsia"/>
          <w:b/>
          <w:sz w:val="24"/>
        </w:rPr>
      </w:pPr>
      <w:r>
        <w:rPr>
          <w:rFonts w:eastAsiaTheme="minorEastAsia"/>
          <w:b/>
          <w:sz w:val="24"/>
        </w:rPr>
        <w:t>7.4.11</w:t>
      </w:r>
      <w:r>
        <w:rPr>
          <w:rFonts w:eastAsiaTheme="minorEastAsia" w:hint="eastAsia"/>
          <w:b/>
          <w:sz w:val="24"/>
        </w:rPr>
        <w:t>利润分配情况</w:t>
      </w:r>
    </w:p>
    <w:p w:rsidR="000E6BAE" w:rsidRDefault="00CD6463">
      <w:pPr>
        <w:adjustRightInd w:val="0"/>
        <w:snapToGrid w:val="0"/>
        <w:spacing w:before="29" w:line="288" w:lineRule="auto"/>
        <w:rPr>
          <w:color w:val="000000"/>
          <w:sz w:val="24"/>
        </w:rPr>
      </w:pPr>
      <w:r>
        <w:rPr>
          <w:color w:val="000000"/>
          <w:sz w:val="24"/>
        </w:rPr>
        <w:t>交银丰润收益债券</w:t>
      </w:r>
      <w:r>
        <w:rPr>
          <w:color w:val="000000"/>
          <w:sz w:val="24"/>
        </w:rPr>
        <w:t>A</w:t>
      </w:r>
    </w:p>
    <w:p w:rsidR="000E6BAE" w:rsidRDefault="00CD6463">
      <w:pPr>
        <w:autoSpaceDE w:val="0"/>
        <w:autoSpaceDN w:val="0"/>
        <w:adjustRightInd w:val="0"/>
        <w:spacing w:before="29" w:line="288" w:lineRule="auto"/>
        <w:ind w:left="15"/>
        <w:jc w:val="right"/>
        <w:rPr>
          <w:bCs/>
          <w:color w:val="000000"/>
          <w:sz w:val="24"/>
        </w:rPr>
      </w:pPr>
      <w:r>
        <w:rPr>
          <w:bCs/>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0E6BAE">
        <w:trPr>
          <w:trHeight w:val="1323"/>
          <w:jc w:val="center"/>
        </w:trPr>
        <w:tc>
          <w:tcPr>
            <w:tcW w:w="853" w:type="dxa"/>
            <w:vMerge w:val="restart"/>
            <w:shd w:val="clear" w:color="auto" w:fill="auto"/>
            <w:vAlign w:val="center"/>
          </w:tcPr>
          <w:p w:rsidR="000E6BAE" w:rsidRDefault="00CD6463">
            <w:pPr>
              <w:widowControl/>
              <w:autoSpaceDE w:val="0"/>
              <w:autoSpaceDN w:val="0"/>
              <w:spacing w:before="29" w:line="288" w:lineRule="auto"/>
              <w:ind w:right="-15"/>
              <w:jc w:val="center"/>
              <w:textAlignment w:val="bottom"/>
              <w:rPr>
                <w:color w:val="000000"/>
                <w:szCs w:val="21"/>
              </w:rPr>
            </w:pPr>
            <w:r>
              <w:rPr>
                <w:color w:val="000000"/>
                <w:szCs w:val="21"/>
              </w:rPr>
              <w:t>序号</w:t>
            </w:r>
          </w:p>
        </w:tc>
        <w:tc>
          <w:tcPr>
            <w:tcW w:w="1216" w:type="dxa"/>
            <w:vMerge w:val="restart"/>
            <w:shd w:val="clear" w:color="auto" w:fill="auto"/>
            <w:vAlign w:val="center"/>
          </w:tcPr>
          <w:p w:rsidR="000E6BAE" w:rsidRDefault="00CD6463">
            <w:pPr>
              <w:widowControl/>
              <w:autoSpaceDE w:val="0"/>
              <w:autoSpaceDN w:val="0"/>
              <w:spacing w:before="29" w:line="288" w:lineRule="auto"/>
              <w:ind w:right="-15"/>
              <w:jc w:val="center"/>
              <w:textAlignment w:val="bottom"/>
              <w:rPr>
                <w:color w:val="000000"/>
                <w:szCs w:val="21"/>
              </w:rPr>
            </w:pPr>
            <w:r>
              <w:rPr>
                <w:color w:val="000000"/>
                <w:szCs w:val="21"/>
              </w:rPr>
              <w:t>权益登记日</w:t>
            </w:r>
          </w:p>
        </w:tc>
        <w:tc>
          <w:tcPr>
            <w:tcW w:w="1478" w:type="dxa"/>
            <w:shd w:val="clear" w:color="auto" w:fill="auto"/>
            <w:vAlign w:val="center"/>
          </w:tcPr>
          <w:p w:rsidR="000E6BAE" w:rsidRDefault="00CD6463">
            <w:pPr>
              <w:widowControl/>
              <w:autoSpaceDE w:val="0"/>
              <w:autoSpaceDN w:val="0"/>
              <w:spacing w:before="29" w:line="288" w:lineRule="auto"/>
              <w:ind w:right="-15"/>
              <w:jc w:val="center"/>
              <w:textAlignment w:val="bottom"/>
              <w:rPr>
                <w:color w:val="000000"/>
                <w:szCs w:val="21"/>
              </w:rPr>
            </w:pPr>
            <w:r>
              <w:rPr>
                <w:color w:val="000000"/>
                <w:szCs w:val="21"/>
              </w:rPr>
              <w:t>除息日</w:t>
            </w:r>
          </w:p>
        </w:tc>
        <w:tc>
          <w:tcPr>
            <w:tcW w:w="1171" w:type="dxa"/>
            <w:vMerge w:val="restart"/>
            <w:shd w:val="clear" w:color="auto" w:fill="auto"/>
            <w:vAlign w:val="center"/>
          </w:tcPr>
          <w:p w:rsidR="000E6BAE" w:rsidRDefault="00CD6463">
            <w:pPr>
              <w:widowControl/>
              <w:spacing w:line="288" w:lineRule="auto"/>
              <w:ind w:leftChars="50" w:left="105" w:right="-15"/>
              <w:jc w:val="center"/>
              <w:textAlignment w:val="bottom"/>
              <w:rPr>
                <w:color w:val="000000"/>
                <w:szCs w:val="21"/>
              </w:rPr>
            </w:pPr>
            <w:r>
              <w:rPr>
                <w:color w:val="000000"/>
                <w:szCs w:val="21"/>
              </w:rPr>
              <w:t>每</w:t>
            </w:r>
            <w:r>
              <w:rPr>
                <w:color w:val="000000"/>
                <w:szCs w:val="21"/>
              </w:rPr>
              <w:t>10</w:t>
            </w:r>
            <w:r>
              <w:rPr>
                <w:color w:val="000000"/>
                <w:szCs w:val="21"/>
              </w:rPr>
              <w:t>份基金份额分红数</w:t>
            </w:r>
          </w:p>
        </w:tc>
        <w:tc>
          <w:tcPr>
            <w:tcW w:w="1325" w:type="dxa"/>
            <w:vMerge w:val="restart"/>
            <w:shd w:val="clear" w:color="auto" w:fill="auto"/>
            <w:vAlign w:val="center"/>
          </w:tcPr>
          <w:p w:rsidR="000E6BAE" w:rsidRDefault="00CD6463">
            <w:pPr>
              <w:widowControl/>
              <w:spacing w:line="288" w:lineRule="auto"/>
              <w:ind w:leftChars="50" w:left="105" w:right="-15"/>
              <w:jc w:val="center"/>
              <w:textAlignment w:val="bottom"/>
              <w:rPr>
                <w:color w:val="000000"/>
                <w:szCs w:val="21"/>
              </w:rPr>
            </w:pPr>
            <w:r>
              <w:rPr>
                <w:color w:val="000000"/>
                <w:szCs w:val="21"/>
              </w:rPr>
              <w:t>现金形式发放总额</w:t>
            </w:r>
          </w:p>
        </w:tc>
        <w:tc>
          <w:tcPr>
            <w:tcW w:w="1325" w:type="dxa"/>
            <w:vMerge w:val="restart"/>
            <w:shd w:val="clear" w:color="auto" w:fill="auto"/>
            <w:vAlign w:val="center"/>
          </w:tcPr>
          <w:p w:rsidR="000E6BAE" w:rsidRDefault="00CD6463">
            <w:pPr>
              <w:widowControl/>
              <w:spacing w:line="288" w:lineRule="auto"/>
              <w:ind w:leftChars="50" w:left="105" w:right="-15"/>
              <w:jc w:val="center"/>
              <w:textAlignment w:val="bottom"/>
              <w:rPr>
                <w:color w:val="000000"/>
                <w:szCs w:val="21"/>
              </w:rPr>
            </w:pPr>
            <w:r>
              <w:rPr>
                <w:color w:val="000000"/>
                <w:szCs w:val="21"/>
              </w:rPr>
              <w:t>再投资形式发放总额</w:t>
            </w:r>
          </w:p>
        </w:tc>
        <w:tc>
          <w:tcPr>
            <w:tcW w:w="1325" w:type="dxa"/>
            <w:vMerge w:val="restart"/>
            <w:shd w:val="clear" w:color="auto" w:fill="auto"/>
            <w:vAlign w:val="center"/>
          </w:tcPr>
          <w:p w:rsidR="000E6BAE" w:rsidRDefault="00CD6463">
            <w:pPr>
              <w:widowControl/>
              <w:spacing w:line="288" w:lineRule="auto"/>
              <w:ind w:right="-15"/>
              <w:jc w:val="center"/>
              <w:textAlignment w:val="bottom"/>
              <w:rPr>
                <w:color w:val="000000"/>
                <w:szCs w:val="21"/>
              </w:rPr>
            </w:pPr>
            <w:r>
              <w:rPr>
                <w:rFonts w:hint="eastAsia"/>
                <w:color w:val="000000"/>
                <w:szCs w:val="21"/>
              </w:rPr>
              <w:t>本期</w:t>
            </w:r>
            <w:r>
              <w:rPr>
                <w:color w:val="000000"/>
                <w:szCs w:val="21"/>
              </w:rPr>
              <w:t>利润分配合计</w:t>
            </w:r>
          </w:p>
        </w:tc>
        <w:tc>
          <w:tcPr>
            <w:tcW w:w="948" w:type="dxa"/>
            <w:vMerge w:val="restart"/>
            <w:shd w:val="clear" w:color="auto" w:fill="auto"/>
            <w:vAlign w:val="center"/>
          </w:tcPr>
          <w:p w:rsidR="000E6BAE" w:rsidRDefault="00CD6463">
            <w:pPr>
              <w:widowControl/>
              <w:spacing w:line="288" w:lineRule="auto"/>
              <w:ind w:right="-15"/>
              <w:jc w:val="center"/>
              <w:textAlignment w:val="bottom"/>
              <w:rPr>
                <w:color w:val="000000"/>
                <w:szCs w:val="21"/>
              </w:rPr>
            </w:pPr>
            <w:r>
              <w:rPr>
                <w:color w:val="000000"/>
                <w:szCs w:val="21"/>
              </w:rPr>
              <w:t>备注</w:t>
            </w:r>
          </w:p>
        </w:tc>
      </w:tr>
      <w:tr w:rsidR="000E6BAE">
        <w:trPr>
          <w:jc w:val="center"/>
        </w:trPr>
        <w:tc>
          <w:tcPr>
            <w:tcW w:w="853" w:type="dxa"/>
            <w:vAlign w:val="center"/>
          </w:tcPr>
          <w:p w:rsidR="000E6BAE" w:rsidRDefault="00CD6463">
            <w:pPr>
              <w:jc w:val="center"/>
            </w:pPr>
            <w:r>
              <w:rPr>
                <w:szCs w:val="21"/>
              </w:rPr>
              <w:t>1</w:t>
            </w:r>
          </w:p>
        </w:tc>
        <w:tc>
          <w:tcPr>
            <w:tcW w:w="1216" w:type="dxa"/>
            <w:vAlign w:val="center"/>
          </w:tcPr>
          <w:p w:rsidR="000E6BAE" w:rsidRDefault="00CD6463">
            <w:pPr>
              <w:jc w:val="center"/>
            </w:pPr>
            <w:r>
              <w:rPr>
                <w:szCs w:val="21"/>
              </w:rPr>
              <w:t>2020-03-25</w:t>
            </w:r>
          </w:p>
        </w:tc>
        <w:tc>
          <w:tcPr>
            <w:tcW w:w="1478" w:type="dxa"/>
            <w:vAlign w:val="center"/>
          </w:tcPr>
          <w:p w:rsidR="000E6BAE" w:rsidRDefault="00CD6463">
            <w:pPr>
              <w:jc w:val="center"/>
            </w:pPr>
            <w:r>
              <w:rPr>
                <w:szCs w:val="21"/>
              </w:rPr>
              <w:t>2020-03-25</w:t>
            </w:r>
          </w:p>
        </w:tc>
        <w:tc>
          <w:tcPr>
            <w:tcW w:w="1171" w:type="dxa"/>
            <w:vAlign w:val="center"/>
          </w:tcPr>
          <w:p w:rsidR="000E6BAE" w:rsidRDefault="00CD6463">
            <w:pPr>
              <w:jc w:val="right"/>
            </w:pPr>
            <w:r>
              <w:rPr>
                <w:szCs w:val="21"/>
              </w:rPr>
              <w:t>0.080</w:t>
            </w:r>
          </w:p>
        </w:tc>
        <w:tc>
          <w:tcPr>
            <w:tcW w:w="1325" w:type="dxa"/>
            <w:vAlign w:val="center"/>
          </w:tcPr>
          <w:p w:rsidR="000E6BAE" w:rsidRDefault="00CD6463">
            <w:pPr>
              <w:jc w:val="right"/>
            </w:pPr>
            <w:r>
              <w:rPr>
                <w:szCs w:val="21"/>
              </w:rPr>
              <w:t>22,279,215.84</w:t>
            </w:r>
          </w:p>
        </w:tc>
        <w:tc>
          <w:tcPr>
            <w:tcW w:w="1325" w:type="dxa"/>
            <w:vAlign w:val="center"/>
          </w:tcPr>
          <w:p w:rsidR="000E6BAE" w:rsidRDefault="00CD6463">
            <w:pPr>
              <w:jc w:val="right"/>
            </w:pPr>
            <w:r>
              <w:rPr>
                <w:szCs w:val="21"/>
              </w:rPr>
              <w:t>1,531,892.81</w:t>
            </w:r>
          </w:p>
        </w:tc>
        <w:tc>
          <w:tcPr>
            <w:tcW w:w="1325" w:type="dxa"/>
            <w:vAlign w:val="center"/>
          </w:tcPr>
          <w:p w:rsidR="000E6BAE" w:rsidRDefault="00CD6463">
            <w:pPr>
              <w:jc w:val="right"/>
            </w:pPr>
            <w:r>
              <w:rPr>
                <w:szCs w:val="21"/>
              </w:rPr>
              <w:t>23,811,108.65</w:t>
            </w:r>
          </w:p>
        </w:tc>
        <w:tc>
          <w:tcPr>
            <w:tcW w:w="948" w:type="dxa"/>
            <w:vAlign w:val="center"/>
          </w:tcPr>
          <w:p w:rsidR="000E6BAE" w:rsidRDefault="00CD6463">
            <w:pPr>
              <w:jc w:val="left"/>
            </w:pPr>
            <w:r>
              <w:rPr>
                <w:szCs w:val="21"/>
              </w:rPr>
              <w:t>-</w:t>
            </w:r>
          </w:p>
        </w:tc>
      </w:tr>
      <w:tr w:rsidR="000E6BAE">
        <w:trPr>
          <w:jc w:val="center"/>
        </w:trPr>
        <w:tc>
          <w:tcPr>
            <w:tcW w:w="853" w:type="dxa"/>
            <w:vAlign w:val="center"/>
          </w:tcPr>
          <w:p w:rsidR="000E6BAE" w:rsidRDefault="00CD6463">
            <w:pPr>
              <w:jc w:val="center"/>
            </w:pPr>
            <w:r>
              <w:rPr>
                <w:szCs w:val="21"/>
              </w:rPr>
              <w:t>2</w:t>
            </w:r>
          </w:p>
        </w:tc>
        <w:tc>
          <w:tcPr>
            <w:tcW w:w="1216" w:type="dxa"/>
            <w:vAlign w:val="center"/>
          </w:tcPr>
          <w:p w:rsidR="000E6BAE" w:rsidRDefault="00CD6463">
            <w:pPr>
              <w:jc w:val="center"/>
            </w:pPr>
            <w:r>
              <w:rPr>
                <w:szCs w:val="21"/>
              </w:rPr>
              <w:t>2020-06-22</w:t>
            </w:r>
          </w:p>
        </w:tc>
        <w:tc>
          <w:tcPr>
            <w:tcW w:w="1478" w:type="dxa"/>
            <w:vAlign w:val="center"/>
          </w:tcPr>
          <w:p w:rsidR="000E6BAE" w:rsidRDefault="00CD6463">
            <w:pPr>
              <w:jc w:val="center"/>
            </w:pPr>
            <w:r>
              <w:rPr>
                <w:szCs w:val="21"/>
              </w:rPr>
              <w:t>2020-06-22</w:t>
            </w:r>
          </w:p>
        </w:tc>
        <w:tc>
          <w:tcPr>
            <w:tcW w:w="1171" w:type="dxa"/>
            <w:vAlign w:val="center"/>
          </w:tcPr>
          <w:p w:rsidR="000E6BAE" w:rsidRDefault="00CD6463">
            <w:pPr>
              <w:jc w:val="right"/>
            </w:pPr>
            <w:r>
              <w:rPr>
                <w:szCs w:val="21"/>
              </w:rPr>
              <w:t>0.500</w:t>
            </w:r>
          </w:p>
        </w:tc>
        <w:tc>
          <w:tcPr>
            <w:tcW w:w="1325" w:type="dxa"/>
            <w:vAlign w:val="center"/>
          </w:tcPr>
          <w:p w:rsidR="000E6BAE" w:rsidRDefault="00CD6463">
            <w:pPr>
              <w:jc w:val="right"/>
            </w:pPr>
            <w:r>
              <w:rPr>
                <w:szCs w:val="21"/>
              </w:rPr>
              <w:t>297,536,708.54</w:t>
            </w:r>
          </w:p>
        </w:tc>
        <w:tc>
          <w:tcPr>
            <w:tcW w:w="1325" w:type="dxa"/>
            <w:vAlign w:val="center"/>
          </w:tcPr>
          <w:p w:rsidR="000E6BAE" w:rsidRDefault="00CD6463">
            <w:pPr>
              <w:jc w:val="right"/>
            </w:pPr>
            <w:r>
              <w:rPr>
                <w:szCs w:val="21"/>
              </w:rPr>
              <w:t>26,149,517.81</w:t>
            </w:r>
          </w:p>
        </w:tc>
        <w:tc>
          <w:tcPr>
            <w:tcW w:w="1325" w:type="dxa"/>
            <w:vAlign w:val="center"/>
          </w:tcPr>
          <w:p w:rsidR="000E6BAE" w:rsidRDefault="00CD6463">
            <w:pPr>
              <w:jc w:val="right"/>
            </w:pPr>
            <w:r>
              <w:rPr>
                <w:szCs w:val="21"/>
              </w:rPr>
              <w:t>323,686,226.35</w:t>
            </w:r>
          </w:p>
        </w:tc>
        <w:tc>
          <w:tcPr>
            <w:tcW w:w="948" w:type="dxa"/>
            <w:vAlign w:val="center"/>
          </w:tcPr>
          <w:p w:rsidR="000E6BAE" w:rsidRDefault="00CD6463">
            <w:pPr>
              <w:jc w:val="left"/>
            </w:pPr>
            <w:r>
              <w:rPr>
                <w:szCs w:val="21"/>
              </w:rPr>
              <w:t>-</w:t>
            </w:r>
          </w:p>
        </w:tc>
      </w:tr>
      <w:tr w:rsidR="000E6BAE">
        <w:trPr>
          <w:jc w:val="center"/>
        </w:trPr>
        <w:tc>
          <w:tcPr>
            <w:tcW w:w="853" w:type="dxa"/>
            <w:shd w:val="clear" w:color="auto" w:fill="auto"/>
            <w:vAlign w:val="center"/>
          </w:tcPr>
          <w:p w:rsidR="000E6BAE" w:rsidRDefault="00CD6463">
            <w:pPr>
              <w:spacing w:before="29" w:line="288" w:lineRule="auto"/>
              <w:jc w:val="center"/>
              <w:rPr>
                <w:szCs w:val="21"/>
              </w:rPr>
            </w:pPr>
            <w:r>
              <w:rPr>
                <w:szCs w:val="21"/>
              </w:rPr>
              <w:t>合计</w:t>
            </w:r>
          </w:p>
        </w:tc>
        <w:tc>
          <w:tcPr>
            <w:tcW w:w="1216" w:type="dxa"/>
            <w:shd w:val="clear" w:color="auto" w:fill="auto"/>
            <w:vAlign w:val="center"/>
          </w:tcPr>
          <w:p w:rsidR="000E6BAE" w:rsidRDefault="000E6BAE">
            <w:pPr>
              <w:spacing w:before="29" w:line="288" w:lineRule="auto"/>
              <w:jc w:val="right"/>
              <w:rPr>
                <w:szCs w:val="21"/>
              </w:rPr>
            </w:pPr>
          </w:p>
        </w:tc>
        <w:tc>
          <w:tcPr>
            <w:tcW w:w="1478" w:type="dxa"/>
            <w:shd w:val="clear" w:color="auto" w:fill="auto"/>
            <w:vAlign w:val="center"/>
          </w:tcPr>
          <w:p w:rsidR="000E6BAE" w:rsidRDefault="000E6BAE">
            <w:pPr>
              <w:spacing w:before="29" w:line="288" w:lineRule="auto"/>
              <w:jc w:val="right"/>
              <w:rPr>
                <w:szCs w:val="21"/>
              </w:rPr>
            </w:pPr>
          </w:p>
        </w:tc>
        <w:tc>
          <w:tcPr>
            <w:tcW w:w="1171" w:type="dxa"/>
            <w:shd w:val="clear" w:color="auto" w:fill="auto"/>
            <w:vAlign w:val="center"/>
          </w:tcPr>
          <w:p w:rsidR="000E6BAE" w:rsidRDefault="00CD6463">
            <w:pPr>
              <w:spacing w:before="29" w:line="288" w:lineRule="auto"/>
              <w:jc w:val="right"/>
              <w:rPr>
                <w:szCs w:val="21"/>
              </w:rPr>
            </w:pPr>
            <w:r>
              <w:rPr>
                <w:szCs w:val="21"/>
              </w:rPr>
              <w:t>0.580</w:t>
            </w:r>
          </w:p>
        </w:tc>
        <w:tc>
          <w:tcPr>
            <w:tcW w:w="1325" w:type="dxa"/>
            <w:shd w:val="clear" w:color="auto" w:fill="auto"/>
            <w:vAlign w:val="center"/>
          </w:tcPr>
          <w:p w:rsidR="000E6BAE" w:rsidRDefault="00CD6463">
            <w:pPr>
              <w:spacing w:before="29" w:line="288" w:lineRule="auto"/>
              <w:jc w:val="right"/>
              <w:rPr>
                <w:szCs w:val="21"/>
              </w:rPr>
            </w:pPr>
            <w:r>
              <w:rPr>
                <w:szCs w:val="21"/>
              </w:rPr>
              <w:t>319,815,924.38</w:t>
            </w:r>
          </w:p>
        </w:tc>
        <w:tc>
          <w:tcPr>
            <w:tcW w:w="1325" w:type="dxa"/>
            <w:shd w:val="clear" w:color="auto" w:fill="auto"/>
            <w:vAlign w:val="center"/>
          </w:tcPr>
          <w:p w:rsidR="000E6BAE" w:rsidRDefault="00CD6463">
            <w:pPr>
              <w:spacing w:before="29" w:line="288" w:lineRule="auto"/>
              <w:jc w:val="right"/>
              <w:rPr>
                <w:szCs w:val="21"/>
              </w:rPr>
            </w:pPr>
            <w:r>
              <w:rPr>
                <w:szCs w:val="21"/>
              </w:rPr>
              <w:t>27,681,410.62</w:t>
            </w:r>
          </w:p>
        </w:tc>
        <w:tc>
          <w:tcPr>
            <w:tcW w:w="1325" w:type="dxa"/>
            <w:shd w:val="clear" w:color="auto" w:fill="auto"/>
            <w:vAlign w:val="center"/>
          </w:tcPr>
          <w:p w:rsidR="000E6BAE" w:rsidRDefault="00CD6463">
            <w:pPr>
              <w:spacing w:before="29" w:line="288" w:lineRule="auto"/>
              <w:jc w:val="right"/>
              <w:rPr>
                <w:szCs w:val="21"/>
              </w:rPr>
            </w:pPr>
            <w:r>
              <w:rPr>
                <w:szCs w:val="21"/>
              </w:rPr>
              <w:t>347,497,335.00</w:t>
            </w:r>
          </w:p>
        </w:tc>
        <w:tc>
          <w:tcPr>
            <w:tcW w:w="948" w:type="dxa"/>
            <w:shd w:val="clear" w:color="auto" w:fill="auto"/>
            <w:vAlign w:val="center"/>
          </w:tcPr>
          <w:p w:rsidR="000E6BAE" w:rsidRDefault="00CD6463">
            <w:pPr>
              <w:spacing w:before="29" w:line="288" w:lineRule="auto"/>
              <w:rPr>
                <w:szCs w:val="21"/>
              </w:rPr>
            </w:pPr>
            <w:r>
              <w:rPr>
                <w:szCs w:val="21"/>
              </w:rPr>
              <w:t>-</w:t>
            </w:r>
          </w:p>
        </w:tc>
      </w:tr>
    </w:tbl>
    <w:p w:rsidR="000E6BAE" w:rsidRDefault="000E6BAE">
      <w:pPr>
        <w:tabs>
          <w:tab w:val="left" w:pos="426"/>
        </w:tabs>
        <w:spacing w:before="29" w:line="288" w:lineRule="auto"/>
        <w:jc w:val="left"/>
        <w:rPr>
          <w:kern w:val="0"/>
          <w:sz w:val="24"/>
        </w:rPr>
      </w:pPr>
    </w:p>
    <w:p w:rsidR="000E6BAE" w:rsidRDefault="00CD6463">
      <w:pPr>
        <w:adjustRightInd w:val="0"/>
        <w:snapToGrid w:val="0"/>
        <w:spacing w:before="29" w:line="288" w:lineRule="auto"/>
        <w:rPr>
          <w:color w:val="000000"/>
          <w:sz w:val="24"/>
        </w:rPr>
      </w:pPr>
      <w:r>
        <w:rPr>
          <w:color w:val="000000"/>
          <w:sz w:val="24"/>
        </w:rPr>
        <w:t>交银丰润收益债券</w:t>
      </w:r>
      <w:r>
        <w:rPr>
          <w:color w:val="000000"/>
          <w:sz w:val="24"/>
        </w:rPr>
        <w:t>C</w:t>
      </w:r>
    </w:p>
    <w:p w:rsidR="000E6BAE" w:rsidRDefault="00CD6463">
      <w:pPr>
        <w:autoSpaceDE w:val="0"/>
        <w:autoSpaceDN w:val="0"/>
        <w:adjustRightInd w:val="0"/>
        <w:spacing w:before="29" w:line="288" w:lineRule="auto"/>
        <w:ind w:left="15"/>
        <w:jc w:val="right"/>
        <w:rPr>
          <w:bCs/>
          <w:color w:val="000000"/>
          <w:sz w:val="24"/>
        </w:rPr>
      </w:pPr>
      <w:r>
        <w:rPr>
          <w:bCs/>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0E6BAE">
        <w:trPr>
          <w:trHeight w:val="1323"/>
          <w:jc w:val="center"/>
        </w:trPr>
        <w:tc>
          <w:tcPr>
            <w:tcW w:w="853" w:type="dxa"/>
            <w:vMerge w:val="restart"/>
            <w:shd w:val="clear" w:color="auto" w:fill="auto"/>
            <w:vAlign w:val="center"/>
          </w:tcPr>
          <w:p w:rsidR="000E6BAE" w:rsidRDefault="00CD6463">
            <w:pPr>
              <w:widowControl/>
              <w:autoSpaceDE w:val="0"/>
              <w:autoSpaceDN w:val="0"/>
              <w:spacing w:before="29" w:line="288" w:lineRule="auto"/>
              <w:ind w:right="-15"/>
              <w:jc w:val="center"/>
              <w:textAlignment w:val="bottom"/>
              <w:rPr>
                <w:color w:val="000000"/>
                <w:szCs w:val="21"/>
              </w:rPr>
            </w:pPr>
            <w:r>
              <w:rPr>
                <w:color w:val="000000"/>
                <w:szCs w:val="21"/>
              </w:rPr>
              <w:t>序号</w:t>
            </w:r>
          </w:p>
        </w:tc>
        <w:tc>
          <w:tcPr>
            <w:tcW w:w="1216" w:type="dxa"/>
            <w:vMerge w:val="restart"/>
            <w:shd w:val="clear" w:color="auto" w:fill="auto"/>
            <w:vAlign w:val="center"/>
          </w:tcPr>
          <w:p w:rsidR="000E6BAE" w:rsidRDefault="00CD6463">
            <w:pPr>
              <w:widowControl/>
              <w:autoSpaceDE w:val="0"/>
              <w:autoSpaceDN w:val="0"/>
              <w:spacing w:before="29" w:line="288" w:lineRule="auto"/>
              <w:ind w:right="-15"/>
              <w:jc w:val="center"/>
              <w:textAlignment w:val="bottom"/>
              <w:rPr>
                <w:color w:val="000000"/>
                <w:szCs w:val="21"/>
              </w:rPr>
            </w:pPr>
            <w:r>
              <w:rPr>
                <w:color w:val="000000"/>
                <w:szCs w:val="21"/>
              </w:rPr>
              <w:t>权益登记日</w:t>
            </w:r>
          </w:p>
        </w:tc>
        <w:tc>
          <w:tcPr>
            <w:tcW w:w="1478" w:type="dxa"/>
            <w:shd w:val="clear" w:color="auto" w:fill="auto"/>
            <w:vAlign w:val="center"/>
          </w:tcPr>
          <w:p w:rsidR="000E6BAE" w:rsidRDefault="00CD6463">
            <w:pPr>
              <w:widowControl/>
              <w:autoSpaceDE w:val="0"/>
              <w:autoSpaceDN w:val="0"/>
              <w:spacing w:before="29" w:line="288" w:lineRule="auto"/>
              <w:ind w:right="-15"/>
              <w:jc w:val="center"/>
              <w:textAlignment w:val="bottom"/>
              <w:rPr>
                <w:color w:val="000000"/>
                <w:szCs w:val="21"/>
              </w:rPr>
            </w:pPr>
            <w:r>
              <w:rPr>
                <w:color w:val="000000"/>
                <w:szCs w:val="21"/>
              </w:rPr>
              <w:t>除息日</w:t>
            </w:r>
          </w:p>
        </w:tc>
        <w:tc>
          <w:tcPr>
            <w:tcW w:w="1171" w:type="dxa"/>
            <w:vMerge w:val="restart"/>
            <w:shd w:val="clear" w:color="auto" w:fill="auto"/>
            <w:vAlign w:val="center"/>
          </w:tcPr>
          <w:p w:rsidR="000E6BAE" w:rsidRDefault="00CD6463">
            <w:pPr>
              <w:widowControl/>
              <w:spacing w:line="288" w:lineRule="auto"/>
              <w:ind w:leftChars="50" w:left="105" w:right="-15"/>
              <w:jc w:val="center"/>
              <w:textAlignment w:val="bottom"/>
              <w:rPr>
                <w:color w:val="000000"/>
                <w:szCs w:val="21"/>
              </w:rPr>
            </w:pPr>
            <w:r>
              <w:rPr>
                <w:color w:val="000000"/>
                <w:szCs w:val="21"/>
              </w:rPr>
              <w:t>每</w:t>
            </w:r>
            <w:r>
              <w:rPr>
                <w:color w:val="000000"/>
                <w:szCs w:val="21"/>
              </w:rPr>
              <w:t>10</w:t>
            </w:r>
            <w:r>
              <w:rPr>
                <w:color w:val="000000"/>
                <w:szCs w:val="21"/>
              </w:rPr>
              <w:t>份基金份额分红数</w:t>
            </w:r>
          </w:p>
        </w:tc>
        <w:tc>
          <w:tcPr>
            <w:tcW w:w="1325" w:type="dxa"/>
            <w:vMerge w:val="restart"/>
            <w:shd w:val="clear" w:color="auto" w:fill="auto"/>
            <w:vAlign w:val="center"/>
          </w:tcPr>
          <w:p w:rsidR="000E6BAE" w:rsidRDefault="00CD6463">
            <w:pPr>
              <w:widowControl/>
              <w:spacing w:line="288" w:lineRule="auto"/>
              <w:ind w:leftChars="50" w:left="105" w:right="-15"/>
              <w:jc w:val="center"/>
              <w:textAlignment w:val="bottom"/>
              <w:rPr>
                <w:color w:val="000000"/>
                <w:szCs w:val="21"/>
              </w:rPr>
            </w:pPr>
            <w:r>
              <w:rPr>
                <w:color w:val="000000"/>
                <w:szCs w:val="21"/>
              </w:rPr>
              <w:t>现金形式发放总额</w:t>
            </w:r>
          </w:p>
        </w:tc>
        <w:tc>
          <w:tcPr>
            <w:tcW w:w="1325" w:type="dxa"/>
            <w:vMerge w:val="restart"/>
            <w:shd w:val="clear" w:color="auto" w:fill="auto"/>
            <w:vAlign w:val="center"/>
          </w:tcPr>
          <w:p w:rsidR="000E6BAE" w:rsidRDefault="00CD6463">
            <w:pPr>
              <w:widowControl/>
              <w:spacing w:line="288" w:lineRule="auto"/>
              <w:ind w:leftChars="50" w:left="105" w:right="-15"/>
              <w:jc w:val="center"/>
              <w:textAlignment w:val="bottom"/>
              <w:rPr>
                <w:color w:val="000000"/>
                <w:szCs w:val="21"/>
              </w:rPr>
            </w:pPr>
            <w:r>
              <w:rPr>
                <w:color w:val="000000"/>
                <w:szCs w:val="21"/>
              </w:rPr>
              <w:t>再投资形式发放总额</w:t>
            </w:r>
          </w:p>
        </w:tc>
        <w:tc>
          <w:tcPr>
            <w:tcW w:w="1325" w:type="dxa"/>
            <w:vMerge w:val="restart"/>
            <w:shd w:val="clear" w:color="auto" w:fill="auto"/>
            <w:vAlign w:val="center"/>
          </w:tcPr>
          <w:p w:rsidR="000E6BAE" w:rsidRDefault="00CD6463">
            <w:pPr>
              <w:widowControl/>
              <w:spacing w:line="288" w:lineRule="auto"/>
              <w:ind w:right="-15"/>
              <w:jc w:val="center"/>
              <w:textAlignment w:val="bottom"/>
              <w:rPr>
                <w:color w:val="000000"/>
                <w:szCs w:val="21"/>
              </w:rPr>
            </w:pPr>
            <w:r>
              <w:rPr>
                <w:rFonts w:hint="eastAsia"/>
                <w:color w:val="000000"/>
                <w:szCs w:val="21"/>
              </w:rPr>
              <w:t>本期</w:t>
            </w:r>
            <w:r>
              <w:rPr>
                <w:color w:val="000000"/>
                <w:szCs w:val="21"/>
              </w:rPr>
              <w:t>利润分配合计</w:t>
            </w:r>
          </w:p>
        </w:tc>
        <w:tc>
          <w:tcPr>
            <w:tcW w:w="948" w:type="dxa"/>
            <w:vMerge w:val="restart"/>
            <w:shd w:val="clear" w:color="auto" w:fill="auto"/>
            <w:vAlign w:val="center"/>
          </w:tcPr>
          <w:p w:rsidR="000E6BAE" w:rsidRDefault="00CD6463">
            <w:pPr>
              <w:widowControl/>
              <w:spacing w:line="288" w:lineRule="auto"/>
              <w:ind w:right="-15"/>
              <w:jc w:val="center"/>
              <w:textAlignment w:val="bottom"/>
              <w:rPr>
                <w:color w:val="000000"/>
                <w:szCs w:val="21"/>
              </w:rPr>
            </w:pPr>
            <w:r>
              <w:rPr>
                <w:color w:val="000000"/>
                <w:szCs w:val="21"/>
              </w:rPr>
              <w:t>备注</w:t>
            </w:r>
          </w:p>
        </w:tc>
      </w:tr>
      <w:tr w:rsidR="000E6BAE">
        <w:trPr>
          <w:jc w:val="center"/>
        </w:trPr>
        <w:tc>
          <w:tcPr>
            <w:tcW w:w="853" w:type="dxa"/>
            <w:vAlign w:val="center"/>
          </w:tcPr>
          <w:p w:rsidR="000E6BAE" w:rsidRDefault="00CD6463">
            <w:pPr>
              <w:jc w:val="center"/>
            </w:pPr>
            <w:r>
              <w:rPr>
                <w:szCs w:val="21"/>
              </w:rPr>
              <w:t>1</w:t>
            </w:r>
          </w:p>
        </w:tc>
        <w:tc>
          <w:tcPr>
            <w:tcW w:w="1216" w:type="dxa"/>
            <w:vAlign w:val="center"/>
          </w:tcPr>
          <w:p w:rsidR="000E6BAE" w:rsidRDefault="00CD6463">
            <w:pPr>
              <w:jc w:val="center"/>
            </w:pPr>
            <w:r>
              <w:rPr>
                <w:szCs w:val="21"/>
              </w:rPr>
              <w:t>2020-03-25</w:t>
            </w:r>
          </w:p>
        </w:tc>
        <w:tc>
          <w:tcPr>
            <w:tcW w:w="1478" w:type="dxa"/>
            <w:vAlign w:val="center"/>
          </w:tcPr>
          <w:p w:rsidR="000E6BAE" w:rsidRDefault="00CD6463">
            <w:pPr>
              <w:jc w:val="center"/>
            </w:pPr>
            <w:r>
              <w:rPr>
                <w:szCs w:val="21"/>
              </w:rPr>
              <w:t>2020-03-25</w:t>
            </w:r>
          </w:p>
        </w:tc>
        <w:tc>
          <w:tcPr>
            <w:tcW w:w="1171" w:type="dxa"/>
            <w:vAlign w:val="center"/>
          </w:tcPr>
          <w:p w:rsidR="000E6BAE" w:rsidRDefault="00CD6463">
            <w:pPr>
              <w:jc w:val="right"/>
            </w:pPr>
            <w:r>
              <w:rPr>
                <w:szCs w:val="21"/>
              </w:rPr>
              <w:t>0.080</w:t>
            </w:r>
          </w:p>
        </w:tc>
        <w:tc>
          <w:tcPr>
            <w:tcW w:w="1325" w:type="dxa"/>
            <w:vAlign w:val="center"/>
          </w:tcPr>
          <w:p w:rsidR="000E6BAE" w:rsidRDefault="00CD6463">
            <w:pPr>
              <w:jc w:val="right"/>
            </w:pPr>
            <w:r>
              <w:rPr>
                <w:szCs w:val="21"/>
              </w:rPr>
              <w:t>6,884.53</w:t>
            </w:r>
          </w:p>
        </w:tc>
        <w:tc>
          <w:tcPr>
            <w:tcW w:w="1325" w:type="dxa"/>
            <w:vAlign w:val="center"/>
          </w:tcPr>
          <w:p w:rsidR="000E6BAE" w:rsidRDefault="00CD6463">
            <w:pPr>
              <w:jc w:val="right"/>
            </w:pPr>
            <w:r>
              <w:rPr>
                <w:szCs w:val="21"/>
              </w:rPr>
              <w:t>1,070.35</w:t>
            </w:r>
          </w:p>
        </w:tc>
        <w:tc>
          <w:tcPr>
            <w:tcW w:w="1325" w:type="dxa"/>
            <w:vAlign w:val="center"/>
          </w:tcPr>
          <w:p w:rsidR="000E6BAE" w:rsidRDefault="00CD6463">
            <w:pPr>
              <w:jc w:val="right"/>
            </w:pPr>
            <w:r>
              <w:rPr>
                <w:szCs w:val="21"/>
              </w:rPr>
              <w:t>7,954.88</w:t>
            </w:r>
          </w:p>
        </w:tc>
        <w:tc>
          <w:tcPr>
            <w:tcW w:w="948" w:type="dxa"/>
            <w:vAlign w:val="center"/>
          </w:tcPr>
          <w:p w:rsidR="000E6BAE" w:rsidRDefault="00CD6463">
            <w:pPr>
              <w:jc w:val="left"/>
            </w:pPr>
            <w:r>
              <w:rPr>
                <w:szCs w:val="21"/>
              </w:rPr>
              <w:t>-</w:t>
            </w:r>
          </w:p>
        </w:tc>
      </w:tr>
      <w:tr w:rsidR="000E6BAE">
        <w:trPr>
          <w:jc w:val="center"/>
        </w:trPr>
        <w:tc>
          <w:tcPr>
            <w:tcW w:w="853" w:type="dxa"/>
            <w:shd w:val="clear" w:color="auto" w:fill="auto"/>
            <w:vAlign w:val="center"/>
          </w:tcPr>
          <w:p w:rsidR="000E6BAE" w:rsidRDefault="00CD6463">
            <w:pPr>
              <w:spacing w:before="29" w:line="288" w:lineRule="auto"/>
              <w:jc w:val="center"/>
              <w:rPr>
                <w:szCs w:val="21"/>
              </w:rPr>
            </w:pPr>
            <w:r>
              <w:rPr>
                <w:szCs w:val="21"/>
              </w:rPr>
              <w:t>合计</w:t>
            </w:r>
          </w:p>
        </w:tc>
        <w:tc>
          <w:tcPr>
            <w:tcW w:w="1216" w:type="dxa"/>
            <w:shd w:val="clear" w:color="auto" w:fill="auto"/>
            <w:vAlign w:val="center"/>
          </w:tcPr>
          <w:p w:rsidR="000E6BAE" w:rsidRDefault="000E6BAE">
            <w:pPr>
              <w:spacing w:before="29" w:line="288" w:lineRule="auto"/>
              <w:jc w:val="right"/>
              <w:rPr>
                <w:szCs w:val="21"/>
              </w:rPr>
            </w:pPr>
          </w:p>
        </w:tc>
        <w:tc>
          <w:tcPr>
            <w:tcW w:w="1478" w:type="dxa"/>
            <w:shd w:val="clear" w:color="auto" w:fill="auto"/>
            <w:vAlign w:val="center"/>
          </w:tcPr>
          <w:p w:rsidR="000E6BAE" w:rsidRDefault="000E6BAE">
            <w:pPr>
              <w:spacing w:before="29" w:line="288" w:lineRule="auto"/>
              <w:jc w:val="right"/>
              <w:rPr>
                <w:szCs w:val="21"/>
              </w:rPr>
            </w:pPr>
          </w:p>
        </w:tc>
        <w:tc>
          <w:tcPr>
            <w:tcW w:w="1171" w:type="dxa"/>
            <w:shd w:val="clear" w:color="auto" w:fill="auto"/>
            <w:vAlign w:val="center"/>
          </w:tcPr>
          <w:p w:rsidR="000E6BAE" w:rsidRDefault="00CD6463">
            <w:pPr>
              <w:spacing w:before="29" w:line="288" w:lineRule="auto"/>
              <w:jc w:val="right"/>
              <w:rPr>
                <w:szCs w:val="21"/>
              </w:rPr>
            </w:pPr>
            <w:r>
              <w:rPr>
                <w:szCs w:val="21"/>
              </w:rPr>
              <w:t>0.080</w:t>
            </w:r>
          </w:p>
        </w:tc>
        <w:tc>
          <w:tcPr>
            <w:tcW w:w="1325" w:type="dxa"/>
            <w:shd w:val="clear" w:color="auto" w:fill="auto"/>
            <w:vAlign w:val="center"/>
          </w:tcPr>
          <w:p w:rsidR="000E6BAE" w:rsidRDefault="00CD6463">
            <w:pPr>
              <w:spacing w:before="29" w:line="288" w:lineRule="auto"/>
              <w:jc w:val="right"/>
              <w:rPr>
                <w:szCs w:val="21"/>
              </w:rPr>
            </w:pPr>
            <w:r>
              <w:rPr>
                <w:szCs w:val="21"/>
              </w:rPr>
              <w:t>6,884.53</w:t>
            </w:r>
          </w:p>
        </w:tc>
        <w:tc>
          <w:tcPr>
            <w:tcW w:w="1325" w:type="dxa"/>
            <w:shd w:val="clear" w:color="auto" w:fill="auto"/>
            <w:vAlign w:val="center"/>
          </w:tcPr>
          <w:p w:rsidR="000E6BAE" w:rsidRDefault="00CD6463">
            <w:pPr>
              <w:spacing w:before="29" w:line="288" w:lineRule="auto"/>
              <w:jc w:val="right"/>
              <w:rPr>
                <w:szCs w:val="21"/>
              </w:rPr>
            </w:pPr>
            <w:r>
              <w:rPr>
                <w:szCs w:val="21"/>
              </w:rPr>
              <w:t>1,070.35</w:t>
            </w:r>
          </w:p>
        </w:tc>
        <w:tc>
          <w:tcPr>
            <w:tcW w:w="1325" w:type="dxa"/>
            <w:shd w:val="clear" w:color="auto" w:fill="auto"/>
            <w:vAlign w:val="center"/>
          </w:tcPr>
          <w:p w:rsidR="000E6BAE" w:rsidRDefault="00CD6463">
            <w:pPr>
              <w:spacing w:before="29" w:line="288" w:lineRule="auto"/>
              <w:jc w:val="right"/>
              <w:rPr>
                <w:szCs w:val="21"/>
              </w:rPr>
            </w:pPr>
            <w:r>
              <w:rPr>
                <w:szCs w:val="21"/>
              </w:rPr>
              <w:t>7,954.88</w:t>
            </w:r>
          </w:p>
        </w:tc>
        <w:tc>
          <w:tcPr>
            <w:tcW w:w="948" w:type="dxa"/>
            <w:shd w:val="clear" w:color="auto" w:fill="auto"/>
            <w:vAlign w:val="center"/>
          </w:tcPr>
          <w:p w:rsidR="000E6BAE" w:rsidRDefault="00CD6463">
            <w:pPr>
              <w:spacing w:before="29" w:line="288" w:lineRule="auto"/>
              <w:rPr>
                <w:szCs w:val="21"/>
              </w:rPr>
            </w:pPr>
            <w:r>
              <w:rPr>
                <w:szCs w:val="21"/>
              </w:rPr>
              <w:t>-</w:t>
            </w:r>
          </w:p>
        </w:tc>
      </w:tr>
    </w:tbl>
    <w:p w:rsidR="000E6BAE" w:rsidRDefault="000E6BAE">
      <w:pPr>
        <w:tabs>
          <w:tab w:val="left" w:pos="426"/>
        </w:tabs>
        <w:spacing w:before="29" w:line="288" w:lineRule="auto"/>
        <w:jc w:val="left"/>
        <w:rPr>
          <w:rFonts w:eastAsiaTheme="minorEastAsia"/>
          <w:b/>
          <w:sz w:val="24"/>
        </w:rPr>
      </w:pPr>
    </w:p>
    <w:p w:rsidR="000E6BAE" w:rsidRDefault="00CD6463">
      <w:pPr>
        <w:spacing w:before="29" w:line="288" w:lineRule="auto"/>
        <w:rPr>
          <w:rFonts w:eastAsiaTheme="minorEastAsia"/>
          <w:b/>
          <w:sz w:val="24"/>
        </w:rPr>
      </w:pPr>
      <w:r>
        <w:rPr>
          <w:rFonts w:eastAsiaTheme="minorEastAsia"/>
          <w:b/>
          <w:sz w:val="24"/>
        </w:rPr>
        <w:t>7.4.12</w:t>
      </w:r>
      <w:r>
        <w:rPr>
          <w:rFonts w:eastAsiaTheme="minorEastAsia" w:hint="eastAsia"/>
          <w:b/>
          <w:sz w:val="24"/>
        </w:rPr>
        <w:t>期末（</w:t>
      </w:r>
      <w:r>
        <w:rPr>
          <w:rFonts w:eastAsiaTheme="minorEastAsia"/>
          <w:b/>
          <w:sz w:val="24"/>
        </w:rPr>
        <w:t>2020</w:t>
      </w:r>
      <w:r>
        <w:rPr>
          <w:rFonts w:eastAsiaTheme="minorEastAsia"/>
          <w:b/>
          <w:sz w:val="24"/>
        </w:rPr>
        <w:t>年</w:t>
      </w:r>
      <w:r>
        <w:rPr>
          <w:rFonts w:eastAsiaTheme="minorEastAsia"/>
          <w:b/>
          <w:sz w:val="24"/>
        </w:rPr>
        <w:t>12</w:t>
      </w:r>
      <w:r>
        <w:rPr>
          <w:rFonts w:eastAsiaTheme="minorEastAsia"/>
          <w:b/>
          <w:sz w:val="24"/>
        </w:rPr>
        <w:t>月</w:t>
      </w:r>
      <w:r>
        <w:rPr>
          <w:rFonts w:eastAsiaTheme="minorEastAsia"/>
          <w:b/>
          <w:sz w:val="24"/>
        </w:rPr>
        <w:t>31</w:t>
      </w:r>
      <w:r>
        <w:rPr>
          <w:rFonts w:eastAsiaTheme="minorEastAsia"/>
          <w:b/>
          <w:sz w:val="24"/>
        </w:rPr>
        <w:t>日</w:t>
      </w:r>
      <w:r>
        <w:rPr>
          <w:rFonts w:eastAsiaTheme="minorEastAsia" w:hint="eastAsia"/>
          <w:b/>
          <w:sz w:val="24"/>
        </w:rPr>
        <w:t>）本基金持有的流通受限证券</w:t>
      </w:r>
    </w:p>
    <w:p w:rsidR="000E6BAE" w:rsidRDefault="00CD6463">
      <w:pPr>
        <w:spacing w:before="29" w:line="288" w:lineRule="auto"/>
        <w:rPr>
          <w:rFonts w:eastAsiaTheme="minorEastAsia"/>
          <w:b/>
          <w:sz w:val="24"/>
        </w:rPr>
      </w:pPr>
      <w:r>
        <w:rPr>
          <w:rFonts w:eastAsiaTheme="minorEastAsia"/>
          <w:b/>
          <w:sz w:val="24"/>
        </w:rPr>
        <w:t>7.4.12.1</w:t>
      </w:r>
      <w:r>
        <w:rPr>
          <w:rFonts w:eastAsiaTheme="minorEastAsia" w:hint="eastAsia"/>
          <w:b/>
          <w:sz w:val="24"/>
        </w:rPr>
        <w:t>因认购新发</w:t>
      </w:r>
      <w:r>
        <w:rPr>
          <w:rFonts w:eastAsiaTheme="minorEastAsia"/>
          <w:b/>
          <w:sz w:val="24"/>
        </w:rPr>
        <w:t>/</w:t>
      </w:r>
      <w:r>
        <w:rPr>
          <w:rFonts w:eastAsiaTheme="minorEastAsia" w:hint="eastAsia"/>
          <w:b/>
          <w:sz w:val="24"/>
        </w:rPr>
        <w:t>增发证券而于期末持有的流通受限证券</w:t>
      </w:r>
    </w:p>
    <w:p w:rsidR="000E6BAE" w:rsidRDefault="00CD6463">
      <w:pPr>
        <w:tabs>
          <w:tab w:val="left" w:pos="426"/>
        </w:tabs>
        <w:spacing w:before="29" w:line="288" w:lineRule="auto"/>
        <w:jc w:val="left"/>
        <w:rPr>
          <w:kern w:val="0"/>
          <w:sz w:val="24"/>
        </w:rPr>
      </w:pPr>
      <w:r>
        <w:rPr>
          <w:kern w:val="0"/>
          <w:sz w:val="24"/>
        </w:rPr>
        <w:t>本基金本报告期末未持有因认购新发</w:t>
      </w:r>
      <w:r>
        <w:rPr>
          <w:kern w:val="0"/>
          <w:sz w:val="24"/>
        </w:rPr>
        <w:t>/</w:t>
      </w:r>
      <w:r>
        <w:rPr>
          <w:kern w:val="0"/>
          <w:sz w:val="24"/>
        </w:rPr>
        <w:t>增发证券而流通受限的证券。</w:t>
      </w: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7.4.12.2</w:t>
      </w:r>
      <w:r>
        <w:rPr>
          <w:rFonts w:eastAsiaTheme="minorEastAsia" w:hint="eastAsia"/>
          <w:b/>
          <w:sz w:val="24"/>
        </w:rPr>
        <w:t>期末持有的暂时停牌等流通受限股票</w:t>
      </w:r>
    </w:p>
    <w:p w:rsidR="000E6BAE" w:rsidRDefault="00CD6463">
      <w:pPr>
        <w:tabs>
          <w:tab w:val="left" w:pos="426"/>
        </w:tabs>
        <w:spacing w:before="29" w:line="288" w:lineRule="auto"/>
        <w:jc w:val="left"/>
        <w:rPr>
          <w:kern w:val="0"/>
          <w:sz w:val="24"/>
        </w:rPr>
      </w:pPr>
      <w:r>
        <w:rPr>
          <w:kern w:val="0"/>
          <w:sz w:val="24"/>
        </w:rPr>
        <w:t>本基金本报告期末未持有暂时停牌等流通受限股票。</w:t>
      </w:r>
    </w:p>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7.4.12.3</w:t>
      </w:r>
      <w:r>
        <w:rPr>
          <w:rFonts w:eastAsiaTheme="minorEastAsia" w:hint="eastAsia"/>
          <w:b/>
          <w:sz w:val="24"/>
        </w:rPr>
        <w:t>期末债券正回购交易中作为抵押的债券</w:t>
      </w:r>
    </w:p>
    <w:p w:rsidR="000E6BAE" w:rsidRDefault="00CD6463">
      <w:pPr>
        <w:spacing w:before="29" w:line="288" w:lineRule="auto"/>
        <w:rPr>
          <w:rFonts w:eastAsiaTheme="minorEastAsia"/>
          <w:b/>
          <w:sz w:val="24"/>
        </w:rPr>
      </w:pPr>
      <w:r>
        <w:rPr>
          <w:rFonts w:eastAsiaTheme="minorEastAsia"/>
          <w:b/>
          <w:sz w:val="24"/>
        </w:rPr>
        <w:t>7.4.12.3.1</w:t>
      </w:r>
      <w:r>
        <w:rPr>
          <w:rFonts w:eastAsiaTheme="minorEastAsia" w:hint="eastAsia"/>
          <w:b/>
          <w:sz w:val="24"/>
        </w:rPr>
        <w:t>银行间市场债券正回购</w:t>
      </w:r>
    </w:p>
    <w:p w:rsidR="000E6BAE" w:rsidRDefault="00CD6463">
      <w:pPr>
        <w:spacing w:before="29" w:line="288" w:lineRule="auto"/>
        <w:rPr>
          <w:kern w:val="0"/>
          <w:sz w:val="24"/>
        </w:rPr>
      </w:pPr>
      <w:r>
        <w:rPr>
          <w:kern w:val="0"/>
          <w:sz w:val="24"/>
        </w:rPr>
        <w:t>截至本报告期末</w:t>
      </w:r>
      <w:r>
        <w:rPr>
          <w:kern w:val="0"/>
          <w:sz w:val="24"/>
        </w:rPr>
        <w:t>2020</w:t>
      </w:r>
      <w:r>
        <w:rPr>
          <w:kern w:val="0"/>
          <w:sz w:val="24"/>
        </w:rPr>
        <w:t>年</w:t>
      </w:r>
      <w:r>
        <w:rPr>
          <w:kern w:val="0"/>
          <w:sz w:val="24"/>
        </w:rPr>
        <w:t>12</w:t>
      </w:r>
      <w:r>
        <w:rPr>
          <w:kern w:val="0"/>
          <w:sz w:val="24"/>
        </w:rPr>
        <w:t>月</w:t>
      </w:r>
      <w:r>
        <w:rPr>
          <w:kern w:val="0"/>
          <w:sz w:val="24"/>
        </w:rPr>
        <w:t>31</w:t>
      </w:r>
      <w:r>
        <w:rPr>
          <w:kern w:val="0"/>
          <w:sz w:val="24"/>
        </w:rPr>
        <w:t>日止，本基金从事银行间市场债券正回购交易形成的卖出回购证券款余额</w:t>
      </w:r>
      <w:r>
        <w:rPr>
          <w:kern w:val="0"/>
          <w:sz w:val="24"/>
        </w:rPr>
        <w:t>175,084,617.37</w:t>
      </w:r>
      <w:r>
        <w:rPr>
          <w:kern w:val="0"/>
          <w:sz w:val="24"/>
        </w:rPr>
        <w:t>元，是以如下债券作为抵押：</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0E6BAE">
        <w:tc>
          <w:tcPr>
            <w:tcW w:w="150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债券代码</w:t>
            </w:r>
          </w:p>
        </w:tc>
        <w:tc>
          <w:tcPr>
            <w:tcW w:w="150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债券名称</w:t>
            </w:r>
          </w:p>
        </w:tc>
        <w:tc>
          <w:tcPr>
            <w:tcW w:w="150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回购到期日</w:t>
            </w:r>
          </w:p>
        </w:tc>
        <w:tc>
          <w:tcPr>
            <w:tcW w:w="126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期末估值单价</w:t>
            </w:r>
          </w:p>
        </w:tc>
        <w:tc>
          <w:tcPr>
            <w:tcW w:w="144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数量（张）</w:t>
            </w:r>
          </w:p>
        </w:tc>
        <w:tc>
          <w:tcPr>
            <w:tcW w:w="1836"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期末估值总额</w:t>
            </w:r>
          </w:p>
        </w:tc>
      </w:tr>
      <w:tr w:rsidR="000E6BAE">
        <w:tc>
          <w:tcPr>
            <w:tcW w:w="1500" w:type="dxa"/>
            <w:vAlign w:val="center"/>
          </w:tcPr>
          <w:p w:rsidR="000E6BAE" w:rsidRDefault="00CD6463">
            <w:pPr>
              <w:jc w:val="center"/>
            </w:pPr>
            <w:r>
              <w:rPr>
                <w:sz w:val="24"/>
              </w:rPr>
              <w:t>190202</w:t>
            </w:r>
          </w:p>
        </w:tc>
        <w:tc>
          <w:tcPr>
            <w:tcW w:w="1500" w:type="dxa"/>
            <w:vAlign w:val="center"/>
          </w:tcPr>
          <w:p w:rsidR="000E6BAE" w:rsidRDefault="00CD6463">
            <w:pPr>
              <w:jc w:val="center"/>
            </w:pPr>
            <w:r>
              <w:rPr>
                <w:sz w:val="24"/>
              </w:rPr>
              <w:t>19</w:t>
            </w:r>
            <w:r>
              <w:rPr>
                <w:sz w:val="24"/>
              </w:rPr>
              <w:t>国开</w:t>
            </w:r>
            <w:r>
              <w:rPr>
                <w:sz w:val="24"/>
              </w:rPr>
              <w:t>02</w:t>
            </w:r>
          </w:p>
        </w:tc>
        <w:tc>
          <w:tcPr>
            <w:tcW w:w="1500" w:type="dxa"/>
            <w:vAlign w:val="center"/>
          </w:tcPr>
          <w:p w:rsidR="000E6BAE" w:rsidRDefault="00CD6463">
            <w:pPr>
              <w:jc w:val="center"/>
            </w:pPr>
            <w:r>
              <w:rPr>
                <w:sz w:val="24"/>
              </w:rPr>
              <w:t>2021-01-05</w:t>
            </w:r>
          </w:p>
        </w:tc>
        <w:tc>
          <w:tcPr>
            <w:tcW w:w="1260" w:type="dxa"/>
            <w:vAlign w:val="center"/>
          </w:tcPr>
          <w:p w:rsidR="000E6BAE" w:rsidRDefault="00CD6463">
            <w:pPr>
              <w:jc w:val="right"/>
            </w:pPr>
            <w:r>
              <w:rPr>
                <w:sz w:val="24"/>
              </w:rPr>
              <w:t>100.46</w:t>
            </w:r>
          </w:p>
        </w:tc>
        <w:tc>
          <w:tcPr>
            <w:tcW w:w="1440" w:type="dxa"/>
            <w:vAlign w:val="center"/>
          </w:tcPr>
          <w:p w:rsidR="000E6BAE" w:rsidRDefault="00CD6463">
            <w:pPr>
              <w:jc w:val="right"/>
            </w:pPr>
            <w:r>
              <w:rPr>
                <w:sz w:val="24"/>
              </w:rPr>
              <w:t>1,843,000</w:t>
            </w:r>
          </w:p>
        </w:tc>
        <w:tc>
          <w:tcPr>
            <w:tcW w:w="1836" w:type="dxa"/>
            <w:vAlign w:val="center"/>
          </w:tcPr>
          <w:p w:rsidR="000E6BAE" w:rsidRDefault="00CD6463">
            <w:pPr>
              <w:jc w:val="right"/>
            </w:pPr>
            <w:r>
              <w:rPr>
                <w:sz w:val="24"/>
              </w:rPr>
              <w:t>185,147,780.00</w:t>
            </w:r>
          </w:p>
        </w:tc>
      </w:tr>
      <w:tr w:rsidR="000E6BAE">
        <w:tc>
          <w:tcPr>
            <w:tcW w:w="1500" w:type="dxa"/>
            <w:vAlign w:val="center"/>
          </w:tcPr>
          <w:p w:rsidR="000E6BAE" w:rsidRDefault="00CD6463">
            <w:pPr>
              <w:spacing w:before="29" w:line="288" w:lineRule="auto"/>
              <w:jc w:val="center"/>
              <w:rPr>
                <w:rFonts w:asciiTheme="minorEastAsia" w:eastAsiaTheme="minorEastAsia" w:hAnsiTheme="minorEastAsia"/>
                <w:color w:val="000000"/>
                <w:kern w:val="0"/>
                <w:szCs w:val="21"/>
              </w:rPr>
            </w:pPr>
            <w:r>
              <w:rPr>
                <w:rFonts w:hint="eastAsia"/>
                <w:sz w:val="24"/>
              </w:rPr>
              <w:t>合计</w:t>
            </w:r>
          </w:p>
        </w:tc>
        <w:tc>
          <w:tcPr>
            <w:tcW w:w="1500" w:type="dxa"/>
            <w:vAlign w:val="center"/>
          </w:tcPr>
          <w:p w:rsidR="000E6BAE" w:rsidRDefault="000E6BA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500" w:type="dxa"/>
            <w:vAlign w:val="center"/>
          </w:tcPr>
          <w:p w:rsidR="000E6BAE" w:rsidRDefault="000E6BA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260" w:type="dxa"/>
            <w:vAlign w:val="center"/>
          </w:tcPr>
          <w:p w:rsidR="000E6BAE" w:rsidRDefault="000E6BA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440" w:type="dxa"/>
            <w:vAlign w:val="center"/>
          </w:tcPr>
          <w:p w:rsidR="000E6BAE" w:rsidRDefault="00CD6463">
            <w:pPr>
              <w:spacing w:before="29" w:line="288" w:lineRule="auto"/>
              <w:jc w:val="right"/>
              <w:rPr>
                <w:color w:val="000000"/>
                <w:kern w:val="0"/>
                <w:sz w:val="24"/>
              </w:rPr>
            </w:pPr>
            <w:r>
              <w:rPr>
                <w:color w:val="000000"/>
                <w:kern w:val="0"/>
                <w:sz w:val="24"/>
              </w:rPr>
              <w:t>1,843,000</w:t>
            </w:r>
          </w:p>
        </w:tc>
        <w:tc>
          <w:tcPr>
            <w:tcW w:w="1836" w:type="dxa"/>
            <w:vAlign w:val="center"/>
          </w:tcPr>
          <w:p w:rsidR="000E6BAE" w:rsidRDefault="00CD6463">
            <w:pPr>
              <w:spacing w:before="29" w:line="288" w:lineRule="auto"/>
              <w:jc w:val="right"/>
              <w:rPr>
                <w:color w:val="000000"/>
                <w:kern w:val="0"/>
                <w:sz w:val="24"/>
              </w:rPr>
            </w:pPr>
            <w:r>
              <w:rPr>
                <w:color w:val="000000"/>
                <w:kern w:val="0"/>
                <w:sz w:val="24"/>
              </w:rPr>
              <w:t>185,147,780.00</w:t>
            </w:r>
          </w:p>
        </w:tc>
      </w:tr>
    </w:tbl>
    <w:p w:rsidR="000E6BAE" w:rsidRDefault="000E6BAE">
      <w:pPr>
        <w:spacing w:line="360" w:lineRule="auto"/>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7.4.12.3.2</w:t>
      </w:r>
      <w:r>
        <w:rPr>
          <w:rFonts w:eastAsiaTheme="minorEastAsia" w:hint="eastAsia"/>
          <w:b/>
          <w:sz w:val="24"/>
        </w:rPr>
        <w:t>交易所市场债券正回购</w:t>
      </w:r>
    </w:p>
    <w:p w:rsidR="000E6BAE" w:rsidRDefault="00CD6463">
      <w:pPr>
        <w:spacing w:before="29" w:line="288" w:lineRule="auto"/>
        <w:ind w:firstLineChars="200" w:firstLine="480"/>
        <w:rPr>
          <w:kern w:val="0"/>
          <w:sz w:val="24"/>
        </w:rPr>
      </w:pPr>
      <w:r>
        <w:rPr>
          <w:kern w:val="0"/>
          <w:sz w:val="24"/>
        </w:rPr>
        <w:t>本基金本报告期末无从事交易所债券正回购交易形成的卖出回购证券款余额。</w:t>
      </w:r>
    </w:p>
    <w:p w:rsidR="000E6BAE" w:rsidRDefault="000E6BAE">
      <w:pPr>
        <w:spacing w:line="360" w:lineRule="auto"/>
        <w:ind w:firstLineChars="200" w:firstLine="420"/>
        <w:rPr>
          <w:rFonts w:asciiTheme="minorEastAsia" w:eastAsiaTheme="minorEastAsia" w:hAnsiTheme="minorEastAsia"/>
          <w:bCs/>
          <w:color w:val="000000"/>
          <w:szCs w:val="21"/>
        </w:rPr>
      </w:pPr>
    </w:p>
    <w:p w:rsidR="000E6BAE" w:rsidRDefault="00CD6463">
      <w:pPr>
        <w:spacing w:before="29" w:line="288" w:lineRule="auto"/>
        <w:rPr>
          <w:rFonts w:asciiTheme="minorEastAsia" w:eastAsiaTheme="minorEastAsia" w:hAnsiTheme="minorEastAsia"/>
          <w:b/>
          <w:bCs/>
          <w:color w:val="000000"/>
          <w:szCs w:val="21"/>
        </w:rPr>
      </w:pPr>
      <w:r>
        <w:rPr>
          <w:rFonts w:eastAsiaTheme="minorEastAsia"/>
          <w:b/>
          <w:sz w:val="24"/>
        </w:rPr>
        <w:t>7.4.13</w:t>
      </w:r>
      <w:r>
        <w:rPr>
          <w:rFonts w:eastAsiaTheme="minorEastAsia" w:hint="eastAsia"/>
          <w:b/>
          <w:sz w:val="24"/>
        </w:rPr>
        <w:t>金融工具风险及管理</w:t>
      </w:r>
    </w:p>
    <w:p w:rsidR="000E6BAE" w:rsidRDefault="00CD6463">
      <w:pPr>
        <w:spacing w:before="29" w:line="288" w:lineRule="auto"/>
        <w:rPr>
          <w:rFonts w:eastAsiaTheme="minorEastAsia"/>
          <w:b/>
          <w:sz w:val="24"/>
        </w:rPr>
      </w:pPr>
      <w:r>
        <w:rPr>
          <w:rFonts w:eastAsiaTheme="minorEastAsia"/>
          <w:b/>
          <w:sz w:val="24"/>
        </w:rPr>
        <w:t>7.4.13.1</w:t>
      </w:r>
      <w:r>
        <w:rPr>
          <w:rFonts w:eastAsiaTheme="minorEastAsia" w:hint="eastAsia"/>
          <w:b/>
          <w:sz w:val="24"/>
        </w:rPr>
        <w:t>风险管理政策和组织架构</w:t>
      </w:r>
    </w:p>
    <w:p w:rsidR="000E6BAE" w:rsidRDefault="00CD6463">
      <w:pPr>
        <w:spacing w:before="29" w:line="288" w:lineRule="auto"/>
        <w:ind w:firstLineChars="200" w:firstLine="480"/>
        <w:rPr>
          <w:kern w:val="0"/>
          <w:sz w:val="24"/>
        </w:rPr>
      </w:pPr>
      <w:r>
        <w:rPr>
          <w:kern w:val="0"/>
          <w:sz w:val="24"/>
        </w:rPr>
        <w:t>本基金是一只债券型基金，其风险与预期收益高于货币市场基金，低于混合型基金和股票型基金，属于证券投资基金中中等风险的品种。本基金的投资范围为具有良好流动性的金融工具，包括国内依法发行交易的国债、金融债、央行票据、地方政府债、企业债、公司债、分离交易可转债的纯债、次级债、资产支持证券、短期融资券、中期票据、债券回购、银行存款、货币市场工具等固定收益类资产和法律法规允许投资的其他金融工具。其中，封闭期内，本基金所投企业债和公司债信用评级需在</w:t>
      </w:r>
      <w:r>
        <w:rPr>
          <w:kern w:val="0"/>
          <w:sz w:val="24"/>
        </w:rPr>
        <w:t>AA</w:t>
      </w:r>
      <w:r>
        <w:rPr>
          <w:kern w:val="0"/>
          <w:sz w:val="24"/>
        </w:rPr>
        <w:t>级（含）以上。本基金不直接在二级市场买入股票、权证等权益类资产，也不参</w:t>
      </w:r>
      <w:r>
        <w:rPr>
          <w:kern w:val="0"/>
          <w:sz w:val="24"/>
        </w:rPr>
        <w:t>与一级市场新股申购和新股增发。同时本基金不参与可转换债券投资（分离交易可转债的纯债部分除外）。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kern w:val="0"/>
          <w:sz w:val="24"/>
        </w:rPr>
        <w:t>“</w:t>
      </w:r>
      <w:r>
        <w:rPr>
          <w:kern w:val="0"/>
          <w:sz w:val="24"/>
        </w:rPr>
        <w:t>风险和收益高于货币市场基金而低于平衡型基金，谋求稳定和可持续的绝对收益</w:t>
      </w:r>
      <w:r>
        <w:rPr>
          <w:kern w:val="0"/>
          <w:sz w:val="24"/>
        </w:rPr>
        <w:t>”</w:t>
      </w:r>
      <w:r>
        <w:rPr>
          <w:kern w:val="0"/>
          <w:sz w:val="24"/>
        </w:rPr>
        <w:t>的风险收益目标。</w:t>
      </w:r>
    </w:p>
    <w:p w:rsidR="000E6BAE" w:rsidRDefault="00CD6463">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w:t>
      </w:r>
      <w:r>
        <w:rPr>
          <w:kern w:val="0"/>
          <w:sz w:val="24"/>
        </w:rPr>
        <w:t>，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0E6BAE" w:rsidRDefault="00CD6463">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w:t>
      </w:r>
      <w:r>
        <w:rPr>
          <w:kern w:val="0"/>
          <w:sz w:val="24"/>
        </w:rPr>
        <w:t>部门构成的风险管理架构体系。</w:t>
      </w:r>
    </w:p>
    <w:p w:rsidR="000E6BAE" w:rsidRDefault="00CD6463">
      <w:pPr>
        <w:spacing w:before="29" w:line="288" w:lineRule="auto"/>
        <w:ind w:firstLineChars="200" w:firstLine="480"/>
        <w:rPr>
          <w:kern w:val="0"/>
          <w:sz w:val="24"/>
        </w:rPr>
      </w:pPr>
      <w:r>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0E6BAE" w:rsidRDefault="000E6BAE">
      <w:pPr>
        <w:adjustRightInd w:val="0"/>
        <w:spacing w:line="360" w:lineRule="auto"/>
        <w:ind w:firstLineChars="200" w:firstLine="420"/>
        <w:jc w:val="left"/>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7.4.13.2</w:t>
      </w:r>
      <w:r>
        <w:rPr>
          <w:rFonts w:eastAsiaTheme="minorEastAsia" w:hint="eastAsia"/>
          <w:b/>
          <w:sz w:val="24"/>
        </w:rPr>
        <w:t>信用风险</w:t>
      </w:r>
    </w:p>
    <w:p w:rsidR="000E6BAE" w:rsidRDefault="00CD6463">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0E6BAE" w:rsidRDefault="00CD6463">
      <w:pPr>
        <w:spacing w:before="29" w:line="288" w:lineRule="auto"/>
        <w:ind w:firstLineChars="200" w:firstLine="480"/>
        <w:rPr>
          <w:kern w:val="0"/>
          <w:sz w:val="24"/>
        </w:rPr>
      </w:pPr>
      <w:r>
        <w:rPr>
          <w:kern w:val="0"/>
          <w:sz w:val="24"/>
        </w:rPr>
        <w:t>本基金的基金管理人在交易前对交易对手的资信状况进行了充分的评估。本基金的活期银行存款存放在本基金的托管人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0E6BAE" w:rsidRDefault="00CD6463">
      <w:pPr>
        <w:spacing w:before="29" w:line="288" w:lineRule="auto"/>
        <w:ind w:firstLineChars="200" w:firstLine="480"/>
        <w:rPr>
          <w:kern w:val="0"/>
          <w:sz w:val="24"/>
        </w:rPr>
      </w:pPr>
      <w:r>
        <w:rPr>
          <w:kern w:val="0"/>
          <w:sz w:val="24"/>
        </w:rPr>
        <w:t>本基金的基金管理人建立了信用风险管理流程，通过对投资品种信用等级评估来控制证券发行人的信用风险，且通过分散化投资以分散信用风险。于</w:t>
      </w:r>
      <w:r>
        <w:rPr>
          <w:kern w:val="0"/>
          <w:sz w:val="24"/>
        </w:rPr>
        <w:t>2020</w:t>
      </w:r>
      <w:r>
        <w:rPr>
          <w:kern w:val="0"/>
          <w:sz w:val="24"/>
        </w:rPr>
        <w:t>年</w:t>
      </w:r>
      <w:r>
        <w:rPr>
          <w:kern w:val="0"/>
          <w:sz w:val="24"/>
        </w:rPr>
        <w:t>12</w:t>
      </w:r>
      <w:r>
        <w:rPr>
          <w:kern w:val="0"/>
          <w:sz w:val="24"/>
        </w:rPr>
        <w:t>月</w:t>
      </w:r>
      <w:r>
        <w:rPr>
          <w:kern w:val="0"/>
          <w:sz w:val="24"/>
        </w:rPr>
        <w:t>31</w:t>
      </w:r>
      <w:r>
        <w:rPr>
          <w:kern w:val="0"/>
          <w:sz w:val="24"/>
        </w:rPr>
        <w:t>日，本基金未持有除国债、央行票据和政策性金融债以外的债券</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日：无</w:t>
      </w:r>
      <w:r>
        <w:rPr>
          <w:kern w:val="0"/>
          <w:sz w:val="24"/>
        </w:rPr>
        <w:t>)</w:t>
      </w:r>
      <w:r>
        <w:rPr>
          <w:kern w:val="0"/>
          <w:sz w:val="24"/>
        </w:rPr>
        <w:t>。</w:t>
      </w:r>
    </w:p>
    <w:p w:rsidR="000E6BAE" w:rsidRDefault="000E6BAE">
      <w:pPr>
        <w:spacing w:line="360" w:lineRule="auto"/>
        <w:ind w:firstLineChars="200" w:firstLine="420"/>
        <w:jc w:val="left"/>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7.4.13.3</w:t>
      </w:r>
      <w:r>
        <w:rPr>
          <w:rFonts w:eastAsiaTheme="minorEastAsia" w:hint="eastAsia"/>
          <w:b/>
          <w:sz w:val="24"/>
        </w:rPr>
        <w:t>流动性风险</w:t>
      </w:r>
    </w:p>
    <w:p w:rsidR="000E6BAE" w:rsidRDefault="00CD6463">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w:t>
      </w:r>
      <w:r>
        <w:rPr>
          <w:kern w:val="0"/>
          <w:sz w:val="24"/>
        </w:rPr>
        <w:t>况下以合理的价格变现。</w:t>
      </w:r>
    </w:p>
    <w:p w:rsidR="000E6BAE" w:rsidRDefault="00CD6463">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0E6BAE" w:rsidRDefault="00CD6463">
      <w:pPr>
        <w:spacing w:before="29" w:line="288" w:lineRule="auto"/>
        <w:ind w:firstLineChars="200" w:firstLine="480"/>
        <w:rPr>
          <w:kern w:val="0"/>
          <w:sz w:val="24"/>
        </w:rPr>
      </w:pPr>
      <w:r>
        <w:rPr>
          <w:kern w:val="0"/>
          <w:sz w:val="24"/>
        </w:rPr>
        <w:t>于</w:t>
      </w:r>
      <w:r>
        <w:rPr>
          <w:kern w:val="0"/>
          <w:sz w:val="24"/>
        </w:rPr>
        <w:t>2020</w:t>
      </w:r>
      <w:r>
        <w:rPr>
          <w:kern w:val="0"/>
          <w:sz w:val="24"/>
        </w:rPr>
        <w:t>年</w:t>
      </w:r>
      <w:r>
        <w:rPr>
          <w:kern w:val="0"/>
          <w:sz w:val="24"/>
        </w:rPr>
        <w:t>12</w:t>
      </w:r>
      <w:r>
        <w:rPr>
          <w:kern w:val="0"/>
          <w:sz w:val="24"/>
        </w:rPr>
        <w:t>月</w:t>
      </w:r>
      <w:r>
        <w:rPr>
          <w:kern w:val="0"/>
          <w:sz w:val="24"/>
        </w:rPr>
        <w:t>31</w:t>
      </w:r>
      <w:r>
        <w:rPr>
          <w:kern w:val="0"/>
          <w:sz w:val="24"/>
        </w:rPr>
        <w:t>日，除卖出回购金融资产款余额中有</w:t>
      </w:r>
      <w:r>
        <w:rPr>
          <w:kern w:val="0"/>
          <w:sz w:val="24"/>
        </w:rPr>
        <w:t>175,084,617.37</w:t>
      </w:r>
      <w:r>
        <w:rPr>
          <w:kern w:val="0"/>
          <w:sz w:val="24"/>
        </w:rPr>
        <w:t>元将在一个月以内到期且计息</w:t>
      </w:r>
      <w:r>
        <w:rPr>
          <w:kern w:val="0"/>
          <w:sz w:val="24"/>
        </w:rPr>
        <w:t>(</w:t>
      </w:r>
      <w:r>
        <w:rPr>
          <w:kern w:val="0"/>
          <w:sz w:val="24"/>
        </w:rPr>
        <w:t>该利息金额不重大</w:t>
      </w:r>
      <w:r>
        <w:rPr>
          <w:kern w:val="0"/>
          <w:sz w:val="24"/>
        </w:rPr>
        <w:t>)</w:t>
      </w:r>
      <w:r>
        <w:rPr>
          <w:kern w:val="0"/>
          <w:sz w:val="24"/>
        </w:rPr>
        <w:t>外，本基金所承担的其他金融负债的合约约定到期日均为一个月以内</w:t>
      </w:r>
      <w:r>
        <w:rPr>
          <w:kern w:val="0"/>
          <w:sz w:val="24"/>
        </w:rPr>
        <w:t>且不计息，可赎回基金份额净值</w:t>
      </w:r>
      <w:r>
        <w:rPr>
          <w:kern w:val="0"/>
          <w:sz w:val="24"/>
        </w:rPr>
        <w:t>(</w:t>
      </w:r>
      <w:r>
        <w:rPr>
          <w:kern w:val="0"/>
          <w:sz w:val="24"/>
        </w:rPr>
        <w:t>所有者权益</w:t>
      </w:r>
      <w:r>
        <w:rPr>
          <w:kern w:val="0"/>
          <w:sz w:val="24"/>
        </w:rPr>
        <w:t>)</w:t>
      </w:r>
      <w:r>
        <w:rPr>
          <w:kern w:val="0"/>
          <w:sz w:val="24"/>
        </w:rPr>
        <w:t>无固定到期日且不计息，因此账面余额约为未折现的合约到期现金流量。</w:t>
      </w:r>
    </w:p>
    <w:p w:rsidR="000E6BAE" w:rsidRDefault="00CD6463">
      <w:pPr>
        <w:spacing w:before="29" w:line="288" w:lineRule="auto"/>
        <w:ind w:firstLineChars="200" w:firstLine="480"/>
        <w:rPr>
          <w:kern w:val="0"/>
          <w:sz w:val="24"/>
        </w:rPr>
      </w:pPr>
      <w:r>
        <w:rPr>
          <w:kern w:val="0"/>
          <w:sz w:val="24"/>
        </w:rPr>
        <w:t>注：流动性受限资产、</w:t>
      </w:r>
      <w:r>
        <w:rPr>
          <w:kern w:val="0"/>
          <w:sz w:val="24"/>
        </w:rPr>
        <w:t>7</w:t>
      </w:r>
      <w:r>
        <w:rPr>
          <w:kern w:val="0"/>
          <w:sz w:val="24"/>
        </w:rPr>
        <w:t>个工作日可变现资产的计算口径见《公开募集开放式证券投资基金流动性风险管理规定》第四十条。</w:t>
      </w:r>
    </w:p>
    <w:p w:rsidR="000E6BAE" w:rsidRDefault="000E6BAE">
      <w:pPr>
        <w:spacing w:before="29" w:line="288" w:lineRule="auto"/>
        <w:ind w:firstLineChars="200" w:firstLine="480"/>
        <w:rPr>
          <w:kern w:val="0"/>
          <w:sz w:val="24"/>
        </w:rPr>
      </w:pPr>
    </w:p>
    <w:p w:rsidR="000E6BAE" w:rsidRDefault="00CD6463">
      <w:pPr>
        <w:spacing w:beforeLines="50" w:before="156" w:line="360" w:lineRule="auto"/>
        <w:rPr>
          <w:rFonts w:eastAsiaTheme="minorEastAsia"/>
          <w:b/>
          <w:bCs/>
          <w:color w:val="000000" w:themeColor="text1"/>
          <w:szCs w:val="21"/>
        </w:rPr>
      </w:pPr>
      <w:r>
        <w:rPr>
          <w:rFonts w:eastAsiaTheme="minorEastAsia"/>
          <w:b/>
          <w:bCs/>
          <w:color w:val="000000" w:themeColor="text1"/>
          <w:kern w:val="0"/>
          <w:szCs w:val="21"/>
        </w:rPr>
        <w:t>7.4.13.3</w:t>
      </w:r>
      <w:r>
        <w:rPr>
          <w:rFonts w:eastAsiaTheme="minorEastAsia" w:hint="eastAsia"/>
          <w:b/>
          <w:bCs/>
          <w:color w:val="000000" w:themeColor="text1"/>
          <w:kern w:val="0"/>
          <w:szCs w:val="21"/>
        </w:rPr>
        <w:t>.1</w:t>
      </w:r>
      <w:r>
        <w:rPr>
          <w:rFonts w:eastAsiaTheme="minorEastAsia"/>
          <w:b/>
          <w:bCs/>
          <w:color w:val="000000" w:themeColor="text1"/>
          <w:kern w:val="0"/>
          <w:szCs w:val="21"/>
        </w:rPr>
        <w:t xml:space="preserve"> </w:t>
      </w:r>
      <w:r>
        <w:rPr>
          <w:rFonts w:eastAsiaTheme="minorEastAsia" w:hint="eastAsia"/>
          <w:b/>
          <w:bCs/>
          <w:color w:val="000000" w:themeColor="text1"/>
          <w:szCs w:val="21"/>
        </w:rPr>
        <w:t>报告期内本基金组合资产的流动性风险分析</w:t>
      </w:r>
    </w:p>
    <w:p w:rsidR="000E6BAE" w:rsidRDefault="00CD646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0E6BAE" w:rsidRDefault="00CD646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0E6BAE" w:rsidRDefault="00CD646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w:t>
      </w:r>
      <w:r>
        <w:rPr>
          <w:rFonts w:eastAsiaTheme="minorEastAsia"/>
          <w:color w:val="000000" w:themeColor="text1"/>
          <w:kern w:val="0"/>
          <w:szCs w:val="21"/>
        </w:rPr>
        <w:t>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0E6BAE" w:rsidRDefault="00CD646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0E6BAE" w:rsidRDefault="00CD646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w:t>
      </w:r>
      <w:r>
        <w:rPr>
          <w:rFonts w:eastAsiaTheme="minorEastAsia"/>
          <w:color w:val="000000" w:themeColor="text1"/>
          <w:kern w:val="0"/>
          <w:szCs w:val="21"/>
        </w:rPr>
        <w:t>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0E6BAE" w:rsidRDefault="00CD646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综合上述各项流动性指标的监测结果及流动性风险管理措施的实施，本基金在本报告期内流动性情况良好。</w:t>
      </w:r>
    </w:p>
    <w:p w:rsidR="000E6BAE" w:rsidRDefault="000E6BAE">
      <w:pPr>
        <w:widowControl/>
        <w:spacing w:line="360" w:lineRule="auto"/>
        <w:ind w:firstLineChars="200" w:firstLine="420"/>
        <w:rPr>
          <w:rFonts w:eastAsiaTheme="minorEastAsia"/>
          <w:color w:val="000000" w:themeColor="text1"/>
          <w:kern w:val="0"/>
          <w:szCs w:val="21"/>
        </w:rPr>
      </w:pPr>
    </w:p>
    <w:p w:rsidR="000E6BAE" w:rsidRDefault="00CD6463">
      <w:pPr>
        <w:spacing w:before="29" w:line="288" w:lineRule="auto"/>
        <w:rPr>
          <w:rFonts w:eastAsiaTheme="minorEastAsia"/>
          <w:b/>
          <w:sz w:val="24"/>
        </w:rPr>
      </w:pPr>
      <w:r>
        <w:rPr>
          <w:rFonts w:eastAsiaTheme="minorEastAsia"/>
          <w:b/>
          <w:sz w:val="24"/>
        </w:rPr>
        <w:t>7.4.13.4</w:t>
      </w:r>
      <w:r>
        <w:rPr>
          <w:rFonts w:eastAsiaTheme="minorEastAsia" w:hint="eastAsia"/>
          <w:b/>
          <w:sz w:val="24"/>
        </w:rPr>
        <w:t>市场风险</w:t>
      </w:r>
    </w:p>
    <w:p w:rsidR="000E6BAE" w:rsidRDefault="00CD6463">
      <w:pPr>
        <w:spacing w:before="29" w:line="288" w:lineRule="auto"/>
        <w:ind w:firstLineChars="200" w:firstLine="480"/>
        <w:rPr>
          <w:rFonts w:asciiTheme="minorEastAsia" w:eastAsiaTheme="minorEastAsia" w:hAnsiTheme="minorEastAsia" w:cs="宋体"/>
          <w:kern w:val="0"/>
          <w:szCs w:val="21"/>
        </w:rPr>
      </w:pPr>
      <w:r>
        <w:rPr>
          <w:kern w:val="0"/>
          <w:sz w:val="24"/>
        </w:rPr>
        <w:t>市场风险是指基金所持金融工具的公允价值或未来现金流量因所处市场各类价格因素的变动而发生波动的风险，包括利率风险、外汇风险和其他价格风险。</w:t>
      </w:r>
    </w:p>
    <w:p w:rsidR="000E6BAE" w:rsidRDefault="000E6BAE">
      <w:pPr>
        <w:spacing w:line="360" w:lineRule="auto"/>
        <w:ind w:firstLineChars="200" w:firstLine="420"/>
        <w:jc w:val="left"/>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7.4.13.4.1</w:t>
      </w:r>
      <w:r>
        <w:rPr>
          <w:rFonts w:eastAsiaTheme="minorEastAsia" w:hint="eastAsia"/>
          <w:b/>
          <w:sz w:val="24"/>
        </w:rPr>
        <w:t>利率风险</w:t>
      </w:r>
    </w:p>
    <w:p w:rsidR="000E6BAE" w:rsidRDefault="00CD6463">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0E6BAE" w:rsidRDefault="00CD6463">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本基金的基金管理人定期对本基金面临的利率敏感性缺口进行监控，并通过调整投资组合的久期等方法对上述利率风险进行管</w:t>
      </w:r>
      <w:r>
        <w:rPr>
          <w:kern w:val="0"/>
          <w:sz w:val="24"/>
        </w:rPr>
        <w:t>理。</w:t>
      </w:r>
    </w:p>
    <w:p w:rsidR="000E6BAE" w:rsidRDefault="00CD6463">
      <w:pPr>
        <w:spacing w:before="29" w:line="288" w:lineRule="auto"/>
        <w:ind w:firstLineChars="200" w:firstLine="480"/>
        <w:rPr>
          <w:rFonts w:asciiTheme="minorEastAsia" w:eastAsiaTheme="minorEastAsia" w:hAnsiTheme="minorEastAsia" w:cs="宋体"/>
          <w:kern w:val="0"/>
          <w:szCs w:val="21"/>
        </w:rPr>
      </w:pPr>
      <w:r>
        <w:rPr>
          <w:kern w:val="0"/>
          <w:sz w:val="24"/>
        </w:rPr>
        <w:t>本基金主要投资于交易所及银行间市场交易的固定收益品种，因此存在相应的利率风险。</w:t>
      </w:r>
    </w:p>
    <w:p w:rsidR="000E6BAE" w:rsidRDefault="00CD6463">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ab/>
      </w:r>
    </w:p>
    <w:p w:rsidR="000E6BAE" w:rsidRDefault="00CD6463">
      <w:pPr>
        <w:spacing w:before="29" w:line="288" w:lineRule="auto"/>
        <w:rPr>
          <w:rFonts w:eastAsiaTheme="minorEastAsia"/>
          <w:b/>
          <w:sz w:val="24"/>
        </w:rPr>
      </w:pPr>
      <w:r>
        <w:rPr>
          <w:rFonts w:eastAsiaTheme="minorEastAsia"/>
          <w:b/>
          <w:sz w:val="24"/>
        </w:rPr>
        <w:t>7.4.13.4.1.1</w:t>
      </w:r>
      <w:r>
        <w:rPr>
          <w:rFonts w:eastAsiaTheme="minorEastAsia" w:hint="eastAsia"/>
          <w:b/>
          <w:sz w:val="24"/>
        </w:rPr>
        <w:t>利率风险敞口</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9"/>
        <w:gridCol w:w="1499"/>
        <w:gridCol w:w="1500"/>
        <w:gridCol w:w="1500"/>
        <w:gridCol w:w="1500"/>
        <w:gridCol w:w="1500"/>
      </w:tblGrid>
      <w:tr w:rsidR="000E6BAE">
        <w:trPr>
          <w:trHeight w:val="280"/>
        </w:trPr>
        <w:tc>
          <w:tcPr>
            <w:tcW w:w="3459" w:type="dxa"/>
            <w:vAlign w:val="center"/>
          </w:tcPr>
          <w:p w:rsidR="000E6BAE" w:rsidRDefault="00CD6463">
            <w:pPr>
              <w:spacing w:before="29" w:line="288" w:lineRule="auto"/>
              <w:jc w:val="center"/>
              <w:rPr>
                <w:b/>
                <w:sz w:val="18"/>
                <w:szCs w:val="18"/>
              </w:rPr>
            </w:pPr>
            <w:r>
              <w:rPr>
                <w:rFonts w:hint="eastAsia"/>
                <w:b/>
                <w:sz w:val="18"/>
                <w:szCs w:val="18"/>
              </w:rPr>
              <w:t>本期末</w:t>
            </w:r>
          </w:p>
          <w:p w:rsidR="000E6BAE" w:rsidRDefault="00CD6463">
            <w:pPr>
              <w:spacing w:before="29" w:line="288" w:lineRule="auto"/>
              <w:jc w:val="center"/>
              <w:rPr>
                <w:b/>
                <w:sz w:val="18"/>
                <w:szCs w:val="18"/>
              </w:rPr>
            </w:pPr>
            <w:r>
              <w:rPr>
                <w:b/>
                <w:sz w:val="18"/>
                <w:szCs w:val="18"/>
              </w:rPr>
              <w:t>2020</w:t>
            </w:r>
            <w:r>
              <w:rPr>
                <w:b/>
                <w:sz w:val="18"/>
                <w:szCs w:val="18"/>
              </w:rPr>
              <w:t>年</w:t>
            </w:r>
            <w:r>
              <w:rPr>
                <w:b/>
                <w:sz w:val="18"/>
                <w:szCs w:val="18"/>
              </w:rPr>
              <w:t>12</w:t>
            </w:r>
            <w:r>
              <w:rPr>
                <w:b/>
                <w:sz w:val="18"/>
                <w:szCs w:val="18"/>
              </w:rPr>
              <w:t>月</w:t>
            </w:r>
            <w:r>
              <w:rPr>
                <w:b/>
                <w:sz w:val="18"/>
                <w:szCs w:val="18"/>
              </w:rPr>
              <w:t>31</w:t>
            </w:r>
            <w:r>
              <w:rPr>
                <w:b/>
                <w:sz w:val="18"/>
                <w:szCs w:val="18"/>
              </w:rPr>
              <w:t>日</w:t>
            </w:r>
          </w:p>
        </w:tc>
        <w:tc>
          <w:tcPr>
            <w:tcW w:w="3459" w:type="dxa"/>
            <w:vAlign w:val="center"/>
          </w:tcPr>
          <w:p w:rsidR="000E6BAE" w:rsidRDefault="00CD6463">
            <w:pPr>
              <w:spacing w:before="29" w:line="288" w:lineRule="auto"/>
              <w:jc w:val="center"/>
              <w:rPr>
                <w:b/>
                <w:sz w:val="18"/>
                <w:szCs w:val="18"/>
              </w:rPr>
            </w:pPr>
            <w:r>
              <w:rPr>
                <w:b/>
                <w:sz w:val="18"/>
                <w:szCs w:val="18"/>
              </w:rPr>
              <w:t>1</w:t>
            </w:r>
            <w:r>
              <w:rPr>
                <w:rFonts w:hint="eastAsia"/>
                <w:b/>
                <w:sz w:val="18"/>
                <w:szCs w:val="18"/>
              </w:rPr>
              <w:t>年以内</w:t>
            </w:r>
          </w:p>
        </w:tc>
        <w:tc>
          <w:tcPr>
            <w:tcW w:w="3459" w:type="dxa"/>
            <w:vAlign w:val="center"/>
          </w:tcPr>
          <w:p w:rsidR="000E6BAE" w:rsidRDefault="00CD6463">
            <w:pPr>
              <w:spacing w:before="29" w:line="288" w:lineRule="auto"/>
              <w:jc w:val="center"/>
              <w:rPr>
                <w:b/>
                <w:sz w:val="18"/>
                <w:szCs w:val="18"/>
              </w:rPr>
            </w:pPr>
            <w:r>
              <w:rPr>
                <w:b/>
                <w:sz w:val="18"/>
                <w:szCs w:val="18"/>
              </w:rPr>
              <w:t>1-5</w:t>
            </w:r>
            <w:r>
              <w:rPr>
                <w:rFonts w:hint="eastAsia"/>
                <w:b/>
                <w:sz w:val="18"/>
                <w:szCs w:val="18"/>
              </w:rPr>
              <w:t>年</w:t>
            </w:r>
          </w:p>
        </w:tc>
        <w:tc>
          <w:tcPr>
            <w:tcW w:w="3459" w:type="dxa"/>
            <w:vAlign w:val="center"/>
          </w:tcPr>
          <w:p w:rsidR="000E6BAE" w:rsidRDefault="00CD6463">
            <w:pPr>
              <w:spacing w:before="29" w:line="288" w:lineRule="auto"/>
              <w:jc w:val="center"/>
              <w:rPr>
                <w:b/>
                <w:sz w:val="18"/>
                <w:szCs w:val="18"/>
              </w:rPr>
            </w:pPr>
            <w:r>
              <w:rPr>
                <w:b/>
                <w:sz w:val="18"/>
                <w:szCs w:val="18"/>
              </w:rPr>
              <w:t>5</w:t>
            </w:r>
            <w:r>
              <w:rPr>
                <w:rFonts w:hint="eastAsia"/>
                <w:b/>
                <w:sz w:val="18"/>
                <w:szCs w:val="18"/>
              </w:rPr>
              <w:t>年以上</w:t>
            </w:r>
          </w:p>
        </w:tc>
        <w:tc>
          <w:tcPr>
            <w:tcW w:w="3459" w:type="dxa"/>
            <w:vAlign w:val="center"/>
          </w:tcPr>
          <w:p w:rsidR="000E6BAE" w:rsidRDefault="00CD6463">
            <w:pPr>
              <w:spacing w:before="29" w:line="288" w:lineRule="auto"/>
              <w:jc w:val="center"/>
              <w:rPr>
                <w:b/>
                <w:sz w:val="18"/>
                <w:szCs w:val="18"/>
              </w:rPr>
            </w:pPr>
            <w:r>
              <w:rPr>
                <w:rFonts w:hint="eastAsia"/>
                <w:b/>
                <w:sz w:val="18"/>
                <w:szCs w:val="18"/>
              </w:rPr>
              <w:t>不计息</w:t>
            </w:r>
          </w:p>
        </w:tc>
        <w:tc>
          <w:tcPr>
            <w:tcW w:w="3459" w:type="dxa"/>
            <w:vAlign w:val="center"/>
          </w:tcPr>
          <w:p w:rsidR="000E6BAE" w:rsidRDefault="00CD6463">
            <w:pPr>
              <w:spacing w:before="29" w:line="288" w:lineRule="auto"/>
              <w:jc w:val="center"/>
              <w:rPr>
                <w:b/>
                <w:sz w:val="18"/>
                <w:szCs w:val="18"/>
              </w:rPr>
            </w:pPr>
            <w:r>
              <w:rPr>
                <w:rFonts w:hint="eastAsia"/>
                <w:b/>
                <w:sz w:val="18"/>
                <w:szCs w:val="18"/>
              </w:rPr>
              <w:t>合计</w:t>
            </w:r>
          </w:p>
        </w:tc>
      </w:tr>
      <w:tr w:rsidR="000E6BAE">
        <w:trPr>
          <w:trHeight w:val="280"/>
        </w:trPr>
        <w:tc>
          <w:tcPr>
            <w:tcW w:w="3459" w:type="dxa"/>
            <w:vAlign w:val="center"/>
          </w:tcPr>
          <w:p w:rsidR="000E6BAE" w:rsidRDefault="00CD6463">
            <w:pPr>
              <w:spacing w:line="360" w:lineRule="auto"/>
              <w:rPr>
                <w:rFonts w:ascii="宋体" w:hAnsi="宋体"/>
                <w:color w:val="000000"/>
                <w:szCs w:val="21"/>
              </w:rPr>
            </w:pPr>
            <w:r>
              <w:rPr>
                <w:rFonts w:hint="eastAsia"/>
                <w:color w:val="000000"/>
                <w:sz w:val="18"/>
                <w:szCs w:val="18"/>
              </w:rPr>
              <w:t>资产</w:t>
            </w: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b/>
                <w:color w:val="000000"/>
                <w:szCs w:val="21"/>
              </w:rPr>
            </w:pPr>
          </w:p>
        </w:tc>
      </w:tr>
      <w:tr w:rsidR="000E6BAE">
        <w:tc>
          <w:tcPr>
            <w:tcW w:w="1499" w:type="dxa"/>
            <w:vAlign w:val="center"/>
          </w:tcPr>
          <w:p w:rsidR="000E6BAE" w:rsidRDefault="00CD6463">
            <w:pPr>
              <w:jc w:val="center"/>
            </w:pPr>
            <w:r>
              <w:rPr>
                <w:color w:val="000000"/>
                <w:sz w:val="18"/>
                <w:szCs w:val="18"/>
              </w:rPr>
              <w:t>银行存款</w:t>
            </w:r>
          </w:p>
        </w:tc>
        <w:tc>
          <w:tcPr>
            <w:tcW w:w="1499" w:type="dxa"/>
            <w:vAlign w:val="center"/>
          </w:tcPr>
          <w:p w:rsidR="000E6BAE" w:rsidRDefault="00CD6463">
            <w:pPr>
              <w:jc w:val="right"/>
            </w:pPr>
            <w:r>
              <w:rPr>
                <w:color w:val="000000"/>
                <w:sz w:val="18"/>
                <w:szCs w:val="18"/>
              </w:rPr>
              <w:t>1,264,779.45</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1,264,779.45</w:t>
            </w:r>
          </w:p>
        </w:tc>
      </w:tr>
      <w:tr w:rsidR="000E6BAE">
        <w:tc>
          <w:tcPr>
            <w:tcW w:w="1499" w:type="dxa"/>
            <w:vAlign w:val="center"/>
          </w:tcPr>
          <w:p w:rsidR="000E6BAE" w:rsidRDefault="00CD6463">
            <w:pPr>
              <w:jc w:val="center"/>
            </w:pPr>
            <w:r>
              <w:rPr>
                <w:color w:val="000000"/>
                <w:sz w:val="18"/>
                <w:szCs w:val="18"/>
              </w:rPr>
              <w:t>交易性金融资产</w:t>
            </w:r>
          </w:p>
        </w:tc>
        <w:tc>
          <w:tcPr>
            <w:tcW w:w="1499" w:type="dxa"/>
            <w:vAlign w:val="center"/>
          </w:tcPr>
          <w:p w:rsidR="000E6BAE" w:rsidRDefault="00CD6463">
            <w:pPr>
              <w:jc w:val="right"/>
            </w:pPr>
            <w:r>
              <w:rPr>
                <w:color w:val="000000"/>
                <w:sz w:val="18"/>
                <w:szCs w:val="18"/>
              </w:rPr>
              <w:t>199,995,000.00</w:t>
            </w:r>
          </w:p>
        </w:tc>
        <w:tc>
          <w:tcPr>
            <w:tcW w:w="1500" w:type="dxa"/>
            <w:vAlign w:val="center"/>
          </w:tcPr>
          <w:p w:rsidR="000E6BAE" w:rsidRDefault="00CD6463">
            <w:pPr>
              <w:jc w:val="right"/>
            </w:pPr>
            <w:r>
              <w:rPr>
                <w:color w:val="000000"/>
                <w:sz w:val="18"/>
                <w:szCs w:val="18"/>
              </w:rPr>
              <w:t>1,289,777,000.00</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1,489,772,000.00</w:t>
            </w:r>
          </w:p>
        </w:tc>
      </w:tr>
      <w:tr w:rsidR="000E6BAE">
        <w:tc>
          <w:tcPr>
            <w:tcW w:w="1499" w:type="dxa"/>
            <w:vAlign w:val="center"/>
          </w:tcPr>
          <w:p w:rsidR="000E6BAE" w:rsidRDefault="00CD6463">
            <w:pPr>
              <w:jc w:val="center"/>
            </w:pPr>
            <w:r>
              <w:rPr>
                <w:color w:val="000000"/>
                <w:sz w:val="18"/>
                <w:szCs w:val="18"/>
              </w:rPr>
              <w:t>应收利息</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32,745,331.46</w:t>
            </w:r>
          </w:p>
        </w:tc>
        <w:tc>
          <w:tcPr>
            <w:tcW w:w="1500" w:type="dxa"/>
            <w:vAlign w:val="center"/>
          </w:tcPr>
          <w:p w:rsidR="000E6BAE" w:rsidRDefault="00CD6463">
            <w:pPr>
              <w:jc w:val="right"/>
            </w:pPr>
            <w:r>
              <w:rPr>
                <w:color w:val="000000"/>
                <w:sz w:val="18"/>
                <w:szCs w:val="18"/>
              </w:rPr>
              <w:t>32,745,331.46</w:t>
            </w:r>
          </w:p>
        </w:tc>
      </w:tr>
      <w:tr w:rsidR="000E6BAE">
        <w:tc>
          <w:tcPr>
            <w:tcW w:w="1499" w:type="dxa"/>
            <w:vAlign w:val="center"/>
          </w:tcPr>
          <w:p w:rsidR="000E6BAE" w:rsidRDefault="00CD6463">
            <w:pPr>
              <w:jc w:val="center"/>
            </w:pPr>
            <w:r>
              <w:rPr>
                <w:color w:val="000000"/>
                <w:sz w:val="18"/>
                <w:szCs w:val="18"/>
              </w:rPr>
              <w:t>应收申购款</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31,826.62</w:t>
            </w:r>
          </w:p>
        </w:tc>
        <w:tc>
          <w:tcPr>
            <w:tcW w:w="1500" w:type="dxa"/>
            <w:vAlign w:val="center"/>
          </w:tcPr>
          <w:p w:rsidR="000E6BAE" w:rsidRDefault="00CD6463">
            <w:pPr>
              <w:jc w:val="right"/>
            </w:pPr>
            <w:r>
              <w:rPr>
                <w:color w:val="000000"/>
                <w:sz w:val="18"/>
                <w:szCs w:val="18"/>
              </w:rPr>
              <w:t>31,826.62</w:t>
            </w:r>
          </w:p>
        </w:tc>
      </w:tr>
      <w:tr w:rsidR="000E6BAE">
        <w:trPr>
          <w:trHeight w:val="280"/>
        </w:trPr>
        <w:tc>
          <w:tcPr>
            <w:tcW w:w="3459" w:type="dxa"/>
            <w:vAlign w:val="center"/>
          </w:tcPr>
          <w:p w:rsidR="000E6BAE" w:rsidRDefault="00CD6463">
            <w:pPr>
              <w:spacing w:before="29" w:line="288" w:lineRule="auto"/>
              <w:rPr>
                <w:rFonts w:asciiTheme="minorEastAsia" w:eastAsiaTheme="minorEastAsia" w:hAnsiTheme="minorEastAsia"/>
                <w:color w:val="000000"/>
                <w:szCs w:val="21"/>
              </w:rPr>
            </w:pPr>
            <w:r>
              <w:rPr>
                <w:rFonts w:hint="eastAsia"/>
                <w:color w:val="000000"/>
                <w:sz w:val="18"/>
                <w:szCs w:val="18"/>
              </w:rPr>
              <w:t>资产总计</w:t>
            </w:r>
          </w:p>
        </w:tc>
        <w:tc>
          <w:tcPr>
            <w:tcW w:w="3459" w:type="dxa"/>
            <w:vAlign w:val="center"/>
          </w:tcPr>
          <w:p w:rsidR="000E6BAE" w:rsidRDefault="00CD6463">
            <w:pPr>
              <w:spacing w:before="29" w:line="288" w:lineRule="auto"/>
              <w:jc w:val="right"/>
              <w:rPr>
                <w:sz w:val="18"/>
                <w:szCs w:val="18"/>
              </w:rPr>
            </w:pPr>
            <w:r>
              <w:rPr>
                <w:sz w:val="18"/>
                <w:szCs w:val="18"/>
              </w:rPr>
              <w:t>201,259,779.45</w:t>
            </w:r>
          </w:p>
        </w:tc>
        <w:tc>
          <w:tcPr>
            <w:tcW w:w="3459" w:type="dxa"/>
            <w:vAlign w:val="center"/>
          </w:tcPr>
          <w:p w:rsidR="000E6BAE" w:rsidRDefault="00CD6463">
            <w:pPr>
              <w:spacing w:before="29" w:line="288" w:lineRule="auto"/>
              <w:jc w:val="right"/>
              <w:rPr>
                <w:sz w:val="18"/>
                <w:szCs w:val="18"/>
              </w:rPr>
            </w:pPr>
            <w:r>
              <w:rPr>
                <w:sz w:val="18"/>
                <w:szCs w:val="18"/>
              </w:rPr>
              <w:t>1,289,777,000.00</w:t>
            </w:r>
          </w:p>
        </w:tc>
        <w:tc>
          <w:tcPr>
            <w:tcW w:w="3459" w:type="dxa"/>
            <w:vAlign w:val="center"/>
          </w:tcPr>
          <w:p w:rsidR="000E6BAE" w:rsidRDefault="00CD6463">
            <w:pPr>
              <w:spacing w:before="29" w:line="288" w:lineRule="auto"/>
              <w:jc w:val="right"/>
              <w:rPr>
                <w:sz w:val="18"/>
                <w:szCs w:val="18"/>
              </w:rPr>
            </w:pPr>
            <w:r>
              <w:rPr>
                <w:sz w:val="18"/>
                <w:szCs w:val="18"/>
              </w:rPr>
              <w:t>-</w:t>
            </w:r>
          </w:p>
        </w:tc>
        <w:tc>
          <w:tcPr>
            <w:tcW w:w="3459" w:type="dxa"/>
            <w:vAlign w:val="center"/>
          </w:tcPr>
          <w:p w:rsidR="000E6BAE" w:rsidRDefault="00CD6463">
            <w:pPr>
              <w:spacing w:before="29" w:line="288" w:lineRule="auto"/>
              <w:jc w:val="right"/>
              <w:rPr>
                <w:sz w:val="18"/>
                <w:szCs w:val="18"/>
              </w:rPr>
            </w:pPr>
            <w:r>
              <w:rPr>
                <w:sz w:val="18"/>
                <w:szCs w:val="18"/>
              </w:rPr>
              <w:t>32,777,158.08</w:t>
            </w:r>
          </w:p>
        </w:tc>
        <w:tc>
          <w:tcPr>
            <w:tcW w:w="3459" w:type="dxa"/>
            <w:vAlign w:val="center"/>
          </w:tcPr>
          <w:p w:rsidR="000E6BAE" w:rsidRDefault="00CD6463">
            <w:pPr>
              <w:spacing w:before="29" w:line="288" w:lineRule="auto"/>
              <w:jc w:val="right"/>
              <w:rPr>
                <w:sz w:val="18"/>
                <w:szCs w:val="18"/>
              </w:rPr>
            </w:pPr>
            <w:r>
              <w:rPr>
                <w:sz w:val="18"/>
                <w:szCs w:val="18"/>
              </w:rPr>
              <w:t>1,523,813,937.53</w:t>
            </w:r>
          </w:p>
        </w:tc>
      </w:tr>
      <w:tr w:rsidR="000E6BAE">
        <w:trPr>
          <w:trHeight w:val="280"/>
        </w:trPr>
        <w:tc>
          <w:tcPr>
            <w:tcW w:w="3459" w:type="dxa"/>
            <w:vAlign w:val="center"/>
          </w:tcPr>
          <w:p w:rsidR="000E6BAE" w:rsidRDefault="00CD6463">
            <w:pPr>
              <w:spacing w:before="29" w:line="288" w:lineRule="auto"/>
              <w:jc w:val="center"/>
              <w:rPr>
                <w:rFonts w:ascii="宋体" w:hAnsi="宋体"/>
                <w:color w:val="000000"/>
                <w:szCs w:val="21"/>
              </w:rPr>
            </w:pPr>
            <w:r>
              <w:rPr>
                <w:rFonts w:hint="eastAsia"/>
                <w:color w:val="000000"/>
                <w:sz w:val="18"/>
                <w:szCs w:val="18"/>
              </w:rPr>
              <w:t>负债</w:t>
            </w:r>
          </w:p>
        </w:tc>
        <w:tc>
          <w:tcPr>
            <w:tcW w:w="3459" w:type="dxa"/>
            <w:vAlign w:val="center"/>
          </w:tcPr>
          <w:p w:rsidR="000E6BAE" w:rsidRDefault="000E6BAE">
            <w:pPr>
              <w:spacing w:line="360" w:lineRule="auto"/>
              <w:jc w:val="right"/>
              <w:rPr>
                <w:rFonts w:ascii="宋体" w:hAnsi="宋体"/>
                <w:color w:val="0000FF"/>
                <w:kern w:val="0"/>
                <w:szCs w:val="21"/>
              </w:rPr>
            </w:pP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color w:val="000000"/>
                <w:szCs w:val="21"/>
              </w:rPr>
            </w:pPr>
          </w:p>
        </w:tc>
      </w:tr>
      <w:tr w:rsidR="000E6BAE">
        <w:tc>
          <w:tcPr>
            <w:tcW w:w="1499" w:type="dxa"/>
            <w:vAlign w:val="center"/>
          </w:tcPr>
          <w:p w:rsidR="000E6BAE" w:rsidRDefault="00CD6463">
            <w:pPr>
              <w:jc w:val="center"/>
            </w:pPr>
            <w:r>
              <w:rPr>
                <w:color w:val="000000"/>
                <w:sz w:val="18"/>
                <w:szCs w:val="18"/>
              </w:rPr>
              <w:t>卖出回购金融资产款</w:t>
            </w:r>
          </w:p>
        </w:tc>
        <w:tc>
          <w:tcPr>
            <w:tcW w:w="1499" w:type="dxa"/>
            <w:vAlign w:val="center"/>
          </w:tcPr>
          <w:p w:rsidR="000E6BAE" w:rsidRDefault="00CD6463">
            <w:pPr>
              <w:jc w:val="right"/>
            </w:pPr>
            <w:r>
              <w:rPr>
                <w:color w:val="000000"/>
                <w:sz w:val="18"/>
                <w:szCs w:val="18"/>
              </w:rPr>
              <w:t>175,084,617.37</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175,084,617.37</w:t>
            </w:r>
          </w:p>
        </w:tc>
      </w:tr>
      <w:tr w:rsidR="000E6BAE">
        <w:tc>
          <w:tcPr>
            <w:tcW w:w="1499" w:type="dxa"/>
            <w:vAlign w:val="center"/>
          </w:tcPr>
          <w:p w:rsidR="000E6BAE" w:rsidRDefault="00CD6463">
            <w:pPr>
              <w:jc w:val="center"/>
            </w:pPr>
            <w:r>
              <w:rPr>
                <w:color w:val="000000"/>
                <w:sz w:val="18"/>
                <w:szCs w:val="18"/>
              </w:rPr>
              <w:t>应付赎回款</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14,260.45</w:t>
            </w:r>
          </w:p>
        </w:tc>
        <w:tc>
          <w:tcPr>
            <w:tcW w:w="1500" w:type="dxa"/>
            <w:vAlign w:val="center"/>
          </w:tcPr>
          <w:p w:rsidR="000E6BAE" w:rsidRDefault="00CD6463">
            <w:pPr>
              <w:jc w:val="right"/>
            </w:pPr>
            <w:r>
              <w:rPr>
                <w:color w:val="000000"/>
                <w:sz w:val="18"/>
                <w:szCs w:val="18"/>
              </w:rPr>
              <w:t>14,260.45</w:t>
            </w:r>
          </w:p>
        </w:tc>
      </w:tr>
      <w:tr w:rsidR="000E6BAE">
        <w:tc>
          <w:tcPr>
            <w:tcW w:w="1499" w:type="dxa"/>
            <w:vAlign w:val="center"/>
          </w:tcPr>
          <w:p w:rsidR="000E6BAE" w:rsidRDefault="00CD6463">
            <w:pPr>
              <w:jc w:val="center"/>
            </w:pPr>
            <w:r>
              <w:rPr>
                <w:color w:val="000000"/>
                <w:sz w:val="18"/>
                <w:szCs w:val="18"/>
              </w:rPr>
              <w:t>应付管理人报酬</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380,992.73</w:t>
            </w:r>
          </w:p>
        </w:tc>
        <w:tc>
          <w:tcPr>
            <w:tcW w:w="1500" w:type="dxa"/>
            <w:vAlign w:val="center"/>
          </w:tcPr>
          <w:p w:rsidR="000E6BAE" w:rsidRDefault="00CD6463">
            <w:pPr>
              <w:jc w:val="right"/>
            </w:pPr>
            <w:r>
              <w:rPr>
                <w:color w:val="000000"/>
                <w:sz w:val="18"/>
                <w:szCs w:val="18"/>
              </w:rPr>
              <w:t>380,992.73</w:t>
            </w:r>
          </w:p>
        </w:tc>
      </w:tr>
      <w:tr w:rsidR="000E6BAE">
        <w:tc>
          <w:tcPr>
            <w:tcW w:w="1499" w:type="dxa"/>
            <w:vAlign w:val="center"/>
          </w:tcPr>
          <w:p w:rsidR="000E6BAE" w:rsidRDefault="00CD6463">
            <w:pPr>
              <w:jc w:val="center"/>
            </w:pPr>
            <w:r>
              <w:rPr>
                <w:color w:val="000000"/>
                <w:sz w:val="18"/>
                <w:szCs w:val="18"/>
              </w:rPr>
              <w:t>应付托管费</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126,997.57</w:t>
            </w:r>
          </w:p>
        </w:tc>
        <w:tc>
          <w:tcPr>
            <w:tcW w:w="1500" w:type="dxa"/>
            <w:vAlign w:val="center"/>
          </w:tcPr>
          <w:p w:rsidR="000E6BAE" w:rsidRDefault="00CD6463">
            <w:pPr>
              <w:jc w:val="right"/>
            </w:pPr>
            <w:r>
              <w:rPr>
                <w:color w:val="000000"/>
                <w:sz w:val="18"/>
                <w:szCs w:val="18"/>
              </w:rPr>
              <w:t>126,997.57</w:t>
            </w:r>
          </w:p>
        </w:tc>
      </w:tr>
      <w:tr w:rsidR="000E6BAE">
        <w:tc>
          <w:tcPr>
            <w:tcW w:w="1499" w:type="dxa"/>
            <w:vAlign w:val="center"/>
          </w:tcPr>
          <w:p w:rsidR="000E6BAE" w:rsidRDefault="00CD6463">
            <w:pPr>
              <w:jc w:val="center"/>
            </w:pPr>
            <w:r>
              <w:rPr>
                <w:color w:val="000000"/>
                <w:sz w:val="18"/>
                <w:szCs w:val="18"/>
              </w:rPr>
              <w:t>应付销售服务费</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754.47</w:t>
            </w:r>
          </w:p>
        </w:tc>
        <w:tc>
          <w:tcPr>
            <w:tcW w:w="1500" w:type="dxa"/>
            <w:vAlign w:val="center"/>
          </w:tcPr>
          <w:p w:rsidR="000E6BAE" w:rsidRDefault="00CD6463">
            <w:pPr>
              <w:jc w:val="right"/>
            </w:pPr>
            <w:r>
              <w:rPr>
                <w:color w:val="000000"/>
                <w:sz w:val="18"/>
                <w:szCs w:val="18"/>
              </w:rPr>
              <w:t>754.47</w:t>
            </w:r>
          </w:p>
        </w:tc>
      </w:tr>
      <w:tr w:rsidR="000E6BAE">
        <w:tc>
          <w:tcPr>
            <w:tcW w:w="1499" w:type="dxa"/>
            <w:vAlign w:val="center"/>
          </w:tcPr>
          <w:p w:rsidR="000E6BAE" w:rsidRDefault="00CD6463">
            <w:pPr>
              <w:jc w:val="center"/>
            </w:pPr>
            <w:r>
              <w:rPr>
                <w:color w:val="000000"/>
                <w:sz w:val="18"/>
                <w:szCs w:val="18"/>
              </w:rPr>
              <w:t>应付交易费用</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26,000.97</w:t>
            </w:r>
          </w:p>
        </w:tc>
        <w:tc>
          <w:tcPr>
            <w:tcW w:w="1500" w:type="dxa"/>
            <w:vAlign w:val="center"/>
          </w:tcPr>
          <w:p w:rsidR="000E6BAE" w:rsidRDefault="00CD6463">
            <w:pPr>
              <w:jc w:val="right"/>
            </w:pPr>
            <w:r>
              <w:rPr>
                <w:color w:val="000000"/>
                <w:sz w:val="18"/>
                <w:szCs w:val="18"/>
              </w:rPr>
              <w:t>26,000.97</w:t>
            </w:r>
          </w:p>
        </w:tc>
      </w:tr>
      <w:tr w:rsidR="000E6BAE">
        <w:tc>
          <w:tcPr>
            <w:tcW w:w="1499" w:type="dxa"/>
            <w:vAlign w:val="center"/>
          </w:tcPr>
          <w:p w:rsidR="000E6BAE" w:rsidRDefault="00CD6463">
            <w:pPr>
              <w:jc w:val="center"/>
            </w:pPr>
            <w:r>
              <w:rPr>
                <w:color w:val="000000"/>
                <w:sz w:val="18"/>
                <w:szCs w:val="18"/>
              </w:rPr>
              <w:t>应付利息</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41,896.56</w:t>
            </w:r>
          </w:p>
        </w:tc>
        <w:tc>
          <w:tcPr>
            <w:tcW w:w="1500" w:type="dxa"/>
            <w:vAlign w:val="center"/>
          </w:tcPr>
          <w:p w:rsidR="000E6BAE" w:rsidRDefault="00CD6463">
            <w:pPr>
              <w:jc w:val="right"/>
            </w:pPr>
            <w:r>
              <w:rPr>
                <w:color w:val="000000"/>
                <w:sz w:val="18"/>
                <w:szCs w:val="18"/>
              </w:rPr>
              <w:t>41,896.56</w:t>
            </w:r>
          </w:p>
        </w:tc>
      </w:tr>
      <w:tr w:rsidR="000E6BAE">
        <w:tc>
          <w:tcPr>
            <w:tcW w:w="1499" w:type="dxa"/>
            <w:vAlign w:val="center"/>
          </w:tcPr>
          <w:p w:rsidR="000E6BAE" w:rsidRDefault="00CD6463">
            <w:pPr>
              <w:jc w:val="center"/>
            </w:pPr>
            <w:r>
              <w:rPr>
                <w:color w:val="000000"/>
                <w:sz w:val="18"/>
                <w:szCs w:val="18"/>
              </w:rPr>
              <w:t>其他负债</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209,300.00</w:t>
            </w:r>
          </w:p>
        </w:tc>
        <w:tc>
          <w:tcPr>
            <w:tcW w:w="1500" w:type="dxa"/>
            <w:vAlign w:val="center"/>
          </w:tcPr>
          <w:p w:rsidR="000E6BAE" w:rsidRDefault="00CD6463">
            <w:pPr>
              <w:jc w:val="right"/>
            </w:pPr>
            <w:r>
              <w:rPr>
                <w:color w:val="000000"/>
                <w:sz w:val="18"/>
                <w:szCs w:val="18"/>
              </w:rPr>
              <w:t>209,300.00</w:t>
            </w:r>
          </w:p>
        </w:tc>
      </w:tr>
      <w:tr w:rsidR="000E6BAE">
        <w:trPr>
          <w:trHeight w:val="280"/>
        </w:trPr>
        <w:tc>
          <w:tcPr>
            <w:tcW w:w="3459" w:type="dxa"/>
            <w:vAlign w:val="center"/>
          </w:tcPr>
          <w:p w:rsidR="000E6BAE" w:rsidRDefault="00CD6463">
            <w:pPr>
              <w:spacing w:before="29" w:line="288" w:lineRule="auto"/>
              <w:rPr>
                <w:color w:val="000000"/>
                <w:sz w:val="18"/>
                <w:szCs w:val="18"/>
              </w:rPr>
            </w:pPr>
            <w:r>
              <w:rPr>
                <w:rFonts w:hint="eastAsia"/>
                <w:color w:val="000000"/>
                <w:sz w:val="18"/>
                <w:szCs w:val="18"/>
              </w:rPr>
              <w:t>负债总计</w:t>
            </w:r>
          </w:p>
        </w:tc>
        <w:tc>
          <w:tcPr>
            <w:tcW w:w="3459" w:type="dxa"/>
            <w:vAlign w:val="center"/>
          </w:tcPr>
          <w:p w:rsidR="000E6BAE" w:rsidRDefault="00CD6463">
            <w:pPr>
              <w:spacing w:before="29" w:line="288" w:lineRule="auto"/>
              <w:jc w:val="right"/>
              <w:rPr>
                <w:sz w:val="18"/>
                <w:szCs w:val="18"/>
              </w:rPr>
            </w:pPr>
            <w:r>
              <w:rPr>
                <w:sz w:val="18"/>
                <w:szCs w:val="18"/>
              </w:rPr>
              <w:t>175,084,617.37</w:t>
            </w:r>
          </w:p>
        </w:tc>
        <w:tc>
          <w:tcPr>
            <w:tcW w:w="3459" w:type="dxa"/>
            <w:vAlign w:val="center"/>
          </w:tcPr>
          <w:p w:rsidR="000E6BAE" w:rsidRDefault="00CD6463">
            <w:pPr>
              <w:spacing w:before="29" w:line="288" w:lineRule="auto"/>
              <w:jc w:val="right"/>
              <w:rPr>
                <w:sz w:val="18"/>
                <w:szCs w:val="18"/>
              </w:rPr>
            </w:pPr>
            <w:r>
              <w:rPr>
                <w:sz w:val="18"/>
                <w:szCs w:val="18"/>
              </w:rPr>
              <w:t>-</w:t>
            </w:r>
          </w:p>
        </w:tc>
        <w:tc>
          <w:tcPr>
            <w:tcW w:w="3459" w:type="dxa"/>
            <w:vAlign w:val="center"/>
          </w:tcPr>
          <w:p w:rsidR="000E6BAE" w:rsidRDefault="00CD6463">
            <w:pPr>
              <w:spacing w:before="29" w:line="288" w:lineRule="auto"/>
              <w:jc w:val="right"/>
              <w:rPr>
                <w:sz w:val="18"/>
                <w:szCs w:val="18"/>
              </w:rPr>
            </w:pPr>
            <w:r>
              <w:rPr>
                <w:sz w:val="18"/>
                <w:szCs w:val="18"/>
              </w:rPr>
              <w:t>-</w:t>
            </w:r>
          </w:p>
        </w:tc>
        <w:tc>
          <w:tcPr>
            <w:tcW w:w="3459" w:type="dxa"/>
            <w:vAlign w:val="center"/>
          </w:tcPr>
          <w:p w:rsidR="000E6BAE" w:rsidRDefault="00CD6463">
            <w:pPr>
              <w:spacing w:before="29" w:line="288" w:lineRule="auto"/>
              <w:jc w:val="right"/>
              <w:rPr>
                <w:sz w:val="18"/>
                <w:szCs w:val="18"/>
              </w:rPr>
            </w:pPr>
            <w:r>
              <w:rPr>
                <w:sz w:val="18"/>
                <w:szCs w:val="18"/>
              </w:rPr>
              <w:t>800,202.75</w:t>
            </w:r>
          </w:p>
        </w:tc>
        <w:tc>
          <w:tcPr>
            <w:tcW w:w="3459" w:type="dxa"/>
            <w:vAlign w:val="center"/>
          </w:tcPr>
          <w:p w:rsidR="000E6BAE" w:rsidRDefault="00CD6463">
            <w:pPr>
              <w:spacing w:before="29" w:line="288" w:lineRule="auto"/>
              <w:ind w:right="210"/>
              <w:jc w:val="right"/>
              <w:rPr>
                <w:sz w:val="18"/>
                <w:szCs w:val="18"/>
              </w:rPr>
            </w:pPr>
            <w:r>
              <w:rPr>
                <w:sz w:val="18"/>
                <w:szCs w:val="18"/>
              </w:rPr>
              <w:t>175,884,820.12</w:t>
            </w:r>
          </w:p>
        </w:tc>
      </w:tr>
      <w:tr w:rsidR="000E6BAE">
        <w:trPr>
          <w:trHeight w:val="280"/>
        </w:trPr>
        <w:tc>
          <w:tcPr>
            <w:tcW w:w="3459" w:type="dxa"/>
            <w:vAlign w:val="center"/>
          </w:tcPr>
          <w:p w:rsidR="000E6BAE" w:rsidRDefault="00CD6463">
            <w:pPr>
              <w:spacing w:before="29" w:line="288" w:lineRule="auto"/>
              <w:rPr>
                <w:color w:val="000000"/>
                <w:sz w:val="18"/>
                <w:szCs w:val="18"/>
              </w:rPr>
            </w:pPr>
            <w:r>
              <w:rPr>
                <w:rFonts w:hint="eastAsia"/>
                <w:color w:val="000000"/>
                <w:sz w:val="18"/>
                <w:szCs w:val="18"/>
              </w:rPr>
              <w:t>利率敏感度缺口</w:t>
            </w:r>
          </w:p>
        </w:tc>
        <w:tc>
          <w:tcPr>
            <w:tcW w:w="3459" w:type="dxa"/>
            <w:vAlign w:val="center"/>
          </w:tcPr>
          <w:p w:rsidR="000E6BAE" w:rsidRDefault="00CD6463">
            <w:pPr>
              <w:spacing w:before="29" w:line="288" w:lineRule="auto"/>
              <w:jc w:val="right"/>
              <w:rPr>
                <w:sz w:val="18"/>
                <w:szCs w:val="18"/>
              </w:rPr>
            </w:pPr>
            <w:r>
              <w:rPr>
                <w:sz w:val="18"/>
                <w:szCs w:val="18"/>
              </w:rPr>
              <w:t>26,175,162.08</w:t>
            </w:r>
          </w:p>
        </w:tc>
        <w:tc>
          <w:tcPr>
            <w:tcW w:w="3459" w:type="dxa"/>
            <w:vAlign w:val="center"/>
          </w:tcPr>
          <w:p w:rsidR="000E6BAE" w:rsidRDefault="00CD6463">
            <w:pPr>
              <w:spacing w:before="29" w:line="288" w:lineRule="auto"/>
              <w:jc w:val="right"/>
              <w:rPr>
                <w:sz w:val="18"/>
                <w:szCs w:val="18"/>
              </w:rPr>
            </w:pPr>
            <w:r>
              <w:rPr>
                <w:sz w:val="18"/>
                <w:szCs w:val="18"/>
              </w:rPr>
              <w:t>1,289,777,000.00</w:t>
            </w:r>
          </w:p>
        </w:tc>
        <w:tc>
          <w:tcPr>
            <w:tcW w:w="3459" w:type="dxa"/>
            <w:vAlign w:val="center"/>
          </w:tcPr>
          <w:p w:rsidR="000E6BAE" w:rsidRDefault="00CD6463">
            <w:pPr>
              <w:spacing w:before="29" w:line="288" w:lineRule="auto"/>
              <w:jc w:val="right"/>
              <w:rPr>
                <w:sz w:val="18"/>
                <w:szCs w:val="18"/>
              </w:rPr>
            </w:pPr>
            <w:r>
              <w:rPr>
                <w:sz w:val="18"/>
                <w:szCs w:val="18"/>
              </w:rPr>
              <w:t>-</w:t>
            </w:r>
          </w:p>
        </w:tc>
        <w:tc>
          <w:tcPr>
            <w:tcW w:w="3459" w:type="dxa"/>
            <w:vAlign w:val="center"/>
          </w:tcPr>
          <w:p w:rsidR="000E6BAE" w:rsidRDefault="00CD6463">
            <w:pPr>
              <w:spacing w:before="29" w:line="288" w:lineRule="auto"/>
              <w:jc w:val="right"/>
              <w:rPr>
                <w:sz w:val="18"/>
                <w:szCs w:val="18"/>
              </w:rPr>
            </w:pPr>
            <w:r>
              <w:rPr>
                <w:sz w:val="18"/>
                <w:szCs w:val="18"/>
              </w:rPr>
              <w:t>31,976,955.33</w:t>
            </w:r>
          </w:p>
        </w:tc>
        <w:tc>
          <w:tcPr>
            <w:tcW w:w="3459" w:type="dxa"/>
            <w:vAlign w:val="center"/>
          </w:tcPr>
          <w:p w:rsidR="000E6BAE" w:rsidRDefault="00CD6463">
            <w:pPr>
              <w:spacing w:before="29" w:line="288" w:lineRule="auto"/>
              <w:jc w:val="right"/>
              <w:rPr>
                <w:sz w:val="18"/>
                <w:szCs w:val="18"/>
              </w:rPr>
            </w:pPr>
            <w:r>
              <w:rPr>
                <w:sz w:val="18"/>
                <w:szCs w:val="18"/>
              </w:rPr>
              <w:t>1,347,929,117.41</w:t>
            </w:r>
          </w:p>
        </w:tc>
      </w:tr>
      <w:tr w:rsidR="000E6BAE">
        <w:trPr>
          <w:trHeight w:val="280"/>
        </w:trPr>
        <w:tc>
          <w:tcPr>
            <w:tcW w:w="3459" w:type="dxa"/>
            <w:vAlign w:val="center"/>
          </w:tcPr>
          <w:p w:rsidR="000E6BAE" w:rsidRDefault="00CD6463">
            <w:pPr>
              <w:spacing w:before="29" w:line="288" w:lineRule="auto"/>
              <w:jc w:val="center"/>
              <w:rPr>
                <w:b/>
                <w:sz w:val="18"/>
                <w:szCs w:val="18"/>
              </w:rPr>
            </w:pPr>
            <w:r>
              <w:rPr>
                <w:rFonts w:hint="eastAsia"/>
                <w:b/>
                <w:sz w:val="18"/>
                <w:szCs w:val="18"/>
              </w:rPr>
              <w:t>上年度末</w:t>
            </w:r>
          </w:p>
          <w:p w:rsidR="000E6BAE" w:rsidRDefault="00CD6463">
            <w:pPr>
              <w:spacing w:before="29" w:line="288" w:lineRule="auto"/>
              <w:jc w:val="center"/>
              <w:rPr>
                <w:b/>
                <w:sz w:val="18"/>
                <w:szCs w:val="18"/>
              </w:rPr>
            </w:pPr>
            <w:r>
              <w:rPr>
                <w:b/>
                <w:sz w:val="18"/>
                <w:szCs w:val="18"/>
              </w:rPr>
              <w:t>2019</w:t>
            </w:r>
            <w:r>
              <w:rPr>
                <w:b/>
                <w:sz w:val="18"/>
                <w:szCs w:val="18"/>
              </w:rPr>
              <w:t>年</w:t>
            </w:r>
            <w:r>
              <w:rPr>
                <w:b/>
                <w:sz w:val="18"/>
                <w:szCs w:val="18"/>
              </w:rPr>
              <w:t>12</w:t>
            </w:r>
            <w:r>
              <w:rPr>
                <w:b/>
                <w:sz w:val="18"/>
                <w:szCs w:val="18"/>
              </w:rPr>
              <w:t>月</w:t>
            </w:r>
            <w:r>
              <w:rPr>
                <w:b/>
                <w:sz w:val="18"/>
                <w:szCs w:val="18"/>
              </w:rPr>
              <w:t>31</w:t>
            </w:r>
            <w:r>
              <w:rPr>
                <w:b/>
                <w:sz w:val="18"/>
                <w:szCs w:val="18"/>
              </w:rPr>
              <w:t>日</w:t>
            </w:r>
          </w:p>
        </w:tc>
        <w:tc>
          <w:tcPr>
            <w:tcW w:w="3459" w:type="dxa"/>
            <w:vAlign w:val="center"/>
          </w:tcPr>
          <w:p w:rsidR="000E6BAE" w:rsidRDefault="00CD6463">
            <w:pPr>
              <w:spacing w:before="29" w:line="288" w:lineRule="auto"/>
              <w:jc w:val="center"/>
              <w:rPr>
                <w:b/>
                <w:sz w:val="18"/>
                <w:szCs w:val="18"/>
              </w:rPr>
            </w:pPr>
            <w:r>
              <w:rPr>
                <w:b/>
                <w:sz w:val="18"/>
                <w:szCs w:val="18"/>
              </w:rPr>
              <w:t>1</w:t>
            </w:r>
            <w:r>
              <w:rPr>
                <w:rFonts w:hint="eastAsia"/>
                <w:b/>
                <w:sz w:val="18"/>
                <w:szCs w:val="18"/>
              </w:rPr>
              <w:t>年以内</w:t>
            </w:r>
          </w:p>
        </w:tc>
        <w:tc>
          <w:tcPr>
            <w:tcW w:w="3459" w:type="dxa"/>
            <w:vAlign w:val="center"/>
          </w:tcPr>
          <w:p w:rsidR="000E6BAE" w:rsidRDefault="00CD6463">
            <w:pPr>
              <w:spacing w:before="29" w:line="288" w:lineRule="auto"/>
              <w:jc w:val="center"/>
              <w:rPr>
                <w:b/>
                <w:sz w:val="18"/>
                <w:szCs w:val="18"/>
              </w:rPr>
            </w:pPr>
            <w:r>
              <w:rPr>
                <w:b/>
                <w:sz w:val="18"/>
                <w:szCs w:val="18"/>
              </w:rPr>
              <w:t>1-5</w:t>
            </w:r>
            <w:r>
              <w:rPr>
                <w:rFonts w:hint="eastAsia"/>
                <w:b/>
                <w:sz w:val="18"/>
                <w:szCs w:val="18"/>
              </w:rPr>
              <w:t>年</w:t>
            </w:r>
          </w:p>
        </w:tc>
        <w:tc>
          <w:tcPr>
            <w:tcW w:w="3459" w:type="dxa"/>
            <w:vAlign w:val="center"/>
          </w:tcPr>
          <w:p w:rsidR="000E6BAE" w:rsidRDefault="00CD6463">
            <w:pPr>
              <w:spacing w:before="29" w:line="288" w:lineRule="auto"/>
              <w:jc w:val="center"/>
              <w:rPr>
                <w:b/>
                <w:sz w:val="18"/>
                <w:szCs w:val="18"/>
              </w:rPr>
            </w:pPr>
            <w:r>
              <w:rPr>
                <w:b/>
                <w:sz w:val="18"/>
                <w:szCs w:val="18"/>
              </w:rPr>
              <w:t>5</w:t>
            </w:r>
            <w:r>
              <w:rPr>
                <w:rFonts w:hint="eastAsia"/>
                <w:b/>
                <w:sz w:val="18"/>
                <w:szCs w:val="18"/>
              </w:rPr>
              <w:t>年以上</w:t>
            </w:r>
          </w:p>
        </w:tc>
        <w:tc>
          <w:tcPr>
            <w:tcW w:w="3459" w:type="dxa"/>
            <w:vAlign w:val="center"/>
          </w:tcPr>
          <w:p w:rsidR="000E6BAE" w:rsidRDefault="00CD6463">
            <w:pPr>
              <w:spacing w:before="29" w:line="288" w:lineRule="auto"/>
              <w:jc w:val="center"/>
              <w:rPr>
                <w:b/>
                <w:sz w:val="18"/>
                <w:szCs w:val="18"/>
              </w:rPr>
            </w:pPr>
            <w:r>
              <w:rPr>
                <w:rFonts w:hint="eastAsia"/>
                <w:b/>
                <w:sz w:val="18"/>
                <w:szCs w:val="18"/>
              </w:rPr>
              <w:t>不计息</w:t>
            </w:r>
          </w:p>
        </w:tc>
        <w:tc>
          <w:tcPr>
            <w:tcW w:w="3459" w:type="dxa"/>
            <w:vAlign w:val="center"/>
          </w:tcPr>
          <w:p w:rsidR="000E6BAE" w:rsidRDefault="00CD6463">
            <w:pPr>
              <w:spacing w:before="29" w:line="288" w:lineRule="auto"/>
              <w:jc w:val="center"/>
              <w:rPr>
                <w:b/>
                <w:sz w:val="18"/>
                <w:szCs w:val="18"/>
              </w:rPr>
            </w:pPr>
            <w:r>
              <w:rPr>
                <w:rFonts w:hint="eastAsia"/>
                <w:b/>
                <w:sz w:val="18"/>
                <w:szCs w:val="18"/>
              </w:rPr>
              <w:t>合计</w:t>
            </w:r>
          </w:p>
        </w:tc>
      </w:tr>
      <w:tr w:rsidR="000E6BAE">
        <w:trPr>
          <w:trHeight w:val="280"/>
        </w:trPr>
        <w:tc>
          <w:tcPr>
            <w:tcW w:w="3459" w:type="dxa"/>
            <w:vAlign w:val="center"/>
          </w:tcPr>
          <w:p w:rsidR="000E6BAE" w:rsidRDefault="00CD6463">
            <w:pPr>
              <w:spacing w:before="29" w:line="288" w:lineRule="auto"/>
              <w:rPr>
                <w:rFonts w:ascii="宋体" w:hAnsi="宋体"/>
                <w:color w:val="000000"/>
                <w:szCs w:val="21"/>
              </w:rPr>
            </w:pPr>
            <w:r>
              <w:rPr>
                <w:rFonts w:hint="eastAsia"/>
                <w:color w:val="000000"/>
                <w:sz w:val="18"/>
                <w:szCs w:val="18"/>
              </w:rPr>
              <w:t>资产</w:t>
            </w: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b/>
                <w:color w:val="000000"/>
                <w:szCs w:val="21"/>
              </w:rPr>
            </w:pPr>
          </w:p>
        </w:tc>
        <w:tc>
          <w:tcPr>
            <w:tcW w:w="3459" w:type="dxa"/>
            <w:vAlign w:val="center"/>
          </w:tcPr>
          <w:p w:rsidR="000E6BAE" w:rsidRDefault="000E6BAE">
            <w:pPr>
              <w:spacing w:line="360" w:lineRule="auto"/>
              <w:jc w:val="right"/>
              <w:rPr>
                <w:rFonts w:ascii="宋体" w:hAnsi="宋体"/>
                <w:b/>
                <w:color w:val="000000"/>
                <w:szCs w:val="21"/>
              </w:rPr>
            </w:pPr>
          </w:p>
        </w:tc>
        <w:tc>
          <w:tcPr>
            <w:tcW w:w="3459" w:type="dxa"/>
            <w:vAlign w:val="center"/>
          </w:tcPr>
          <w:p w:rsidR="000E6BAE" w:rsidRDefault="000E6BAE">
            <w:pPr>
              <w:spacing w:line="360" w:lineRule="auto"/>
              <w:jc w:val="right"/>
              <w:rPr>
                <w:rFonts w:ascii="宋体" w:hAnsi="宋体"/>
                <w:b/>
                <w:color w:val="000000"/>
                <w:szCs w:val="21"/>
              </w:rPr>
            </w:pPr>
          </w:p>
        </w:tc>
        <w:tc>
          <w:tcPr>
            <w:tcW w:w="3459" w:type="dxa"/>
            <w:vAlign w:val="center"/>
          </w:tcPr>
          <w:p w:rsidR="000E6BAE" w:rsidRDefault="000E6BAE">
            <w:pPr>
              <w:spacing w:line="360" w:lineRule="auto"/>
              <w:jc w:val="right"/>
              <w:rPr>
                <w:rFonts w:ascii="宋体" w:hAnsi="宋体"/>
                <w:b/>
                <w:color w:val="000000"/>
                <w:szCs w:val="21"/>
              </w:rPr>
            </w:pPr>
          </w:p>
        </w:tc>
      </w:tr>
      <w:tr w:rsidR="000E6BAE">
        <w:tc>
          <w:tcPr>
            <w:tcW w:w="1499" w:type="dxa"/>
            <w:vAlign w:val="center"/>
          </w:tcPr>
          <w:p w:rsidR="000E6BAE" w:rsidRDefault="00CD6463">
            <w:pPr>
              <w:jc w:val="center"/>
            </w:pPr>
            <w:r>
              <w:rPr>
                <w:color w:val="000000"/>
                <w:sz w:val="18"/>
                <w:szCs w:val="18"/>
              </w:rPr>
              <w:t>银行存款</w:t>
            </w:r>
          </w:p>
        </w:tc>
        <w:tc>
          <w:tcPr>
            <w:tcW w:w="1499" w:type="dxa"/>
            <w:vAlign w:val="center"/>
          </w:tcPr>
          <w:p w:rsidR="000E6BAE" w:rsidRDefault="00CD6463">
            <w:pPr>
              <w:jc w:val="right"/>
            </w:pPr>
            <w:r>
              <w:rPr>
                <w:color w:val="000000"/>
                <w:sz w:val="18"/>
                <w:szCs w:val="18"/>
              </w:rPr>
              <w:t>109,845,965.00</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109,845,965.00</w:t>
            </w:r>
          </w:p>
        </w:tc>
      </w:tr>
      <w:tr w:rsidR="000E6BAE">
        <w:tc>
          <w:tcPr>
            <w:tcW w:w="1499" w:type="dxa"/>
            <w:vAlign w:val="center"/>
          </w:tcPr>
          <w:p w:rsidR="000E6BAE" w:rsidRDefault="00CD6463">
            <w:pPr>
              <w:jc w:val="center"/>
            </w:pPr>
            <w:r>
              <w:rPr>
                <w:color w:val="000000"/>
                <w:sz w:val="18"/>
                <w:szCs w:val="18"/>
              </w:rPr>
              <w:t>存出保证金</w:t>
            </w:r>
          </w:p>
        </w:tc>
        <w:tc>
          <w:tcPr>
            <w:tcW w:w="1499" w:type="dxa"/>
            <w:vAlign w:val="center"/>
          </w:tcPr>
          <w:p w:rsidR="000E6BAE" w:rsidRDefault="00CD6463">
            <w:pPr>
              <w:jc w:val="right"/>
            </w:pPr>
            <w:r>
              <w:rPr>
                <w:color w:val="000000"/>
                <w:sz w:val="18"/>
                <w:szCs w:val="18"/>
              </w:rPr>
              <w:t>10,264.66</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10,264.66</w:t>
            </w:r>
          </w:p>
        </w:tc>
      </w:tr>
      <w:tr w:rsidR="000E6BAE">
        <w:tc>
          <w:tcPr>
            <w:tcW w:w="1499" w:type="dxa"/>
            <w:vAlign w:val="center"/>
          </w:tcPr>
          <w:p w:rsidR="000E6BAE" w:rsidRDefault="00CD6463">
            <w:pPr>
              <w:jc w:val="center"/>
            </w:pPr>
            <w:r>
              <w:rPr>
                <w:color w:val="000000"/>
                <w:sz w:val="18"/>
                <w:szCs w:val="18"/>
              </w:rPr>
              <w:t>交易性金融资产</w:t>
            </w:r>
          </w:p>
        </w:tc>
        <w:tc>
          <w:tcPr>
            <w:tcW w:w="1499" w:type="dxa"/>
            <w:vAlign w:val="center"/>
          </w:tcPr>
          <w:p w:rsidR="000E6BAE" w:rsidRDefault="00CD6463">
            <w:pPr>
              <w:jc w:val="right"/>
            </w:pPr>
            <w:r>
              <w:rPr>
                <w:color w:val="000000"/>
                <w:sz w:val="18"/>
                <w:szCs w:val="18"/>
              </w:rPr>
              <w:t>180,552,000.00</w:t>
            </w:r>
          </w:p>
        </w:tc>
        <w:tc>
          <w:tcPr>
            <w:tcW w:w="1500" w:type="dxa"/>
            <w:vAlign w:val="center"/>
          </w:tcPr>
          <w:p w:rsidR="000E6BAE" w:rsidRDefault="00CD6463">
            <w:pPr>
              <w:jc w:val="right"/>
            </w:pPr>
            <w:r>
              <w:rPr>
                <w:color w:val="000000"/>
                <w:sz w:val="18"/>
                <w:szCs w:val="18"/>
              </w:rPr>
              <w:t>3,057,685,000.00</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3,238,237,000.00</w:t>
            </w:r>
          </w:p>
        </w:tc>
      </w:tr>
      <w:tr w:rsidR="000E6BAE">
        <w:tc>
          <w:tcPr>
            <w:tcW w:w="1499" w:type="dxa"/>
            <w:vAlign w:val="center"/>
          </w:tcPr>
          <w:p w:rsidR="000E6BAE" w:rsidRDefault="00CD6463">
            <w:pPr>
              <w:jc w:val="center"/>
            </w:pPr>
            <w:r>
              <w:rPr>
                <w:color w:val="000000"/>
                <w:sz w:val="18"/>
                <w:szCs w:val="18"/>
              </w:rPr>
              <w:t>应收利息</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75,381,375.23</w:t>
            </w:r>
          </w:p>
        </w:tc>
        <w:tc>
          <w:tcPr>
            <w:tcW w:w="1500" w:type="dxa"/>
            <w:vAlign w:val="center"/>
          </w:tcPr>
          <w:p w:rsidR="000E6BAE" w:rsidRDefault="00CD6463">
            <w:pPr>
              <w:jc w:val="right"/>
            </w:pPr>
            <w:r>
              <w:rPr>
                <w:color w:val="000000"/>
                <w:sz w:val="18"/>
                <w:szCs w:val="18"/>
              </w:rPr>
              <w:t>75,381,375.23</w:t>
            </w:r>
          </w:p>
        </w:tc>
      </w:tr>
      <w:tr w:rsidR="000E6BAE">
        <w:tc>
          <w:tcPr>
            <w:tcW w:w="1499" w:type="dxa"/>
            <w:vAlign w:val="center"/>
          </w:tcPr>
          <w:p w:rsidR="000E6BAE" w:rsidRDefault="00CD6463">
            <w:pPr>
              <w:jc w:val="center"/>
            </w:pPr>
            <w:r>
              <w:rPr>
                <w:color w:val="000000"/>
                <w:sz w:val="18"/>
                <w:szCs w:val="18"/>
              </w:rPr>
              <w:t>应收申购款</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127,739.48</w:t>
            </w:r>
          </w:p>
        </w:tc>
        <w:tc>
          <w:tcPr>
            <w:tcW w:w="1500" w:type="dxa"/>
            <w:vAlign w:val="center"/>
          </w:tcPr>
          <w:p w:rsidR="000E6BAE" w:rsidRDefault="00CD6463">
            <w:pPr>
              <w:jc w:val="right"/>
            </w:pPr>
            <w:r>
              <w:rPr>
                <w:color w:val="000000"/>
                <w:sz w:val="18"/>
                <w:szCs w:val="18"/>
              </w:rPr>
              <w:t>127,739.48</w:t>
            </w:r>
          </w:p>
        </w:tc>
      </w:tr>
      <w:tr w:rsidR="000E6BAE">
        <w:trPr>
          <w:trHeight w:val="280"/>
        </w:trPr>
        <w:tc>
          <w:tcPr>
            <w:tcW w:w="3459" w:type="dxa"/>
            <w:vAlign w:val="center"/>
          </w:tcPr>
          <w:p w:rsidR="000E6BAE" w:rsidRDefault="00CD6463">
            <w:pPr>
              <w:spacing w:before="29" w:line="288" w:lineRule="auto"/>
              <w:rPr>
                <w:rFonts w:ascii="宋体" w:hAnsi="宋体"/>
                <w:color w:val="000000"/>
                <w:szCs w:val="21"/>
              </w:rPr>
            </w:pPr>
            <w:r>
              <w:rPr>
                <w:rFonts w:hint="eastAsia"/>
                <w:color w:val="000000"/>
                <w:sz w:val="18"/>
                <w:szCs w:val="18"/>
              </w:rPr>
              <w:t>资产总计</w:t>
            </w:r>
          </w:p>
        </w:tc>
        <w:tc>
          <w:tcPr>
            <w:tcW w:w="3459" w:type="dxa"/>
            <w:vAlign w:val="center"/>
          </w:tcPr>
          <w:p w:rsidR="000E6BAE" w:rsidRDefault="00CD6463">
            <w:pPr>
              <w:spacing w:before="29" w:line="288" w:lineRule="auto"/>
              <w:jc w:val="right"/>
              <w:rPr>
                <w:sz w:val="18"/>
                <w:szCs w:val="18"/>
              </w:rPr>
            </w:pPr>
            <w:r>
              <w:rPr>
                <w:sz w:val="18"/>
                <w:szCs w:val="18"/>
              </w:rPr>
              <w:t>290,408,229.66</w:t>
            </w:r>
          </w:p>
        </w:tc>
        <w:tc>
          <w:tcPr>
            <w:tcW w:w="3459" w:type="dxa"/>
            <w:vAlign w:val="center"/>
          </w:tcPr>
          <w:p w:rsidR="000E6BAE" w:rsidRDefault="00CD6463">
            <w:pPr>
              <w:spacing w:before="29" w:line="288" w:lineRule="auto"/>
              <w:jc w:val="right"/>
              <w:rPr>
                <w:sz w:val="18"/>
                <w:szCs w:val="18"/>
              </w:rPr>
            </w:pPr>
            <w:r>
              <w:rPr>
                <w:sz w:val="18"/>
                <w:szCs w:val="18"/>
              </w:rPr>
              <w:t>3,057,685,000.00</w:t>
            </w:r>
          </w:p>
        </w:tc>
        <w:tc>
          <w:tcPr>
            <w:tcW w:w="3459" w:type="dxa"/>
            <w:vAlign w:val="center"/>
          </w:tcPr>
          <w:p w:rsidR="000E6BAE" w:rsidRDefault="00CD6463">
            <w:pPr>
              <w:spacing w:before="29" w:line="288" w:lineRule="auto"/>
              <w:jc w:val="right"/>
              <w:rPr>
                <w:sz w:val="18"/>
                <w:szCs w:val="18"/>
              </w:rPr>
            </w:pPr>
            <w:r>
              <w:rPr>
                <w:sz w:val="18"/>
                <w:szCs w:val="18"/>
              </w:rPr>
              <w:t>-</w:t>
            </w:r>
          </w:p>
        </w:tc>
        <w:tc>
          <w:tcPr>
            <w:tcW w:w="3459" w:type="dxa"/>
            <w:vAlign w:val="center"/>
          </w:tcPr>
          <w:p w:rsidR="000E6BAE" w:rsidRDefault="00CD6463">
            <w:pPr>
              <w:spacing w:before="29" w:line="288" w:lineRule="auto"/>
              <w:jc w:val="right"/>
              <w:rPr>
                <w:sz w:val="18"/>
                <w:szCs w:val="18"/>
              </w:rPr>
            </w:pPr>
            <w:r>
              <w:rPr>
                <w:sz w:val="18"/>
                <w:szCs w:val="18"/>
              </w:rPr>
              <w:t>75,509,114.71</w:t>
            </w:r>
          </w:p>
        </w:tc>
        <w:tc>
          <w:tcPr>
            <w:tcW w:w="3459" w:type="dxa"/>
            <w:vAlign w:val="center"/>
          </w:tcPr>
          <w:p w:rsidR="000E6BAE" w:rsidRDefault="00CD6463">
            <w:pPr>
              <w:spacing w:before="29" w:line="288" w:lineRule="auto"/>
              <w:jc w:val="right"/>
              <w:rPr>
                <w:sz w:val="18"/>
                <w:szCs w:val="18"/>
              </w:rPr>
            </w:pPr>
            <w:r>
              <w:rPr>
                <w:sz w:val="18"/>
                <w:szCs w:val="18"/>
              </w:rPr>
              <w:t>3,423,602,344.37</w:t>
            </w:r>
          </w:p>
        </w:tc>
      </w:tr>
      <w:tr w:rsidR="000E6BAE">
        <w:trPr>
          <w:trHeight w:val="278"/>
        </w:trPr>
        <w:tc>
          <w:tcPr>
            <w:tcW w:w="3459" w:type="dxa"/>
            <w:vAlign w:val="center"/>
          </w:tcPr>
          <w:p w:rsidR="000E6BAE" w:rsidRDefault="00CD6463">
            <w:pPr>
              <w:spacing w:before="29" w:line="288" w:lineRule="auto"/>
              <w:rPr>
                <w:rFonts w:ascii="宋体" w:hAnsi="宋体"/>
                <w:color w:val="000000"/>
                <w:szCs w:val="21"/>
              </w:rPr>
            </w:pPr>
            <w:r>
              <w:rPr>
                <w:rFonts w:hint="eastAsia"/>
                <w:color w:val="000000"/>
                <w:sz w:val="18"/>
                <w:szCs w:val="18"/>
              </w:rPr>
              <w:t>负债</w:t>
            </w:r>
          </w:p>
        </w:tc>
        <w:tc>
          <w:tcPr>
            <w:tcW w:w="3459" w:type="dxa"/>
            <w:vAlign w:val="center"/>
          </w:tcPr>
          <w:p w:rsidR="000E6BAE" w:rsidRDefault="000E6BAE">
            <w:pPr>
              <w:spacing w:line="360" w:lineRule="auto"/>
              <w:jc w:val="right"/>
              <w:rPr>
                <w:rFonts w:ascii="宋体" w:hAnsi="宋体"/>
                <w:color w:val="0000FF"/>
                <w:kern w:val="0"/>
                <w:szCs w:val="21"/>
              </w:rPr>
            </w:pP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color w:val="000000"/>
                <w:szCs w:val="21"/>
              </w:rPr>
            </w:pPr>
          </w:p>
        </w:tc>
        <w:tc>
          <w:tcPr>
            <w:tcW w:w="3459" w:type="dxa"/>
            <w:vAlign w:val="center"/>
          </w:tcPr>
          <w:p w:rsidR="000E6BAE" w:rsidRDefault="000E6BAE">
            <w:pPr>
              <w:spacing w:line="360" w:lineRule="auto"/>
              <w:jc w:val="right"/>
              <w:rPr>
                <w:rFonts w:ascii="宋体" w:hAnsi="宋体"/>
                <w:color w:val="000000"/>
                <w:szCs w:val="21"/>
              </w:rPr>
            </w:pPr>
          </w:p>
        </w:tc>
      </w:tr>
      <w:tr w:rsidR="000E6BAE">
        <w:tc>
          <w:tcPr>
            <w:tcW w:w="1499" w:type="dxa"/>
            <w:vAlign w:val="center"/>
          </w:tcPr>
          <w:p w:rsidR="000E6BAE" w:rsidRDefault="00CD6463">
            <w:pPr>
              <w:jc w:val="center"/>
            </w:pPr>
            <w:r>
              <w:rPr>
                <w:color w:val="000000"/>
                <w:sz w:val="18"/>
                <w:szCs w:val="18"/>
              </w:rPr>
              <w:t>应付赎回款</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40,818.42</w:t>
            </w:r>
          </w:p>
        </w:tc>
        <w:tc>
          <w:tcPr>
            <w:tcW w:w="1500" w:type="dxa"/>
            <w:vAlign w:val="center"/>
          </w:tcPr>
          <w:p w:rsidR="000E6BAE" w:rsidRDefault="00CD6463">
            <w:pPr>
              <w:jc w:val="right"/>
            </w:pPr>
            <w:r>
              <w:rPr>
                <w:color w:val="000000"/>
                <w:sz w:val="18"/>
                <w:szCs w:val="18"/>
              </w:rPr>
              <w:t>40,818.42</w:t>
            </w:r>
          </w:p>
        </w:tc>
      </w:tr>
      <w:tr w:rsidR="000E6BAE">
        <w:tc>
          <w:tcPr>
            <w:tcW w:w="1499" w:type="dxa"/>
            <w:vAlign w:val="center"/>
          </w:tcPr>
          <w:p w:rsidR="000E6BAE" w:rsidRDefault="00CD6463">
            <w:pPr>
              <w:jc w:val="center"/>
            </w:pPr>
            <w:r>
              <w:rPr>
                <w:color w:val="000000"/>
                <w:sz w:val="18"/>
                <w:szCs w:val="18"/>
              </w:rPr>
              <w:t>应付管理人报酬</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603,501.44</w:t>
            </w:r>
          </w:p>
        </w:tc>
        <w:tc>
          <w:tcPr>
            <w:tcW w:w="1500" w:type="dxa"/>
            <w:vAlign w:val="center"/>
          </w:tcPr>
          <w:p w:rsidR="000E6BAE" w:rsidRDefault="00CD6463">
            <w:pPr>
              <w:jc w:val="right"/>
            </w:pPr>
            <w:r>
              <w:rPr>
                <w:color w:val="000000"/>
                <w:sz w:val="18"/>
                <w:szCs w:val="18"/>
              </w:rPr>
              <w:t>603,501.44</w:t>
            </w:r>
          </w:p>
        </w:tc>
      </w:tr>
      <w:tr w:rsidR="000E6BAE">
        <w:tc>
          <w:tcPr>
            <w:tcW w:w="1499" w:type="dxa"/>
            <w:vAlign w:val="center"/>
          </w:tcPr>
          <w:p w:rsidR="000E6BAE" w:rsidRDefault="00CD6463">
            <w:pPr>
              <w:jc w:val="center"/>
            </w:pPr>
            <w:r>
              <w:rPr>
                <w:color w:val="000000"/>
                <w:sz w:val="18"/>
                <w:szCs w:val="18"/>
              </w:rPr>
              <w:t>应付托管费</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201,167.15</w:t>
            </w:r>
          </w:p>
        </w:tc>
        <w:tc>
          <w:tcPr>
            <w:tcW w:w="1500" w:type="dxa"/>
            <w:vAlign w:val="center"/>
          </w:tcPr>
          <w:p w:rsidR="000E6BAE" w:rsidRDefault="00CD6463">
            <w:pPr>
              <w:jc w:val="right"/>
            </w:pPr>
            <w:r>
              <w:rPr>
                <w:color w:val="000000"/>
                <w:sz w:val="18"/>
                <w:szCs w:val="18"/>
              </w:rPr>
              <w:t>201,167.15</w:t>
            </w:r>
          </w:p>
        </w:tc>
      </w:tr>
      <w:tr w:rsidR="000E6BAE">
        <w:tc>
          <w:tcPr>
            <w:tcW w:w="1499" w:type="dxa"/>
            <w:vAlign w:val="center"/>
          </w:tcPr>
          <w:p w:rsidR="000E6BAE" w:rsidRDefault="00CD6463">
            <w:pPr>
              <w:jc w:val="center"/>
            </w:pPr>
            <w:r>
              <w:rPr>
                <w:color w:val="000000"/>
                <w:sz w:val="18"/>
                <w:szCs w:val="18"/>
              </w:rPr>
              <w:t>应付销售服务费</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336.51</w:t>
            </w:r>
          </w:p>
        </w:tc>
        <w:tc>
          <w:tcPr>
            <w:tcW w:w="1500" w:type="dxa"/>
            <w:vAlign w:val="center"/>
          </w:tcPr>
          <w:p w:rsidR="000E6BAE" w:rsidRDefault="00CD6463">
            <w:pPr>
              <w:jc w:val="right"/>
            </w:pPr>
            <w:r>
              <w:rPr>
                <w:color w:val="000000"/>
                <w:sz w:val="18"/>
                <w:szCs w:val="18"/>
              </w:rPr>
              <w:t>336.51</w:t>
            </w:r>
          </w:p>
        </w:tc>
      </w:tr>
      <w:tr w:rsidR="000E6BAE">
        <w:tc>
          <w:tcPr>
            <w:tcW w:w="1499" w:type="dxa"/>
            <w:vAlign w:val="center"/>
          </w:tcPr>
          <w:p w:rsidR="000E6BAE" w:rsidRDefault="00CD6463">
            <w:pPr>
              <w:jc w:val="center"/>
            </w:pPr>
            <w:r>
              <w:rPr>
                <w:color w:val="000000"/>
                <w:sz w:val="18"/>
                <w:szCs w:val="18"/>
              </w:rPr>
              <w:t>应付交易费用</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35,704.61</w:t>
            </w:r>
          </w:p>
        </w:tc>
        <w:tc>
          <w:tcPr>
            <w:tcW w:w="1500" w:type="dxa"/>
            <w:vAlign w:val="center"/>
          </w:tcPr>
          <w:p w:rsidR="000E6BAE" w:rsidRDefault="00CD6463">
            <w:pPr>
              <w:jc w:val="right"/>
            </w:pPr>
            <w:r>
              <w:rPr>
                <w:color w:val="000000"/>
                <w:sz w:val="18"/>
                <w:szCs w:val="18"/>
              </w:rPr>
              <w:t>35,704.61</w:t>
            </w:r>
          </w:p>
        </w:tc>
      </w:tr>
      <w:tr w:rsidR="000E6BAE">
        <w:tc>
          <w:tcPr>
            <w:tcW w:w="1499" w:type="dxa"/>
            <w:vAlign w:val="center"/>
          </w:tcPr>
          <w:p w:rsidR="000E6BAE" w:rsidRDefault="00CD6463">
            <w:pPr>
              <w:jc w:val="center"/>
            </w:pPr>
            <w:r>
              <w:rPr>
                <w:color w:val="000000"/>
                <w:sz w:val="18"/>
                <w:szCs w:val="18"/>
              </w:rPr>
              <w:t>其他负债</w:t>
            </w:r>
          </w:p>
        </w:tc>
        <w:tc>
          <w:tcPr>
            <w:tcW w:w="1499"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w:t>
            </w:r>
          </w:p>
        </w:tc>
        <w:tc>
          <w:tcPr>
            <w:tcW w:w="1500" w:type="dxa"/>
            <w:vAlign w:val="center"/>
          </w:tcPr>
          <w:p w:rsidR="000E6BAE" w:rsidRDefault="00CD6463">
            <w:pPr>
              <w:jc w:val="right"/>
            </w:pPr>
            <w:r>
              <w:rPr>
                <w:color w:val="000000"/>
                <w:sz w:val="18"/>
                <w:szCs w:val="18"/>
              </w:rPr>
              <w:t>199,300.04</w:t>
            </w:r>
          </w:p>
        </w:tc>
        <w:tc>
          <w:tcPr>
            <w:tcW w:w="1500" w:type="dxa"/>
            <w:vAlign w:val="center"/>
          </w:tcPr>
          <w:p w:rsidR="000E6BAE" w:rsidRDefault="00CD6463">
            <w:pPr>
              <w:jc w:val="right"/>
            </w:pPr>
            <w:r>
              <w:rPr>
                <w:color w:val="000000"/>
                <w:sz w:val="18"/>
                <w:szCs w:val="18"/>
              </w:rPr>
              <w:t>199,300.04</w:t>
            </w:r>
          </w:p>
        </w:tc>
      </w:tr>
      <w:tr w:rsidR="000E6BAE">
        <w:trPr>
          <w:trHeight w:val="278"/>
        </w:trPr>
        <w:tc>
          <w:tcPr>
            <w:tcW w:w="3459" w:type="dxa"/>
            <w:vAlign w:val="center"/>
          </w:tcPr>
          <w:p w:rsidR="000E6BAE" w:rsidRDefault="00CD6463">
            <w:pPr>
              <w:spacing w:before="29" w:line="288" w:lineRule="auto"/>
              <w:rPr>
                <w:color w:val="000000"/>
                <w:sz w:val="18"/>
                <w:szCs w:val="18"/>
              </w:rPr>
            </w:pPr>
            <w:r>
              <w:rPr>
                <w:rFonts w:hint="eastAsia"/>
                <w:color w:val="000000"/>
                <w:sz w:val="18"/>
                <w:szCs w:val="18"/>
              </w:rPr>
              <w:t>负债总计</w:t>
            </w:r>
          </w:p>
        </w:tc>
        <w:tc>
          <w:tcPr>
            <w:tcW w:w="3459" w:type="dxa"/>
            <w:vAlign w:val="center"/>
          </w:tcPr>
          <w:p w:rsidR="000E6BAE" w:rsidRDefault="00CD6463">
            <w:pPr>
              <w:spacing w:before="29" w:line="288" w:lineRule="auto"/>
              <w:jc w:val="right"/>
              <w:rPr>
                <w:sz w:val="18"/>
                <w:szCs w:val="18"/>
              </w:rPr>
            </w:pPr>
            <w:r>
              <w:rPr>
                <w:rFonts w:hint="eastAsia"/>
                <w:sz w:val="18"/>
                <w:szCs w:val="18"/>
              </w:rPr>
              <w:t>-</w:t>
            </w:r>
          </w:p>
        </w:tc>
        <w:tc>
          <w:tcPr>
            <w:tcW w:w="3459" w:type="dxa"/>
            <w:vAlign w:val="center"/>
          </w:tcPr>
          <w:p w:rsidR="000E6BAE" w:rsidRDefault="00CD6463">
            <w:pPr>
              <w:spacing w:before="29" w:line="288" w:lineRule="auto"/>
              <w:jc w:val="right"/>
              <w:rPr>
                <w:sz w:val="18"/>
                <w:szCs w:val="18"/>
              </w:rPr>
            </w:pPr>
            <w:r>
              <w:rPr>
                <w:sz w:val="18"/>
                <w:szCs w:val="18"/>
              </w:rPr>
              <w:t>-</w:t>
            </w:r>
          </w:p>
        </w:tc>
        <w:tc>
          <w:tcPr>
            <w:tcW w:w="3459" w:type="dxa"/>
            <w:vAlign w:val="center"/>
          </w:tcPr>
          <w:p w:rsidR="000E6BAE" w:rsidRDefault="00CD6463">
            <w:pPr>
              <w:spacing w:before="29" w:line="288" w:lineRule="auto"/>
              <w:jc w:val="right"/>
              <w:rPr>
                <w:sz w:val="18"/>
                <w:szCs w:val="18"/>
              </w:rPr>
            </w:pPr>
            <w:r>
              <w:rPr>
                <w:sz w:val="18"/>
                <w:szCs w:val="18"/>
              </w:rPr>
              <w:t>-</w:t>
            </w:r>
          </w:p>
        </w:tc>
        <w:tc>
          <w:tcPr>
            <w:tcW w:w="3459" w:type="dxa"/>
            <w:vAlign w:val="center"/>
          </w:tcPr>
          <w:p w:rsidR="000E6BAE" w:rsidRDefault="00CD6463">
            <w:pPr>
              <w:spacing w:before="29" w:line="288" w:lineRule="auto"/>
              <w:jc w:val="right"/>
              <w:rPr>
                <w:sz w:val="18"/>
                <w:szCs w:val="18"/>
              </w:rPr>
            </w:pPr>
            <w:r>
              <w:rPr>
                <w:sz w:val="18"/>
                <w:szCs w:val="18"/>
              </w:rPr>
              <w:t>1,080,828.17</w:t>
            </w:r>
          </w:p>
        </w:tc>
        <w:tc>
          <w:tcPr>
            <w:tcW w:w="3459" w:type="dxa"/>
            <w:vAlign w:val="center"/>
          </w:tcPr>
          <w:p w:rsidR="000E6BAE" w:rsidRDefault="00CD6463">
            <w:pPr>
              <w:spacing w:before="29" w:line="288" w:lineRule="auto"/>
              <w:jc w:val="right"/>
              <w:rPr>
                <w:sz w:val="18"/>
                <w:szCs w:val="18"/>
              </w:rPr>
            </w:pPr>
            <w:r>
              <w:rPr>
                <w:rFonts w:hint="eastAsia"/>
                <w:sz w:val="18"/>
                <w:szCs w:val="18"/>
              </w:rPr>
              <w:t>1,080,828.17</w:t>
            </w:r>
          </w:p>
        </w:tc>
      </w:tr>
      <w:tr w:rsidR="000E6BAE">
        <w:trPr>
          <w:trHeight w:val="278"/>
        </w:trPr>
        <w:tc>
          <w:tcPr>
            <w:tcW w:w="3459" w:type="dxa"/>
            <w:vAlign w:val="center"/>
          </w:tcPr>
          <w:p w:rsidR="000E6BAE" w:rsidRDefault="00CD6463">
            <w:pPr>
              <w:spacing w:before="29" w:line="288" w:lineRule="auto"/>
              <w:rPr>
                <w:color w:val="000000"/>
                <w:sz w:val="18"/>
                <w:szCs w:val="18"/>
              </w:rPr>
            </w:pPr>
            <w:r>
              <w:rPr>
                <w:rFonts w:hint="eastAsia"/>
                <w:color w:val="000000"/>
                <w:sz w:val="18"/>
                <w:szCs w:val="18"/>
              </w:rPr>
              <w:t>利率敏感度缺口</w:t>
            </w:r>
          </w:p>
        </w:tc>
        <w:tc>
          <w:tcPr>
            <w:tcW w:w="3459" w:type="dxa"/>
            <w:vAlign w:val="center"/>
          </w:tcPr>
          <w:p w:rsidR="000E6BAE" w:rsidRDefault="00CD6463">
            <w:pPr>
              <w:spacing w:before="29" w:line="288" w:lineRule="auto"/>
              <w:jc w:val="right"/>
              <w:rPr>
                <w:sz w:val="18"/>
                <w:szCs w:val="18"/>
              </w:rPr>
            </w:pPr>
            <w:r>
              <w:rPr>
                <w:sz w:val="18"/>
                <w:szCs w:val="18"/>
              </w:rPr>
              <w:t>290,408,229.66</w:t>
            </w:r>
          </w:p>
        </w:tc>
        <w:tc>
          <w:tcPr>
            <w:tcW w:w="3459" w:type="dxa"/>
            <w:vAlign w:val="center"/>
          </w:tcPr>
          <w:p w:rsidR="000E6BAE" w:rsidRDefault="00CD6463">
            <w:pPr>
              <w:spacing w:before="29" w:line="288" w:lineRule="auto"/>
              <w:jc w:val="right"/>
              <w:rPr>
                <w:sz w:val="18"/>
                <w:szCs w:val="18"/>
              </w:rPr>
            </w:pPr>
            <w:r>
              <w:rPr>
                <w:sz w:val="18"/>
                <w:szCs w:val="18"/>
              </w:rPr>
              <w:t>3,057,685,000.00</w:t>
            </w:r>
          </w:p>
        </w:tc>
        <w:tc>
          <w:tcPr>
            <w:tcW w:w="3459" w:type="dxa"/>
            <w:vAlign w:val="center"/>
          </w:tcPr>
          <w:p w:rsidR="000E6BAE" w:rsidRDefault="00CD6463">
            <w:pPr>
              <w:spacing w:before="29" w:line="288" w:lineRule="auto"/>
              <w:jc w:val="right"/>
              <w:rPr>
                <w:sz w:val="18"/>
                <w:szCs w:val="18"/>
              </w:rPr>
            </w:pPr>
            <w:r>
              <w:rPr>
                <w:sz w:val="18"/>
                <w:szCs w:val="18"/>
              </w:rPr>
              <w:t>-</w:t>
            </w:r>
          </w:p>
        </w:tc>
        <w:tc>
          <w:tcPr>
            <w:tcW w:w="3459" w:type="dxa"/>
            <w:vAlign w:val="center"/>
          </w:tcPr>
          <w:p w:rsidR="000E6BAE" w:rsidRDefault="00CD6463">
            <w:pPr>
              <w:spacing w:before="29" w:line="288" w:lineRule="auto"/>
              <w:jc w:val="right"/>
              <w:rPr>
                <w:sz w:val="18"/>
                <w:szCs w:val="18"/>
              </w:rPr>
            </w:pPr>
            <w:r>
              <w:rPr>
                <w:sz w:val="18"/>
                <w:szCs w:val="18"/>
              </w:rPr>
              <w:t>74,428,286.54</w:t>
            </w:r>
          </w:p>
        </w:tc>
        <w:tc>
          <w:tcPr>
            <w:tcW w:w="3459" w:type="dxa"/>
            <w:vAlign w:val="center"/>
          </w:tcPr>
          <w:p w:rsidR="000E6BAE" w:rsidRDefault="00CD6463">
            <w:pPr>
              <w:spacing w:before="29" w:line="288" w:lineRule="auto"/>
              <w:jc w:val="right"/>
              <w:rPr>
                <w:sz w:val="18"/>
                <w:szCs w:val="18"/>
              </w:rPr>
            </w:pPr>
            <w:r>
              <w:rPr>
                <w:sz w:val="18"/>
                <w:szCs w:val="18"/>
              </w:rPr>
              <w:t>3,422,521,516.20</w:t>
            </w:r>
          </w:p>
        </w:tc>
      </w:tr>
    </w:tbl>
    <w:p w:rsidR="000E6BAE" w:rsidRDefault="00CD6463">
      <w:pPr>
        <w:tabs>
          <w:tab w:val="left" w:pos="426"/>
        </w:tabs>
        <w:spacing w:before="29" w:line="288" w:lineRule="auto"/>
        <w:jc w:val="left"/>
        <w:rPr>
          <w:kern w:val="0"/>
          <w:sz w:val="24"/>
        </w:rPr>
      </w:pPr>
      <w:r>
        <w:rPr>
          <w:kern w:val="0"/>
          <w:sz w:val="24"/>
        </w:rPr>
        <w:t>注：表中所示为本基金资产及负债的账面价值，并按照合约规定的利率重新定价日或到期日孰早予以分类。</w:t>
      </w:r>
    </w:p>
    <w:p w:rsidR="000E6BAE" w:rsidRDefault="00CD6463">
      <w:pPr>
        <w:spacing w:line="360" w:lineRule="auto"/>
        <w:ind w:firstLine="420"/>
        <w:rPr>
          <w:rFonts w:asciiTheme="minorEastAsia" w:eastAsiaTheme="minorEastAsia" w:hAnsiTheme="minorEastAsia"/>
          <w:color w:val="000000"/>
          <w:szCs w:val="21"/>
        </w:rPr>
      </w:pPr>
      <w:r>
        <w:rPr>
          <w:rFonts w:asciiTheme="minorEastAsia" w:eastAsiaTheme="minorEastAsia" w:hAnsiTheme="minorEastAsia"/>
          <w:color w:val="000000"/>
          <w:szCs w:val="21"/>
        </w:rPr>
        <w:tab/>
      </w:r>
    </w:p>
    <w:p w:rsidR="000E6BAE" w:rsidRDefault="00CD6463">
      <w:pPr>
        <w:spacing w:before="29" w:line="288" w:lineRule="auto"/>
        <w:rPr>
          <w:rFonts w:eastAsiaTheme="minorEastAsia"/>
          <w:b/>
          <w:sz w:val="24"/>
        </w:rPr>
      </w:pPr>
      <w:r>
        <w:rPr>
          <w:rFonts w:eastAsiaTheme="minorEastAsia"/>
          <w:b/>
          <w:sz w:val="24"/>
        </w:rPr>
        <w:t>7.4.13.4.1.2</w:t>
      </w:r>
      <w:r>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693"/>
        <w:gridCol w:w="2780"/>
        <w:gridCol w:w="2249"/>
      </w:tblGrid>
      <w:tr w:rsidR="000E6BAE">
        <w:tc>
          <w:tcPr>
            <w:tcW w:w="1276" w:type="dxa"/>
            <w:vAlign w:val="center"/>
          </w:tcPr>
          <w:p w:rsidR="000E6BAE" w:rsidRDefault="00CD6463">
            <w:pPr>
              <w:jc w:val="left"/>
            </w:pPr>
            <w:r>
              <w:rPr>
                <w:color w:val="000000"/>
                <w:sz w:val="24"/>
              </w:rPr>
              <w:t>假设</w:t>
            </w:r>
          </w:p>
        </w:tc>
        <w:tc>
          <w:tcPr>
            <w:tcW w:w="7722" w:type="dxa"/>
            <w:gridSpan w:val="3"/>
            <w:vAlign w:val="center"/>
          </w:tcPr>
          <w:p w:rsidR="000E6BAE" w:rsidRDefault="00CD6463">
            <w:pPr>
              <w:jc w:val="left"/>
            </w:pPr>
            <w:r>
              <w:rPr>
                <w:color w:val="000000"/>
                <w:sz w:val="24"/>
              </w:rPr>
              <w:t>除市场利率以外的其他市场变量保持不变</w:t>
            </w:r>
          </w:p>
        </w:tc>
      </w:tr>
      <w:tr w:rsidR="000E6BAE">
        <w:tc>
          <w:tcPr>
            <w:tcW w:w="1276" w:type="dxa"/>
            <w:vMerge w:val="restart"/>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分析</w:t>
            </w:r>
          </w:p>
        </w:tc>
        <w:tc>
          <w:tcPr>
            <w:tcW w:w="2693" w:type="dxa"/>
            <w:vMerge w:val="restart"/>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相关风险变量的变动</w:t>
            </w:r>
          </w:p>
        </w:tc>
        <w:tc>
          <w:tcPr>
            <w:tcW w:w="5029" w:type="dxa"/>
            <w:gridSpan w:val="2"/>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对资产负债表日基金资产净值的</w:t>
            </w:r>
          </w:p>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影响金额（单位：人民币万元）</w:t>
            </w:r>
          </w:p>
        </w:tc>
      </w:tr>
      <w:tr w:rsidR="000E6BAE">
        <w:tc>
          <w:tcPr>
            <w:tcW w:w="1276" w:type="dxa"/>
            <w:vMerge/>
            <w:vAlign w:val="center"/>
          </w:tcPr>
          <w:p w:rsidR="000E6BAE" w:rsidRDefault="000E6BAE">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0E6BAE" w:rsidRDefault="000E6BAE">
            <w:pPr>
              <w:widowControl/>
              <w:autoSpaceDE w:val="0"/>
              <w:autoSpaceDN w:val="0"/>
              <w:spacing w:before="29" w:line="288" w:lineRule="auto"/>
              <w:ind w:right="-15"/>
              <w:jc w:val="center"/>
              <w:textAlignment w:val="bottom"/>
              <w:rPr>
                <w:color w:val="000000"/>
                <w:sz w:val="24"/>
              </w:rPr>
            </w:pPr>
          </w:p>
        </w:tc>
        <w:tc>
          <w:tcPr>
            <w:tcW w:w="2780" w:type="dxa"/>
            <w:vAlign w:val="center"/>
          </w:tcPr>
          <w:p w:rsidR="000E6BAE" w:rsidRDefault="00CD6463">
            <w:pPr>
              <w:autoSpaceDE w:val="0"/>
              <w:autoSpaceDN w:val="0"/>
              <w:spacing w:before="29" w:line="288" w:lineRule="auto"/>
              <w:ind w:right="-15" w:firstLineChars="350" w:firstLine="840"/>
              <w:jc w:val="center"/>
              <w:textAlignment w:val="bottom"/>
              <w:rPr>
                <w:color w:val="000000"/>
                <w:sz w:val="24"/>
              </w:rPr>
            </w:pPr>
            <w:r>
              <w:rPr>
                <w:rFonts w:hint="eastAsia"/>
                <w:color w:val="000000"/>
                <w:sz w:val="24"/>
              </w:rPr>
              <w:t>本期末</w:t>
            </w:r>
          </w:p>
          <w:p w:rsidR="000E6BAE" w:rsidRDefault="00CD6463">
            <w:pPr>
              <w:autoSpaceDE w:val="0"/>
              <w:autoSpaceDN w:val="0"/>
              <w:spacing w:before="29" w:line="288" w:lineRule="auto"/>
              <w:ind w:right="-15"/>
              <w:jc w:val="center"/>
              <w:textAlignment w:val="bottom"/>
              <w:rPr>
                <w:color w:val="000000"/>
                <w:sz w:val="24"/>
              </w:rPr>
            </w:pP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tc>
        <w:tc>
          <w:tcPr>
            <w:tcW w:w="2249" w:type="dxa"/>
            <w:vAlign w:val="center"/>
          </w:tcPr>
          <w:p w:rsidR="000E6BAE" w:rsidRDefault="00CD6463">
            <w:pPr>
              <w:autoSpaceDE w:val="0"/>
              <w:autoSpaceDN w:val="0"/>
              <w:spacing w:before="29" w:line="288" w:lineRule="auto"/>
              <w:ind w:right="-15" w:firstLineChars="300" w:firstLine="720"/>
              <w:jc w:val="center"/>
              <w:textAlignment w:val="bottom"/>
              <w:rPr>
                <w:color w:val="000000"/>
                <w:sz w:val="24"/>
              </w:rPr>
            </w:pPr>
            <w:r>
              <w:rPr>
                <w:rFonts w:hint="eastAsia"/>
                <w:color w:val="000000"/>
                <w:sz w:val="24"/>
              </w:rPr>
              <w:t>上年度末</w:t>
            </w:r>
          </w:p>
          <w:p w:rsidR="000E6BAE" w:rsidRDefault="00CD6463">
            <w:pPr>
              <w:autoSpaceDE w:val="0"/>
              <w:autoSpaceDN w:val="0"/>
              <w:spacing w:before="29" w:line="288" w:lineRule="auto"/>
              <w:ind w:right="-15"/>
              <w:jc w:val="center"/>
              <w:textAlignment w:val="bottom"/>
              <w:rPr>
                <w:color w:val="000000"/>
                <w:sz w:val="24"/>
              </w:rPr>
            </w:pP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w:t>
            </w:r>
          </w:p>
        </w:tc>
      </w:tr>
      <w:tr w:rsidR="000E6BAE">
        <w:tc>
          <w:tcPr>
            <w:tcW w:w="1276" w:type="dxa"/>
            <w:vMerge/>
          </w:tcPr>
          <w:p w:rsidR="000E6BAE" w:rsidRDefault="000E6BAE"/>
        </w:tc>
        <w:tc>
          <w:tcPr>
            <w:tcW w:w="2693" w:type="dxa"/>
            <w:vAlign w:val="center"/>
          </w:tcPr>
          <w:p w:rsidR="000E6BAE" w:rsidRDefault="00CD6463">
            <w:pPr>
              <w:jc w:val="left"/>
            </w:pPr>
            <w:r>
              <w:rPr>
                <w:color w:val="000000"/>
                <w:sz w:val="24"/>
              </w:rPr>
              <w:t>市场利率上升</w:t>
            </w:r>
            <w:r>
              <w:rPr>
                <w:color w:val="000000"/>
                <w:sz w:val="24"/>
              </w:rPr>
              <w:t>25</w:t>
            </w:r>
            <w:r>
              <w:rPr>
                <w:color w:val="000000"/>
                <w:sz w:val="24"/>
              </w:rPr>
              <w:t>个基点</w:t>
            </w:r>
          </w:p>
        </w:tc>
        <w:tc>
          <w:tcPr>
            <w:tcW w:w="2780" w:type="dxa"/>
            <w:vAlign w:val="center"/>
          </w:tcPr>
          <w:p w:rsidR="000E6BAE" w:rsidRDefault="00CD6463">
            <w:pPr>
              <w:jc w:val="right"/>
            </w:pPr>
            <w:r>
              <w:rPr>
                <w:color w:val="000000"/>
                <w:sz w:val="24"/>
              </w:rPr>
              <w:t>减少约</w:t>
            </w:r>
            <w:r>
              <w:rPr>
                <w:color w:val="000000"/>
                <w:sz w:val="24"/>
              </w:rPr>
              <w:t>638</w:t>
            </w:r>
          </w:p>
        </w:tc>
        <w:tc>
          <w:tcPr>
            <w:tcW w:w="2249" w:type="dxa"/>
            <w:vAlign w:val="center"/>
          </w:tcPr>
          <w:p w:rsidR="000E6BAE" w:rsidRDefault="00CD6463">
            <w:pPr>
              <w:jc w:val="right"/>
            </w:pPr>
            <w:r>
              <w:rPr>
                <w:color w:val="000000"/>
                <w:sz w:val="24"/>
              </w:rPr>
              <w:t>减少约</w:t>
            </w:r>
            <w:r>
              <w:rPr>
                <w:color w:val="000000"/>
                <w:sz w:val="24"/>
              </w:rPr>
              <w:t>1,363</w:t>
            </w:r>
          </w:p>
        </w:tc>
      </w:tr>
      <w:tr w:rsidR="000E6BAE">
        <w:tc>
          <w:tcPr>
            <w:tcW w:w="1276" w:type="dxa"/>
            <w:vMerge/>
          </w:tcPr>
          <w:p w:rsidR="000E6BAE" w:rsidRDefault="000E6BAE"/>
        </w:tc>
        <w:tc>
          <w:tcPr>
            <w:tcW w:w="2693" w:type="dxa"/>
            <w:vAlign w:val="center"/>
          </w:tcPr>
          <w:p w:rsidR="000E6BAE" w:rsidRDefault="00CD6463">
            <w:pPr>
              <w:jc w:val="left"/>
            </w:pPr>
            <w:r>
              <w:rPr>
                <w:color w:val="000000"/>
                <w:sz w:val="24"/>
              </w:rPr>
              <w:t>市场利率下降</w:t>
            </w:r>
            <w:r>
              <w:rPr>
                <w:color w:val="000000"/>
                <w:sz w:val="24"/>
              </w:rPr>
              <w:t>25</w:t>
            </w:r>
            <w:r>
              <w:rPr>
                <w:color w:val="000000"/>
                <w:sz w:val="24"/>
              </w:rPr>
              <w:t>个基点</w:t>
            </w:r>
          </w:p>
        </w:tc>
        <w:tc>
          <w:tcPr>
            <w:tcW w:w="2780" w:type="dxa"/>
            <w:vAlign w:val="center"/>
          </w:tcPr>
          <w:p w:rsidR="000E6BAE" w:rsidRDefault="00CD6463">
            <w:pPr>
              <w:jc w:val="right"/>
            </w:pPr>
            <w:r>
              <w:rPr>
                <w:color w:val="000000"/>
                <w:sz w:val="24"/>
              </w:rPr>
              <w:t>增加约</w:t>
            </w:r>
            <w:r>
              <w:rPr>
                <w:color w:val="000000"/>
                <w:sz w:val="24"/>
              </w:rPr>
              <w:t>643</w:t>
            </w:r>
          </w:p>
        </w:tc>
        <w:tc>
          <w:tcPr>
            <w:tcW w:w="2249" w:type="dxa"/>
            <w:vAlign w:val="center"/>
          </w:tcPr>
          <w:p w:rsidR="000E6BAE" w:rsidRDefault="00CD6463">
            <w:pPr>
              <w:jc w:val="right"/>
            </w:pPr>
            <w:r>
              <w:rPr>
                <w:color w:val="000000"/>
                <w:sz w:val="24"/>
              </w:rPr>
              <w:t>增加约</w:t>
            </w:r>
            <w:r>
              <w:rPr>
                <w:color w:val="000000"/>
                <w:sz w:val="24"/>
              </w:rPr>
              <w:t>1,374</w:t>
            </w:r>
          </w:p>
        </w:tc>
      </w:tr>
    </w:tbl>
    <w:p w:rsidR="000E6BAE" w:rsidRDefault="000E6BAE">
      <w:pPr>
        <w:spacing w:line="360" w:lineRule="auto"/>
        <w:ind w:firstLine="420"/>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7.4.13.4.2</w:t>
      </w:r>
      <w:r>
        <w:rPr>
          <w:rFonts w:eastAsiaTheme="minorEastAsia" w:hint="eastAsia"/>
          <w:b/>
          <w:sz w:val="24"/>
        </w:rPr>
        <w:t>外汇风险</w:t>
      </w:r>
    </w:p>
    <w:p w:rsidR="000E6BAE" w:rsidRDefault="00CD6463">
      <w:pPr>
        <w:spacing w:before="29" w:line="288" w:lineRule="auto"/>
        <w:ind w:firstLineChars="200" w:firstLine="480"/>
        <w:rPr>
          <w:kern w:val="0"/>
          <w:sz w:val="24"/>
        </w:rPr>
      </w:pPr>
      <w:r>
        <w:rPr>
          <w:kern w:val="0"/>
          <w:sz w:val="24"/>
        </w:rPr>
        <w:t>外汇风险是指金融工具的公允价值或未来现金流量因外汇汇率变动而发生波动的风险。本基金的所有资产及负债以人民币计价，因此无重大外汇风险。</w:t>
      </w:r>
    </w:p>
    <w:p w:rsidR="000E6BAE" w:rsidRDefault="000E6BAE">
      <w:pPr>
        <w:spacing w:before="29" w:line="288" w:lineRule="auto"/>
        <w:ind w:firstLineChars="200" w:firstLine="480"/>
        <w:rPr>
          <w:kern w:val="0"/>
          <w:sz w:val="24"/>
        </w:rPr>
      </w:pPr>
    </w:p>
    <w:p w:rsidR="000E6BAE" w:rsidRDefault="00CD6463">
      <w:pPr>
        <w:spacing w:before="29" w:line="288" w:lineRule="auto"/>
        <w:rPr>
          <w:rFonts w:eastAsiaTheme="minorEastAsia"/>
          <w:b/>
          <w:sz w:val="24"/>
        </w:rPr>
      </w:pPr>
      <w:r>
        <w:rPr>
          <w:rFonts w:eastAsiaTheme="minorEastAsia"/>
          <w:b/>
          <w:sz w:val="24"/>
        </w:rPr>
        <w:t>7.4.13.4.3</w:t>
      </w:r>
      <w:r>
        <w:rPr>
          <w:rFonts w:eastAsiaTheme="minorEastAsia" w:hint="eastAsia"/>
          <w:b/>
          <w:sz w:val="24"/>
        </w:rPr>
        <w:t>其他价格风险</w:t>
      </w:r>
    </w:p>
    <w:p w:rsidR="000E6BAE" w:rsidRDefault="00CD6463">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债券，因此无重大其他价格风险。</w:t>
      </w:r>
    </w:p>
    <w:p w:rsidR="000E6BAE" w:rsidRDefault="000E6BAE">
      <w:pPr>
        <w:spacing w:line="360" w:lineRule="auto"/>
        <w:ind w:firstLineChars="200" w:firstLine="422"/>
        <w:rPr>
          <w:rFonts w:asciiTheme="minorEastAsia" w:eastAsiaTheme="minorEastAsia" w:hAnsiTheme="minorEastAsia"/>
          <w:b/>
          <w:bCs/>
          <w:color w:val="000000"/>
          <w:szCs w:val="21"/>
        </w:rPr>
      </w:pPr>
    </w:p>
    <w:p w:rsidR="000E6BAE" w:rsidRDefault="00CD6463">
      <w:pPr>
        <w:spacing w:before="29" w:line="288" w:lineRule="auto"/>
        <w:rPr>
          <w:rFonts w:asciiTheme="minorEastAsia" w:eastAsiaTheme="minorEastAsia" w:hAnsiTheme="minorEastAsia"/>
          <w:b/>
          <w:color w:val="000000"/>
          <w:szCs w:val="21"/>
        </w:rPr>
      </w:pPr>
      <w:r>
        <w:rPr>
          <w:rFonts w:eastAsiaTheme="minorEastAsia"/>
          <w:b/>
          <w:sz w:val="24"/>
        </w:rPr>
        <w:t>7.4.14</w:t>
      </w:r>
      <w:r>
        <w:rPr>
          <w:rFonts w:eastAsiaTheme="minorEastAsia" w:hint="eastAsia"/>
          <w:b/>
          <w:sz w:val="24"/>
        </w:rPr>
        <w:t>有助于理解和分析会计报表需要说明的其他事项</w:t>
      </w:r>
    </w:p>
    <w:p w:rsidR="000E6BAE" w:rsidRDefault="00CD6463">
      <w:pPr>
        <w:spacing w:before="29" w:line="288" w:lineRule="auto"/>
        <w:ind w:firstLineChars="200" w:firstLine="480"/>
        <w:rPr>
          <w:kern w:val="0"/>
          <w:sz w:val="24"/>
        </w:rPr>
      </w:pPr>
      <w:r>
        <w:rPr>
          <w:kern w:val="0"/>
          <w:sz w:val="24"/>
        </w:rPr>
        <w:t xml:space="preserve">(1) </w:t>
      </w:r>
      <w:r>
        <w:rPr>
          <w:kern w:val="0"/>
          <w:sz w:val="24"/>
        </w:rPr>
        <w:t>公允价值</w:t>
      </w:r>
    </w:p>
    <w:p w:rsidR="000E6BAE" w:rsidRDefault="00CD6463">
      <w:pPr>
        <w:spacing w:before="29" w:line="288" w:lineRule="auto"/>
        <w:ind w:firstLineChars="200" w:firstLine="480"/>
        <w:rPr>
          <w:kern w:val="0"/>
          <w:sz w:val="24"/>
        </w:rPr>
      </w:pPr>
      <w:r>
        <w:rPr>
          <w:kern w:val="0"/>
          <w:sz w:val="24"/>
        </w:rPr>
        <w:t xml:space="preserve">(a)  </w:t>
      </w:r>
      <w:r>
        <w:rPr>
          <w:kern w:val="0"/>
          <w:sz w:val="24"/>
        </w:rPr>
        <w:t>金融工具公允价值计量的方法</w:t>
      </w:r>
    </w:p>
    <w:p w:rsidR="000E6BAE" w:rsidRDefault="00CD6463">
      <w:pPr>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0E6BAE" w:rsidRDefault="00CD6463">
      <w:pPr>
        <w:spacing w:before="29" w:line="288" w:lineRule="auto"/>
        <w:ind w:firstLineChars="200" w:firstLine="480"/>
        <w:rPr>
          <w:kern w:val="0"/>
          <w:sz w:val="24"/>
        </w:rPr>
      </w:pPr>
      <w:r>
        <w:rPr>
          <w:kern w:val="0"/>
          <w:sz w:val="24"/>
        </w:rPr>
        <w:t>第一层次：相同资产或负债在活跃市场上未经调整的报价。</w:t>
      </w:r>
    </w:p>
    <w:p w:rsidR="000E6BAE" w:rsidRDefault="00CD6463">
      <w:pPr>
        <w:spacing w:before="29" w:line="288" w:lineRule="auto"/>
        <w:ind w:firstLineChars="200" w:firstLine="480"/>
        <w:rPr>
          <w:kern w:val="0"/>
          <w:sz w:val="24"/>
        </w:rPr>
      </w:pPr>
      <w:r>
        <w:rPr>
          <w:kern w:val="0"/>
          <w:sz w:val="24"/>
        </w:rPr>
        <w:t>第二层次：除第一层次输入值外相关资产或负债直接或间接可观察的输入值。</w:t>
      </w:r>
    </w:p>
    <w:p w:rsidR="000E6BAE" w:rsidRDefault="00CD6463">
      <w:pPr>
        <w:spacing w:before="29" w:line="288" w:lineRule="auto"/>
        <w:ind w:firstLineChars="200" w:firstLine="480"/>
        <w:rPr>
          <w:kern w:val="0"/>
          <w:sz w:val="24"/>
        </w:rPr>
      </w:pPr>
      <w:r>
        <w:rPr>
          <w:kern w:val="0"/>
          <w:sz w:val="24"/>
        </w:rPr>
        <w:t>第三层次：相关资产或负债的不可观察输入值。</w:t>
      </w:r>
    </w:p>
    <w:p w:rsidR="000E6BAE" w:rsidRDefault="00CD6463">
      <w:pPr>
        <w:spacing w:before="29" w:line="288" w:lineRule="auto"/>
        <w:ind w:firstLineChars="200" w:firstLine="480"/>
        <w:rPr>
          <w:kern w:val="0"/>
          <w:sz w:val="24"/>
        </w:rPr>
      </w:pPr>
      <w:r>
        <w:rPr>
          <w:kern w:val="0"/>
          <w:sz w:val="24"/>
        </w:rPr>
        <w:t xml:space="preserve">(b)  </w:t>
      </w:r>
      <w:r>
        <w:rPr>
          <w:kern w:val="0"/>
          <w:sz w:val="24"/>
        </w:rPr>
        <w:t>持续的以公允价值计量的金融工具</w:t>
      </w:r>
    </w:p>
    <w:p w:rsidR="000E6BAE" w:rsidRDefault="00CD6463">
      <w:pPr>
        <w:spacing w:before="29" w:line="288" w:lineRule="auto"/>
        <w:ind w:firstLineChars="200" w:firstLine="480"/>
        <w:rPr>
          <w:kern w:val="0"/>
          <w:sz w:val="24"/>
        </w:rPr>
      </w:pPr>
      <w:r>
        <w:rPr>
          <w:kern w:val="0"/>
          <w:sz w:val="24"/>
        </w:rPr>
        <w:t xml:space="preserve">(i)  </w:t>
      </w:r>
      <w:r>
        <w:rPr>
          <w:kern w:val="0"/>
          <w:sz w:val="24"/>
        </w:rPr>
        <w:t>各层次金融工具公允价值</w:t>
      </w:r>
    </w:p>
    <w:p w:rsidR="000E6BAE" w:rsidRDefault="00CD6463">
      <w:pPr>
        <w:spacing w:before="29" w:line="288" w:lineRule="auto"/>
        <w:ind w:firstLineChars="200" w:firstLine="480"/>
        <w:rPr>
          <w:kern w:val="0"/>
          <w:sz w:val="24"/>
        </w:rPr>
      </w:pPr>
      <w:r>
        <w:rPr>
          <w:kern w:val="0"/>
          <w:sz w:val="24"/>
        </w:rPr>
        <w:t>于</w:t>
      </w:r>
      <w:r>
        <w:rPr>
          <w:kern w:val="0"/>
          <w:sz w:val="24"/>
        </w:rPr>
        <w:t>2020</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日，本基金持有的以公允价值计量且其变动计入当期损益的金融资产中属于第二层次的余额为</w:t>
      </w:r>
      <w:r>
        <w:rPr>
          <w:kern w:val="0"/>
          <w:sz w:val="24"/>
        </w:rPr>
        <w:t>1,489,772,000.00</w:t>
      </w:r>
      <w:r>
        <w:rPr>
          <w:kern w:val="0"/>
          <w:sz w:val="24"/>
        </w:rPr>
        <w:t>元，无属于第一或第三层次的余额</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日：第二层次</w:t>
      </w:r>
      <w:r>
        <w:rPr>
          <w:kern w:val="0"/>
          <w:sz w:val="24"/>
        </w:rPr>
        <w:t>3,238,237,000.00</w:t>
      </w:r>
      <w:r>
        <w:rPr>
          <w:kern w:val="0"/>
          <w:sz w:val="24"/>
        </w:rPr>
        <w:t>元，无第一或第三层次</w:t>
      </w:r>
      <w:r>
        <w:rPr>
          <w:kern w:val="0"/>
          <w:sz w:val="24"/>
        </w:rPr>
        <w:t>)</w:t>
      </w:r>
      <w:r>
        <w:rPr>
          <w:kern w:val="0"/>
          <w:sz w:val="24"/>
        </w:rPr>
        <w:t>。</w:t>
      </w:r>
    </w:p>
    <w:p w:rsidR="000E6BAE" w:rsidRDefault="00CD6463">
      <w:pPr>
        <w:spacing w:before="29" w:line="288" w:lineRule="auto"/>
        <w:ind w:firstLineChars="200" w:firstLine="480"/>
        <w:rPr>
          <w:kern w:val="0"/>
          <w:sz w:val="24"/>
        </w:rPr>
      </w:pPr>
      <w:r>
        <w:rPr>
          <w:kern w:val="0"/>
          <w:sz w:val="24"/>
        </w:rPr>
        <w:t xml:space="preserve">(ii)  </w:t>
      </w:r>
      <w:r>
        <w:rPr>
          <w:kern w:val="0"/>
          <w:sz w:val="24"/>
        </w:rPr>
        <w:t>公允价值所属层次间的重大变动</w:t>
      </w:r>
    </w:p>
    <w:p w:rsidR="000E6BAE" w:rsidRDefault="00CD6463">
      <w:pPr>
        <w:spacing w:before="29" w:line="288" w:lineRule="auto"/>
        <w:ind w:firstLineChars="200" w:firstLine="480"/>
        <w:rPr>
          <w:kern w:val="0"/>
          <w:sz w:val="24"/>
        </w:rPr>
      </w:pPr>
      <w:r>
        <w:rPr>
          <w:kern w:val="0"/>
          <w:sz w:val="24"/>
        </w:rPr>
        <w:t>本基金以导致各层次之间</w:t>
      </w:r>
      <w:r>
        <w:rPr>
          <w:kern w:val="0"/>
          <w:sz w:val="24"/>
        </w:rPr>
        <w:t>转换的事项发生日为确认各层次之间转换的时点。</w:t>
      </w:r>
    </w:p>
    <w:p w:rsidR="000E6BAE" w:rsidRDefault="00CD6463">
      <w:pPr>
        <w:spacing w:before="29" w:line="288" w:lineRule="auto"/>
        <w:ind w:firstLineChars="200" w:firstLine="480"/>
        <w:rPr>
          <w:kern w:val="0"/>
          <w:sz w:val="24"/>
        </w:rPr>
      </w:pPr>
      <w:r>
        <w:rPr>
          <w:kern w:val="0"/>
          <w:sz w:val="24"/>
        </w:rPr>
        <w:t>本基金本期及上年度可比期间持有的以公允价值计量的金融工具的公允价值所属层次未发生重大变动。</w:t>
      </w:r>
    </w:p>
    <w:p w:rsidR="000E6BAE" w:rsidRDefault="00CD6463">
      <w:pPr>
        <w:spacing w:before="29" w:line="288" w:lineRule="auto"/>
        <w:ind w:firstLineChars="200" w:firstLine="480"/>
        <w:rPr>
          <w:kern w:val="0"/>
          <w:sz w:val="24"/>
        </w:rPr>
      </w:pPr>
      <w:r>
        <w:rPr>
          <w:kern w:val="0"/>
          <w:sz w:val="24"/>
        </w:rPr>
        <w:t xml:space="preserve">(iii)  </w:t>
      </w:r>
      <w:r>
        <w:rPr>
          <w:kern w:val="0"/>
          <w:sz w:val="24"/>
        </w:rPr>
        <w:t>第三层次公允价值余额和本期变动金额</w:t>
      </w:r>
    </w:p>
    <w:p w:rsidR="000E6BAE" w:rsidRDefault="00CD6463">
      <w:pPr>
        <w:spacing w:before="29" w:line="288" w:lineRule="auto"/>
        <w:ind w:firstLineChars="200" w:firstLine="480"/>
        <w:rPr>
          <w:kern w:val="0"/>
          <w:sz w:val="24"/>
        </w:rPr>
      </w:pPr>
      <w:r>
        <w:rPr>
          <w:kern w:val="0"/>
          <w:sz w:val="24"/>
        </w:rPr>
        <w:t>无。</w:t>
      </w:r>
    </w:p>
    <w:p w:rsidR="000E6BAE" w:rsidRDefault="00CD6463">
      <w:pPr>
        <w:spacing w:before="29" w:line="288" w:lineRule="auto"/>
        <w:ind w:firstLineChars="200" w:firstLine="480"/>
        <w:rPr>
          <w:kern w:val="0"/>
          <w:sz w:val="24"/>
        </w:rPr>
      </w:pPr>
      <w:r>
        <w:rPr>
          <w:kern w:val="0"/>
          <w:sz w:val="24"/>
        </w:rPr>
        <w:t xml:space="preserve">(c)  </w:t>
      </w:r>
      <w:r>
        <w:rPr>
          <w:kern w:val="0"/>
          <w:sz w:val="24"/>
        </w:rPr>
        <w:t>非持续的以公允价值计量的金融工具</w:t>
      </w:r>
    </w:p>
    <w:p w:rsidR="000E6BAE" w:rsidRDefault="00CD6463">
      <w:pPr>
        <w:spacing w:before="29" w:line="288" w:lineRule="auto"/>
        <w:ind w:firstLineChars="200" w:firstLine="480"/>
        <w:rPr>
          <w:kern w:val="0"/>
          <w:sz w:val="24"/>
        </w:rPr>
      </w:pPr>
      <w:r>
        <w:rPr>
          <w:kern w:val="0"/>
          <w:sz w:val="24"/>
        </w:rPr>
        <w:t>于</w:t>
      </w:r>
      <w:r>
        <w:rPr>
          <w:kern w:val="0"/>
          <w:sz w:val="24"/>
        </w:rPr>
        <w:t>2020</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0E6BAE" w:rsidRDefault="00CD6463">
      <w:pPr>
        <w:spacing w:before="29" w:line="288" w:lineRule="auto"/>
        <w:ind w:firstLineChars="200" w:firstLine="480"/>
        <w:rPr>
          <w:kern w:val="0"/>
          <w:sz w:val="24"/>
        </w:rPr>
      </w:pPr>
      <w:r>
        <w:rPr>
          <w:kern w:val="0"/>
          <w:sz w:val="24"/>
        </w:rPr>
        <w:t xml:space="preserve">(d)  </w:t>
      </w:r>
      <w:r>
        <w:rPr>
          <w:kern w:val="0"/>
          <w:sz w:val="24"/>
        </w:rPr>
        <w:t>不以公允价值计量的金融工具</w:t>
      </w:r>
    </w:p>
    <w:p w:rsidR="000E6BAE" w:rsidRDefault="00CD6463">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0E6BAE" w:rsidRDefault="00CD6463">
      <w:pPr>
        <w:spacing w:before="29" w:line="288" w:lineRule="auto"/>
        <w:ind w:firstLineChars="200" w:firstLine="480"/>
        <w:rPr>
          <w:kern w:val="0"/>
          <w:sz w:val="24"/>
        </w:rPr>
      </w:pPr>
      <w:r>
        <w:rPr>
          <w:kern w:val="0"/>
          <w:sz w:val="24"/>
        </w:rPr>
        <w:t xml:space="preserve">(2) </w:t>
      </w:r>
      <w:r>
        <w:rPr>
          <w:kern w:val="0"/>
          <w:sz w:val="24"/>
        </w:rPr>
        <w:t>除公允价值外，截至资产负债表</w:t>
      </w:r>
      <w:r>
        <w:rPr>
          <w:kern w:val="0"/>
          <w:sz w:val="24"/>
        </w:rPr>
        <w:t>日本基金无需要说明的其他重要事项。</w:t>
      </w:r>
    </w:p>
    <w:p w:rsidR="000E6BAE" w:rsidRDefault="000E6BAE">
      <w:pPr>
        <w:spacing w:before="29" w:line="288" w:lineRule="auto"/>
        <w:ind w:firstLineChars="200" w:firstLine="480"/>
        <w:rPr>
          <w:kern w:val="0"/>
          <w:sz w:val="24"/>
        </w:rPr>
      </w:pPr>
    </w:p>
    <w:p w:rsidR="000E6BAE" w:rsidRDefault="00CD6463">
      <w:pPr>
        <w:pStyle w:val="1"/>
        <w:keepNext/>
        <w:keepLines/>
        <w:widowControl w:val="0"/>
        <w:spacing w:beforeLines="100" w:before="312" w:afterLines="100" w:after="312" w:line="288" w:lineRule="auto"/>
        <w:jc w:val="center"/>
        <w:rPr>
          <w:b/>
          <w:bCs/>
          <w:szCs w:val="24"/>
          <w:lang w:val="en-US"/>
        </w:rPr>
      </w:pPr>
      <w:bookmarkStart w:id="125" w:name="_Toc225498272"/>
      <w:bookmarkStart w:id="126" w:name="_Toc361324877"/>
      <w:bookmarkStart w:id="127" w:name="_Toc22932"/>
      <w:r>
        <w:rPr>
          <w:rFonts w:hint="eastAsia"/>
          <w:b/>
          <w:bCs/>
          <w:szCs w:val="24"/>
          <w:lang w:val="en-US"/>
        </w:rPr>
        <w:t>§</w:t>
      </w:r>
      <w:r>
        <w:rPr>
          <w:b/>
          <w:bCs/>
          <w:szCs w:val="24"/>
          <w:lang w:val="en-US"/>
        </w:rPr>
        <w:t>8</w:t>
      </w:r>
      <w:r>
        <w:rPr>
          <w:rFonts w:hint="eastAsia"/>
          <w:b/>
          <w:bCs/>
          <w:szCs w:val="24"/>
          <w:lang w:val="en-US"/>
        </w:rPr>
        <w:t>投资组合报告</w:t>
      </w:r>
      <w:bookmarkEnd w:id="125"/>
      <w:bookmarkEnd w:id="126"/>
      <w:bookmarkEnd w:id="127"/>
    </w:p>
    <w:p w:rsidR="000E6BAE" w:rsidRDefault="000E6BAE"/>
    <w:p w:rsidR="000E6BAE" w:rsidRDefault="00CD6463">
      <w:pPr>
        <w:pStyle w:val="2"/>
        <w:spacing w:before="0" w:after="0"/>
        <w:rPr>
          <w:rFonts w:ascii="Times New Roman" w:eastAsiaTheme="minorEastAsia" w:hAnsi="Times New Roman"/>
          <w:color w:val="000000" w:themeColor="text1"/>
          <w:kern w:val="0"/>
          <w:sz w:val="21"/>
          <w:szCs w:val="21"/>
        </w:rPr>
      </w:pPr>
      <w:bookmarkStart w:id="128" w:name="_Toc225498273"/>
      <w:bookmarkStart w:id="129" w:name="_Toc361324878"/>
      <w:bookmarkStart w:id="130" w:name="_Toc12614"/>
      <w:r>
        <w:rPr>
          <w:rFonts w:ascii="Times New Roman" w:eastAsiaTheme="minorEastAsia" w:hAnsi="Times New Roman"/>
          <w:bCs w:val="0"/>
          <w:color w:val="000000" w:themeColor="text1"/>
          <w:kern w:val="0"/>
          <w:sz w:val="21"/>
          <w:szCs w:val="21"/>
        </w:rPr>
        <w:t xml:space="preserve">8.1 </w:t>
      </w:r>
      <w:r>
        <w:rPr>
          <w:rFonts w:ascii="Times New Roman" w:eastAsiaTheme="minorEastAsia" w:hAnsi="Times New Roman"/>
          <w:color w:val="000000" w:themeColor="text1"/>
          <w:kern w:val="0"/>
          <w:sz w:val="21"/>
          <w:szCs w:val="21"/>
        </w:rPr>
        <w:t>期末基金资产组合情况</w:t>
      </w:r>
      <w:bookmarkEnd w:id="128"/>
      <w:bookmarkEnd w:id="129"/>
      <w:bookmarkEnd w:id="130"/>
    </w:p>
    <w:p w:rsidR="000E6BAE" w:rsidRDefault="00CD646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2748"/>
        <w:gridCol w:w="2551"/>
        <w:gridCol w:w="2621"/>
      </w:tblGrid>
      <w:tr w:rsidR="000E6BAE">
        <w:tc>
          <w:tcPr>
            <w:tcW w:w="1080" w:type="dxa"/>
            <w:vAlign w:val="center"/>
          </w:tcPr>
          <w:p w:rsidR="000E6BAE" w:rsidRDefault="00CD6463">
            <w:pPr>
              <w:spacing w:line="276" w:lineRule="auto"/>
              <w:jc w:val="center"/>
              <w:rPr>
                <w:rFonts w:eastAsiaTheme="minorEastAsia"/>
                <w:color w:val="000000" w:themeColor="text1"/>
                <w:szCs w:val="21"/>
              </w:rPr>
            </w:pPr>
            <w:r>
              <w:rPr>
                <w:rFonts w:eastAsiaTheme="minorEastAsia"/>
                <w:color w:val="000000" w:themeColor="text1"/>
                <w:szCs w:val="21"/>
              </w:rPr>
              <w:t>序号</w:t>
            </w:r>
          </w:p>
        </w:tc>
        <w:tc>
          <w:tcPr>
            <w:tcW w:w="2748" w:type="dxa"/>
            <w:vAlign w:val="center"/>
          </w:tcPr>
          <w:p w:rsidR="000E6BAE" w:rsidRDefault="00CD6463">
            <w:pPr>
              <w:spacing w:line="276" w:lineRule="auto"/>
              <w:jc w:val="center"/>
              <w:rPr>
                <w:rFonts w:eastAsiaTheme="minorEastAsia"/>
                <w:color w:val="000000" w:themeColor="text1"/>
                <w:szCs w:val="21"/>
              </w:rPr>
            </w:pPr>
            <w:r>
              <w:rPr>
                <w:rFonts w:eastAsiaTheme="minorEastAsia"/>
                <w:color w:val="000000" w:themeColor="text1"/>
                <w:szCs w:val="21"/>
              </w:rPr>
              <w:t>项目</w:t>
            </w:r>
          </w:p>
        </w:tc>
        <w:tc>
          <w:tcPr>
            <w:tcW w:w="2551" w:type="dxa"/>
            <w:vAlign w:val="center"/>
          </w:tcPr>
          <w:p w:rsidR="000E6BAE" w:rsidRDefault="00CD6463">
            <w:pPr>
              <w:spacing w:line="276" w:lineRule="auto"/>
              <w:jc w:val="center"/>
              <w:rPr>
                <w:rFonts w:eastAsiaTheme="minorEastAsia"/>
                <w:color w:val="000000" w:themeColor="text1"/>
                <w:szCs w:val="21"/>
              </w:rPr>
            </w:pPr>
            <w:r>
              <w:rPr>
                <w:rFonts w:eastAsiaTheme="minorEastAsia"/>
                <w:color w:val="000000" w:themeColor="text1"/>
                <w:szCs w:val="21"/>
              </w:rPr>
              <w:t>金额</w:t>
            </w:r>
          </w:p>
        </w:tc>
        <w:tc>
          <w:tcPr>
            <w:tcW w:w="2621" w:type="dxa"/>
            <w:vAlign w:val="center"/>
          </w:tcPr>
          <w:p w:rsidR="000E6BAE" w:rsidRDefault="00CD6463">
            <w:pPr>
              <w:spacing w:line="276" w:lineRule="auto"/>
              <w:jc w:val="center"/>
              <w:rPr>
                <w:rFonts w:eastAsiaTheme="minorEastAsia"/>
                <w:color w:val="000000" w:themeColor="text1"/>
                <w:szCs w:val="21"/>
              </w:rPr>
            </w:pPr>
            <w:r>
              <w:rPr>
                <w:rFonts w:eastAsiaTheme="minorEastAsia"/>
                <w:color w:val="000000" w:themeColor="text1"/>
                <w:szCs w:val="21"/>
              </w:rPr>
              <w:t>占基金总资产的比例（</w:t>
            </w:r>
            <w:r>
              <w:rPr>
                <w:rFonts w:eastAsiaTheme="minorEastAsia"/>
                <w:color w:val="000000" w:themeColor="text1"/>
                <w:szCs w:val="21"/>
              </w:rPr>
              <w:t>%</w:t>
            </w:r>
            <w:r>
              <w:rPr>
                <w:rFonts w:eastAsiaTheme="minorEastAsia"/>
                <w:color w:val="000000" w:themeColor="text1"/>
                <w:szCs w:val="21"/>
              </w:rPr>
              <w:t>）</w:t>
            </w:r>
          </w:p>
        </w:tc>
      </w:tr>
      <w:tr w:rsidR="000E6BAE">
        <w:tc>
          <w:tcPr>
            <w:tcW w:w="1080" w:type="dxa"/>
            <w:vAlign w:val="center"/>
          </w:tcPr>
          <w:p w:rsidR="000E6BAE" w:rsidRDefault="00CD6463">
            <w:pPr>
              <w:spacing w:line="276" w:lineRule="auto"/>
              <w:jc w:val="center"/>
              <w:rPr>
                <w:rFonts w:eastAsiaTheme="minorEastAsia"/>
                <w:color w:val="000000" w:themeColor="text1"/>
                <w:szCs w:val="21"/>
              </w:rPr>
            </w:pPr>
            <w:r>
              <w:rPr>
                <w:rFonts w:eastAsiaTheme="minorEastAsia"/>
                <w:color w:val="000000" w:themeColor="text1"/>
                <w:szCs w:val="21"/>
              </w:rPr>
              <w:t>1</w:t>
            </w: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权益投资</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r>
      <w:tr w:rsidR="000E6BAE">
        <w:tc>
          <w:tcPr>
            <w:tcW w:w="1080" w:type="dxa"/>
            <w:vAlign w:val="center"/>
          </w:tcPr>
          <w:p w:rsidR="000E6BAE" w:rsidRDefault="000E6BAE">
            <w:pPr>
              <w:spacing w:line="276" w:lineRule="auto"/>
              <w:jc w:val="center"/>
              <w:rPr>
                <w:rFonts w:eastAsiaTheme="minorEastAsia"/>
                <w:color w:val="000000" w:themeColor="text1"/>
                <w:szCs w:val="21"/>
              </w:rPr>
            </w:pP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其中：股票</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r>
      <w:tr w:rsidR="000E6BAE">
        <w:tc>
          <w:tcPr>
            <w:tcW w:w="1080" w:type="dxa"/>
            <w:vAlign w:val="center"/>
          </w:tcPr>
          <w:p w:rsidR="000E6BAE" w:rsidRDefault="00CD6463">
            <w:pPr>
              <w:spacing w:line="276" w:lineRule="auto"/>
              <w:jc w:val="center"/>
              <w:rPr>
                <w:rFonts w:eastAsiaTheme="minorEastAsia"/>
                <w:color w:val="000000" w:themeColor="text1"/>
                <w:szCs w:val="21"/>
              </w:rPr>
            </w:pPr>
            <w:r>
              <w:rPr>
                <w:rFonts w:eastAsiaTheme="minorEastAsia" w:hint="eastAsia"/>
                <w:color w:val="000000" w:themeColor="text1"/>
                <w:szCs w:val="21"/>
              </w:rPr>
              <w:t>2</w:t>
            </w: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hint="eastAsia"/>
                <w:color w:val="000000" w:themeColor="text1"/>
                <w:szCs w:val="21"/>
              </w:rPr>
              <w:t>基金投资</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hint="eastAsia"/>
                <w:color w:val="000000" w:themeColor="text1"/>
                <w:szCs w:val="21"/>
              </w:rPr>
              <w:t>-</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hint="eastAsia"/>
                <w:color w:val="000000" w:themeColor="text1"/>
                <w:szCs w:val="21"/>
              </w:rPr>
              <w:t>-</w:t>
            </w:r>
          </w:p>
        </w:tc>
      </w:tr>
      <w:tr w:rsidR="000E6BAE">
        <w:tc>
          <w:tcPr>
            <w:tcW w:w="1080" w:type="dxa"/>
            <w:vAlign w:val="center"/>
          </w:tcPr>
          <w:p w:rsidR="000E6BAE" w:rsidRDefault="00CD6463">
            <w:pPr>
              <w:spacing w:line="276" w:lineRule="auto"/>
              <w:jc w:val="center"/>
              <w:rPr>
                <w:rFonts w:eastAsiaTheme="minorEastAsia"/>
                <w:color w:val="000000" w:themeColor="text1"/>
                <w:szCs w:val="21"/>
              </w:rPr>
            </w:pPr>
            <w:r>
              <w:rPr>
                <w:rFonts w:eastAsiaTheme="minorEastAsia" w:hint="eastAsia"/>
                <w:color w:val="000000" w:themeColor="text1"/>
                <w:szCs w:val="21"/>
              </w:rPr>
              <w:t>3</w:t>
            </w: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固定收益投资</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1,489,772,000.00</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97.77</w:t>
            </w:r>
          </w:p>
        </w:tc>
      </w:tr>
      <w:tr w:rsidR="000E6BAE">
        <w:tc>
          <w:tcPr>
            <w:tcW w:w="1080" w:type="dxa"/>
            <w:vAlign w:val="center"/>
          </w:tcPr>
          <w:p w:rsidR="000E6BAE" w:rsidRDefault="000E6BAE">
            <w:pPr>
              <w:spacing w:line="276" w:lineRule="auto"/>
              <w:jc w:val="center"/>
              <w:rPr>
                <w:rFonts w:eastAsiaTheme="minorEastAsia"/>
                <w:color w:val="000000" w:themeColor="text1"/>
                <w:szCs w:val="21"/>
              </w:rPr>
            </w:pP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其中：债券</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1,489,772,000.00</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97.77</w:t>
            </w:r>
          </w:p>
        </w:tc>
      </w:tr>
      <w:tr w:rsidR="000E6BAE">
        <w:tc>
          <w:tcPr>
            <w:tcW w:w="1080" w:type="dxa"/>
            <w:vAlign w:val="center"/>
          </w:tcPr>
          <w:p w:rsidR="000E6BAE" w:rsidRDefault="000E6BAE">
            <w:pPr>
              <w:spacing w:line="276" w:lineRule="auto"/>
              <w:jc w:val="center"/>
              <w:rPr>
                <w:rFonts w:eastAsiaTheme="minorEastAsia"/>
                <w:color w:val="000000" w:themeColor="text1"/>
                <w:szCs w:val="21"/>
              </w:rPr>
            </w:pPr>
          </w:p>
        </w:tc>
        <w:tc>
          <w:tcPr>
            <w:tcW w:w="2748" w:type="dxa"/>
            <w:vAlign w:val="center"/>
          </w:tcPr>
          <w:p w:rsidR="000E6BAE" w:rsidRDefault="00CD6463">
            <w:pPr>
              <w:spacing w:line="276" w:lineRule="auto"/>
              <w:ind w:leftChars="50" w:left="105" w:firstLineChars="300" w:firstLine="630"/>
              <w:rPr>
                <w:rFonts w:eastAsiaTheme="minorEastAsia"/>
                <w:color w:val="000000" w:themeColor="text1"/>
                <w:szCs w:val="21"/>
              </w:rPr>
            </w:pPr>
            <w:r>
              <w:rPr>
                <w:rFonts w:eastAsiaTheme="minorEastAsia"/>
                <w:color w:val="000000" w:themeColor="text1"/>
                <w:szCs w:val="21"/>
              </w:rPr>
              <w:t>资产支持证券</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r>
      <w:tr w:rsidR="000E6BAE">
        <w:tc>
          <w:tcPr>
            <w:tcW w:w="1080" w:type="dxa"/>
            <w:vAlign w:val="center"/>
          </w:tcPr>
          <w:p w:rsidR="000E6BAE" w:rsidRDefault="00CD6463">
            <w:pPr>
              <w:spacing w:line="276" w:lineRule="auto"/>
              <w:jc w:val="center"/>
              <w:rPr>
                <w:rFonts w:eastAsiaTheme="minorEastAsia"/>
                <w:color w:val="000000" w:themeColor="text1"/>
                <w:szCs w:val="21"/>
              </w:rPr>
            </w:pPr>
            <w:r>
              <w:rPr>
                <w:rFonts w:eastAsiaTheme="minorEastAsia" w:hint="eastAsia"/>
                <w:color w:val="000000" w:themeColor="text1"/>
                <w:szCs w:val="21"/>
              </w:rPr>
              <w:t>4</w:t>
            </w: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贵金属投资</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r>
      <w:tr w:rsidR="000E6BAE">
        <w:tc>
          <w:tcPr>
            <w:tcW w:w="1080" w:type="dxa"/>
            <w:vAlign w:val="center"/>
          </w:tcPr>
          <w:p w:rsidR="000E6BAE" w:rsidRDefault="00CD6463">
            <w:pPr>
              <w:spacing w:line="276" w:lineRule="auto"/>
              <w:jc w:val="center"/>
              <w:rPr>
                <w:rFonts w:eastAsiaTheme="minorEastAsia"/>
                <w:color w:val="000000" w:themeColor="text1"/>
                <w:szCs w:val="21"/>
              </w:rPr>
            </w:pPr>
            <w:r>
              <w:rPr>
                <w:rFonts w:eastAsiaTheme="minorEastAsia" w:hint="eastAsia"/>
                <w:color w:val="000000" w:themeColor="text1"/>
                <w:szCs w:val="21"/>
              </w:rPr>
              <w:t>5</w:t>
            </w: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金融衍生品投资</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r>
      <w:tr w:rsidR="000E6BAE">
        <w:tc>
          <w:tcPr>
            <w:tcW w:w="1080" w:type="dxa"/>
            <w:vAlign w:val="center"/>
          </w:tcPr>
          <w:p w:rsidR="000E6BAE" w:rsidRDefault="00CD6463">
            <w:pPr>
              <w:spacing w:line="276" w:lineRule="auto"/>
              <w:jc w:val="center"/>
              <w:rPr>
                <w:rFonts w:eastAsiaTheme="minorEastAsia"/>
                <w:color w:val="000000" w:themeColor="text1"/>
                <w:szCs w:val="21"/>
              </w:rPr>
            </w:pPr>
            <w:r>
              <w:rPr>
                <w:rFonts w:eastAsiaTheme="minorEastAsia" w:hint="eastAsia"/>
                <w:color w:val="000000" w:themeColor="text1"/>
                <w:szCs w:val="21"/>
              </w:rPr>
              <w:t>6</w:t>
            </w: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买入返售金融资产</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r>
      <w:tr w:rsidR="000E6BAE">
        <w:tc>
          <w:tcPr>
            <w:tcW w:w="1080" w:type="dxa"/>
            <w:vAlign w:val="center"/>
          </w:tcPr>
          <w:p w:rsidR="000E6BAE" w:rsidRDefault="000E6BAE">
            <w:pPr>
              <w:spacing w:line="276" w:lineRule="auto"/>
              <w:jc w:val="center"/>
              <w:rPr>
                <w:rFonts w:eastAsiaTheme="minorEastAsia"/>
                <w:color w:val="000000" w:themeColor="text1"/>
                <w:szCs w:val="21"/>
              </w:rPr>
            </w:pP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其中：买断式回购的买入返售金融资产</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w:t>
            </w:r>
          </w:p>
        </w:tc>
      </w:tr>
      <w:tr w:rsidR="000E6BAE">
        <w:tc>
          <w:tcPr>
            <w:tcW w:w="1080" w:type="dxa"/>
            <w:vAlign w:val="center"/>
          </w:tcPr>
          <w:p w:rsidR="000E6BAE" w:rsidRDefault="00CD6463">
            <w:pPr>
              <w:spacing w:line="276" w:lineRule="auto"/>
              <w:jc w:val="center"/>
              <w:rPr>
                <w:rFonts w:eastAsiaTheme="minorEastAsia"/>
                <w:color w:val="000000" w:themeColor="text1"/>
                <w:szCs w:val="21"/>
              </w:rPr>
            </w:pPr>
            <w:r>
              <w:rPr>
                <w:rFonts w:eastAsiaTheme="minorEastAsia" w:hint="eastAsia"/>
                <w:color w:val="000000" w:themeColor="text1"/>
                <w:szCs w:val="21"/>
              </w:rPr>
              <w:t>7</w:t>
            </w: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银行存款和结算备付金合计</w:t>
            </w:r>
          </w:p>
        </w:tc>
        <w:tc>
          <w:tcPr>
            <w:tcW w:w="255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1,264,779.45</w:t>
            </w:r>
          </w:p>
        </w:tc>
        <w:tc>
          <w:tcPr>
            <w:tcW w:w="2621" w:type="dxa"/>
            <w:vAlign w:val="center"/>
          </w:tcPr>
          <w:p w:rsidR="000E6BAE" w:rsidRDefault="00CD6463">
            <w:pPr>
              <w:spacing w:before="29" w:line="276" w:lineRule="auto"/>
              <w:ind w:left="17"/>
              <w:jc w:val="right"/>
              <w:rPr>
                <w:rFonts w:eastAsiaTheme="minorEastAsia"/>
                <w:color w:val="000000" w:themeColor="text1"/>
                <w:szCs w:val="21"/>
              </w:rPr>
            </w:pPr>
            <w:r>
              <w:rPr>
                <w:rFonts w:eastAsiaTheme="minorEastAsia"/>
                <w:color w:val="000000" w:themeColor="text1"/>
                <w:szCs w:val="21"/>
              </w:rPr>
              <w:t>0.08</w:t>
            </w:r>
          </w:p>
        </w:tc>
      </w:tr>
      <w:tr w:rsidR="000E6BAE">
        <w:tc>
          <w:tcPr>
            <w:tcW w:w="1080" w:type="dxa"/>
            <w:vAlign w:val="center"/>
          </w:tcPr>
          <w:p w:rsidR="000E6BAE" w:rsidRDefault="00CD6463">
            <w:pPr>
              <w:spacing w:before="29" w:line="276" w:lineRule="auto"/>
              <w:ind w:left="17"/>
              <w:jc w:val="center"/>
              <w:rPr>
                <w:rFonts w:eastAsiaTheme="minorEastAsia"/>
                <w:color w:val="000000" w:themeColor="text1"/>
                <w:szCs w:val="21"/>
              </w:rPr>
            </w:pPr>
            <w:r>
              <w:rPr>
                <w:rFonts w:eastAsiaTheme="minorEastAsia"/>
                <w:color w:val="000000" w:themeColor="text1"/>
                <w:szCs w:val="21"/>
              </w:rPr>
              <w:t>8</w:t>
            </w: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其他各项资产</w:t>
            </w:r>
          </w:p>
        </w:tc>
        <w:tc>
          <w:tcPr>
            <w:tcW w:w="2551" w:type="dxa"/>
            <w:vAlign w:val="center"/>
          </w:tcPr>
          <w:p w:rsidR="000E6BAE" w:rsidRDefault="00CD6463">
            <w:pPr>
              <w:spacing w:line="276" w:lineRule="auto"/>
              <w:jc w:val="right"/>
              <w:rPr>
                <w:rFonts w:eastAsiaTheme="minorEastAsia"/>
                <w:color w:val="000000" w:themeColor="text1"/>
                <w:szCs w:val="21"/>
              </w:rPr>
            </w:pPr>
            <w:r>
              <w:rPr>
                <w:rFonts w:eastAsiaTheme="minorEastAsia"/>
                <w:color w:val="000000" w:themeColor="text1"/>
                <w:szCs w:val="21"/>
              </w:rPr>
              <w:t>32,777,158.08</w:t>
            </w:r>
          </w:p>
        </w:tc>
        <w:tc>
          <w:tcPr>
            <w:tcW w:w="2621" w:type="dxa"/>
            <w:vAlign w:val="center"/>
          </w:tcPr>
          <w:p w:rsidR="000E6BAE" w:rsidRDefault="00CD6463">
            <w:pPr>
              <w:spacing w:line="276" w:lineRule="auto"/>
              <w:jc w:val="right"/>
              <w:rPr>
                <w:rFonts w:eastAsiaTheme="minorEastAsia"/>
                <w:color w:val="000000" w:themeColor="text1"/>
                <w:szCs w:val="21"/>
              </w:rPr>
            </w:pPr>
            <w:r>
              <w:rPr>
                <w:rFonts w:eastAsiaTheme="minorEastAsia"/>
                <w:color w:val="000000" w:themeColor="text1"/>
                <w:szCs w:val="21"/>
              </w:rPr>
              <w:t>2.15</w:t>
            </w:r>
          </w:p>
        </w:tc>
      </w:tr>
      <w:tr w:rsidR="000E6BAE">
        <w:tc>
          <w:tcPr>
            <w:tcW w:w="1080" w:type="dxa"/>
            <w:vAlign w:val="center"/>
          </w:tcPr>
          <w:p w:rsidR="000E6BAE" w:rsidRDefault="00CD6463">
            <w:pPr>
              <w:spacing w:before="29" w:line="276" w:lineRule="auto"/>
              <w:ind w:left="17"/>
              <w:jc w:val="center"/>
              <w:rPr>
                <w:rFonts w:eastAsiaTheme="minorEastAsia"/>
                <w:color w:val="000000" w:themeColor="text1"/>
                <w:szCs w:val="21"/>
              </w:rPr>
            </w:pPr>
            <w:r>
              <w:rPr>
                <w:rFonts w:eastAsiaTheme="minorEastAsia"/>
                <w:color w:val="000000" w:themeColor="text1"/>
                <w:szCs w:val="21"/>
              </w:rPr>
              <w:t>9</w:t>
            </w:r>
          </w:p>
        </w:tc>
        <w:tc>
          <w:tcPr>
            <w:tcW w:w="2748" w:type="dxa"/>
            <w:vAlign w:val="center"/>
          </w:tcPr>
          <w:p w:rsidR="000E6BAE" w:rsidRDefault="00CD6463">
            <w:pPr>
              <w:spacing w:line="276" w:lineRule="auto"/>
              <w:ind w:leftChars="50" w:left="105"/>
              <w:rPr>
                <w:rFonts w:eastAsiaTheme="minorEastAsia"/>
                <w:color w:val="000000" w:themeColor="text1"/>
                <w:szCs w:val="21"/>
              </w:rPr>
            </w:pPr>
            <w:r>
              <w:rPr>
                <w:rFonts w:eastAsiaTheme="minorEastAsia"/>
                <w:color w:val="000000" w:themeColor="text1"/>
                <w:szCs w:val="21"/>
              </w:rPr>
              <w:t>合计</w:t>
            </w:r>
          </w:p>
        </w:tc>
        <w:tc>
          <w:tcPr>
            <w:tcW w:w="2551" w:type="dxa"/>
            <w:vAlign w:val="center"/>
          </w:tcPr>
          <w:p w:rsidR="000E6BAE" w:rsidRDefault="00CD6463">
            <w:pPr>
              <w:spacing w:line="276" w:lineRule="auto"/>
              <w:jc w:val="right"/>
              <w:rPr>
                <w:rFonts w:eastAsiaTheme="minorEastAsia"/>
                <w:color w:val="000000" w:themeColor="text1"/>
                <w:szCs w:val="21"/>
              </w:rPr>
            </w:pPr>
            <w:r>
              <w:rPr>
                <w:rFonts w:eastAsiaTheme="minorEastAsia"/>
                <w:color w:val="000000" w:themeColor="text1"/>
                <w:szCs w:val="21"/>
              </w:rPr>
              <w:t>1,523,813,937.53</w:t>
            </w:r>
          </w:p>
        </w:tc>
        <w:tc>
          <w:tcPr>
            <w:tcW w:w="2621" w:type="dxa"/>
            <w:vAlign w:val="center"/>
          </w:tcPr>
          <w:p w:rsidR="000E6BAE" w:rsidRDefault="00CD6463">
            <w:pPr>
              <w:spacing w:line="276" w:lineRule="auto"/>
              <w:jc w:val="right"/>
              <w:rPr>
                <w:rFonts w:eastAsiaTheme="minorEastAsia"/>
                <w:color w:val="000000" w:themeColor="text1"/>
                <w:szCs w:val="21"/>
              </w:rPr>
            </w:pPr>
            <w:r>
              <w:rPr>
                <w:rFonts w:eastAsiaTheme="minorEastAsia"/>
                <w:color w:val="000000" w:themeColor="text1"/>
                <w:szCs w:val="21"/>
              </w:rPr>
              <w:t>100.00</w:t>
            </w:r>
          </w:p>
        </w:tc>
      </w:tr>
    </w:tbl>
    <w:p w:rsidR="000E6BAE" w:rsidRDefault="000E6BAE">
      <w:pPr>
        <w:spacing w:line="360" w:lineRule="auto"/>
        <w:rPr>
          <w:rFonts w:asciiTheme="minorEastAsia" w:eastAsiaTheme="minorEastAsia" w:hAnsiTheme="minorEastAsia"/>
          <w:color w:val="000000"/>
          <w:szCs w:val="21"/>
        </w:rPr>
      </w:pPr>
    </w:p>
    <w:p w:rsidR="000E6BAE" w:rsidRDefault="00CD6463">
      <w:pPr>
        <w:pStyle w:val="2"/>
        <w:spacing w:before="29" w:after="0" w:line="288" w:lineRule="auto"/>
        <w:rPr>
          <w:rFonts w:eastAsiaTheme="minorEastAsia"/>
        </w:rPr>
      </w:pPr>
      <w:bookmarkStart w:id="131" w:name="_Toc361324879"/>
      <w:bookmarkStart w:id="132" w:name="_Toc225498274"/>
      <w:bookmarkStart w:id="133" w:name="_Toc27436"/>
      <w:r>
        <w:rPr>
          <w:rFonts w:eastAsiaTheme="minorEastAsia"/>
        </w:rPr>
        <w:t>8.2</w:t>
      </w:r>
      <w:r>
        <w:rPr>
          <w:rFonts w:eastAsiaTheme="minorEastAsia" w:hint="eastAsia"/>
        </w:rPr>
        <w:t>期末按行业分类的股票投资组合</w:t>
      </w:r>
      <w:bookmarkEnd w:id="131"/>
      <w:bookmarkEnd w:id="132"/>
      <w:bookmarkEnd w:id="133"/>
    </w:p>
    <w:p w:rsidR="000E6BAE" w:rsidRDefault="00CD6463">
      <w:pPr>
        <w:spacing w:before="29" w:line="288" w:lineRule="auto"/>
        <w:rPr>
          <w:rFonts w:eastAsiaTheme="minorEastAsia"/>
          <w:b/>
          <w:sz w:val="24"/>
        </w:rPr>
      </w:pPr>
      <w:r>
        <w:rPr>
          <w:rFonts w:eastAsiaTheme="minorEastAsia"/>
          <w:b/>
          <w:sz w:val="24"/>
        </w:rPr>
        <w:t>8.2.1</w:t>
      </w:r>
      <w:r>
        <w:rPr>
          <w:rFonts w:eastAsiaTheme="minorEastAsia" w:hint="eastAsia"/>
          <w:b/>
          <w:sz w:val="24"/>
        </w:rPr>
        <w:t>报告期末按行业分类的境内股票投资组合</w:t>
      </w:r>
    </w:p>
    <w:p w:rsidR="000E6BAE" w:rsidRDefault="00CD6463">
      <w:pPr>
        <w:tabs>
          <w:tab w:val="left" w:pos="426"/>
        </w:tabs>
        <w:spacing w:before="29" w:line="288" w:lineRule="auto"/>
        <w:jc w:val="left"/>
        <w:rPr>
          <w:kern w:val="0"/>
          <w:sz w:val="24"/>
        </w:rPr>
      </w:pPr>
      <w:r>
        <w:rPr>
          <w:kern w:val="0"/>
          <w:sz w:val="24"/>
        </w:rPr>
        <w:t>本基金本报告期末未持有股票。</w:t>
      </w:r>
    </w:p>
    <w:p w:rsidR="000E6BAE" w:rsidRDefault="00CD6463">
      <w:pPr>
        <w:tabs>
          <w:tab w:val="left" w:pos="426"/>
        </w:tabs>
        <w:spacing w:before="29" w:line="288" w:lineRule="auto"/>
        <w:jc w:val="left"/>
        <w:rPr>
          <w:kern w:val="0"/>
          <w:sz w:val="24"/>
        </w:rPr>
      </w:pPr>
      <w:r>
        <w:rPr>
          <w:rFonts w:hint="eastAsia"/>
          <w:kern w:val="0"/>
          <w:sz w:val="24"/>
        </w:rPr>
        <w:br/>
      </w:r>
      <w:r>
        <w:rPr>
          <w:rFonts w:eastAsiaTheme="minorEastAsia"/>
          <w:b/>
          <w:sz w:val="24"/>
        </w:rPr>
        <w:t>8.2.2</w:t>
      </w:r>
      <w:r>
        <w:rPr>
          <w:rFonts w:eastAsiaTheme="minorEastAsia" w:hint="eastAsia"/>
          <w:b/>
          <w:sz w:val="24"/>
        </w:rPr>
        <w:t>报告期末按行业分类的港股通投资股票投资组合</w:t>
      </w:r>
    </w:p>
    <w:p w:rsidR="000E6BAE" w:rsidRDefault="00CD6463">
      <w:pPr>
        <w:widowControl/>
        <w:autoSpaceDE w:val="0"/>
        <w:autoSpaceDN w:val="0"/>
        <w:spacing w:before="29" w:line="288" w:lineRule="auto"/>
        <w:ind w:right="-15"/>
        <w:textAlignment w:val="bottom"/>
        <w:rPr>
          <w:color w:val="000000"/>
          <w:sz w:val="24"/>
        </w:rPr>
      </w:pPr>
      <w:r>
        <w:rPr>
          <w:color w:val="000000"/>
          <w:sz w:val="24"/>
        </w:rPr>
        <w:t>本基金本报告期末未持有通过港股通投资的股票。</w:t>
      </w:r>
    </w:p>
    <w:p w:rsidR="000E6BAE" w:rsidRDefault="000E6BAE">
      <w:pPr>
        <w:tabs>
          <w:tab w:val="left" w:pos="426"/>
        </w:tabs>
        <w:spacing w:before="29" w:line="288" w:lineRule="auto"/>
        <w:jc w:val="left"/>
        <w:rPr>
          <w:kern w:val="0"/>
          <w:sz w:val="24"/>
        </w:rPr>
      </w:pPr>
    </w:p>
    <w:p w:rsidR="000E6BAE" w:rsidRDefault="00CD6463">
      <w:pPr>
        <w:pStyle w:val="2"/>
        <w:spacing w:before="29" w:after="0" w:line="288" w:lineRule="auto"/>
        <w:rPr>
          <w:rFonts w:eastAsiaTheme="minorEastAsia"/>
        </w:rPr>
      </w:pPr>
      <w:bookmarkStart w:id="134" w:name="_Toc361324881"/>
      <w:bookmarkStart w:id="135" w:name="_Toc31929"/>
      <w:r>
        <w:rPr>
          <w:rFonts w:eastAsiaTheme="minorEastAsia"/>
        </w:rPr>
        <w:t>8.3</w:t>
      </w:r>
      <w:r>
        <w:rPr>
          <w:rFonts w:eastAsiaTheme="minorEastAsia" w:hint="eastAsia"/>
        </w:rPr>
        <w:t>期末按公允价值占基金资产净值比例大小排序的所有股票投资明细</w:t>
      </w:r>
      <w:bookmarkEnd w:id="134"/>
      <w:bookmarkEnd w:id="135"/>
    </w:p>
    <w:p w:rsidR="000E6BAE" w:rsidRDefault="00CD6463">
      <w:pPr>
        <w:tabs>
          <w:tab w:val="left" w:pos="426"/>
        </w:tabs>
        <w:spacing w:before="29" w:line="288" w:lineRule="auto"/>
        <w:jc w:val="left"/>
        <w:rPr>
          <w:kern w:val="0"/>
          <w:sz w:val="24"/>
        </w:rPr>
      </w:pPr>
      <w:r>
        <w:rPr>
          <w:kern w:val="0"/>
          <w:sz w:val="24"/>
        </w:rPr>
        <w:t>本基金本报告期末未持有股票。</w:t>
      </w:r>
      <w:r>
        <w:rPr>
          <w:rFonts w:hint="eastAsia"/>
          <w:kern w:val="0"/>
          <w:sz w:val="24"/>
        </w:rPr>
        <w:br/>
      </w:r>
    </w:p>
    <w:p w:rsidR="000E6BAE" w:rsidRDefault="00CD6463">
      <w:pPr>
        <w:pStyle w:val="2"/>
        <w:spacing w:before="29" w:after="0" w:line="288" w:lineRule="auto"/>
        <w:rPr>
          <w:rFonts w:eastAsiaTheme="minorEastAsia"/>
        </w:rPr>
      </w:pPr>
      <w:bookmarkStart w:id="136" w:name="_Toc361324882"/>
      <w:bookmarkStart w:id="137" w:name="_Toc17347"/>
      <w:r>
        <w:rPr>
          <w:rFonts w:eastAsiaTheme="minorEastAsia"/>
        </w:rPr>
        <w:t>8.4</w:t>
      </w:r>
      <w:bookmarkStart w:id="138" w:name="_Toc234814103"/>
      <w:r>
        <w:rPr>
          <w:rFonts w:eastAsiaTheme="minorEastAsia" w:hint="eastAsia"/>
        </w:rPr>
        <w:t>报告期内股票投资组合的重大变动</w:t>
      </w:r>
      <w:bookmarkEnd w:id="136"/>
      <w:bookmarkEnd w:id="137"/>
      <w:bookmarkEnd w:id="138"/>
    </w:p>
    <w:p w:rsidR="000E6BAE" w:rsidRDefault="00CD6463">
      <w:pPr>
        <w:spacing w:before="29" w:line="288" w:lineRule="auto"/>
        <w:rPr>
          <w:kern w:val="0"/>
          <w:sz w:val="24"/>
        </w:rPr>
      </w:pPr>
      <w:r>
        <w:rPr>
          <w:kern w:val="0"/>
          <w:sz w:val="24"/>
        </w:rPr>
        <w:t>本基金本报告期内未持有股票。</w:t>
      </w:r>
      <w:r>
        <w:rPr>
          <w:rFonts w:hint="eastAsia"/>
          <w:kern w:val="0"/>
          <w:sz w:val="24"/>
        </w:rPr>
        <w:br/>
      </w:r>
    </w:p>
    <w:p w:rsidR="000E6BAE" w:rsidRDefault="00CD6463">
      <w:pPr>
        <w:pStyle w:val="2"/>
        <w:spacing w:before="29" w:after="0" w:line="288" w:lineRule="auto"/>
        <w:rPr>
          <w:rFonts w:eastAsiaTheme="minorEastAsia"/>
        </w:rPr>
      </w:pPr>
      <w:bookmarkStart w:id="139" w:name="_Toc234814104"/>
      <w:bookmarkStart w:id="140" w:name="_Toc361324883"/>
      <w:bookmarkStart w:id="141" w:name="_Toc3905"/>
      <w:r>
        <w:rPr>
          <w:rFonts w:eastAsiaTheme="minorEastAsia"/>
        </w:rPr>
        <w:t>8.5</w:t>
      </w:r>
      <w:r>
        <w:rPr>
          <w:rFonts w:eastAsiaTheme="minorEastAsia" w:hint="eastAsia"/>
        </w:rPr>
        <w:t>期末按债券品种分类的债券投资组合</w:t>
      </w:r>
      <w:bookmarkEnd w:id="139"/>
      <w:bookmarkEnd w:id="140"/>
      <w:bookmarkEnd w:id="141"/>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349"/>
        <w:gridCol w:w="1754"/>
      </w:tblGrid>
      <w:tr w:rsidR="000E6BAE">
        <w:trPr>
          <w:jc w:val="center"/>
        </w:trPr>
        <w:tc>
          <w:tcPr>
            <w:tcW w:w="817"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序号</w:t>
            </w:r>
          </w:p>
        </w:tc>
        <w:tc>
          <w:tcPr>
            <w:tcW w:w="326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债券品种</w:t>
            </w:r>
          </w:p>
        </w:tc>
        <w:tc>
          <w:tcPr>
            <w:tcW w:w="3349"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公允价值</w:t>
            </w:r>
          </w:p>
        </w:tc>
        <w:tc>
          <w:tcPr>
            <w:tcW w:w="1754"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color w:val="000000"/>
                <w:sz w:val="24"/>
              </w:rPr>
              <w:t>占基金资产净值比例</w:t>
            </w:r>
            <w:r>
              <w:rPr>
                <w:sz w:val="24"/>
              </w:rPr>
              <w:t>（</w:t>
            </w:r>
            <w:r>
              <w:rPr>
                <w:color w:val="000000"/>
                <w:sz w:val="24"/>
              </w:rPr>
              <w:t>％</w:t>
            </w:r>
            <w:r>
              <w:rPr>
                <w:sz w:val="24"/>
              </w:rPr>
              <w:t>）</w:t>
            </w:r>
          </w:p>
        </w:tc>
      </w:tr>
      <w:tr w:rsidR="000E6BAE">
        <w:trPr>
          <w:jc w:val="center"/>
        </w:trPr>
        <w:tc>
          <w:tcPr>
            <w:tcW w:w="817" w:type="dxa"/>
            <w:vAlign w:val="center"/>
          </w:tcPr>
          <w:p w:rsidR="000E6BAE" w:rsidRDefault="00CD6463">
            <w:pPr>
              <w:spacing w:before="29" w:line="288" w:lineRule="auto"/>
              <w:ind w:left="17"/>
              <w:jc w:val="center"/>
              <w:rPr>
                <w:color w:val="000000"/>
                <w:sz w:val="24"/>
              </w:rPr>
            </w:pPr>
            <w:r>
              <w:rPr>
                <w:color w:val="000000"/>
                <w:sz w:val="24"/>
              </w:rPr>
              <w:t>1</w:t>
            </w:r>
          </w:p>
        </w:tc>
        <w:tc>
          <w:tcPr>
            <w:tcW w:w="3260" w:type="dxa"/>
            <w:vAlign w:val="center"/>
          </w:tcPr>
          <w:p w:rsidR="000E6BAE" w:rsidRDefault="00CD6463">
            <w:pPr>
              <w:spacing w:before="29" w:line="288" w:lineRule="auto"/>
              <w:ind w:left="17"/>
              <w:rPr>
                <w:color w:val="000000"/>
                <w:sz w:val="24"/>
              </w:rPr>
            </w:pPr>
            <w:r>
              <w:rPr>
                <w:rFonts w:hint="eastAsia"/>
                <w:color w:val="000000"/>
                <w:sz w:val="24"/>
              </w:rPr>
              <w:t>国家债券</w:t>
            </w:r>
          </w:p>
        </w:tc>
        <w:tc>
          <w:tcPr>
            <w:tcW w:w="3349" w:type="dxa"/>
            <w:vAlign w:val="center"/>
          </w:tcPr>
          <w:p w:rsidR="000E6BAE" w:rsidRDefault="00CD6463">
            <w:pPr>
              <w:spacing w:before="29" w:line="288" w:lineRule="auto"/>
              <w:jc w:val="right"/>
              <w:rPr>
                <w:color w:val="000000"/>
                <w:kern w:val="0"/>
                <w:sz w:val="24"/>
              </w:rPr>
            </w:pPr>
            <w:r>
              <w:rPr>
                <w:color w:val="000000"/>
                <w:kern w:val="0"/>
                <w:sz w:val="24"/>
              </w:rPr>
              <w:t>-</w:t>
            </w:r>
          </w:p>
        </w:tc>
        <w:tc>
          <w:tcPr>
            <w:tcW w:w="1754"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jc w:val="center"/>
        </w:trPr>
        <w:tc>
          <w:tcPr>
            <w:tcW w:w="817" w:type="dxa"/>
            <w:vAlign w:val="center"/>
          </w:tcPr>
          <w:p w:rsidR="000E6BAE" w:rsidRDefault="00CD6463">
            <w:pPr>
              <w:spacing w:before="29" w:line="288" w:lineRule="auto"/>
              <w:ind w:left="17"/>
              <w:jc w:val="center"/>
              <w:rPr>
                <w:color w:val="000000"/>
                <w:sz w:val="24"/>
              </w:rPr>
            </w:pPr>
            <w:r>
              <w:rPr>
                <w:color w:val="000000"/>
                <w:sz w:val="24"/>
              </w:rPr>
              <w:t>2</w:t>
            </w:r>
          </w:p>
        </w:tc>
        <w:tc>
          <w:tcPr>
            <w:tcW w:w="3260" w:type="dxa"/>
            <w:vAlign w:val="center"/>
          </w:tcPr>
          <w:p w:rsidR="000E6BAE" w:rsidRDefault="00CD6463">
            <w:pPr>
              <w:spacing w:before="29" w:line="288" w:lineRule="auto"/>
              <w:ind w:left="17"/>
              <w:rPr>
                <w:color w:val="000000"/>
                <w:sz w:val="24"/>
              </w:rPr>
            </w:pPr>
            <w:r>
              <w:rPr>
                <w:rFonts w:hint="eastAsia"/>
                <w:color w:val="000000"/>
                <w:sz w:val="24"/>
              </w:rPr>
              <w:t>央行票据</w:t>
            </w:r>
          </w:p>
        </w:tc>
        <w:tc>
          <w:tcPr>
            <w:tcW w:w="3349" w:type="dxa"/>
            <w:vAlign w:val="center"/>
          </w:tcPr>
          <w:p w:rsidR="000E6BAE" w:rsidRDefault="00CD6463">
            <w:pPr>
              <w:spacing w:before="29" w:line="288" w:lineRule="auto"/>
              <w:jc w:val="right"/>
              <w:rPr>
                <w:color w:val="000000"/>
                <w:kern w:val="0"/>
                <w:sz w:val="24"/>
              </w:rPr>
            </w:pPr>
            <w:r>
              <w:rPr>
                <w:color w:val="000000"/>
                <w:kern w:val="0"/>
                <w:sz w:val="24"/>
              </w:rPr>
              <w:t>-</w:t>
            </w:r>
          </w:p>
        </w:tc>
        <w:tc>
          <w:tcPr>
            <w:tcW w:w="1754"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jc w:val="center"/>
        </w:trPr>
        <w:tc>
          <w:tcPr>
            <w:tcW w:w="817" w:type="dxa"/>
            <w:vAlign w:val="center"/>
          </w:tcPr>
          <w:p w:rsidR="000E6BAE" w:rsidRDefault="00CD6463">
            <w:pPr>
              <w:spacing w:before="29" w:line="288" w:lineRule="auto"/>
              <w:ind w:left="17"/>
              <w:jc w:val="center"/>
              <w:rPr>
                <w:color w:val="000000"/>
                <w:sz w:val="24"/>
              </w:rPr>
            </w:pPr>
            <w:r>
              <w:rPr>
                <w:color w:val="000000"/>
                <w:sz w:val="24"/>
              </w:rPr>
              <w:t>3</w:t>
            </w:r>
          </w:p>
        </w:tc>
        <w:tc>
          <w:tcPr>
            <w:tcW w:w="3260" w:type="dxa"/>
            <w:vAlign w:val="center"/>
          </w:tcPr>
          <w:p w:rsidR="000E6BAE" w:rsidRDefault="00CD6463">
            <w:pPr>
              <w:spacing w:before="29" w:line="288" w:lineRule="auto"/>
              <w:ind w:left="17"/>
              <w:rPr>
                <w:color w:val="000000"/>
                <w:sz w:val="24"/>
              </w:rPr>
            </w:pPr>
            <w:r>
              <w:rPr>
                <w:rFonts w:hint="eastAsia"/>
                <w:color w:val="000000"/>
                <w:sz w:val="24"/>
              </w:rPr>
              <w:t>金融债券</w:t>
            </w:r>
          </w:p>
        </w:tc>
        <w:tc>
          <w:tcPr>
            <w:tcW w:w="3349" w:type="dxa"/>
            <w:vAlign w:val="center"/>
          </w:tcPr>
          <w:p w:rsidR="000E6BAE" w:rsidRDefault="00CD6463">
            <w:pPr>
              <w:spacing w:before="29" w:line="288" w:lineRule="auto"/>
              <w:jc w:val="right"/>
              <w:rPr>
                <w:color w:val="000000"/>
                <w:kern w:val="0"/>
                <w:sz w:val="24"/>
              </w:rPr>
            </w:pPr>
            <w:r>
              <w:rPr>
                <w:color w:val="000000"/>
                <w:kern w:val="0"/>
                <w:sz w:val="24"/>
              </w:rPr>
              <w:t>1,489,772,000.00</w:t>
            </w:r>
          </w:p>
        </w:tc>
        <w:tc>
          <w:tcPr>
            <w:tcW w:w="1754" w:type="dxa"/>
            <w:vAlign w:val="center"/>
          </w:tcPr>
          <w:p w:rsidR="000E6BAE" w:rsidRDefault="00CD6463">
            <w:pPr>
              <w:spacing w:before="29" w:line="288" w:lineRule="auto"/>
              <w:jc w:val="right"/>
              <w:rPr>
                <w:color w:val="000000"/>
                <w:kern w:val="0"/>
                <w:sz w:val="24"/>
              </w:rPr>
            </w:pPr>
            <w:r>
              <w:rPr>
                <w:color w:val="000000"/>
                <w:kern w:val="0"/>
                <w:sz w:val="24"/>
              </w:rPr>
              <w:t>110.52</w:t>
            </w:r>
          </w:p>
        </w:tc>
      </w:tr>
      <w:tr w:rsidR="000E6BAE">
        <w:trPr>
          <w:jc w:val="center"/>
        </w:trPr>
        <w:tc>
          <w:tcPr>
            <w:tcW w:w="817" w:type="dxa"/>
            <w:vAlign w:val="center"/>
          </w:tcPr>
          <w:p w:rsidR="000E6BAE" w:rsidRDefault="000E6BAE">
            <w:pPr>
              <w:spacing w:before="29" w:line="288" w:lineRule="auto"/>
              <w:ind w:left="17"/>
              <w:jc w:val="center"/>
              <w:rPr>
                <w:color w:val="000000"/>
                <w:sz w:val="24"/>
              </w:rPr>
            </w:pPr>
          </w:p>
        </w:tc>
        <w:tc>
          <w:tcPr>
            <w:tcW w:w="3260" w:type="dxa"/>
            <w:vAlign w:val="center"/>
          </w:tcPr>
          <w:p w:rsidR="000E6BAE" w:rsidRDefault="00CD6463">
            <w:pPr>
              <w:spacing w:before="29" w:line="288" w:lineRule="auto"/>
              <w:ind w:left="17"/>
              <w:rPr>
                <w:color w:val="000000"/>
                <w:sz w:val="24"/>
              </w:rPr>
            </w:pPr>
            <w:r>
              <w:rPr>
                <w:rFonts w:hint="eastAsia"/>
                <w:color w:val="000000"/>
                <w:sz w:val="24"/>
              </w:rPr>
              <w:t>其中：政策性金融债</w:t>
            </w:r>
          </w:p>
        </w:tc>
        <w:tc>
          <w:tcPr>
            <w:tcW w:w="3349" w:type="dxa"/>
            <w:vAlign w:val="center"/>
          </w:tcPr>
          <w:p w:rsidR="000E6BAE" w:rsidRDefault="00CD6463">
            <w:pPr>
              <w:spacing w:before="29" w:line="288" w:lineRule="auto"/>
              <w:jc w:val="right"/>
              <w:rPr>
                <w:color w:val="000000"/>
                <w:kern w:val="0"/>
                <w:sz w:val="24"/>
              </w:rPr>
            </w:pPr>
            <w:r>
              <w:rPr>
                <w:color w:val="000000"/>
                <w:kern w:val="0"/>
                <w:sz w:val="24"/>
              </w:rPr>
              <w:t>1,489,772,000.00</w:t>
            </w:r>
          </w:p>
        </w:tc>
        <w:tc>
          <w:tcPr>
            <w:tcW w:w="1754" w:type="dxa"/>
            <w:vAlign w:val="center"/>
          </w:tcPr>
          <w:p w:rsidR="000E6BAE" w:rsidRDefault="00CD6463">
            <w:pPr>
              <w:spacing w:before="29" w:line="288" w:lineRule="auto"/>
              <w:jc w:val="right"/>
              <w:rPr>
                <w:color w:val="000000"/>
                <w:kern w:val="0"/>
                <w:sz w:val="24"/>
              </w:rPr>
            </w:pPr>
            <w:r>
              <w:rPr>
                <w:color w:val="000000"/>
                <w:kern w:val="0"/>
                <w:sz w:val="24"/>
              </w:rPr>
              <w:t>110.52</w:t>
            </w:r>
          </w:p>
        </w:tc>
      </w:tr>
      <w:tr w:rsidR="000E6BAE">
        <w:trPr>
          <w:jc w:val="center"/>
        </w:trPr>
        <w:tc>
          <w:tcPr>
            <w:tcW w:w="817" w:type="dxa"/>
            <w:vAlign w:val="center"/>
          </w:tcPr>
          <w:p w:rsidR="000E6BAE" w:rsidRDefault="00CD6463">
            <w:pPr>
              <w:spacing w:before="29" w:line="288" w:lineRule="auto"/>
              <w:ind w:left="17"/>
              <w:jc w:val="center"/>
              <w:rPr>
                <w:color w:val="000000"/>
                <w:sz w:val="24"/>
              </w:rPr>
            </w:pPr>
            <w:r>
              <w:rPr>
                <w:color w:val="000000"/>
                <w:sz w:val="24"/>
              </w:rPr>
              <w:t>4</w:t>
            </w:r>
          </w:p>
        </w:tc>
        <w:tc>
          <w:tcPr>
            <w:tcW w:w="3260" w:type="dxa"/>
            <w:vAlign w:val="center"/>
          </w:tcPr>
          <w:p w:rsidR="000E6BAE" w:rsidRDefault="00CD6463">
            <w:pPr>
              <w:spacing w:before="29" w:line="288" w:lineRule="auto"/>
              <w:ind w:left="17"/>
              <w:rPr>
                <w:color w:val="000000"/>
                <w:sz w:val="24"/>
              </w:rPr>
            </w:pPr>
            <w:r>
              <w:rPr>
                <w:rFonts w:hint="eastAsia"/>
                <w:color w:val="000000"/>
                <w:sz w:val="24"/>
              </w:rPr>
              <w:t>企业债券</w:t>
            </w:r>
          </w:p>
        </w:tc>
        <w:tc>
          <w:tcPr>
            <w:tcW w:w="3349" w:type="dxa"/>
            <w:vAlign w:val="center"/>
          </w:tcPr>
          <w:p w:rsidR="000E6BAE" w:rsidRDefault="00CD6463">
            <w:pPr>
              <w:spacing w:before="29" w:line="288" w:lineRule="auto"/>
              <w:jc w:val="right"/>
              <w:rPr>
                <w:color w:val="000000"/>
                <w:kern w:val="0"/>
                <w:sz w:val="24"/>
              </w:rPr>
            </w:pPr>
            <w:r>
              <w:rPr>
                <w:color w:val="000000"/>
                <w:kern w:val="0"/>
                <w:sz w:val="24"/>
              </w:rPr>
              <w:t>-</w:t>
            </w:r>
          </w:p>
        </w:tc>
        <w:tc>
          <w:tcPr>
            <w:tcW w:w="1754"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jc w:val="center"/>
        </w:trPr>
        <w:tc>
          <w:tcPr>
            <w:tcW w:w="817" w:type="dxa"/>
            <w:vAlign w:val="center"/>
          </w:tcPr>
          <w:p w:rsidR="000E6BAE" w:rsidRDefault="00CD6463">
            <w:pPr>
              <w:spacing w:before="29" w:line="288" w:lineRule="auto"/>
              <w:ind w:left="17"/>
              <w:jc w:val="center"/>
              <w:rPr>
                <w:color w:val="000000"/>
                <w:sz w:val="24"/>
              </w:rPr>
            </w:pPr>
            <w:r>
              <w:rPr>
                <w:color w:val="000000"/>
                <w:sz w:val="24"/>
              </w:rPr>
              <w:t>5</w:t>
            </w:r>
          </w:p>
        </w:tc>
        <w:tc>
          <w:tcPr>
            <w:tcW w:w="3260" w:type="dxa"/>
            <w:vAlign w:val="center"/>
          </w:tcPr>
          <w:p w:rsidR="000E6BAE" w:rsidRDefault="00CD6463">
            <w:pPr>
              <w:spacing w:before="29" w:line="288" w:lineRule="auto"/>
              <w:ind w:left="17"/>
              <w:rPr>
                <w:color w:val="000000"/>
                <w:sz w:val="24"/>
              </w:rPr>
            </w:pPr>
            <w:r>
              <w:rPr>
                <w:rFonts w:hint="eastAsia"/>
                <w:color w:val="000000"/>
                <w:sz w:val="24"/>
              </w:rPr>
              <w:t>企业短期融资券</w:t>
            </w:r>
          </w:p>
        </w:tc>
        <w:tc>
          <w:tcPr>
            <w:tcW w:w="3349" w:type="dxa"/>
            <w:vAlign w:val="center"/>
          </w:tcPr>
          <w:p w:rsidR="000E6BAE" w:rsidRDefault="00CD6463">
            <w:pPr>
              <w:spacing w:before="29" w:line="288" w:lineRule="auto"/>
              <w:jc w:val="right"/>
              <w:rPr>
                <w:color w:val="000000"/>
                <w:kern w:val="0"/>
                <w:sz w:val="24"/>
              </w:rPr>
            </w:pPr>
            <w:r>
              <w:rPr>
                <w:color w:val="000000"/>
                <w:kern w:val="0"/>
                <w:sz w:val="24"/>
              </w:rPr>
              <w:t>-</w:t>
            </w:r>
          </w:p>
        </w:tc>
        <w:tc>
          <w:tcPr>
            <w:tcW w:w="1754"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jc w:val="center"/>
        </w:trPr>
        <w:tc>
          <w:tcPr>
            <w:tcW w:w="817" w:type="dxa"/>
            <w:vAlign w:val="center"/>
          </w:tcPr>
          <w:p w:rsidR="000E6BAE" w:rsidRDefault="00CD6463">
            <w:pPr>
              <w:spacing w:before="29" w:line="288" w:lineRule="auto"/>
              <w:ind w:left="17"/>
              <w:jc w:val="center"/>
              <w:rPr>
                <w:color w:val="000000"/>
                <w:sz w:val="24"/>
              </w:rPr>
            </w:pPr>
            <w:r>
              <w:rPr>
                <w:color w:val="000000"/>
                <w:sz w:val="24"/>
              </w:rPr>
              <w:t>6</w:t>
            </w:r>
          </w:p>
        </w:tc>
        <w:tc>
          <w:tcPr>
            <w:tcW w:w="3260" w:type="dxa"/>
            <w:vAlign w:val="center"/>
          </w:tcPr>
          <w:p w:rsidR="000E6BAE" w:rsidRDefault="00CD6463">
            <w:pPr>
              <w:spacing w:before="29" w:line="288" w:lineRule="auto"/>
              <w:ind w:left="17"/>
              <w:rPr>
                <w:color w:val="000000"/>
                <w:sz w:val="24"/>
              </w:rPr>
            </w:pPr>
            <w:r>
              <w:rPr>
                <w:rFonts w:hint="eastAsia"/>
                <w:color w:val="000000"/>
                <w:sz w:val="24"/>
              </w:rPr>
              <w:t>中期票据</w:t>
            </w:r>
          </w:p>
        </w:tc>
        <w:tc>
          <w:tcPr>
            <w:tcW w:w="3349" w:type="dxa"/>
            <w:vAlign w:val="center"/>
          </w:tcPr>
          <w:p w:rsidR="000E6BAE" w:rsidRDefault="00CD6463">
            <w:pPr>
              <w:spacing w:before="29" w:line="288" w:lineRule="auto"/>
              <w:jc w:val="right"/>
              <w:rPr>
                <w:color w:val="000000"/>
                <w:kern w:val="0"/>
                <w:sz w:val="24"/>
              </w:rPr>
            </w:pPr>
            <w:r>
              <w:rPr>
                <w:color w:val="000000"/>
                <w:kern w:val="0"/>
                <w:sz w:val="24"/>
              </w:rPr>
              <w:t>-</w:t>
            </w:r>
          </w:p>
        </w:tc>
        <w:tc>
          <w:tcPr>
            <w:tcW w:w="1754"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jc w:val="center"/>
        </w:trPr>
        <w:tc>
          <w:tcPr>
            <w:tcW w:w="817" w:type="dxa"/>
            <w:vAlign w:val="center"/>
          </w:tcPr>
          <w:p w:rsidR="000E6BAE" w:rsidRDefault="00CD6463">
            <w:pPr>
              <w:spacing w:before="29" w:line="288" w:lineRule="auto"/>
              <w:ind w:left="17"/>
              <w:jc w:val="center"/>
              <w:rPr>
                <w:color w:val="000000"/>
                <w:sz w:val="24"/>
              </w:rPr>
            </w:pPr>
            <w:r>
              <w:rPr>
                <w:color w:val="000000"/>
                <w:sz w:val="24"/>
              </w:rPr>
              <w:t>7</w:t>
            </w:r>
          </w:p>
        </w:tc>
        <w:tc>
          <w:tcPr>
            <w:tcW w:w="3260" w:type="dxa"/>
            <w:vAlign w:val="center"/>
          </w:tcPr>
          <w:p w:rsidR="000E6BAE" w:rsidRDefault="00CD6463">
            <w:pPr>
              <w:spacing w:before="29" w:line="288" w:lineRule="auto"/>
              <w:ind w:left="17"/>
              <w:rPr>
                <w:color w:val="000000"/>
                <w:sz w:val="24"/>
              </w:rPr>
            </w:pPr>
            <w:r>
              <w:rPr>
                <w:rFonts w:hint="eastAsia"/>
                <w:color w:val="000000"/>
                <w:sz w:val="24"/>
              </w:rPr>
              <w:t>可转债</w:t>
            </w:r>
            <w:r>
              <w:rPr>
                <w:rFonts w:hint="eastAsia"/>
                <w:sz w:val="24"/>
              </w:rPr>
              <w:t>（可交换债）</w:t>
            </w:r>
          </w:p>
        </w:tc>
        <w:tc>
          <w:tcPr>
            <w:tcW w:w="3349" w:type="dxa"/>
            <w:vAlign w:val="center"/>
          </w:tcPr>
          <w:p w:rsidR="000E6BAE" w:rsidRDefault="00CD6463">
            <w:pPr>
              <w:spacing w:before="29" w:line="288" w:lineRule="auto"/>
              <w:jc w:val="right"/>
              <w:rPr>
                <w:color w:val="000000"/>
                <w:kern w:val="0"/>
                <w:sz w:val="24"/>
              </w:rPr>
            </w:pPr>
            <w:r>
              <w:rPr>
                <w:color w:val="000000"/>
                <w:kern w:val="0"/>
                <w:sz w:val="24"/>
              </w:rPr>
              <w:t>-</w:t>
            </w:r>
          </w:p>
        </w:tc>
        <w:tc>
          <w:tcPr>
            <w:tcW w:w="1754"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jc w:val="center"/>
        </w:trPr>
        <w:tc>
          <w:tcPr>
            <w:tcW w:w="817" w:type="dxa"/>
            <w:vAlign w:val="center"/>
          </w:tcPr>
          <w:p w:rsidR="000E6BAE" w:rsidRDefault="00CD6463">
            <w:pPr>
              <w:spacing w:before="29" w:line="288" w:lineRule="auto"/>
              <w:ind w:left="17"/>
              <w:jc w:val="center"/>
              <w:rPr>
                <w:color w:val="000000"/>
                <w:sz w:val="24"/>
              </w:rPr>
            </w:pPr>
            <w:r>
              <w:rPr>
                <w:color w:val="000000"/>
                <w:sz w:val="24"/>
              </w:rPr>
              <w:t>8</w:t>
            </w:r>
          </w:p>
        </w:tc>
        <w:tc>
          <w:tcPr>
            <w:tcW w:w="3260" w:type="dxa"/>
            <w:vAlign w:val="center"/>
          </w:tcPr>
          <w:p w:rsidR="000E6BAE" w:rsidRDefault="00CD6463">
            <w:pPr>
              <w:spacing w:before="29" w:line="288" w:lineRule="auto"/>
              <w:ind w:left="17"/>
              <w:rPr>
                <w:color w:val="000000"/>
                <w:sz w:val="24"/>
              </w:rPr>
            </w:pPr>
            <w:r>
              <w:rPr>
                <w:rFonts w:hint="eastAsia"/>
                <w:color w:val="000000"/>
                <w:sz w:val="24"/>
              </w:rPr>
              <w:t>同业存单</w:t>
            </w:r>
          </w:p>
        </w:tc>
        <w:tc>
          <w:tcPr>
            <w:tcW w:w="3349" w:type="dxa"/>
            <w:vAlign w:val="center"/>
          </w:tcPr>
          <w:p w:rsidR="000E6BAE" w:rsidRDefault="00CD6463">
            <w:pPr>
              <w:spacing w:before="29" w:line="288" w:lineRule="auto"/>
              <w:jc w:val="right"/>
              <w:rPr>
                <w:color w:val="000000"/>
                <w:kern w:val="0"/>
                <w:sz w:val="24"/>
              </w:rPr>
            </w:pPr>
            <w:r>
              <w:rPr>
                <w:rFonts w:hint="eastAsia"/>
                <w:color w:val="000000"/>
                <w:kern w:val="0"/>
                <w:sz w:val="24"/>
              </w:rPr>
              <w:t>-</w:t>
            </w:r>
          </w:p>
        </w:tc>
        <w:tc>
          <w:tcPr>
            <w:tcW w:w="1754" w:type="dxa"/>
            <w:vAlign w:val="center"/>
          </w:tcPr>
          <w:p w:rsidR="000E6BAE" w:rsidRDefault="00CD6463">
            <w:pPr>
              <w:spacing w:before="29" w:line="288" w:lineRule="auto"/>
              <w:jc w:val="right"/>
              <w:rPr>
                <w:color w:val="000000"/>
                <w:kern w:val="0"/>
                <w:sz w:val="24"/>
              </w:rPr>
            </w:pPr>
            <w:r>
              <w:rPr>
                <w:rFonts w:hint="eastAsia"/>
                <w:color w:val="000000"/>
                <w:kern w:val="0"/>
                <w:sz w:val="24"/>
              </w:rPr>
              <w:t>-</w:t>
            </w:r>
          </w:p>
        </w:tc>
      </w:tr>
      <w:tr w:rsidR="000E6BAE">
        <w:trPr>
          <w:jc w:val="center"/>
        </w:trPr>
        <w:tc>
          <w:tcPr>
            <w:tcW w:w="817" w:type="dxa"/>
            <w:vAlign w:val="center"/>
          </w:tcPr>
          <w:p w:rsidR="000E6BAE" w:rsidRDefault="00CD6463">
            <w:pPr>
              <w:spacing w:before="29" w:line="288" w:lineRule="auto"/>
              <w:ind w:left="17"/>
              <w:jc w:val="center"/>
              <w:rPr>
                <w:color w:val="000000"/>
                <w:sz w:val="24"/>
              </w:rPr>
            </w:pPr>
            <w:r>
              <w:rPr>
                <w:color w:val="000000"/>
                <w:sz w:val="24"/>
              </w:rPr>
              <w:t>9</w:t>
            </w:r>
          </w:p>
        </w:tc>
        <w:tc>
          <w:tcPr>
            <w:tcW w:w="3260" w:type="dxa"/>
            <w:vAlign w:val="center"/>
          </w:tcPr>
          <w:p w:rsidR="000E6BAE" w:rsidRDefault="00CD6463">
            <w:pPr>
              <w:spacing w:before="29" w:line="288" w:lineRule="auto"/>
              <w:ind w:left="17"/>
              <w:rPr>
                <w:color w:val="000000"/>
                <w:sz w:val="24"/>
              </w:rPr>
            </w:pPr>
            <w:r>
              <w:rPr>
                <w:rFonts w:hint="eastAsia"/>
                <w:color w:val="000000"/>
                <w:sz w:val="24"/>
              </w:rPr>
              <w:t>其他</w:t>
            </w:r>
          </w:p>
        </w:tc>
        <w:tc>
          <w:tcPr>
            <w:tcW w:w="3349" w:type="dxa"/>
            <w:vAlign w:val="center"/>
          </w:tcPr>
          <w:p w:rsidR="000E6BAE" w:rsidRDefault="00CD6463">
            <w:pPr>
              <w:spacing w:before="29" w:line="288" w:lineRule="auto"/>
              <w:jc w:val="right"/>
              <w:rPr>
                <w:color w:val="000000"/>
                <w:kern w:val="0"/>
                <w:sz w:val="24"/>
              </w:rPr>
            </w:pPr>
            <w:r>
              <w:rPr>
                <w:color w:val="000000"/>
                <w:kern w:val="0"/>
                <w:sz w:val="24"/>
              </w:rPr>
              <w:t>-</w:t>
            </w:r>
          </w:p>
        </w:tc>
        <w:tc>
          <w:tcPr>
            <w:tcW w:w="1754"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rPr>
          <w:jc w:val="center"/>
        </w:trPr>
        <w:tc>
          <w:tcPr>
            <w:tcW w:w="817" w:type="dxa"/>
            <w:vAlign w:val="center"/>
          </w:tcPr>
          <w:p w:rsidR="000E6BAE" w:rsidRDefault="00CD6463">
            <w:pPr>
              <w:spacing w:before="29" w:line="288" w:lineRule="auto"/>
              <w:ind w:left="17"/>
              <w:jc w:val="center"/>
              <w:rPr>
                <w:color w:val="000000"/>
                <w:sz w:val="24"/>
              </w:rPr>
            </w:pPr>
            <w:r>
              <w:rPr>
                <w:color w:val="000000"/>
                <w:sz w:val="24"/>
              </w:rPr>
              <w:t>10</w:t>
            </w:r>
          </w:p>
        </w:tc>
        <w:tc>
          <w:tcPr>
            <w:tcW w:w="3260" w:type="dxa"/>
            <w:vAlign w:val="center"/>
          </w:tcPr>
          <w:p w:rsidR="000E6BAE" w:rsidRDefault="00CD6463">
            <w:pPr>
              <w:spacing w:before="29" w:line="288" w:lineRule="auto"/>
              <w:ind w:left="17"/>
              <w:rPr>
                <w:color w:val="000000"/>
                <w:sz w:val="24"/>
              </w:rPr>
            </w:pPr>
            <w:r>
              <w:rPr>
                <w:rFonts w:hint="eastAsia"/>
                <w:color w:val="000000"/>
                <w:sz w:val="24"/>
              </w:rPr>
              <w:t>合计</w:t>
            </w:r>
          </w:p>
        </w:tc>
        <w:tc>
          <w:tcPr>
            <w:tcW w:w="3349" w:type="dxa"/>
            <w:vAlign w:val="center"/>
          </w:tcPr>
          <w:p w:rsidR="000E6BAE" w:rsidRDefault="00CD6463">
            <w:pPr>
              <w:spacing w:before="29" w:line="288" w:lineRule="auto"/>
              <w:jc w:val="right"/>
              <w:rPr>
                <w:color w:val="000000"/>
                <w:kern w:val="0"/>
                <w:sz w:val="24"/>
              </w:rPr>
            </w:pPr>
            <w:r>
              <w:rPr>
                <w:color w:val="000000"/>
                <w:kern w:val="0"/>
                <w:sz w:val="24"/>
              </w:rPr>
              <w:t>1,489,772,000.00</w:t>
            </w:r>
          </w:p>
        </w:tc>
        <w:tc>
          <w:tcPr>
            <w:tcW w:w="1754" w:type="dxa"/>
            <w:vAlign w:val="center"/>
          </w:tcPr>
          <w:p w:rsidR="000E6BAE" w:rsidRDefault="00CD6463">
            <w:pPr>
              <w:spacing w:before="29" w:line="288" w:lineRule="auto"/>
              <w:jc w:val="right"/>
              <w:rPr>
                <w:color w:val="000000"/>
                <w:kern w:val="0"/>
                <w:sz w:val="24"/>
              </w:rPr>
            </w:pPr>
            <w:r>
              <w:rPr>
                <w:color w:val="000000"/>
                <w:kern w:val="0"/>
                <w:sz w:val="24"/>
              </w:rPr>
              <w:t>110.52</w:t>
            </w:r>
          </w:p>
        </w:tc>
      </w:tr>
    </w:tbl>
    <w:p w:rsidR="000E6BAE" w:rsidRDefault="000E6BAE">
      <w:pPr>
        <w:pStyle w:val="af9"/>
        <w:spacing w:before="0" w:beforeAutospacing="0" w:after="0" w:afterAutospacing="0" w:line="360" w:lineRule="auto"/>
        <w:rPr>
          <w:rFonts w:asciiTheme="minorEastAsia" w:eastAsiaTheme="minorEastAsia" w:hAnsiTheme="minorEastAsia"/>
          <w:color w:val="000000"/>
          <w:sz w:val="21"/>
          <w:szCs w:val="21"/>
        </w:rPr>
      </w:pPr>
    </w:p>
    <w:p w:rsidR="000E6BAE" w:rsidRDefault="00CD6463">
      <w:pPr>
        <w:pStyle w:val="2"/>
        <w:spacing w:before="29" w:after="0" w:line="288" w:lineRule="auto"/>
        <w:rPr>
          <w:rFonts w:eastAsiaTheme="minorEastAsia"/>
        </w:rPr>
      </w:pPr>
      <w:bookmarkStart w:id="142" w:name="_Toc361324884"/>
      <w:bookmarkStart w:id="143" w:name="_Toc20450"/>
      <w:r>
        <w:rPr>
          <w:rFonts w:eastAsiaTheme="minorEastAsia"/>
        </w:rPr>
        <w:t>8.6</w:t>
      </w:r>
      <w:bookmarkStart w:id="144" w:name="_Toc234814105"/>
      <w:r>
        <w:rPr>
          <w:rFonts w:eastAsiaTheme="minorEastAsia" w:hint="eastAsia"/>
        </w:rPr>
        <w:t>期末按公允价值占基金资产净值比例大小排序的前五名债券投资明细</w:t>
      </w:r>
      <w:bookmarkEnd w:id="142"/>
      <w:bookmarkEnd w:id="143"/>
      <w:bookmarkEnd w:id="144"/>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774"/>
        <w:gridCol w:w="1282"/>
        <w:gridCol w:w="1763"/>
        <w:gridCol w:w="1843"/>
        <w:gridCol w:w="1493"/>
      </w:tblGrid>
      <w:tr w:rsidR="000E6BAE">
        <w:trPr>
          <w:jc w:val="center"/>
        </w:trPr>
        <w:tc>
          <w:tcPr>
            <w:tcW w:w="788"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序号</w:t>
            </w:r>
          </w:p>
        </w:tc>
        <w:tc>
          <w:tcPr>
            <w:tcW w:w="1774"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债券代码</w:t>
            </w:r>
          </w:p>
        </w:tc>
        <w:tc>
          <w:tcPr>
            <w:tcW w:w="1282"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债券名称</w:t>
            </w:r>
          </w:p>
        </w:tc>
        <w:tc>
          <w:tcPr>
            <w:tcW w:w="1763"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color w:val="000000"/>
                <w:kern w:val="0"/>
                <w:sz w:val="24"/>
              </w:rPr>
              <w:t>数量</w:t>
            </w:r>
            <w:r>
              <w:rPr>
                <w:sz w:val="24"/>
              </w:rPr>
              <w:t>（</w:t>
            </w:r>
            <w:r>
              <w:rPr>
                <w:color w:val="000000"/>
                <w:kern w:val="0"/>
                <w:sz w:val="24"/>
              </w:rPr>
              <w:t>张）</w:t>
            </w:r>
          </w:p>
        </w:tc>
        <w:tc>
          <w:tcPr>
            <w:tcW w:w="1843"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公允价值</w:t>
            </w:r>
          </w:p>
        </w:tc>
        <w:tc>
          <w:tcPr>
            <w:tcW w:w="1493"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color w:val="000000"/>
                <w:kern w:val="0"/>
                <w:sz w:val="24"/>
              </w:rPr>
              <w:t>占基金资产净值比例（％）</w:t>
            </w:r>
          </w:p>
        </w:tc>
      </w:tr>
      <w:tr w:rsidR="000E6BAE">
        <w:trPr>
          <w:jc w:val="center"/>
        </w:trPr>
        <w:tc>
          <w:tcPr>
            <w:tcW w:w="788" w:type="dxa"/>
            <w:vAlign w:val="center"/>
          </w:tcPr>
          <w:p w:rsidR="000E6BAE" w:rsidRDefault="00CD6463">
            <w:pPr>
              <w:jc w:val="center"/>
            </w:pPr>
            <w:r>
              <w:rPr>
                <w:color w:val="000000"/>
                <w:sz w:val="24"/>
              </w:rPr>
              <w:t>1</w:t>
            </w:r>
          </w:p>
        </w:tc>
        <w:tc>
          <w:tcPr>
            <w:tcW w:w="1774" w:type="dxa"/>
            <w:vAlign w:val="center"/>
          </w:tcPr>
          <w:p w:rsidR="000E6BAE" w:rsidRDefault="00CD6463">
            <w:pPr>
              <w:jc w:val="center"/>
            </w:pPr>
            <w:r>
              <w:rPr>
                <w:color w:val="000000"/>
                <w:sz w:val="24"/>
              </w:rPr>
              <w:t>190202</w:t>
            </w:r>
          </w:p>
        </w:tc>
        <w:tc>
          <w:tcPr>
            <w:tcW w:w="1282" w:type="dxa"/>
            <w:vAlign w:val="center"/>
          </w:tcPr>
          <w:p w:rsidR="000E6BAE" w:rsidRDefault="00CD6463">
            <w:pPr>
              <w:jc w:val="center"/>
            </w:pPr>
            <w:r>
              <w:rPr>
                <w:color w:val="000000"/>
                <w:sz w:val="24"/>
              </w:rPr>
              <w:t>19</w:t>
            </w:r>
            <w:r>
              <w:rPr>
                <w:color w:val="000000"/>
                <w:sz w:val="24"/>
              </w:rPr>
              <w:t>国开</w:t>
            </w:r>
            <w:r>
              <w:rPr>
                <w:color w:val="000000"/>
                <w:sz w:val="24"/>
              </w:rPr>
              <w:t>02</w:t>
            </w:r>
          </w:p>
        </w:tc>
        <w:tc>
          <w:tcPr>
            <w:tcW w:w="1763" w:type="dxa"/>
            <w:vAlign w:val="center"/>
          </w:tcPr>
          <w:p w:rsidR="000E6BAE" w:rsidRDefault="00CD6463">
            <w:pPr>
              <w:jc w:val="right"/>
            </w:pPr>
            <w:r>
              <w:rPr>
                <w:color w:val="000000"/>
                <w:sz w:val="24"/>
              </w:rPr>
              <w:t>3,700,000</w:t>
            </w:r>
          </w:p>
        </w:tc>
        <w:tc>
          <w:tcPr>
            <w:tcW w:w="1843" w:type="dxa"/>
            <w:vAlign w:val="center"/>
          </w:tcPr>
          <w:p w:rsidR="000E6BAE" w:rsidRDefault="00CD6463">
            <w:pPr>
              <w:jc w:val="right"/>
            </w:pPr>
            <w:r>
              <w:rPr>
                <w:color w:val="000000"/>
                <w:sz w:val="24"/>
              </w:rPr>
              <w:t>371,702,000.00</w:t>
            </w:r>
          </w:p>
        </w:tc>
        <w:tc>
          <w:tcPr>
            <w:tcW w:w="1493" w:type="dxa"/>
            <w:vAlign w:val="center"/>
          </w:tcPr>
          <w:p w:rsidR="000E6BAE" w:rsidRDefault="00CD6463">
            <w:pPr>
              <w:jc w:val="right"/>
            </w:pPr>
            <w:r>
              <w:rPr>
                <w:color w:val="000000"/>
                <w:sz w:val="24"/>
              </w:rPr>
              <w:t>27.58</w:t>
            </w:r>
          </w:p>
        </w:tc>
      </w:tr>
      <w:tr w:rsidR="000E6BAE">
        <w:trPr>
          <w:jc w:val="center"/>
        </w:trPr>
        <w:tc>
          <w:tcPr>
            <w:tcW w:w="788" w:type="dxa"/>
            <w:vAlign w:val="center"/>
          </w:tcPr>
          <w:p w:rsidR="000E6BAE" w:rsidRDefault="00CD6463">
            <w:pPr>
              <w:jc w:val="center"/>
            </w:pPr>
            <w:r>
              <w:rPr>
                <w:color w:val="000000"/>
                <w:sz w:val="24"/>
              </w:rPr>
              <w:t>2</w:t>
            </w:r>
          </w:p>
        </w:tc>
        <w:tc>
          <w:tcPr>
            <w:tcW w:w="1774" w:type="dxa"/>
            <w:vAlign w:val="center"/>
          </w:tcPr>
          <w:p w:rsidR="000E6BAE" w:rsidRDefault="00CD6463">
            <w:pPr>
              <w:jc w:val="center"/>
            </w:pPr>
            <w:r>
              <w:rPr>
                <w:color w:val="000000"/>
                <w:sz w:val="24"/>
              </w:rPr>
              <w:t>200402</w:t>
            </w:r>
          </w:p>
        </w:tc>
        <w:tc>
          <w:tcPr>
            <w:tcW w:w="1282" w:type="dxa"/>
            <w:vAlign w:val="center"/>
          </w:tcPr>
          <w:p w:rsidR="000E6BAE" w:rsidRDefault="00CD6463">
            <w:pPr>
              <w:jc w:val="center"/>
            </w:pPr>
            <w:r>
              <w:rPr>
                <w:color w:val="000000"/>
                <w:sz w:val="24"/>
              </w:rPr>
              <w:t>20</w:t>
            </w:r>
            <w:r>
              <w:rPr>
                <w:color w:val="000000"/>
                <w:sz w:val="24"/>
              </w:rPr>
              <w:t>农发</w:t>
            </w:r>
            <w:r>
              <w:rPr>
                <w:color w:val="000000"/>
                <w:sz w:val="24"/>
              </w:rPr>
              <w:t>02</w:t>
            </w:r>
          </w:p>
        </w:tc>
        <w:tc>
          <w:tcPr>
            <w:tcW w:w="1763" w:type="dxa"/>
            <w:vAlign w:val="center"/>
          </w:tcPr>
          <w:p w:rsidR="000E6BAE" w:rsidRDefault="00CD6463">
            <w:pPr>
              <w:jc w:val="right"/>
            </w:pPr>
            <w:r>
              <w:rPr>
                <w:color w:val="000000"/>
                <w:sz w:val="24"/>
              </w:rPr>
              <w:t>3,200,000</w:t>
            </w:r>
          </w:p>
        </w:tc>
        <w:tc>
          <w:tcPr>
            <w:tcW w:w="1843" w:type="dxa"/>
            <w:vAlign w:val="center"/>
          </w:tcPr>
          <w:p w:rsidR="000E6BAE" w:rsidRDefault="00CD6463">
            <w:pPr>
              <w:jc w:val="right"/>
            </w:pPr>
            <w:r>
              <w:rPr>
                <w:color w:val="000000"/>
                <w:sz w:val="24"/>
              </w:rPr>
              <w:t>314,624,000.00</w:t>
            </w:r>
          </w:p>
        </w:tc>
        <w:tc>
          <w:tcPr>
            <w:tcW w:w="1493" w:type="dxa"/>
            <w:vAlign w:val="center"/>
          </w:tcPr>
          <w:p w:rsidR="000E6BAE" w:rsidRDefault="00CD6463">
            <w:pPr>
              <w:jc w:val="right"/>
            </w:pPr>
            <w:r>
              <w:rPr>
                <w:color w:val="000000"/>
                <w:sz w:val="24"/>
              </w:rPr>
              <w:t>23.34</w:t>
            </w:r>
          </w:p>
        </w:tc>
      </w:tr>
      <w:tr w:rsidR="000E6BAE">
        <w:trPr>
          <w:jc w:val="center"/>
        </w:trPr>
        <w:tc>
          <w:tcPr>
            <w:tcW w:w="788" w:type="dxa"/>
            <w:vAlign w:val="center"/>
          </w:tcPr>
          <w:p w:rsidR="000E6BAE" w:rsidRDefault="00CD6463">
            <w:pPr>
              <w:jc w:val="center"/>
            </w:pPr>
            <w:r>
              <w:rPr>
                <w:color w:val="000000"/>
                <w:sz w:val="24"/>
              </w:rPr>
              <w:t>3</w:t>
            </w:r>
          </w:p>
        </w:tc>
        <w:tc>
          <w:tcPr>
            <w:tcW w:w="1774" w:type="dxa"/>
            <w:vAlign w:val="center"/>
          </w:tcPr>
          <w:p w:rsidR="000E6BAE" w:rsidRDefault="00CD6463">
            <w:pPr>
              <w:jc w:val="center"/>
            </w:pPr>
            <w:r>
              <w:rPr>
                <w:color w:val="000000"/>
                <w:sz w:val="24"/>
              </w:rPr>
              <w:t>190203</w:t>
            </w:r>
          </w:p>
        </w:tc>
        <w:tc>
          <w:tcPr>
            <w:tcW w:w="1282" w:type="dxa"/>
            <w:vAlign w:val="center"/>
          </w:tcPr>
          <w:p w:rsidR="000E6BAE" w:rsidRDefault="00CD6463">
            <w:pPr>
              <w:jc w:val="center"/>
            </w:pPr>
            <w:r>
              <w:rPr>
                <w:color w:val="000000"/>
                <w:sz w:val="24"/>
              </w:rPr>
              <w:t>19</w:t>
            </w:r>
            <w:r>
              <w:rPr>
                <w:color w:val="000000"/>
                <w:sz w:val="24"/>
              </w:rPr>
              <w:t>国开</w:t>
            </w:r>
            <w:r>
              <w:rPr>
                <w:color w:val="000000"/>
                <w:sz w:val="24"/>
              </w:rPr>
              <w:t>03</w:t>
            </w:r>
          </w:p>
        </w:tc>
        <w:tc>
          <w:tcPr>
            <w:tcW w:w="1763" w:type="dxa"/>
            <w:vAlign w:val="center"/>
          </w:tcPr>
          <w:p w:rsidR="000E6BAE" w:rsidRDefault="00CD6463">
            <w:pPr>
              <w:jc w:val="right"/>
            </w:pPr>
            <w:r>
              <w:rPr>
                <w:color w:val="000000"/>
                <w:sz w:val="24"/>
              </w:rPr>
              <w:t>1,600,000</w:t>
            </w:r>
          </w:p>
        </w:tc>
        <w:tc>
          <w:tcPr>
            <w:tcW w:w="1843" w:type="dxa"/>
            <w:vAlign w:val="center"/>
          </w:tcPr>
          <w:p w:rsidR="000E6BAE" w:rsidRDefault="00CD6463">
            <w:pPr>
              <w:jc w:val="right"/>
            </w:pPr>
            <w:r>
              <w:rPr>
                <w:color w:val="000000"/>
                <w:sz w:val="24"/>
              </w:rPr>
              <w:t>161,104,000.00</w:t>
            </w:r>
          </w:p>
        </w:tc>
        <w:tc>
          <w:tcPr>
            <w:tcW w:w="1493" w:type="dxa"/>
            <w:vAlign w:val="center"/>
          </w:tcPr>
          <w:p w:rsidR="000E6BAE" w:rsidRDefault="00CD6463">
            <w:pPr>
              <w:jc w:val="right"/>
            </w:pPr>
            <w:r>
              <w:rPr>
                <w:color w:val="000000"/>
                <w:sz w:val="24"/>
              </w:rPr>
              <w:t>11.95</w:t>
            </w:r>
          </w:p>
        </w:tc>
      </w:tr>
      <w:tr w:rsidR="000E6BAE">
        <w:trPr>
          <w:jc w:val="center"/>
        </w:trPr>
        <w:tc>
          <w:tcPr>
            <w:tcW w:w="788" w:type="dxa"/>
            <w:vAlign w:val="center"/>
          </w:tcPr>
          <w:p w:rsidR="000E6BAE" w:rsidRDefault="00CD6463">
            <w:pPr>
              <w:jc w:val="center"/>
            </w:pPr>
            <w:r>
              <w:rPr>
                <w:color w:val="000000"/>
                <w:sz w:val="24"/>
              </w:rPr>
              <w:t>4</w:t>
            </w:r>
          </w:p>
        </w:tc>
        <w:tc>
          <w:tcPr>
            <w:tcW w:w="1774" w:type="dxa"/>
            <w:vAlign w:val="center"/>
          </w:tcPr>
          <w:p w:rsidR="000E6BAE" w:rsidRDefault="00CD6463">
            <w:pPr>
              <w:jc w:val="center"/>
            </w:pPr>
            <w:r>
              <w:rPr>
                <w:color w:val="000000"/>
                <w:sz w:val="24"/>
              </w:rPr>
              <w:t>200406</w:t>
            </w:r>
          </w:p>
        </w:tc>
        <w:tc>
          <w:tcPr>
            <w:tcW w:w="1282" w:type="dxa"/>
            <w:vAlign w:val="center"/>
          </w:tcPr>
          <w:p w:rsidR="000E6BAE" w:rsidRDefault="00CD6463">
            <w:pPr>
              <w:jc w:val="center"/>
            </w:pPr>
            <w:r>
              <w:rPr>
                <w:color w:val="000000"/>
                <w:sz w:val="24"/>
              </w:rPr>
              <w:t>20</w:t>
            </w:r>
            <w:r>
              <w:rPr>
                <w:color w:val="000000"/>
                <w:sz w:val="24"/>
              </w:rPr>
              <w:t>农发</w:t>
            </w:r>
            <w:r>
              <w:rPr>
                <w:color w:val="000000"/>
                <w:sz w:val="24"/>
              </w:rPr>
              <w:t>06</w:t>
            </w:r>
          </w:p>
        </w:tc>
        <w:tc>
          <w:tcPr>
            <w:tcW w:w="1763" w:type="dxa"/>
            <w:vAlign w:val="center"/>
          </w:tcPr>
          <w:p w:rsidR="000E6BAE" w:rsidRDefault="00CD6463">
            <w:pPr>
              <w:jc w:val="right"/>
            </w:pPr>
            <w:r>
              <w:rPr>
                <w:color w:val="000000"/>
                <w:sz w:val="24"/>
              </w:rPr>
              <w:t>1,500,000</w:t>
            </w:r>
          </w:p>
        </w:tc>
        <w:tc>
          <w:tcPr>
            <w:tcW w:w="1843" w:type="dxa"/>
            <w:vAlign w:val="center"/>
          </w:tcPr>
          <w:p w:rsidR="000E6BAE" w:rsidRDefault="00CD6463">
            <w:pPr>
              <w:jc w:val="right"/>
            </w:pPr>
            <w:r>
              <w:rPr>
                <w:color w:val="000000"/>
                <w:sz w:val="24"/>
              </w:rPr>
              <w:t>149,640,000.00</w:t>
            </w:r>
          </w:p>
        </w:tc>
        <w:tc>
          <w:tcPr>
            <w:tcW w:w="1493" w:type="dxa"/>
            <w:vAlign w:val="center"/>
          </w:tcPr>
          <w:p w:rsidR="000E6BAE" w:rsidRDefault="00CD6463">
            <w:pPr>
              <w:jc w:val="right"/>
            </w:pPr>
            <w:r>
              <w:rPr>
                <w:color w:val="000000"/>
                <w:sz w:val="24"/>
              </w:rPr>
              <w:t>11.10</w:t>
            </w:r>
          </w:p>
        </w:tc>
      </w:tr>
      <w:tr w:rsidR="000E6BAE">
        <w:trPr>
          <w:jc w:val="center"/>
        </w:trPr>
        <w:tc>
          <w:tcPr>
            <w:tcW w:w="788" w:type="dxa"/>
            <w:vAlign w:val="center"/>
          </w:tcPr>
          <w:p w:rsidR="000E6BAE" w:rsidRDefault="00CD6463">
            <w:pPr>
              <w:jc w:val="center"/>
            </w:pPr>
            <w:r>
              <w:rPr>
                <w:color w:val="000000"/>
                <w:sz w:val="24"/>
              </w:rPr>
              <w:t>5</w:t>
            </w:r>
          </w:p>
        </w:tc>
        <w:tc>
          <w:tcPr>
            <w:tcW w:w="1774" w:type="dxa"/>
            <w:vAlign w:val="center"/>
          </w:tcPr>
          <w:p w:rsidR="000E6BAE" w:rsidRDefault="00CD6463">
            <w:pPr>
              <w:jc w:val="center"/>
            </w:pPr>
            <w:r>
              <w:rPr>
                <w:color w:val="000000"/>
                <w:sz w:val="24"/>
              </w:rPr>
              <w:t>180204</w:t>
            </w:r>
          </w:p>
        </w:tc>
        <w:tc>
          <w:tcPr>
            <w:tcW w:w="1282" w:type="dxa"/>
            <w:vAlign w:val="center"/>
          </w:tcPr>
          <w:p w:rsidR="000E6BAE" w:rsidRDefault="00CD6463">
            <w:pPr>
              <w:jc w:val="center"/>
            </w:pPr>
            <w:r>
              <w:rPr>
                <w:color w:val="000000"/>
                <w:sz w:val="24"/>
              </w:rPr>
              <w:t>18</w:t>
            </w:r>
            <w:r>
              <w:rPr>
                <w:color w:val="000000"/>
                <w:sz w:val="24"/>
              </w:rPr>
              <w:t>国开</w:t>
            </w:r>
            <w:r>
              <w:rPr>
                <w:color w:val="000000"/>
                <w:sz w:val="24"/>
              </w:rPr>
              <w:t>04</w:t>
            </w:r>
          </w:p>
        </w:tc>
        <w:tc>
          <w:tcPr>
            <w:tcW w:w="1763" w:type="dxa"/>
            <w:vAlign w:val="center"/>
          </w:tcPr>
          <w:p w:rsidR="000E6BAE" w:rsidRDefault="00CD6463">
            <w:pPr>
              <w:jc w:val="right"/>
            </w:pPr>
            <w:r>
              <w:rPr>
                <w:color w:val="000000"/>
                <w:sz w:val="24"/>
              </w:rPr>
              <w:t>1,200,000</w:t>
            </w:r>
          </w:p>
        </w:tc>
        <w:tc>
          <w:tcPr>
            <w:tcW w:w="1843" w:type="dxa"/>
            <w:vAlign w:val="center"/>
          </w:tcPr>
          <w:p w:rsidR="000E6BAE" w:rsidRDefault="00CD6463">
            <w:pPr>
              <w:jc w:val="right"/>
            </w:pPr>
            <w:r>
              <w:rPr>
                <w:color w:val="000000"/>
                <w:sz w:val="24"/>
              </w:rPr>
              <w:t>124,392,000.00</w:t>
            </w:r>
          </w:p>
        </w:tc>
        <w:tc>
          <w:tcPr>
            <w:tcW w:w="1493" w:type="dxa"/>
            <w:vAlign w:val="center"/>
          </w:tcPr>
          <w:p w:rsidR="000E6BAE" w:rsidRDefault="00CD6463">
            <w:pPr>
              <w:jc w:val="right"/>
            </w:pPr>
            <w:r>
              <w:rPr>
                <w:color w:val="000000"/>
                <w:sz w:val="24"/>
              </w:rPr>
              <w:t>9.23</w:t>
            </w:r>
          </w:p>
        </w:tc>
      </w:tr>
    </w:tbl>
    <w:p w:rsidR="000E6BAE" w:rsidRDefault="000E6BAE">
      <w:pPr>
        <w:pStyle w:val="2"/>
        <w:spacing w:before="29" w:after="0" w:line="288" w:lineRule="auto"/>
        <w:rPr>
          <w:rFonts w:asciiTheme="minorEastAsia" w:eastAsiaTheme="minorEastAsia" w:hAnsiTheme="minorEastAsia"/>
          <w:color w:val="000000"/>
          <w:sz w:val="21"/>
          <w:szCs w:val="21"/>
        </w:rPr>
      </w:pPr>
    </w:p>
    <w:p w:rsidR="000E6BAE" w:rsidRDefault="00CD6463">
      <w:pPr>
        <w:pStyle w:val="2"/>
        <w:spacing w:before="29" w:after="0" w:line="288" w:lineRule="auto"/>
        <w:rPr>
          <w:rFonts w:eastAsiaTheme="minorEastAsia"/>
        </w:rPr>
      </w:pPr>
      <w:bookmarkStart w:id="145" w:name="_Toc361324885"/>
      <w:bookmarkStart w:id="146" w:name="_Toc21985"/>
      <w:r>
        <w:rPr>
          <w:rFonts w:eastAsiaTheme="minorEastAsia"/>
        </w:rPr>
        <w:t>8.7</w:t>
      </w:r>
      <w:r>
        <w:rPr>
          <w:rFonts w:eastAsiaTheme="minorEastAsia" w:hint="eastAsia"/>
        </w:rPr>
        <w:t>期末按公允价值占基金资产净值比例大小排序的所有资产支持证券投资明细</w:t>
      </w:r>
      <w:bookmarkEnd w:id="145"/>
      <w:bookmarkEnd w:id="146"/>
    </w:p>
    <w:p w:rsidR="000E6BAE" w:rsidRDefault="00CD6463">
      <w:pPr>
        <w:tabs>
          <w:tab w:val="left" w:pos="426"/>
        </w:tabs>
        <w:spacing w:before="29" w:line="288" w:lineRule="auto"/>
        <w:jc w:val="left"/>
        <w:rPr>
          <w:kern w:val="0"/>
          <w:sz w:val="24"/>
        </w:rPr>
      </w:pPr>
      <w:r>
        <w:rPr>
          <w:kern w:val="0"/>
          <w:sz w:val="24"/>
        </w:rPr>
        <w:t>本基金本报告期末未持有资产支持证券。</w:t>
      </w:r>
    </w:p>
    <w:p w:rsidR="000E6BAE" w:rsidRDefault="000E6BAE">
      <w:pPr>
        <w:pStyle w:val="af9"/>
        <w:spacing w:before="0" w:beforeAutospacing="0" w:after="0" w:afterAutospacing="0" w:line="360" w:lineRule="auto"/>
        <w:rPr>
          <w:rFonts w:asciiTheme="minorEastAsia" w:eastAsiaTheme="minorEastAsia" w:hAnsiTheme="minorEastAsia"/>
          <w:color w:val="000000"/>
          <w:sz w:val="21"/>
          <w:szCs w:val="21"/>
        </w:rPr>
      </w:pPr>
    </w:p>
    <w:p w:rsidR="000E6BAE" w:rsidRDefault="00CD6463">
      <w:pPr>
        <w:pStyle w:val="2"/>
        <w:spacing w:before="29" w:after="0" w:line="288" w:lineRule="auto"/>
        <w:rPr>
          <w:rFonts w:eastAsiaTheme="minorEastAsia"/>
        </w:rPr>
      </w:pPr>
      <w:bookmarkStart w:id="147" w:name="_Toc6322"/>
      <w:r>
        <w:rPr>
          <w:rFonts w:eastAsiaTheme="minorEastAsia"/>
        </w:rPr>
        <w:t>8.8</w:t>
      </w:r>
      <w:r>
        <w:rPr>
          <w:rFonts w:eastAsiaTheme="minorEastAsia" w:hint="eastAsia"/>
        </w:rPr>
        <w:t>报告期末按公允价值占基金资产净值比例大小排序的前五名贵金属投资明细</w:t>
      </w:r>
      <w:bookmarkEnd w:id="147"/>
    </w:p>
    <w:p w:rsidR="000E6BAE" w:rsidRDefault="00CD6463">
      <w:pPr>
        <w:tabs>
          <w:tab w:val="left" w:pos="426"/>
        </w:tabs>
        <w:spacing w:before="29" w:line="288" w:lineRule="auto"/>
        <w:jc w:val="left"/>
        <w:rPr>
          <w:kern w:val="0"/>
          <w:sz w:val="24"/>
        </w:rPr>
      </w:pPr>
      <w:r>
        <w:rPr>
          <w:kern w:val="0"/>
          <w:sz w:val="24"/>
        </w:rPr>
        <w:t>本基金本报告期末未持有贵金属。</w:t>
      </w:r>
    </w:p>
    <w:p w:rsidR="000E6BAE" w:rsidRDefault="000E6BAE">
      <w:pPr>
        <w:pStyle w:val="af9"/>
        <w:spacing w:before="0" w:beforeAutospacing="0" w:after="0" w:afterAutospacing="0" w:line="360" w:lineRule="auto"/>
        <w:rPr>
          <w:rFonts w:asciiTheme="minorEastAsia" w:eastAsiaTheme="minorEastAsia" w:hAnsiTheme="minorEastAsia"/>
          <w:color w:val="000000"/>
          <w:sz w:val="21"/>
          <w:szCs w:val="21"/>
        </w:rPr>
      </w:pPr>
    </w:p>
    <w:p w:rsidR="000E6BAE" w:rsidRDefault="00CD6463">
      <w:pPr>
        <w:pStyle w:val="2"/>
        <w:spacing w:before="29" w:after="0" w:line="288" w:lineRule="auto"/>
        <w:rPr>
          <w:rFonts w:eastAsiaTheme="minorEastAsia"/>
        </w:rPr>
      </w:pPr>
      <w:bookmarkStart w:id="148" w:name="_Toc361324886"/>
      <w:bookmarkStart w:id="149" w:name="_Toc3201"/>
      <w:r>
        <w:rPr>
          <w:rFonts w:eastAsiaTheme="minorEastAsia"/>
        </w:rPr>
        <w:t>8.9</w:t>
      </w:r>
      <w:r>
        <w:rPr>
          <w:rFonts w:eastAsiaTheme="minorEastAsia" w:hint="eastAsia"/>
        </w:rPr>
        <w:t>期末按公允价值占基金资产净值比例大小排序的前五名权证投资明细</w:t>
      </w:r>
      <w:bookmarkEnd w:id="148"/>
      <w:bookmarkEnd w:id="149"/>
    </w:p>
    <w:p w:rsidR="000E6BAE" w:rsidRDefault="00CD6463">
      <w:pPr>
        <w:tabs>
          <w:tab w:val="left" w:pos="426"/>
        </w:tabs>
        <w:spacing w:before="29" w:line="288" w:lineRule="auto"/>
        <w:jc w:val="left"/>
        <w:rPr>
          <w:kern w:val="0"/>
          <w:sz w:val="24"/>
        </w:rPr>
      </w:pPr>
      <w:r>
        <w:rPr>
          <w:kern w:val="0"/>
          <w:sz w:val="24"/>
        </w:rPr>
        <w:t>本基金本报告期末未持有权证。</w:t>
      </w:r>
    </w:p>
    <w:p w:rsidR="000E6BAE" w:rsidRDefault="000E6BAE">
      <w:pPr>
        <w:pStyle w:val="af9"/>
        <w:spacing w:before="0" w:beforeAutospacing="0" w:after="0" w:afterAutospacing="0" w:line="360" w:lineRule="auto"/>
        <w:rPr>
          <w:rFonts w:asciiTheme="minorEastAsia" w:eastAsiaTheme="minorEastAsia" w:hAnsiTheme="minorEastAsia"/>
          <w:color w:val="000000"/>
          <w:sz w:val="21"/>
          <w:szCs w:val="21"/>
        </w:rPr>
      </w:pPr>
    </w:p>
    <w:p w:rsidR="000E6BAE" w:rsidRDefault="00CD6463">
      <w:pPr>
        <w:pStyle w:val="2"/>
        <w:spacing w:before="29" w:after="0" w:line="288" w:lineRule="auto"/>
        <w:rPr>
          <w:rFonts w:eastAsiaTheme="minorEastAsia"/>
        </w:rPr>
      </w:pPr>
      <w:bookmarkStart w:id="150" w:name="_Toc3130"/>
      <w:r>
        <w:rPr>
          <w:rFonts w:eastAsiaTheme="minorEastAsia" w:hint="eastAsia"/>
        </w:rPr>
        <w:t xml:space="preserve">8.10 </w:t>
      </w:r>
      <w:r>
        <w:rPr>
          <w:rFonts w:eastAsiaTheme="minorEastAsia" w:hint="eastAsia"/>
        </w:rPr>
        <w:t>报告期末本基金投资的股指期货交易情况说明</w:t>
      </w:r>
      <w:bookmarkEnd w:id="150"/>
    </w:p>
    <w:p w:rsidR="000E6BAE" w:rsidRDefault="00CD6463">
      <w:pPr>
        <w:tabs>
          <w:tab w:val="left" w:pos="426"/>
        </w:tabs>
        <w:spacing w:before="29" w:line="288" w:lineRule="auto"/>
        <w:jc w:val="left"/>
        <w:rPr>
          <w:kern w:val="0"/>
          <w:sz w:val="24"/>
        </w:rPr>
      </w:pPr>
      <w:r>
        <w:rPr>
          <w:kern w:val="0"/>
          <w:sz w:val="24"/>
        </w:rPr>
        <w:t>本基金本报告期末未持有股指期货。</w:t>
      </w:r>
    </w:p>
    <w:p w:rsidR="000E6BAE" w:rsidRDefault="000E6BAE">
      <w:pPr>
        <w:adjustRightInd w:val="0"/>
        <w:snapToGrid w:val="0"/>
        <w:spacing w:line="360" w:lineRule="auto"/>
        <w:rPr>
          <w:rFonts w:asciiTheme="minorEastAsia" w:eastAsiaTheme="minorEastAsia" w:hAnsiTheme="minorEastAsia"/>
          <w:szCs w:val="21"/>
        </w:rPr>
      </w:pPr>
    </w:p>
    <w:p w:rsidR="000E6BAE" w:rsidRDefault="00CD6463">
      <w:pPr>
        <w:pStyle w:val="2"/>
        <w:spacing w:before="29" w:after="0" w:line="288" w:lineRule="auto"/>
        <w:rPr>
          <w:rFonts w:eastAsiaTheme="minorEastAsia"/>
        </w:rPr>
      </w:pPr>
      <w:bookmarkStart w:id="151" w:name="_Toc3021"/>
      <w:r>
        <w:rPr>
          <w:rFonts w:eastAsiaTheme="minorEastAsia" w:hint="eastAsia"/>
        </w:rPr>
        <w:t>8.11</w:t>
      </w:r>
      <w:r>
        <w:rPr>
          <w:rFonts w:eastAsiaTheme="minorEastAsia" w:hint="eastAsia"/>
        </w:rPr>
        <w:t>报告期末本基金投资的国债期货交易情况说明</w:t>
      </w:r>
      <w:bookmarkEnd w:id="151"/>
    </w:p>
    <w:p w:rsidR="000E6BAE" w:rsidRDefault="00CD6463">
      <w:pPr>
        <w:tabs>
          <w:tab w:val="left" w:pos="426"/>
        </w:tabs>
        <w:spacing w:before="29" w:line="288" w:lineRule="auto"/>
        <w:jc w:val="left"/>
        <w:rPr>
          <w:kern w:val="0"/>
          <w:sz w:val="24"/>
        </w:rPr>
      </w:pPr>
      <w:r>
        <w:rPr>
          <w:rFonts w:hint="eastAsia"/>
          <w:kern w:val="0"/>
          <w:sz w:val="24"/>
        </w:rPr>
        <w:t>本基金本报告期末未持有国债期货。</w:t>
      </w:r>
    </w:p>
    <w:p w:rsidR="000E6BAE" w:rsidRDefault="000E6BAE">
      <w:pPr>
        <w:tabs>
          <w:tab w:val="left" w:pos="426"/>
        </w:tabs>
        <w:spacing w:before="29" w:line="288" w:lineRule="auto"/>
        <w:jc w:val="left"/>
        <w:rPr>
          <w:kern w:val="0"/>
          <w:sz w:val="24"/>
        </w:rPr>
      </w:pPr>
    </w:p>
    <w:p w:rsidR="000E6BAE" w:rsidRDefault="00CD6463">
      <w:pPr>
        <w:pStyle w:val="2"/>
        <w:spacing w:before="29" w:after="0" w:line="288" w:lineRule="auto"/>
        <w:rPr>
          <w:rFonts w:eastAsiaTheme="minorEastAsia"/>
        </w:rPr>
      </w:pPr>
      <w:bookmarkStart w:id="152" w:name="_Toc361324887"/>
      <w:bookmarkStart w:id="153" w:name="_Toc8271"/>
      <w:r>
        <w:rPr>
          <w:rFonts w:eastAsiaTheme="minorEastAsia"/>
        </w:rPr>
        <w:t xml:space="preserve">8.12 </w:t>
      </w:r>
      <w:r>
        <w:rPr>
          <w:rFonts w:eastAsiaTheme="minorEastAsia" w:hint="eastAsia"/>
        </w:rPr>
        <w:t>投资组合报告附注</w:t>
      </w:r>
      <w:bookmarkEnd w:id="152"/>
      <w:bookmarkEnd w:id="153"/>
    </w:p>
    <w:p w:rsidR="000E6BAE" w:rsidRDefault="00CD6463">
      <w:pPr>
        <w:spacing w:before="29" w:line="288" w:lineRule="auto"/>
        <w:rPr>
          <w:kern w:val="0"/>
          <w:sz w:val="24"/>
        </w:rPr>
      </w:pPr>
      <w:r>
        <w:rPr>
          <w:b/>
          <w:kern w:val="0"/>
          <w:sz w:val="24"/>
        </w:rPr>
        <w:t>8.12.1</w:t>
      </w:r>
      <w:r>
        <w:rPr>
          <w:kern w:val="0"/>
          <w:sz w:val="24"/>
        </w:rPr>
        <w:t>报告期内本基金投资的前十名证券的发行主体未被监管部门立案调查，在本报告编制日前一年内本基金投资的前十名证券的发行主体未受到公开谴责和处罚。</w:t>
      </w:r>
    </w:p>
    <w:p w:rsidR="000E6BAE" w:rsidRDefault="00CD6463">
      <w:pPr>
        <w:spacing w:before="29" w:line="288" w:lineRule="auto"/>
        <w:rPr>
          <w:kern w:val="0"/>
          <w:sz w:val="24"/>
        </w:rPr>
      </w:pPr>
      <w:r>
        <w:rPr>
          <w:b/>
          <w:kern w:val="0"/>
          <w:sz w:val="24"/>
        </w:rPr>
        <w:t>8.12.2</w:t>
      </w:r>
      <w:r>
        <w:rPr>
          <w:kern w:val="0"/>
          <w:sz w:val="24"/>
        </w:rPr>
        <w:t>本基金投资的前十名股票中，没有超出基金合同规定的备选股票库之外的股票。</w:t>
      </w:r>
    </w:p>
    <w:p w:rsidR="000E6BAE" w:rsidRDefault="00CD6463">
      <w:pPr>
        <w:spacing w:before="29" w:line="288" w:lineRule="auto"/>
        <w:rPr>
          <w:rFonts w:eastAsiaTheme="minorEastAsia"/>
          <w:b/>
          <w:sz w:val="24"/>
        </w:rPr>
      </w:pPr>
      <w:r>
        <w:rPr>
          <w:rFonts w:eastAsiaTheme="minorEastAsia"/>
          <w:b/>
          <w:sz w:val="24"/>
        </w:rPr>
        <w:t>8.12.3</w:t>
      </w:r>
      <w:r>
        <w:rPr>
          <w:rFonts w:eastAsiaTheme="minorEastAsia" w:hint="eastAsia"/>
          <w:b/>
          <w:sz w:val="24"/>
        </w:rPr>
        <w:t>期末其他各项资产构成</w:t>
      </w:r>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0E6BAE">
        <w:tc>
          <w:tcPr>
            <w:tcW w:w="765" w:type="dxa"/>
            <w:vAlign w:val="center"/>
          </w:tcPr>
          <w:p w:rsidR="000E6BAE" w:rsidRDefault="00CD6463">
            <w:pPr>
              <w:spacing w:before="29" w:line="288" w:lineRule="auto"/>
              <w:jc w:val="center"/>
              <w:rPr>
                <w:color w:val="000000"/>
                <w:sz w:val="24"/>
              </w:rPr>
            </w:pPr>
            <w:r>
              <w:rPr>
                <w:rFonts w:hint="eastAsia"/>
                <w:color w:val="000000"/>
                <w:sz w:val="24"/>
              </w:rPr>
              <w:t>序号</w:t>
            </w:r>
          </w:p>
        </w:tc>
        <w:tc>
          <w:tcPr>
            <w:tcW w:w="4117" w:type="dxa"/>
          </w:tcPr>
          <w:p w:rsidR="000E6BAE" w:rsidRDefault="00CD6463">
            <w:pPr>
              <w:spacing w:before="29" w:line="288" w:lineRule="auto"/>
              <w:jc w:val="center"/>
              <w:rPr>
                <w:color w:val="000000"/>
                <w:sz w:val="24"/>
              </w:rPr>
            </w:pPr>
            <w:r>
              <w:rPr>
                <w:rFonts w:hint="eastAsia"/>
                <w:color w:val="000000"/>
                <w:sz w:val="24"/>
              </w:rPr>
              <w:t>名称</w:t>
            </w:r>
          </w:p>
        </w:tc>
        <w:tc>
          <w:tcPr>
            <w:tcW w:w="4118" w:type="dxa"/>
          </w:tcPr>
          <w:p w:rsidR="000E6BAE" w:rsidRDefault="00CD6463">
            <w:pPr>
              <w:spacing w:before="29" w:line="288" w:lineRule="auto"/>
              <w:jc w:val="center"/>
              <w:rPr>
                <w:color w:val="000000"/>
                <w:sz w:val="24"/>
              </w:rPr>
            </w:pPr>
            <w:r>
              <w:rPr>
                <w:rFonts w:hint="eastAsia"/>
                <w:color w:val="000000"/>
                <w:sz w:val="24"/>
              </w:rPr>
              <w:t>金额</w:t>
            </w:r>
          </w:p>
        </w:tc>
      </w:tr>
      <w:tr w:rsidR="000E6BAE">
        <w:tc>
          <w:tcPr>
            <w:tcW w:w="765" w:type="dxa"/>
          </w:tcPr>
          <w:p w:rsidR="000E6BAE" w:rsidRDefault="00CD6463">
            <w:pPr>
              <w:spacing w:before="29" w:line="288" w:lineRule="auto"/>
              <w:jc w:val="center"/>
              <w:rPr>
                <w:color w:val="000000"/>
                <w:sz w:val="24"/>
              </w:rPr>
            </w:pPr>
            <w:r>
              <w:rPr>
                <w:color w:val="000000"/>
                <w:sz w:val="24"/>
              </w:rPr>
              <w:t>1</w:t>
            </w:r>
          </w:p>
        </w:tc>
        <w:tc>
          <w:tcPr>
            <w:tcW w:w="4117" w:type="dxa"/>
            <w:vAlign w:val="center"/>
          </w:tcPr>
          <w:p w:rsidR="000E6BAE" w:rsidRDefault="00CD6463">
            <w:pPr>
              <w:spacing w:before="29" w:line="288" w:lineRule="auto"/>
              <w:ind w:leftChars="50" w:left="105"/>
              <w:rPr>
                <w:color w:val="000000"/>
                <w:sz w:val="24"/>
              </w:rPr>
            </w:pPr>
            <w:r>
              <w:rPr>
                <w:rFonts w:hint="eastAsia"/>
                <w:color w:val="000000"/>
                <w:sz w:val="24"/>
              </w:rPr>
              <w:t>存出保证金</w:t>
            </w:r>
          </w:p>
        </w:tc>
        <w:tc>
          <w:tcPr>
            <w:tcW w:w="4118"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c>
          <w:tcPr>
            <w:tcW w:w="765" w:type="dxa"/>
          </w:tcPr>
          <w:p w:rsidR="000E6BAE" w:rsidRDefault="00CD6463">
            <w:pPr>
              <w:spacing w:before="29" w:line="288" w:lineRule="auto"/>
              <w:jc w:val="center"/>
              <w:rPr>
                <w:color w:val="000000"/>
                <w:sz w:val="24"/>
              </w:rPr>
            </w:pPr>
            <w:r>
              <w:rPr>
                <w:color w:val="000000"/>
                <w:sz w:val="24"/>
              </w:rPr>
              <w:t>2</w:t>
            </w:r>
          </w:p>
        </w:tc>
        <w:tc>
          <w:tcPr>
            <w:tcW w:w="4117" w:type="dxa"/>
            <w:vAlign w:val="center"/>
          </w:tcPr>
          <w:p w:rsidR="000E6BAE" w:rsidRDefault="00CD6463">
            <w:pPr>
              <w:spacing w:before="29" w:line="288" w:lineRule="auto"/>
              <w:ind w:leftChars="50" w:left="105"/>
              <w:rPr>
                <w:color w:val="000000"/>
                <w:sz w:val="24"/>
              </w:rPr>
            </w:pPr>
            <w:r>
              <w:rPr>
                <w:rFonts w:hint="eastAsia"/>
                <w:color w:val="000000"/>
                <w:sz w:val="24"/>
              </w:rPr>
              <w:t>应收证券清算款</w:t>
            </w:r>
          </w:p>
        </w:tc>
        <w:tc>
          <w:tcPr>
            <w:tcW w:w="4118"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c>
          <w:tcPr>
            <w:tcW w:w="765" w:type="dxa"/>
          </w:tcPr>
          <w:p w:rsidR="000E6BAE" w:rsidRDefault="00CD6463">
            <w:pPr>
              <w:spacing w:before="29" w:line="288" w:lineRule="auto"/>
              <w:jc w:val="center"/>
              <w:rPr>
                <w:color w:val="000000"/>
                <w:sz w:val="24"/>
              </w:rPr>
            </w:pPr>
            <w:r>
              <w:rPr>
                <w:color w:val="000000"/>
                <w:sz w:val="24"/>
              </w:rPr>
              <w:t>3</w:t>
            </w:r>
          </w:p>
        </w:tc>
        <w:tc>
          <w:tcPr>
            <w:tcW w:w="4117" w:type="dxa"/>
            <w:vAlign w:val="center"/>
          </w:tcPr>
          <w:p w:rsidR="000E6BAE" w:rsidRDefault="00CD6463">
            <w:pPr>
              <w:spacing w:before="29" w:line="288" w:lineRule="auto"/>
              <w:ind w:leftChars="50" w:left="105"/>
              <w:rPr>
                <w:color w:val="000000"/>
                <w:sz w:val="24"/>
              </w:rPr>
            </w:pPr>
            <w:r>
              <w:rPr>
                <w:rFonts w:hint="eastAsia"/>
                <w:color w:val="000000"/>
                <w:sz w:val="24"/>
              </w:rPr>
              <w:t>应收股利</w:t>
            </w:r>
          </w:p>
        </w:tc>
        <w:tc>
          <w:tcPr>
            <w:tcW w:w="4118"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c>
          <w:tcPr>
            <w:tcW w:w="765" w:type="dxa"/>
          </w:tcPr>
          <w:p w:rsidR="000E6BAE" w:rsidRDefault="00CD6463">
            <w:pPr>
              <w:spacing w:before="29" w:line="288" w:lineRule="auto"/>
              <w:jc w:val="center"/>
              <w:rPr>
                <w:color w:val="000000"/>
                <w:sz w:val="24"/>
              </w:rPr>
            </w:pPr>
            <w:r>
              <w:rPr>
                <w:color w:val="000000"/>
                <w:sz w:val="24"/>
              </w:rPr>
              <w:t>4</w:t>
            </w:r>
          </w:p>
        </w:tc>
        <w:tc>
          <w:tcPr>
            <w:tcW w:w="4117" w:type="dxa"/>
            <w:vAlign w:val="center"/>
          </w:tcPr>
          <w:p w:rsidR="000E6BAE" w:rsidRDefault="00CD6463">
            <w:pPr>
              <w:spacing w:before="29" w:line="288" w:lineRule="auto"/>
              <w:ind w:leftChars="50" w:left="105"/>
              <w:rPr>
                <w:color w:val="000000"/>
                <w:sz w:val="24"/>
              </w:rPr>
            </w:pPr>
            <w:r>
              <w:rPr>
                <w:rFonts w:hint="eastAsia"/>
                <w:color w:val="000000"/>
                <w:sz w:val="24"/>
              </w:rPr>
              <w:t>应收利息</w:t>
            </w:r>
          </w:p>
        </w:tc>
        <w:tc>
          <w:tcPr>
            <w:tcW w:w="4118" w:type="dxa"/>
            <w:vAlign w:val="center"/>
          </w:tcPr>
          <w:p w:rsidR="000E6BAE" w:rsidRDefault="00CD6463">
            <w:pPr>
              <w:spacing w:before="29" w:line="288" w:lineRule="auto"/>
              <w:jc w:val="right"/>
              <w:rPr>
                <w:color w:val="000000"/>
                <w:kern w:val="0"/>
                <w:sz w:val="24"/>
              </w:rPr>
            </w:pPr>
            <w:r>
              <w:rPr>
                <w:color w:val="000000"/>
                <w:kern w:val="0"/>
                <w:sz w:val="24"/>
              </w:rPr>
              <w:t>32,745,331.46</w:t>
            </w:r>
          </w:p>
        </w:tc>
      </w:tr>
      <w:tr w:rsidR="000E6BAE">
        <w:tc>
          <w:tcPr>
            <w:tcW w:w="765" w:type="dxa"/>
          </w:tcPr>
          <w:p w:rsidR="000E6BAE" w:rsidRDefault="00CD6463">
            <w:pPr>
              <w:spacing w:before="29" w:line="288" w:lineRule="auto"/>
              <w:jc w:val="center"/>
              <w:rPr>
                <w:color w:val="000000"/>
                <w:sz w:val="24"/>
              </w:rPr>
            </w:pPr>
            <w:r>
              <w:rPr>
                <w:color w:val="000000"/>
                <w:sz w:val="24"/>
              </w:rPr>
              <w:t>5</w:t>
            </w:r>
          </w:p>
        </w:tc>
        <w:tc>
          <w:tcPr>
            <w:tcW w:w="4117" w:type="dxa"/>
            <w:vAlign w:val="center"/>
          </w:tcPr>
          <w:p w:rsidR="000E6BAE" w:rsidRDefault="00CD6463">
            <w:pPr>
              <w:spacing w:before="29" w:line="288" w:lineRule="auto"/>
              <w:ind w:leftChars="50" w:left="105"/>
              <w:rPr>
                <w:color w:val="000000"/>
                <w:sz w:val="24"/>
              </w:rPr>
            </w:pPr>
            <w:r>
              <w:rPr>
                <w:rFonts w:hint="eastAsia"/>
                <w:color w:val="000000"/>
                <w:sz w:val="24"/>
              </w:rPr>
              <w:t>应收申购款</w:t>
            </w:r>
          </w:p>
        </w:tc>
        <w:tc>
          <w:tcPr>
            <w:tcW w:w="4118" w:type="dxa"/>
            <w:vAlign w:val="center"/>
          </w:tcPr>
          <w:p w:rsidR="000E6BAE" w:rsidRDefault="00CD6463">
            <w:pPr>
              <w:spacing w:before="29" w:line="288" w:lineRule="auto"/>
              <w:jc w:val="right"/>
              <w:rPr>
                <w:color w:val="000000"/>
                <w:kern w:val="0"/>
                <w:sz w:val="24"/>
              </w:rPr>
            </w:pPr>
            <w:r>
              <w:rPr>
                <w:color w:val="000000"/>
                <w:kern w:val="0"/>
                <w:sz w:val="24"/>
              </w:rPr>
              <w:t>31,826.62</w:t>
            </w:r>
          </w:p>
        </w:tc>
      </w:tr>
      <w:tr w:rsidR="000E6BAE">
        <w:tc>
          <w:tcPr>
            <w:tcW w:w="765" w:type="dxa"/>
          </w:tcPr>
          <w:p w:rsidR="000E6BAE" w:rsidRDefault="00CD6463">
            <w:pPr>
              <w:spacing w:before="29" w:line="288" w:lineRule="auto"/>
              <w:jc w:val="center"/>
              <w:rPr>
                <w:color w:val="000000"/>
                <w:sz w:val="24"/>
              </w:rPr>
            </w:pPr>
            <w:r>
              <w:rPr>
                <w:color w:val="000000"/>
                <w:sz w:val="24"/>
              </w:rPr>
              <w:t>6</w:t>
            </w:r>
          </w:p>
        </w:tc>
        <w:tc>
          <w:tcPr>
            <w:tcW w:w="4117" w:type="dxa"/>
            <w:vAlign w:val="center"/>
          </w:tcPr>
          <w:p w:rsidR="000E6BAE" w:rsidRDefault="00CD6463">
            <w:pPr>
              <w:spacing w:before="29" w:line="288" w:lineRule="auto"/>
              <w:ind w:leftChars="50" w:left="105"/>
              <w:rPr>
                <w:color w:val="000000"/>
                <w:sz w:val="24"/>
              </w:rPr>
            </w:pPr>
            <w:r>
              <w:rPr>
                <w:rFonts w:hint="eastAsia"/>
                <w:color w:val="000000"/>
                <w:sz w:val="24"/>
              </w:rPr>
              <w:t>其他应收款</w:t>
            </w:r>
          </w:p>
        </w:tc>
        <w:tc>
          <w:tcPr>
            <w:tcW w:w="4118"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c>
          <w:tcPr>
            <w:tcW w:w="765" w:type="dxa"/>
          </w:tcPr>
          <w:p w:rsidR="000E6BAE" w:rsidRDefault="00CD6463">
            <w:pPr>
              <w:spacing w:before="29" w:line="288" w:lineRule="auto"/>
              <w:jc w:val="center"/>
              <w:rPr>
                <w:color w:val="000000"/>
                <w:sz w:val="24"/>
              </w:rPr>
            </w:pPr>
            <w:r>
              <w:rPr>
                <w:color w:val="000000"/>
                <w:sz w:val="24"/>
              </w:rPr>
              <w:t>7</w:t>
            </w:r>
          </w:p>
        </w:tc>
        <w:tc>
          <w:tcPr>
            <w:tcW w:w="4117" w:type="dxa"/>
            <w:vAlign w:val="center"/>
          </w:tcPr>
          <w:p w:rsidR="000E6BAE" w:rsidRDefault="00CD6463">
            <w:pPr>
              <w:spacing w:before="29" w:line="288" w:lineRule="auto"/>
              <w:ind w:leftChars="50" w:left="105"/>
              <w:rPr>
                <w:color w:val="000000"/>
                <w:sz w:val="24"/>
              </w:rPr>
            </w:pPr>
            <w:r>
              <w:rPr>
                <w:rFonts w:hint="eastAsia"/>
                <w:color w:val="000000"/>
                <w:sz w:val="24"/>
              </w:rPr>
              <w:t>待摊费用</w:t>
            </w:r>
          </w:p>
        </w:tc>
        <w:tc>
          <w:tcPr>
            <w:tcW w:w="4118"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c>
          <w:tcPr>
            <w:tcW w:w="765" w:type="dxa"/>
            <w:vAlign w:val="center"/>
          </w:tcPr>
          <w:p w:rsidR="000E6BAE" w:rsidRDefault="00CD6463">
            <w:pPr>
              <w:spacing w:before="29" w:line="288" w:lineRule="auto"/>
              <w:jc w:val="center"/>
              <w:rPr>
                <w:color w:val="000000"/>
                <w:sz w:val="24"/>
              </w:rPr>
            </w:pPr>
            <w:r>
              <w:rPr>
                <w:color w:val="000000"/>
                <w:sz w:val="24"/>
              </w:rPr>
              <w:t>8</w:t>
            </w:r>
          </w:p>
        </w:tc>
        <w:tc>
          <w:tcPr>
            <w:tcW w:w="4117" w:type="dxa"/>
            <w:vAlign w:val="center"/>
          </w:tcPr>
          <w:p w:rsidR="000E6BAE" w:rsidRDefault="00CD6463">
            <w:pPr>
              <w:spacing w:before="29" w:line="288" w:lineRule="auto"/>
              <w:ind w:leftChars="50" w:left="105"/>
              <w:rPr>
                <w:color w:val="000000"/>
                <w:sz w:val="24"/>
              </w:rPr>
            </w:pPr>
            <w:r>
              <w:rPr>
                <w:rFonts w:hint="eastAsia"/>
                <w:color w:val="000000"/>
                <w:sz w:val="24"/>
              </w:rPr>
              <w:t>其他</w:t>
            </w:r>
          </w:p>
        </w:tc>
        <w:tc>
          <w:tcPr>
            <w:tcW w:w="4118"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c>
          <w:tcPr>
            <w:tcW w:w="765" w:type="dxa"/>
            <w:vAlign w:val="center"/>
          </w:tcPr>
          <w:p w:rsidR="000E6BAE" w:rsidRDefault="00CD6463">
            <w:pPr>
              <w:spacing w:before="29" w:line="288" w:lineRule="auto"/>
              <w:jc w:val="center"/>
              <w:rPr>
                <w:color w:val="000000"/>
                <w:sz w:val="24"/>
              </w:rPr>
            </w:pPr>
            <w:r>
              <w:rPr>
                <w:color w:val="000000"/>
                <w:sz w:val="24"/>
              </w:rPr>
              <w:t>9</w:t>
            </w:r>
          </w:p>
        </w:tc>
        <w:tc>
          <w:tcPr>
            <w:tcW w:w="4117" w:type="dxa"/>
            <w:vAlign w:val="center"/>
          </w:tcPr>
          <w:p w:rsidR="000E6BAE" w:rsidRDefault="00CD6463">
            <w:pPr>
              <w:spacing w:before="29" w:line="288" w:lineRule="auto"/>
              <w:ind w:leftChars="50" w:left="105"/>
              <w:rPr>
                <w:color w:val="000000"/>
                <w:sz w:val="24"/>
              </w:rPr>
            </w:pPr>
            <w:r>
              <w:rPr>
                <w:rFonts w:hint="eastAsia"/>
                <w:color w:val="000000"/>
                <w:sz w:val="24"/>
              </w:rPr>
              <w:t>合计</w:t>
            </w:r>
          </w:p>
        </w:tc>
        <w:tc>
          <w:tcPr>
            <w:tcW w:w="4118" w:type="dxa"/>
            <w:vAlign w:val="center"/>
          </w:tcPr>
          <w:p w:rsidR="000E6BAE" w:rsidRDefault="00CD6463">
            <w:pPr>
              <w:spacing w:before="29" w:line="288" w:lineRule="auto"/>
              <w:jc w:val="right"/>
              <w:rPr>
                <w:color w:val="000000"/>
                <w:kern w:val="0"/>
                <w:sz w:val="24"/>
              </w:rPr>
            </w:pPr>
            <w:r>
              <w:rPr>
                <w:color w:val="000000"/>
                <w:kern w:val="0"/>
                <w:sz w:val="24"/>
              </w:rPr>
              <w:t>32,777,158.08</w:t>
            </w:r>
          </w:p>
        </w:tc>
      </w:tr>
    </w:tbl>
    <w:p w:rsidR="000E6BAE" w:rsidRDefault="000E6BAE">
      <w:pPr>
        <w:pStyle w:val="af9"/>
        <w:spacing w:before="0" w:beforeAutospacing="0" w:after="0" w:afterAutospacing="0" w:line="360" w:lineRule="auto"/>
        <w:rPr>
          <w:rFonts w:asciiTheme="minorEastAsia" w:eastAsiaTheme="minorEastAsia" w:hAnsiTheme="minorEastAsia"/>
          <w:b/>
          <w:bCs/>
          <w:color w:val="000000"/>
          <w:sz w:val="21"/>
          <w:szCs w:val="21"/>
        </w:rPr>
      </w:pPr>
    </w:p>
    <w:p w:rsidR="000E6BAE" w:rsidRDefault="00CD6463">
      <w:pPr>
        <w:spacing w:before="29" w:line="288" w:lineRule="auto"/>
        <w:rPr>
          <w:rFonts w:eastAsiaTheme="minorEastAsia"/>
          <w:b/>
          <w:sz w:val="24"/>
        </w:rPr>
      </w:pPr>
      <w:r>
        <w:rPr>
          <w:rFonts w:eastAsiaTheme="minorEastAsia"/>
          <w:b/>
          <w:sz w:val="24"/>
        </w:rPr>
        <w:t>8.12.4</w:t>
      </w:r>
      <w:r>
        <w:rPr>
          <w:rFonts w:eastAsiaTheme="minorEastAsia" w:hint="eastAsia"/>
          <w:b/>
          <w:sz w:val="24"/>
        </w:rPr>
        <w:t>期末持有的处于转股期的可转换债券明细</w:t>
      </w:r>
    </w:p>
    <w:p w:rsidR="000E6BAE" w:rsidRDefault="00CD6463">
      <w:pPr>
        <w:tabs>
          <w:tab w:val="left" w:pos="426"/>
        </w:tabs>
        <w:spacing w:before="29" w:line="288" w:lineRule="auto"/>
        <w:jc w:val="left"/>
        <w:rPr>
          <w:kern w:val="0"/>
          <w:sz w:val="24"/>
        </w:rPr>
      </w:pPr>
      <w:r>
        <w:rPr>
          <w:kern w:val="0"/>
          <w:sz w:val="24"/>
        </w:rPr>
        <w:t>本基金本报告期末未持有处于转股期的可转换债券。</w:t>
      </w:r>
    </w:p>
    <w:p w:rsidR="000E6BAE" w:rsidRDefault="000E6BAE">
      <w:pPr>
        <w:pStyle w:val="af9"/>
        <w:spacing w:before="0" w:beforeAutospacing="0" w:after="0" w:afterAutospacing="0" w:line="360" w:lineRule="auto"/>
        <w:rPr>
          <w:rFonts w:asciiTheme="minorEastAsia" w:eastAsiaTheme="minorEastAsia" w:hAnsiTheme="minorEastAsia"/>
          <w:color w:val="000000"/>
          <w:sz w:val="21"/>
          <w:szCs w:val="21"/>
        </w:rPr>
      </w:pPr>
    </w:p>
    <w:p w:rsidR="000E6BAE" w:rsidRDefault="00CD6463">
      <w:pPr>
        <w:spacing w:before="29" w:line="288" w:lineRule="auto"/>
        <w:rPr>
          <w:rFonts w:eastAsiaTheme="minorEastAsia"/>
          <w:b/>
          <w:sz w:val="24"/>
        </w:rPr>
      </w:pPr>
      <w:r>
        <w:rPr>
          <w:rFonts w:eastAsiaTheme="minorEastAsia"/>
          <w:b/>
          <w:sz w:val="24"/>
        </w:rPr>
        <w:t>8.12.5</w:t>
      </w:r>
      <w:r>
        <w:rPr>
          <w:rFonts w:eastAsiaTheme="minorEastAsia" w:hint="eastAsia"/>
          <w:b/>
          <w:sz w:val="24"/>
        </w:rPr>
        <w:t>期末前十名股票中存在流通受限情况的说明</w:t>
      </w:r>
    </w:p>
    <w:p w:rsidR="000E6BAE" w:rsidRDefault="00CD6463">
      <w:pPr>
        <w:tabs>
          <w:tab w:val="left" w:pos="426"/>
        </w:tabs>
        <w:spacing w:before="29" w:line="288" w:lineRule="auto"/>
        <w:jc w:val="left"/>
        <w:rPr>
          <w:kern w:val="0"/>
          <w:sz w:val="24"/>
        </w:rPr>
      </w:pPr>
      <w:r>
        <w:rPr>
          <w:kern w:val="0"/>
          <w:sz w:val="24"/>
        </w:rPr>
        <w:t>本基金本报告期末未持有股票。</w:t>
      </w:r>
    </w:p>
    <w:p w:rsidR="000E6BAE" w:rsidRDefault="000E6BAE">
      <w:pPr>
        <w:autoSpaceDE w:val="0"/>
        <w:autoSpaceDN w:val="0"/>
        <w:adjustRightInd w:val="0"/>
        <w:spacing w:line="360" w:lineRule="auto"/>
        <w:ind w:firstLine="420"/>
        <w:rPr>
          <w:rFonts w:asciiTheme="minorEastAsia" w:eastAsiaTheme="minorEastAsia" w:hAnsiTheme="minorEastAsia"/>
          <w:color w:val="000000"/>
          <w:szCs w:val="21"/>
        </w:rPr>
      </w:pPr>
    </w:p>
    <w:p w:rsidR="000E6BAE" w:rsidRDefault="00CD6463">
      <w:pPr>
        <w:spacing w:before="29" w:line="288" w:lineRule="auto"/>
        <w:rPr>
          <w:rFonts w:eastAsiaTheme="minorEastAsia"/>
          <w:b/>
          <w:sz w:val="24"/>
        </w:rPr>
      </w:pPr>
      <w:r>
        <w:rPr>
          <w:rFonts w:eastAsiaTheme="minorEastAsia"/>
          <w:b/>
          <w:sz w:val="24"/>
        </w:rPr>
        <w:t>8.12.6</w:t>
      </w:r>
      <w:r>
        <w:rPr>
          <w:rFonts w:eastAsiaTheme="minorEastAsia" w:hint="eastAsia"/>
          <w:b/>
          <w:sz w:val="24"/>
        </w:rPr>
        <w:t>投资组合报告附注的其他文字描述部分</w:t>
      </w:r>
    </w:p>
    <w:p w:rsidR="000E6BAE" w:rsidRDefault="00CD6463">
      <w:pPr>
        <w:spacing w:before="29" w:line="288" w:lineRule="auto"/>
        <w:rPr>
          <w:kern w:val="0"/>
          <w:sz w:val="24"/>
        </w:rPr>
      </w:pPr>
      <w:r>
        <w:rPr>
          <w:kern w:val="0"/>
          <w:sz w:val="24"/>
        </w:rPr>
        <w:t>由于四舍五入的原因，分项之和与合计项之间可能存在尾差。</w:t>
      </w:r>
    </w:p>
    <w:p w:rsidR="000E6BAE" w:rsidRDefault="000E6BAE">
      <w:pPr>
        <w:spacing w:before="29" w:line="288" w:lineRule="auto"/>
        <w:rPr>
          <w:kern w:val="0"/>
          <w:sz w:val="24"/>
        </w:rPr>
      </w:pPr>
    </w:p>
    <w:p w:rsidR="000E6BAE" w:rsidRDefault="00CD6463">
      <w:pPr>
        <w:pStyle w:val="1"/>
        <w:keepNext/>
        <w:keepLines/>
        <w:widowControl w:val="0"/>
        <w:spacing w:beforeLines="100" w:before="312" w:afterLines="100" w:after="312" w:line="288" w:lineRule="auto"/>
        <w:jc w:val="center"/>
        <w:rPr>
          <w:b/>
          <w:bCs/>
          <w:szCs w:val="24"/>
          <w:lang w:val="en-US"/>
        </w:rPr>
      </w:pPr>
      <w:bookmarkStart w:id="154" w:name="_Toc225500050"/>
      <w:bookmarkStart w:id="155" w:name="_Toc361324888"/>
      <w:bookmarkStart w:id="156" w:name="_Toc15055"/>
      <w:r>
        <w:rPr>
          <w:rFonts w:hint="eastAsia"/>
          <w:b/>
          <w:bCs/>
          <w:szCs w:val="24"/>
          <w:lang w:val="en-US"/>
        </w:rPr>
        <w:t>§</w:t>
      </w:r>
      <w:r>
        <w:rPr>
          <w:b/>
          <w:bCs/>
          <w:szCs w:val="24"/>
          <w:lang w:val="en-US"/>
        </w:rPr>
        <w:t>9</w:t>
      </w:r>
      <w:r>
        <w:rPr>
          <w:rFonts w:hint="eastAsia"/>
          <w:b/>
          <w:bCs/>
          <w:szCs w:val="24"/>
          <w:lang w:val="en-US"/>
        </w:rPr>
        <w:t>基金份额持有人信息</w:t>
      </w:r>
      <w:bookmarkEnd w:id="154"/>
      <w:bookmarkEnd w:id="155"/>
      <w:bookmarkEnd w:id="156"/>
    </w:p>
    <w:p w:rsidR="000E6BAE" w:rsidRDefault="00CD6463">
      <w:pPr>
        <w:pStyle w:val="2"/>
        <w:spacing w:before="29" w:after="0" w:line="288" w:lineRule="auto"/>
        <w:rPr>
          <w:rFonts w:eastAsiaTheme="minorEastAsia"/>
        </w:rPr>
      </w:pPr>
      <w:bookmarkStart w:id="157" w:name="_Toc225500051"/>
      <w:bookmarkStart w:id="158" w:name="_Toc361324889"/>
      <w:bookmarkStart w:id="159" w:name="_Toc28204"/>
      <w:r>
        <w:rPr>
          <w:rFonts w:eastAsiaTheme="minorEastAsia"/>
        </w:rPr>
        <w:t xml:space="preserve">9.1 </w:t>
      </w:r>
      <w:r>
        <w:rPr>
          <w:rFonts w:eastAsiaTheme="minorEastAsia" w:hint="eastAsia"/>
        </w:rPr>
        <w:t>期末基金份额持有人户数及持有人结构</w:t>
      </w:r>
      <w:bookmarkEnd w:id="157"/>
      <w:bookmarkEnd w:id="158"/>
      <w:bookmarkEnd w:id="159"/>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份额单位：份</w:t>
      </w:r>
    </w:p>
    <w:p w:rsidR="000E6BAE" w:rsidRDefault="000E6BAE">
      <w:pPr>
        <w:spacing w:before="29" w:line="288" w:lineRule="auto"/>
        <w:jc w:val="right"/>
        <w:rPr>
          <w:color w:val="000000"/>
          <w:kern w:val="0"/>
          <w:sz w:val="24"/>
        </w:rPr>
      </w:pPr>
    </w:p>
    <w:tbl>
      <w:tblPr>
        <w:tblW w:w="5000" w:type="pct"/>
        <w:jc w:val="center"/>
        <w:tblLayout w:type="fixed"/>
        <w:tblLook w:val="04A0" w:firstRow="1" w:lastRow="0" w:firstColumn="1" w:lastColumn="0" w:noHBand="0" w:noVBand="1"/>
      </w:tblPr>
      <w:tblGrid>
        <w:gridCol w:w="1668"/>
        <w:gridCol w:w="851"/>
        <w:gridCol w:w="1417"/>
        <w:gridCol w:w="1701"/>
        <w:gridCol w:w="992"/>
        <w:gridCol w:w="1701"/>
        <w:gridCol w:w="956"/>
      </w:tblGrid>
      <w:tr w:rsidR="000E6BAE">
        <w:trPr>
          <w:jc w:val="center"/>
        </w:trPr>
        <w:tc>
          <w:tcPr>
            <w:tcW w:w="898" w:type="pct"/>
            <w:vMerge w:val="restart"/>
            <w:tcBorders>
              <w:top w:val="single" w:sz="8" w:space="0" w:color="000000"/>
              <w:left w:val="single" w:sz="8" w:space="0" w:color="000000"/>
              <w:right w:val="single" w:sz="8" w:space="0" w:color="000000"/>
            </w:tcBorders>
            <w:vAlign w:val="center"/>
          </w:tcPr>
          <w:p w:rsidR="000E6BAE" w:rsidRDefault="00CD6463">
            <w:pPr>
              <w:widowControl/>
              <w:autoSpaceDE w:val="0"/>
              <w:autoSpaceDN w:val="0"/>
              <w:spacing w:before="29" w:line="288" w:lineRule="auto"/>
              <w:ind w:right="-15"/>
              <w:jc w:val="center"/>
              <w:textAlignment w:val="bottom"/>
              <w:rPr>
                <w:color w:val="000000"/>
                <w:szCs w:val="21"/>
              </w:rPr>
            </w:pPr>
            <w:r>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0E6BAE" w:rsidRDefault="00CD6463">
            <w:pPr>
              <w:widowControl/>
              <w:autoSpaceDE w:val="0"/>
              <w:autoSpaceDN w:val="0"/>
              <w:spacing w:before="29" w:line="288" w:lineRule="auto"/>
              <w:ind w:right="-15"/>
              <w:jc w:val="center"/>
              <w:textAlignment w:val="bottom"/>
              <w:rPr>
                <w:color w:val="000000"/>
                <w:szCs w:val="21"/>
              </w:rPr>
            </w:pPr>
            <w:r>
              <w:rPr>
                <w:rFonts w:hint="eastAsia"/>
                <w:color w:val="000000"/>
                <w:szCs w:val="21"/>
              </w:rPr>
              <w:t>持有人户数</w:t>
            </w:r>
            <w:r>
              <w:rPr>
                <w:color w:val="000000"/>
                <w:szCs w:val="21"/>
              </w:rPr>
              <w:t>(</w:t>
            </w:r>
            <w:r>
              <w:rPr>
                <w:rFonts w:hint="eastAsia"/>
                <w:color w:val="000000"/>
                <w:szCs w:val="21"/>
              </w:rPr>
              <w:t>户</w:t>
            </w:r>
            <w:r>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0E6BAE" w:rsidRDefault="00CD6463">
            <w:pPr>
              <w:widowControl/>
              <w:autoSpaceDE w:val="0"/>
              <w:autoSpaceDN w:val="0"/>
              <w:spacing w:before="29" w:line="288" w:lineRule="auto"/>
              <w:ind w:right="-15"/>
              <w:jc w:val="center"/>
              <w:textAlignment w:val="bottom"/>
              <w:rPr>
                <w:color w:val="000000"/>
                <w:szCs w:val="21"/>
              </w:rPr>
            </w:pPr>
            <w:r>
              <w:rPr>
                <w:rFonts w:hint="eastAsia"/>
                <w:color w:val="000000"/>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0E6BAE" w:rsidRDefault="00CD6463">
            <w:pPr>
              <w:widowControl/>
              <w:autoSpaceDE w:val="0"/>
              <w:autoSpaceDN w:val="0"/>
              <w:spacing w:before="29" w:line="288" w:lineRule="auto"/>
              <w:ind w:right="-15"/>
              <w:jc w:val="center"/>
              <w:textAlignment w:val="bottom"/>
              <w:rPr>
                <w:color w:val="000000"/>
                <w:szCs w:val="21"/>
              </w:rPr>
            </w:pPr>
            <w:r>
              <w:rPr>
                <w:rFonts w:hint="eastAsia"/>
                <w:color w:val="000000"/>
                <w:szCs w:val="21"/>
              </w:rPr>
              <w:t>持有人结构</w:t>
            </w:r>
          </w:p>
        </w:tc>
      </w:tr>
      <w:tr w:rsidR="000E6BAE">
        <w:trPr>
          <w:jc w:val="center"/>
        </w:trPr>
        <w:tc>
          <w:tcPr>
            <w:tcW w:w="898" w:type="pct"/>
            <w:vMerge/>
            <w:tcBorders>
              <w:left w:val="single" w:sz="8" w:space="0" w:color="000000"/>
              <w:right w:val="single" w:sz="8" w:space="0" w:color="000000"/>
            </w:tcBorders>
          </w:tcPr>
          <w:p w:rsidR="000E6BAE" w:rsidRDefault="000E6BAE">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0E6BAE" w:rsidRDefault="000E6BAE">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0E6BAE" w:rsidRDefault="000E6BAE">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0E6BAE" w:rsidRDefault="00CD6463">
            <w:pPr>
              <w:autoSpaceDE w:val="0"/>
              <w:autoSpaceDN w:val="0"/>
              <w:spacing w:before="29" w:line="288" w:lineRule="auto"/>
              <w:ind w:right="-15"/>
              <w:jc w:val="center"/>
              <w:textAlignment w:val="bottom"/>
              <w:rPr>
                <w:color w:val="000000"/>
                <w:szCs w:val="21"/>
              </w:rPr>
            </w:pPr>
            <w:r>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0E6BAE" w:rsidRDefault="00CD6463">
            <w:pPr>
              <w:autoSpaceDE w:val="0"/>
              <w:autoSpaceDN w:val="0"/>
              <w:spacing w:before="29" w:line="288" w:lineRule="auto"/>
              <w:ind w:right="-15"/>
              <w:jc w:val="center"/>
              <w:textAlignment w:val="bottom"/>
              <w:rPr>
                <w:color w:val="000000"/>
                <w:szCs w:val="21"/>
              </w:rPr>
            </w:pPr>
            <w:r>
              <w:rPr>
                <w:rFonts w:hint="eastAsia"/>
                <w:color w:val="000000"/>
                <w:szCs w:val="21"/>
              </w:rPr>
              <w:t>个人投资者</w:t>
            </w:r>
          </w:p>
        </w:tc>
      </w:tr>
      <w:tr w:rsidR="000E6BAE">
        <w:trPr>
          <w:jc w:val="center"/>
        </w:trPr>
        <w:tc>
          <w:tcPr>
            <w:tcW w:w="898" w:type="pct"/>
            <w:vMerge/>
            <w:tcBorders>
              <w:left w:val="single" w:sz="8" w:space="0" w:color="000000"/>
              <w:bottom w:val="single" w:sz="8" w:space="0" w:color="000000"/>
              <w:right w:val="single" w:sz="8" w:space="0" w:color="000000"/>
            </w:tcBorders>
          </w:tcPr>
          <w:p w:rsidR="000E6BAE" w:rsidRDefault="000E6BAE">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0E6BAE" w:rsidRDefault="000E6BAE">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0E6BAE" w:rsidRDefault="000E6BAE">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0E6BAE" w:rsidRDefault="00CD6463">
            <w:pPr>
              <w:autoSpaceDE w:val="0"/>
              <w:autoSpaceDN w:val="0"/>
              <w:spacing w:before="29" w:line="288" w:lineRule="auto"/>
              <w:ind w:right="-15"/>
              <w:jc w:val="center"/>
              <w:textAlignment w:val="bottom"/>
              <w:rPr>
                <w:color w:val="000000"/>
                <w:szCs w:val="21"/>
              </w:rPr>
            </w:pPr>
            <w:r>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0E6BAE" w:rsidRDefault="00CD6463">
            <w:pPr>
              <w:autoSpaceDE w:val="0"/>
              <w:autoSpaceDN w:val="0"/>
              <w:spacing w:before="29" w:line="288" w:lineRule="auto"/>
              <w:ind w:right="-15"/>
              <w:jc w:val="center"/>
              <w:textAlignment w:val="bottom"/>
              <w:rPr>
                <w:color w:val="000000"/>
                <w:szCs w:val="21"/>
              </w:rPr>
            </w:pPr>
            <w:r>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0E6BAE" w:rsidRDefault="00CD6463">
            <w:pPr>
              <w:autoSpaceDE w:val="0"/>
              <w:autoSpaceDN w:val="0"/>
              <w:spacing w:before="29" w:line="288" w:lineRule="auto"/>
              <w:ind w:right="-15"/>
              <w:jc w:val="center"/>
              <w:textAlignment w:val="bottom"/>
              <w:rPr>
                <w:color w:val="000000"/>
                <w:szCs w:val="21"/>
              </w:rPr>
            </w:pPr>
            <w:r>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E6BAE" w:rsidRDefault="00CD6463">
            <w:pPr>
              <w:autoSpaceDE w:val="0"/>
              <w:autoSpaceDN w:val="0"/>
              <w:spacing w:before="29" w:line="288" w:lineRule="auto"/>
              <w:ind w:right="-15"/>
              <w:jc w:val="center"/>
              <w:textAlignment w:val="bottom"/>
              <w:rPr>
                <w:color w:val="000000"/>
                <w:szCs w:val="21"/>
              </w:rPr>
            </w:pPr>
            <w:r>
              <w:rPr>
                <w:rFonts w:hint="eastAsia"/>
                <w:color w:val="000000"/>
                <w:szCs w:val="21"/>
              </w:rPr>
              <w:t>占总份额比例</w:t>
            </w:r>
          </w:p>
        </w:tc>
      </w:tr>
      <w:tr w:rsidR="00CD6463">
        <w:trPr>
          <w:jc w:val="center"/>
        </w:trPr>
        <w:tc>
          <w:tcPr>
            <w:tcW w:w="898" w:type="pct"/>
            <w:tcBorders>
              <w:left w:val="single" w:sz="8" w:space="0" w:color="000000"/>
              <w:bottom w:val="single" w:sz="8" w:space="0" w:color="000000"/>
              <w:right w:val="single" w:sz="8" w:space="0" w:color="000000"/>
            </w:tcBorders>
            <w:vAlign w:val="center"/>
          </w:tcPr>
          <w:p w:rsidR="00CD6463" w:rsidRDefault="00CD6463" w:rsidP="00CD6463">
            <w:pPr>
              <w:spacing w:before="29" w:line="288" w:lineRule="auto"/>
              <w:jc w:val="center"/>
              <w:rPr>
                <w:bCs/>
                <w:szCs w:val="21"/>
              </w:rPr>
            </w:pPr>
            <w:r>
              <w:rPr>
                <w:bCs/>
                <w:szCs w:val="21"/>
              </w:rPr>
              <w:t>交银丰润收益债券</w:t>
            </w:r>
            <w:r>
              <w:rPr>
                <w:bCs/>
                <w:szCs w:val="21"/>
              </w:rPr>
              <w:t>A</w:t>
            </w:r>
          </w:p>
        </w:tc>
        <w:tc>
          <w:tcPr>
            <w:tcW w:w="458" w:type="pct"/>
            <w:tcBorders>
              <w:top w:val="single" w:sz="8" w:space="0" w:color="000000"/>
              <w:left w:val="single" w:sz="8" w:space="0" w:color="000000"/>
              <w:bottom w:val="single" w:sz="8" w:space="0" w:color="000000"/>
              <w:right w:val="single" w:sz="8" w:space="0" w:color="000000"/>
            </w:tcBorders>
            <w:vAlign w:val="center"/>
          </w:tcPr>
          <w:p w:rsidR="00CD6463" w:rsidRPr="00E90C3B" w:rsidRDefault="00CD6463" w:rsidP="00CD6463">
            <w:pPr>
              <w:spacing w:before="29" w:line="288" w:lineRule="auto"/>
              <w:jc w:val="right"/>
              <w:rPr>
                <w:color w:val="000000"/>
                <w:kern w:val="0"/>
                <w:szCs w:val="21"/>
              </w:rPr>
            </w:pPr>
            <w:r w:rsidRPr="00E90C3B">
              <w:rPr>
                <w:color w:val="000000"/>
                <w:kern w:val="0"/>
                <w:szCs w:val="21"/>
              </w:rPr>
              <w:t>392</w:t>
            </w:r>
          </w:p>
        </w:tc>
        <w:tc>
          <w:tcPr>
            <w:tcW w:w="763" w:type="pct"/>
            <w:tcBorders>
              <w:top w:val="single" w:sz="8" w:space="0" w:color="000000"/>
              <w:left w:val="single" w:sz="8" w:space="0" w:color="000000"/>
              <w:bottom w:val="single" w:sz="8" w:space="0" w:color="000000"/>
              <w:right w:val="single" w:sz="8" w:space="0" w:color="000000"/>
            </w:tcBorders>
            <w:vAlign w:val="center"/>
          </w:tcPr>
          <w:p w:rsidR="00CD6463" w:rsidRPr="00E90C3B" w:rsidRDefault="00CD6463" w:rsidP="00CD6463">
            <w:pPr>
              <w:spacing w:before="29" w:line="288" w:lineRule="auto"/>
              <w:jc w:val="right"/>
              <w:rPr>
                <w:color w:val="000000"/>
                <w:kern w:val="0"/>
                <w:szCs w:val="21"/>
              </w:rPr>
            </w:pPr>
            <w:r w:rsidRPr="00E90C3B">
              <w:rPr>
                <w:color w:val="000000"/>
                <w:kern w:val="0"/>
                <w:szCs w:val="21"/>
              </w:rPr>
              <w:t>3,377,695.39</w:t>
            </w:r>
          </w:p>
        </w:tc>
        <w:tc>
          <w:tcPr>
            <w:tcW w:w="916" w:type="pct"/>
            <w:tcBorders>
              <w:top w:val="single" w:sz="8" w:space="0" w:color="000000"/>
              <w:left w:val="single" w:sz="8" w:space="0" w:color="000000"/>
              <w:bottom w:val="single" w:sz="8" w:space="0" w:color="000000"/>
              <w:right w:val="single" w:sz="8" w:space="0" w:color="000000"/>
            </w:tcBorders>
            <w:vAlign w:val="center"/>
          </w:tcPr>
          <w:p w:rsidR="00CD6463" w:rsidRDefault="00CD6463" w:rsidP="00CD6463">
            <w:pPr>
              <w:spacing w:before="29" w:line="288" w:lineRule="auto"/>
              <w:jc w:val="right"/>
              <w:rPr>
                <w:color w:val="000000"/>
                <w:kern w:val="0"/>
                <w:szCs w:val="21"/>
              </w:rPr>
            </w:pPr>
            <w:r>
              <w:rPr>
                <w:color w:val="000000"/>
                <w:kern w:val="0"/>
                <w:szCs w:val="21"/>
              </w:rPr>
              <w:t>1,317,458,716.71</w:t>
            </w:r>
          </w:p>
        </w:tc>
        <w:tc>
          <w:tcPr>
            <w:tcW w:w="534" w:type="pct"/>
            <w:tcBorders>
              <w:top w:val="single" w:sz="8" w:space="0" w:color="000000"/>
              <w:left w:val="single" w:sz="8" w:space="0" w:color="000000"/>
              <w:bottom w:val="single" w:sz="8" w:space="0" w:color="000000"/>
              <w:right w:val="single" w:sz="8" w:space="0" w:color="000000"/>
            </w:tcBorders>
            <w:vAlign w:val="center"/>
          </w:tcPr>
          <w:p w:rsidR="00CD6463" w:rsidRDefault="00CD6463" w:rsidP="00CD6463">
            <w:pPr>
              <w:spacing w:before="29" w:line="288" w:lineRule="auto"/>
              <w:jc w:val="right"/>
              <w:rPr>
                <w:color w:val="000000"/>
                <w:kern w:val="0"/>
                <w:szCs w:val="21"/>
              </w:rPr>
            </w:pPr>
            <w:r>
              <w:rPr>
                <w:color w:val="000000"/>
                <w:kern w:val="0"/>
                <w:szCs w:val="21"/>
              </w:rPr>
              <w:t>99.50%</w:t>
            </w:r>
          </w:p>
        </w:tc>
        <w:tc>
          <w:tcPr>
            <w:tcW w:w="916" w:type="pct"/>
            <w:tcBorders>
              <w:top w:val="single" w:sz="8" w:space="0" w:color="000000"/>
              <w:left w:val="single" w:sz="8" w:space="0" w:color="000000"/>
              <w:bottom w:val="single" w:sz="8" w:space="0" w:color="000000"/>
              <w:right w:val="single" w:sz="8" w:space="0" w:color="000000"/>
            </w:tcBorders>
            <w:vAlign w:val="center"/>
          </w:tcPr>
          <w:p w:rsidR="00CD6463" w:rsidRDefault="00CD6463" w:rsidP="00CD6463">
            <w:pPr>
              <w:spacing w:before="29" w:line="288" w:lineRule="auto"/>
              <w:jc w:val="right"/>
              <w:rPr>
                <w:color w:val="000000"/>
                <w:kern w:val="0"/>
                <w:szCs w:val="21"/>
              </w:rPr>
            </w:pPr>
            <w:r>
              <w:rPr>
                <w:color w:val="000000"/>
                <w:kern w:val="0"/>
                <w:szCs w:val="21"/>
              </w:rPr>
              <w:t>6,597,876.81</w:t>
            </w:r>
          </w:p>
        </w:tc>
        <w:tc>
          <w:tcPr>
            <w:tcW w:w="515" w:type="pct"/>
            <w:tcBorders>
              <w:top w:val="single" w:sz="8" w:space="0" w:color="000000"/>
              <w:left w:val="single" w:sz="8" w:space="0" w:color="000000"/>
              <w:bottom w:val="single" w:sz="8" w:space="0" w:color="000000"/>
              <w:right w:val="single" w:sz="4" w:space="0" w:color="auto"/>
            </w:tcBorders>
            <w:vAlign w:val="center"/>
          </w:tcPr>
          <w:p w:rsidR="00CD6463" w:rsidRDefault="00CD6463" w:rsidP="00CD6463">
            <w:pPr>
              <w:spacing w:before="29" w:line="288" w:lineRule="auto"/>
              <w:jc w:val="right"/>
              <w:rPr>
                <w:color w:val="000000"/>
                <w:kern w:val="0"/>
                <w:szCs w:val="21"/>
              </w:rPr>
            </w:pPr>
            <w:r>
              <w:rPr>
                <w:color w:val="000000"/>
                <w:kern w:val="0"/>
                <w:szCs w:val="21"/>
              </w:rPr>
              <w:t>0.50%</w:t>
            </w:r>
          </w:p>
        </w:tc>
      </w:tr>
      <w:tr w:rsidR="00CD6463">
        <w:trPr>
          <w:jc w:val="center"/>
        </w:trPr>
        <w:tc>
          <w:tcPr>
            <w:tcW w:w="898" w:type="pct"/>
            <w:tcBorders>
              <w:left w:val="single" w:sz="8" w:space="0" w:color="000000"/>
              <w:bottom w:val="single" w:sz="8" w:space="0" w:color="000000"/>
              <w:right w:val="single" w:sz="8" w:space="0" w:color="000000"/>
            </w:tcBorders>
            <w:vAlign w:val="center"/>
          </w:tcPr>
          <w:p w:rsidR="00CD6463" w:rsidRDefault="00CD6463" w:rsidP="00CD6463">
            <w:pPr>
              <w:spacing w:before="29" w:line="288" w:lineRule="auto"/>
              <w:jc w:val="center"/>
              <w:rPr>
                <w:bCs/>
                <w:szCs w:val="21"/>
              </w:rPr>
            </w:pPr>
            <w:r>
              <w:rPr>
                <w:bCs/>
                <w:szCs w:val="21"/>
              </w:rPr>
              <w:t>交银丰润收益债券</w:t>
            </w:r>
            <w:r>
              <w:rPr>
                <w:bCs/>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D6463" w:rsidRPr="00E90C3B" w:rsidRDefault="00CD6463" w:rsidP="00CD6463">
            <w:pPr>
              <w:spacing w:before="29" w:line="288" w:lineRule="auto"/>
              <w:jc w:val="right"/>
              <w:rPr>
                <w:color w:val="000000"/>
                <w:kern w:val="0"/>
                <w:szCs w:val="21"/>
              </w:rPr>
            </w:pPr>
            <w:r w:rsidRPr="00E90C3B">
              <w:rPr>
                <w:color w:val="000000"/>
                <w:kern w:val="0"/>
                <w:szCs w:val="21"/>
              </w:rPr>
              <w:t>1,697</w:t>
            </w:r>
          </w:p>
        </w:tc>
        <w:tc>
          <w:tcPr>
            <w:tcW w:w="763" w:type="pct"/>
            <w:tcBorders>
              <w:top w:val="single" w:sz="8" w:space="0" w:color="000000"/>
              <w:left w:val="single" w:sz="8" w:space="0" w:color="000000"/>
              <w:bottom w:val="single" w:sz="8" w:space="0" w:color="000000"/>
              <w:right w:val="single" w:sz="8" w:space="0" w:color="000000"/>
            </w:tcBorders>
            <w:vAlign w:val="center"/>
          </w:tcPr>
          <w:p w:rsidR="00CD6463" w:rsidRPr="00E90C3B" w:rsidRDefault="00CD6463" w:rsidP="00CD6463">
            <w:pPr>
              <w:spacing w:before="29" w:line="288" w:lineRule="auto"/>
              <w:jc w:val="right"/>
              <w:rPr>
                <w:color w:val="000000"/>
                <w:kern w:val="0"/>
                <w:szCs w:val="21"/>
              </w:rPr>
            </w:pPr>
            <w:r w:rsidRPr="00E90C3B">
              <w:rPr>
                <w:color w:val="000000"/>
                <w:kern w:val="0"/>
                <w:szCs w:val="21"/>
              </w:rPr>
              <w:t>1,1</w:t>
            </w:r>
            <w:bookmarkStart w:id="160" w:name="_GoBack"/>
            <w:bookmarkEnd w:id="160"/>
            <w:r w:rsidRPr="00E90C3B">
              <w:rPr>
                <w:color w:val="000000"/>
                <w:kern w:val="0"/>
                <w:szCs w:val="21"/>
              </w:rPr>
              <w:t>95.69</w:t>
            </w:r>
          </w:p>
        </w:tc>
        <w:tc>
          <w:tcPr>
            <w:tcW w:w="916" w:type="pct"/>
            <w:tcBorders>
              <w:top w:val="single" w:sz="8" w:space="0" w:color="000000"/>
              <w:left w:val="single" w:sz="8" w:space="0" w:color="000000"/>
              <w:bottom w:val="single" w:sz="8" w:space="0" w:color="000000"/>
              <w:right w:val="single" w:sz="8" w:space="0" w:color="000000"/>
            </w:tcBorders>
            <w:vAlign w:val="center"/>
          </w:tcPr>
          <w:p w:rsidR="00CD6463" w:rsidRDefault="00CD6463" w:rsidP="00CD6463">
            <w:pPr>
              <w:spacing w:before="29" w:line="288" w:lineRule="auto"/>
              <w:jc w:val="right"/>
              <w:rPr>
                <w:color w:val="000000"/>
                <w:kern w:val="0"/>
                <w:szCs w:val="21"/>
              </w:rPr>
            </w:pPr>
            <w:r>
              <w:rPr>
                <w:color w:val="000000"/>
                <w:kern w:val="0"/>
                <w:szCs w:val="21"/>
              </w:rPr>
              <w:t>-</w:t>
            </w:r>
          </w:p>
        </w:tc>
        <w:tc>
          <w:tcPr>
            <w:tcW w:w="534" w:type="pct"/>
            <w:tcBorders>
              <w:top w:val="single" w:sz="8" w:space="0" w:color="000000"/>
              <w:left w:val="single" w:sz="8" w:space="0" w:color="000000"/>
              <w:bottom w:val="single" w:sz="8" w:space="0" w:color="000000"/>
              <w:right w:val="single" w:sz="8" w:space="0" w:color="000000"/>
            </w:tcBorders>
            <w:vAlign w:val="center"/>
          </w:tcPr>
          <w:p w:rsidR="00CD6463" w:rsidRDefault="00CD6463" w:rsidP="00CD6463">
            <w:pPr>
              <w:spacing w:before="29" w:line="288" w:lineRule="auto"/>
              <w:jc w:val="right"/>
              <w:rPr>
                <w:color w:val="000000"/>
                <w:kern w:val="0"/>
                <w:szCs w:val="21"/>
              </w:rPr>
            </w:pPr>
            <w:r>
              <w:rPr>
                <w:color w:val="000000"/>
                <w:kern w:val="0"/>
                <w:szCs w:val="21"/>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CD6463" w:rsidRDefault="00CD6463" w:rsidP="00CD6463">
            <w:pPr>
              <w:spacing w:before="29" w:line="288" w:lineRule="auto"/>
              <w:jc w:val="right"/>
              <w:rPr>
                <w:color w:val="000000"/>
                <w:kern w:val="0"/>
                <w:szCs w:val="21"/>
              </w:rPr>
            </w:pPr>
            <w:r>
              <w:rPr>
                <w:color w:val="000000"/>
                <w:kern w:val="0"/>
                <w:szCs w:val="21"/>
              </w:rPr>
              <w:t>2,029,086.00</w:t>
            </w:r>
          </w:p>
        </w:tc>
        <w:tc>
          <w:tcPr>
            <w:tcW w:w="515" w:type="pct"/>
            <w:tcBorders>
              <w:top w:val="single" w:sz="8" w:space="0" w:color="000000"/>
              <w:left w:val="single" w:sz="8" w:space="0" w:color="000000"/>
              <w:bottom w:val="single" w:sz="8" w:space="0" w:color="000000"/>
              <w:right w:val="single" w:sz="4" w:space="0" w:color="auto"/>
            </w:tcBorders>
            <w:vAlign w:val="center"/>
          </w:tcPr>
          <w:p w:rsidR="00CD6463" w:rsidRDefault="00CD6463" w:rsidP="00CD6463">
            <w:pPr>
              <w:spacing w:before="29" w:line="288" w:lineRule="auto"/>
              <w:jc w:val="right"/>
              <w:rPr>
                <w:color w:val="000000"/>
                <w:kern w:val="0"/>
                <w:szCs w:val="21"/>
              </w:rPr>
            </w:pPr>
            <w:r>
              <w:rPr>
                <w:color w:val="000000"/>
                <w:kern w:val="0"/>
                <w:szCs w:val="21"/>
              </w:rPr>
              <w:t>100.00%</w:t>
            </w:r>
          </w:p>
        </w:tc>
      </w:tr>
      <w:tr w:rsidR="00CD6463">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D6463" w:rsidRDefault="00CD6463" w:rsidP="00CD6463">
            <w:pPr>
              <w:spacing w:before="29" w:line="288" w:lineRule="auto"/>
              <w:jc w:val="center"/>
              <w:rPr>
                <w:bCs/>
                <w:szCs w:val="21"/>
              </w:rPr>
            </w:pPr>
            <w:r>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D6463" w:rsidRPr="00E90C3B" w:rsidRDefault="00CD6463" w:rsidP="00CD6463">
            <w:pPr>
              <w:spacing w:before="29" w:line="288" w:lineRule="auto"/>
              <w:jc w:val="right"/>
              <w:rPr>
                <w:color w:val="000000"/>
                <w:kern w:val="0"/>
                <w:szCs w:val="21"/>
              </w:rPr>
            </w:pPr>
            <w:r w:rsidRPr="00E90C3B">
              <w:rPr>
                <w:color w:val="000000"/>
                <w:kern w:val="0"/>
                <w:szCs w:val="21"/>
              </w:rPr>
              <w:t>2,089</w:t>
            </w:r>
          </w:p>
        </w:tc>
        <w:tc>
          <w:tcPr>
            <w:tcW w:w="763" w:type="pct"/>
            <w:tcBorders>
              <w:top w:val="single" w:sz="8" w:space="0" w:color="000000"/>
              <w:left w:val="single" w:sz="8" w:space="0" w:color="000000"/>
              <w:bottom w:val="single" w:sz="8" w:space="0" w:color="000000"/>
              <w:right w:val="single" w:sz="8" w:space="0" w:color="000000"/>
            </w:tcBorders>
            <w:vAlign w:val="center"/>
          </w:tcPr>
          <w:p w:rsidR="00CD6463" w:rsidRPr="00E90C3B" w:rsidRDefault="00CD6463" w:rsidP="00CD6463">
            <w:pPr>
              <w:spacing w:before="29" w:line="288" w:lineRule="auto"/>
              <w:jc w:val="right"/>
              <w:rPr>
                <w:color w:val="000000"/>
                <w:kern w:val="0"/>
                <w:szCs w:val="21"/>
              </w:rPr>
            </w:pPr>
            <w:r w:rsidRPr="00E90C3B">
              <w:rPr>
                <w:color w:val="000000"/>
                <w:kern w:val="0"/>
                <w:szCs w:val="21"/>
              </w:rPr>
              <w:t>634,794.49</w:t>
            </w:r>
          </w:p>
        </w:tc>
        <w:tc>
          <w:tcPr>
            <w:tcW w:w="916" w:type="pct"/>
            <w:tcBorders>
              <w:top w:val="single" w:sz="8" w:space="0" w:color="000000"/>
              <w:left w:val="single" w:sz="8" w:space="0" w:color="000000"/>
              <w:bottom w:val="single" w:sz="8" w:space="0" w:color="000000"/>
              <w:right w:val="single" w:sz="8" w:space="0" w:color="000000"/>
            </w:tcBorders>
            <w:vAlign w:val="center"/>
          </w:tcPr>
          <w:p w:rsidR="00CD6463" w:rsidRDefault="00CD6463" w:rsidP="00CD6463">
            <w:pPr>
              <w:spacing w:before="29" w:line="288" w:lineRule="auto"/>
              <w:jc w:val="right"/>
              <w:rPr>
                <w:color w:val="000000"/>
                <w:kern w:val="0"/>
                <w:szCs w:val="21"/>
              </w:rPr>
            </w:pPr>
            <w:r>
              <w:rPr>
                <w:color w:val="000000"/>
                <w:kern w:val="0"/>
                <w:szCs w:val="21"/>
              </w:rPr>
              <w:t>1,317,458,716.71</w:t>
            </w:r>
          </w:p>
        </w:tc>
        <w:tc>
          <w:tcPr>
            <w:tcW w:w="534" w:type="pct"/>
            <w:tcBorders>
              <w:top w:val="single" w:sz="8" w:space="0" w:color="000000"/>
              <w:left w:val="single" w:sz="8" w:space="0" w:color="000000"/>
              <w:bottom w:val="single" w:sz="8" w:space="0" w:color="000000"/>
              <w:right w:val="single" w:sz="8" w:space="0" w:color="000000"/>
            </w:tcBorders>
            <w:vAlign w:val="center"/>
          </w:tcPr>
          <w:p w:rsidR="00CD6463" w:rsidRDefault="00CD6463" w:rsidP="00CD6463">
            <w:pPr>
              <w:spacing w:before="29" w:line="288" w:lineRule="auto"/>
              <w:jc w:val="right"/>
              <w:rPr>
                <w:color w:val="000000"/>
                <w:kern w:val="0"/>
                <w:szCs w:val="21"/>
              </w:rPr>
            </w:pPr>
            <w:r>
              <w:rPr>
                <w:color w:val="000000"/>
                <w:kern w:val="0"/>
                <w:szCs w:val="21"/>
              </w:rPr>
              <w:t>99.35%</w:t>
            </w:r>
          </w:p>
        </w:tc>
        <w:tc>
          <w:tcPr>
            <w:tcW w:w="916" w:type="pct"/>
            <w:tcBorders>
              <w:top w:val="single" w:sz="8" w:space="0" w:color="000000"/>
              <w:left w:val="single" w:sz="8" w:space="0" w:color="000000"/>
              <w:bottom w:val="single" w:sz="8" w:space="0" w:color="000000"/>
              <w:right w:val="single" w:sz="8" w:space="0" w:color="000000"/>
            </w:tcBorders>
            <w:vAlign w:val="center"/>
          </w:tcPr>
          <w:p w:rsidR="00CD6463" w:rsidRDefault="00CD6463" w:rsidP="00CD6463">
            <w:pPr>
              <w:spacing w:before="29" w:line="288" w:lineRule="auto"/>
              <w:jc w:val="right"/>
              <w:rPr>
                <w:color w:val="000000"/>
                <w:kern w:val="0"/>
                <w:szCs w:val="21"/>
              </w:rPr>
            </w:pPr>
            <w:r>
              <w:rPr>
                <w:color w:val="000000"/>
                <w:kern w:val="0"/>
                <w:szCs w:val="21"/>
              </w:rPr>
              <w:t>8,626,962.81</w:t>
            </w:r>
          </w:p>
        </w:tc>
        <w:tc>
          <w:tcPr>
            <w:tcW w:w="515" w:type="pct"/>
            <w:tcBorders>
              <w:top w:val="single" w:sz="8" w:space="0" w:color="000000"/>
              <w:left w:val="single" w:sz="8" w:space="0" w:color="000000"/>
              <w:bottom w:val="single" w:sz="8" w:space="0" w:color="000000"/>
              <w:right w:val="single" w:sz="4" w:space="0" w:color="auto"/>
            </w:tcBorders>
            <w:vAlign w:val="center"/>
          </w:tcPr>
          <w:p w:rsidR="00CD6463" w:rsidRDefault="00CD6463" w:rsidP="00CD6463">
            <w:pPr>
              <w:spacing w:before="29" w:line="288" w:lineRule="auto"/>
              <w:jc w:val="right"/>
              <w:rPr>
                <w:color w:val="000000"/>
                <w:kern w:val="0"/>
                <w:szCs w:val="21"/>
              </w:rPr>
            </w:pPr>
            <w:r>
              <w:rPr>
                <w:color w:val="000000"/>
                <w:kern w:val="0"/>
                <w:szCs w:val="21"/>
              </w:rPr>
              <w:t>0.65%</w:t>
            </w:r>
          </w:p>
        </w:tc>
      </w:tr>
    </w:tbl>
    <w:p w:rsidR="000E6BAE" w:rsidRDefault="000E6BAE">
      <w:pPr>
        <w:spacing w:line="360" w:lineRule="auto"/>
        <w:rPr>
          <w:rFonts w:asciiTheme="minorEastAsia" w:eastAsiaTheme="minorEastAsia" w:hAnsiTheme="minorEastAsia"/>
          <w:color w:val="000000"/>
          <w:szCs w:val="21"/>
        </w:rPr>
      </w:pPr>
    </w:p>
    <w:p w:rsidR="000E6BAE" w:rsidRDefault="00CD6463">
      <w:pPr>
        <w:pStyle w:val="2"/>
        <w:spacing w:before="29" w:after="0" w:line="288" w:lineRule="auto"/>
        <w:rPr>
          <w:rFonts w:eastAsiaTheme="minorEastAsia"/>
        </w:rPr>
      </w:pPr>
      <w:bookmarkStart w:id="161" w:name="_Toc361324891"/>
      <w:bookmarkStart w:id="162" w:name="_Toc27305"/>
      <w:r>
        <w:rPr>
          <w:rFonts w:eastAsiaTheme="minorEastAsia"/>
        </w:rPr>
        <w:t>9.2</w:t>
      </w:r>
      <w:r>
        <w:rPr>
          <w:rFonts w:eastAsiaTheme="minorEastAsia" w:hint="eastAsia"/>
        </w:rPr>
        <w:t>期末基金管理人的从业人员持有本基金的情况</w:t>
      </w:r>
      <w:bookmarkEnd w:id="161"/>
      <w:bookmarkEnd w:id="16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694"/>
        <w:gridCol w:w="2126"/>
        <w:gridCol w:w="1910"/>
      </w:tblGrid>
      <w:tr w:rsidR="000E6BAE">
        <w:trPr>
          <w:trHeight w:val="285"/>
        </w:trPr>
        <w:tc>
          <w:tcPr>
            <w:tcW w:w="2268" w:type="dxa"/>
            <w:noWrap/>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项目</w:t>
            </w:r>
          </w:p>
        </w:tc>
        <w:tc>
          <w:tcPr>
            <w:tcW w:w="2694"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份额级别</w:t>
            </w:r>
          </w:p>
        </w:tc>
        <w:tc>
          <w:tcPr>
            <w:tcW w:w="2126" w:type="dxa"/>
            <w:noWrap/>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持有份额总数（份）</w:t>
            </w:r>
          </w:p>
        </w:tc>
        <w:tc>
          <w:tcPr>
            <w:tcW w:w="1910" w:type="dxa"/>
            <w:noWrap/>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占基金总份额比例</w:t>
            </w:r>
          </w:p>
        </w:tc>
      </w:tr>
      <w:tr w:rsidR="000E6BAE">
        <w:trPr>
          <w:trHeight w:val="285"/>
        </w:trPr>
        <w:tc>
          <w:tcPr>
            <w:tcW w:w="2268" w:type="dxa"/>
            <w:vMerge w:val="restart"/>
            <w:noWrap/>
            <w:vAlign w:val="center"/>
          </w:tcPr>
          <w:p w:rsidR="000E6BAE" w:rsidRDefault="00CD6463">
            <w:pPr>
              <w:spacing w:line="360" w:lineRule="auto"/>
              <w:rPr>
                <w:rFonts w:asciiTheme="minorEastAsia" w:eastAsiaTheme="minorEastAsia" w:hAnsiTheme="minorEastAsia"/>
                <w:color w:val="000000"/>
                <w:szCs w:val="21"/>
              </w:rPr>
            </w:pPr>
            <w:r>
              <w:rPr>
                <w:rFonts w:hint="eastAsia"/>
                <w:color w:val="000000"/>
                <w:sz w:val="24"/>
              </w:rPr>
              <w:t>基金管理人所有从业人员持有本基金</w:t>
            </w:r>
          </w:p>
        </w:tc>
        <w:tc>
          <w:tcPr>
            <w:tcW w:w="2694" w:type="dxa"/>
            <w:vAlign w:val="center"/>
          </w:tcPr>
          <w:p w:rsidR="000E6BAE" w:rsidRDefault="00CD6463">
            <w:pPr>
              <w:spacing w:before="29" w:line="288" w:lineRule="auto"/>
              <w:rPr>
                <w:color w:val="000000"/>
                <w:kern w:val="0"/>
                <w:sz w:val="24"/>
              </w:rPr>
            </w:pPr>
            <w:r>
              <w:rPr>
                <w:color w:val="000000"/>
                <w:kern w:val="0"/>
                <w:sz w:val="24"/>
              </w:rPr>
              <w:t>交银丰润收益债券</w:t>
            </w:r>
            <w:r>
              <w:rPr>
                <w:color w:val="000000"/>
                <w:kern w:val="0"/>
                <w:sz w:val="24"/>
              </w:rPr>
              <w:t>A</w:t>
            </w:r>
          </w:p>
        </w:tc>
        <w:tc>
          <w:tcPr>
            <w:tcW w:w="2126" w:type="dxa"/>
            <w:noWrap/>
            <w:vAlign w:val="center"/>
          </w:tcPr>
          <w:p w:rsidR="000E6BAE" w:rsidRDefault="00CD6463">
            <w:pPr>
              <w:widowControl/>
              <w:spacing w:before="29" w:line="288" w:lineRule="auto"/>
              <w:jc w:val="right"/>
              <w:rPr>
                <w:color w:val="000000"/>
                <w:kern w:val="0"/>
                <w:sz w:val="24"/>
              </w:rPr>
            </w:pPr>
            <w:r>
              <w:rPr>
                <w:color w:val="000000"/>
                <w:kern w:val="0"/>
                <w:sz w:val="24"/>
              </w:rPr>
              <w:t>0.00</w:t>
            </w:r>
          </w:p>
        </w:tc>
        <w:tc>
          <w:tcPr>
            <w:tcW w:w="1910" w:type="dxa"/>
            <w:noWrap/>
            <w:vAlign w:val="center"/>
          </w:tcPr>
          <w:p w:rsidR="000E6BAE" w:rsidRDefault="00CD6463">
            <w:pPr>
              <w:widowControl/>
              <w:spacing w:before="29" w:line="288" w:lineRule="auto"/>
              <w:jc w:val="right"/>
              <w:rPr>
                <w:color w:val="000000"/>
                <w:kern w:val="0"/>
                <w:sz w:val="24"/>
              </w:rPr>
            </w:pPr>
            <w:r>
              <w:rPr>
                <w:color w:val="000000"/>
                <w:kern w:val="0"/>
                <w:sz w:val="24"/>
              </w:rPr>
              <w:t>0.00%</w:t>
            </w:r>
          </w:p>
        </w:tc>
      </w:tr>
      <w:tr w:rsidR="000E6BAE">
        <w:trPr>
          <w:trHeight w:val="285"/>
        </w:trPr>
        <w:tc>
          <w:tcPr>
            <w:tcW w:w="2268" w:type="dxa"/>
            <w:vMerge/>
            <w:vAlign w:val="center"/>
          </w:tcPr>
          <w:p w:rsidR="000E6BAE" w:rsidRDefault="000E6BAE">
            <w:pPr>
              <w:widowControl/>
              <w:spacing w:line="360" w:lineRule="auto"/>
              <w:jc w:val="left"/>
              <w:rPr>
                <w:rFonts w:asciiTheme="minorEastAsia" w:eastAsiaTheme="minorEastAsia" w:hAnsiTheme="minorEastAsia"/>
                <w:color w:val="000000"/>
                <w:szCs w:val="21"/>
              </w:rPr>
            </w:pPr>
          </w:p>
        </w:tc>
        <w:tc>
          <w:tcPr>
            <w:tcW w:w="2694" w:type="dxa"/>
            <w:vAlign w:val="center"/>
          </w:tcPr>
          <w:p w:rsidR="000E6BAE" w:rsidRDefault="00CD6463">
            <w:pPr>
              <w:spacing w:before="29" w:line="288" w:lineRule="auto"/>
              <w:rPr>
                <w:color w:val="000000"/>
                <w:kern w:val="0"/>
                <w:sz w:val="24"/>
              </w:rPr>
            </w:pPr>
            <w:r>
              <w:rPr>
                <w:color w:val="000000"/>
                <w:kern w:val="0"/>
                <w:sz w:val="24"/>
              </w:rPr>
              <w:t>交银丰润收益债券</w:t>
            </w:r>
            <w:r>
              <w:rPr>
                <w:color w:val="000000"/>
                <w:kern w:val="0"/>
                <w:sz w:val="24"/>
              </w:rPr>
              <w:t>C</w:t>
            </w:r>
          </w:p>
        </w:tc>
        <w:tc>
          <w:tcPr>
            <w:tcW w:w="2126" w:type="dxa"/>
            <w:noWrap/>
            <w:vAlign w:val="center"/>
          </w:tcPr>
          <w:p w:rsidR="000E6BAE" w:rsidRDefault="00CD6463">
            <w:pPr>
              <w:widowControl/>
              <w:spacing w:before="29" w:line="288" w:lineRule="auto"/>
              <w:jc w:val="right"/>
              <w:rPr>
                <w:color w:val="000000"/>
                <w:kern w:val="0"/>
                <w:sz w:val="24"/>
              </w:rPr>
            </w:pPr>
            <w:r>
              <w:rPr>
                <w:color w:val="000000"/>
                <w:kern w:val="0"/>
                <w:sz w:val="24"/>
              </w:rPr>
              <w:t>9.92</w:t>
            </w:r>
          </w:p>
        </w:tc>
        <w:tc>
          <w:tcPr>
            <w:tcW w:w="1910" w:type="dxa"/>
            <w:noWrap/>
            <w:vAlign w:val="center"/>
          </w:tcPr>
          <w:p w:rsidR="000E6BAE" w:rsidRDefault="00CD6463">
            <w:pPr>
              <w:widowControl/>
              <w:spacing w:before="29" w:line="288" w:lineRule="auto"/>
              <w:jc w:val="right"/>
              <w:rPr>
                <w:color w:val="000000"/>
                <w:kern w:val="0"/>
                <w:sz w:val="24"/>
              </w:rPr>
            </w:pPr>
            <w:r>
              <w:rPr>
                <w:color w:val="000000"/>
                <w:kern w:val="0"/>
                <w:sz w:val="24"/>
              </w:rPr>
              <w:t>0.00%</w:t>
            </w:r>
          </w:p>
        </w:tc>
      </w:tr>
      <w:tr w:rsidR="000E6BAE">
        <w:trPr>
          <w:trHeight w:val="285"/>
        </w:trPr>
        <w:tc>
          <w:tcPr>
            <w:tcW w:w="2268" w:type="dxa"/>
            <w:vMerge/>
            <w:vAlign w:val="center"/>
          </w:tcPr>
          <w:p w:rsidR="000E6BAE" w:rsidRDefault="000E6BAE">
            <w:pPr>
              <w:widowControl/>
              <w:spacing w:line="360" w:lineRule="auto"/>
              <w:jc w:val="left"/>
              <w:rPr>
                <w:rFonts w:asciiTheme="minorEastAsia" w:eastAsiaTheme="minorEastAsia" w:hAnsiTheme="minorEastAsia"/>
                <w:color w:val="000000"/>
                <w:szCs w:val="21"/>
              </w:rPr>
            </w:pPr>
          </w:p>
        </w:tc>
        <w:tc>
          <w:tcPr>
            <w:tcW w:w="2694" w:type="dxa"/>
            <w:vAlign w:val="center"/>
          </w:tcPr>
          <w:p w:rsidR="000E6BAE" w:rsidRDefault="00CD6463">
            <w:pPr>
              <w:spacing w:before="29" w:line="288" w:lineRule="auto"/>
              <w:jc w:val="center"/>
              <w:rPr>
                <w:color w:val="000000"/>
                <w:kern w:val="0"/>
                <w:sz w:val="24"/>
              </w:rPr>
            </w:pPr>
            <w:r>
              <w:rPr>
                <w:rFonts w:hint="eastAsia"/>
                <w:color w:val="000000"/>
                <w:kern w:val="0"/>
                <w:sz w:val="24"/>
              </w:rPr>
              <w:t>合计</w:t>
            </w:r>
          </w:p>
        </w:tc>
        <w:tc>
          <w:tcPr>
            <w:tcW w:w="2126" w:type="dxa"/>
            <w:noWrap/>
            <w:vAlign w:val="center"/>
          </w:tcPr>
          <w:p w:rsidR="000E6BAE" w:rsidRDefault="00CD6463">
            <w:pPr>
              <w:spacing w:before="29" w:line="288" w:lineRule="auto"/>
              <w:jc w:val="right"/>
              <w:rPr>
                <w:color w:val="000000"/>
                <w:kern w:val="0"/>
                <w:sz w:val="24"/>
              </w:rPr>
            </w:pPr>
            <w:r>
              <w:rPr>
                <w:color w:val="000000"/>
                <w:kern w:val="0"/>
                <w:sz w:val="24"/>
              </w:rPr>
              <w:t>9.92</w:t>
            </w:r>
          </w:p>
        </w:tc>
        <w:tc>
          <w:tcPr>
            <w:tcW w:w="1910" w:type="dxa"/>
            <w:noWrap/>
            <w:vAlign w:val="center"/>
          </w:tcPr>
          <w:p w:rsidR="000E6BAE" w:rsidRDefault="00CD6463">
            <w:pPr>
              <w:spacing w:before="29" w:line="288" w:lineRule="auto"/>
              <w:jc w:val="right"/>
              <w:rPr>
                <w:color w:val="000000"/>
                <w:kern w:val="0"/>
                <w:sz w:val="24"/>
              </w:rPr>
            </w:pPr>
            <w:r>
              <w:rPr>
                <w:color w:val="000000"/>
                <w:kern w:val="0"/>
                <w:sz w:val="24"/>
              </w:rPr>
              <w:t>0.00%</w:t>
            </w:r>
          </w:p>
        </w:tc>
      </w:tr>
    </w:tbl>
    <w:p w:rsidR="000E6BAE" w:rsidRDefault="000E6BAE">
      <w:pPr>
        <w:widowControl/>
        <w:spacing w:line="360" w:lineRule="auto"/>
        <w:jc w:val="left"/>
        <w:rPr>
          <w:rFonts w:ascii="宋体" w:hAnsi="宋体"/>
          <w:szCs w:val="21"/>
        </w:rPr>
      </w:pPr>
    </w:p>
    <w:p w:rsidR="000E6BAE" w:rsidRDefault="00CD6463">
      <w:pPr>
        <w:pStyle w:val="2"/>
        <w:spacing w:before="29" w:after="0" w:line="288" w:lineRule="auto"/>
        <w:rPr>
          <w:rFonts w:eastAsiaTheme="minorEastAsia"/>
        </w:rPr>
      </w:pPr>
      <w:bookmarkStart w:id="163" w:name="_Toc5088"/>
      <w:r>
        <w:rPr>
          <w:rFonts w:eastAsiaTheme="minorEastAsia"/>
        </w:rPr>
        <w:t>9.3</w:t>
      </w:r>
      <w:r>
        <w:rPr>
          <w:rFonts w:eastAsiaTheme="minorEastAsia" w:hint="eastAsia"/>
        </w:rPr>
        <w:t>期末基金管理人的从业人员持有本开放式基金份额总量区间的情况</w:t>
      </w:r>
      <w:bookmarkEnd w:id="163"/>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0E6BAE">
        <w:trPr>
          <w:trHeight w:val="285"/>
        </w:trPr>
        <w:tc>
          <w:tcPr>
            <w:tcW w:w="3459" w:type="dxa"/>
            <w:shd w:val="clear" w:color="auto" w:fill="auto"/>
            <w:tcMar>
              <w:top w:w="0" w:type="dxa"/>
              <w:left w:w="108" w:type="dxa"/>
              <w:bottom w:w="0" w:type="dxa"/>
              <w:right w:w="108" w:type="dxa"/>
            </w:tcMar>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项目</w:t>
            </w:r>
          </w:p>
        </w:tc>
        <w:tc>
          <w:tcPr>
            <w:tcW w:w="3459" w:type="dxa"/>
            <w:shd w:val="clear" w:color="auto" w:fill="auto"/>
            <w:tcMar>
              <w:top w:w="0" w:type="dxa"/>
              <w:left w:w="108" w:type="dxa"/>
              <w:bottom w:w="0" w:type="dxa"/>
              <w:right w:w="108" w:type="dxa"/>
            </w:tcMar>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份额级别</w:t>
            </w:r>
          </w:p>
        </w:tc>
        <w:tc>
          <w:tcPr>
            <w:tcW w:w="3459" w:type="dxa"/>
            <w:shd w:val="clear" w:color="auto" w:fill="auto"/>
            <w:tcMar>
              <w:top w:w="0" w:type="dxa"/>
              <w:left w:w="108" w:type="dxa"/>
              <w:bottom w:w="0" w:type="dxa"/>
              <w:right w:w="108" w:type="dxa"/>
            </w:tcMar>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持有基金份额总量的数量区间（万份）</w:t>
            </w:r>
          </w:p>
        </w:tc>
      </w:tr>
      <w:tr w:rsidR="000E6BAE">
        <w:trPr>
          <w:trHeight w:val="285"/>
        </w:trPr>
        <w:tc>
          <w:tcPr>
            <w:tcW w:w="3459" w:type="dxa"/>
            <w:vMerge w:val="restart"/>
            <w:shd w:val="clear" w:color="auto" w:fill="auto"/>
            <w:tcMar>
              <w:top w:w="0" w:type="dxa"/>
              <w:left w:w="108" w:type="dxa"/>
              <w:bottom w:w="0" w:type="dxa"/>
              <w:right w:w="108" w:type="dxa"/>
            </w:tcMar>
            <w:vAlign w:val="center"/>
          </w:tcPr>
          <w:p w:rsidR="000E6BAE" w:rsidRDefault="00CD6463">
            <w:pPr>
              <w:pStyle w:val="a0"/>
              <w:spacing w:before="29" w:line="288" w:lineRule="auto"/>
              <w:ind w:firstLineChars="0" w:firstLine="0"/>
              <w:jc w:val="center"/>
              <w:rPr>
                <w:color w:val="000000"/>
                <w:sz w:val="24"/>
              </w:rPr>
            </w:pPr>
            <w:r>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right"/>
              <w:rPr>
                <w:color w:val="000000"/>
                <w:kern w:val="0"/>
                <w:sz w:val="24"/>
              </w:rPr>
            </w:pPr>
            <w:r>
              <w:rPr>
                <w:rFonts w:hint="eastAsia"/>
                <w:color w:val="000000"/>
                <w:kern w:val="0"/>
                <w:sz w:val="24"/>
              </w:rPr>
              <w:t>交银丰润收益债券</w:t>
            </w:r>
            <w:r>
              <w:rPr>
                <w:rFonts w:hint="eastAsia"/>
                <w:color w:val="000000"/>
                <w:kern w:val="0"/>
                <w:sz w:val="24"/>
              </w:rPr>
              <w:t>A</w:t>
            </w: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right"/>
              <w:rPr>
                <w:color w:val="000000"/>
                <w:kern w:val="0"/>
                <w:sz w:val="24"/>
              </w:rPr>
            </w:pPr>
            <w:r>
              <w:rPr>
                <w:color w:val="000000"/>
                <w:kern w:val="0"/>
                <w:sz w:val="24"/>
              </w:rPr>
              <w:t>0</w:t>
            </w:r>
          </w:p>
        </w:tc>
      </w:tr>
      <w:tr w:rsidR="000E6BAE">
        <w:trPr>
          <w:trHeight w:val="285"/>
        </w:trPr>
        <w:tc>
          <w:tcPr>
            <w:tcW w:w="3459" w:type="dxa"/>
            <w:vMerge/>
            <w:shd w:val="clear" w:color="auto" w:fill="auto"/>
            <w:vAlign w:val="center"/>
          </w:tcPr>
          <w:p w:rsidR="000E6BAE" w:rsidRDefault="000E6BAE">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right"/>
              <w:rPr>
                <w:color w:val="000000"/>
                <w:kern w:val="0"/>
                <w:sz w:val="24"/>
              </w:rPr>
            </w:pPr>
            <w:r>
              <w:rPr>
                <w:rFonts w:hint="eastAsia"/>
                <w:color w:val="000000"/>
                <w:kern w:val="0"/>
                <w:sz w:val="24"/>
              </w:rPr>
              <w:t>交银丰润收益债券</w:t>
            </w:r>
            <w:r>
              <w:rPr>
                <w:rFonts w:hint="eastAsia"/>
                <w:color w:val="000000"/>
                <w:kern w:val="0"/>
                <w:sz w:val="24"/>
              </w:rPr>
              <w:t>C</w:t>
            </w: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right"/>
              <w:rPr>
                <w:color w:val="000000"/>
                <w:kern w:val="0"/>
                <w:sz w:val="24"/>
              </w:rPr>
            </w:pPr>
            <w:r>
              <w:rPr>
                <w:color w:val="000000"/>
                <w:kern w:val="0"/>
                <w:sz w:val="24"/>
              </w:rPr>
              <w:t>0</w:t>
            </w:r>
          </w:p>
        </w:tc>
      </w:tr>
      <w:tr w:rsidR="000E6BAE">
        <w:trPr>
          <w:trHeight w:val="285"/>
        </w:trPr>
        <w:tc>
          <w:tcPr>
            <w:tcW w:w="3459" w:type="dxa"/>
            <w:vMerge/>
            <w:shd w:val="clear" w:color="auto" w:fill="auto"/>
            <w:vAlign w:val="center"/>
          </w:tcPr>
          <w:p w:rsidR="000E6BAE" w:rsidRDefault="000E6BAE">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center"/>
              <w:rPr>
                <w:color w:val="000000"/>
                <w:kern w:val="0"/>
                <w:sz w:val="24"/>
              </w:rPr>
            </w:pPr>
            <w:r>
              <w:rPr>
                <w:rFonts w:hint="eastAsia"/>
                <w:color w:val="000000"/>
                <w:kern w:val="0"/>
                <w:sz w:val="24"/>
              </w:rPr>
              <w:t>合计</w:t>
            </w: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right"/>
              <w:rPr>
                <w:color w:val="000000"/>
                <w:kern w:val="0"/>
                <w:sz w:val="24"/>
              </w:rPr>
            </w:pPr>
            <w:r>
              <w:rPr>
                <w:color w:val="000000"/>
                <w:kern w:val="0"/>
                <w:sz w:val="24"/>
              </w:rPr>
              <w:t>0</w:t>
            </w:r>
          </w:p>
        </w:tc>
      </w:tr>
      <w:tr w:rsidR="000E6BAE">
        <w:trPr>
          <w:trHeight w:val="285"/>
        </w:trPr>
        <w:tc>
          <w:tcPr>
            <w:tcW w:w="3459" w:type="dxa"/>
            <w:vMerge w:val="restart"/>
            <w:shd w:val="clear" w:color="auto" w:fill="auto"/>
            <w:tcMar>
              <w:top w:w="0" w:type="dxa"/>
              <w:left w:w="108" w:type="dxa"/>
              <w:bottom w:w="0" w:type="dxa"/>
              <w:right w:w="108" w:type="dxa"/>
            </w:tcMar>
            <w:vAlign w:val="center"/>
          </w:tcPr>
          <w:p w:rsidR="000E6BAE" w:rsidRDefault="00CD6463">
            <w:pPr>
              <w:pStyle w:val="a0"/>
              <w:spacing w:before="29" w:line="288" w:lineRule="auto"/>
              <w:ind w:firstLineChars="0" w:firstLine="0"/>
              <w:jc w:val="center"/>
              <w:rPr>
                <w:color w:val="000000"/>
                <w:sz w:val="24"/>
              </w:rPr>
            </w:pPr>
            <w:r>
              <w:rPr>
                <w:rFonts w:hint="eastAsia"/>
                <w:color w:val="000000"/>
                <w:sz w:val="24"/>
              </w:rPr>
              <w:t>本基金基金经理持有本开放式基金</w:t>
            </w: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right"/>
              <w:rPr>
                <w:color w:val="000000"/>
                <w:kern w:val="0"/>
                <w:sz w:val="24"/>
              </w:rPr>
            </w:pPr>
            <w:r>
              <w:rPr>
                <w:rFonts w:hint="eastAsia"/>
                <w:color w:val="000000"/>
                <w:kern w:val="0"/>
                <w:sz w:val="24"/>
              </w:rPr>
              <w:t>交银丰润收益债券</w:t>
            </w:r>
            <w:r>
              <w:rPr>
                <w:rFonts w:hint="eastAsia"/>
                <w:color w:val="000000"/>
                <w:kern w:val="0"/>
                <w:sz w:val="24"/>
              </w:rPr>
              <w:t>A</w:t>
            </w: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right"/>
              <w:rPr>
                <w:color w:val="000000"/>
                <w:kern w:val="0"/>
                <w:sz w:val="24"/>
              </w:rPr>
            </w:pPr>
            <w:r>
              <w:rPr>
                <w:color w:val="000000"/>
                <w:kern w:val="0"/>
                <w:sz w:val="24"/>
              </w:rPr>
              <w:t>0</w:t>
            </w:r>
          </w:p>
        </w:tc>
      </w:tr>
      <w:tr w:rsidR="000E6BAE">
        <w:trPr>
          <w:trHeight w:val="525"/>
        </w:trPr>
        <w:tc>
          <w:tcPr>
            <w:tcW w:w="3459" w:type="dxa"/>
            <w:vMerge/>
            <w:shd w:val="clear" w:color="auto" w:fill="auto"/>
            <w:vAlign w:val="center"/>
          </w:tcPr>
          <w:p w:rsidR="000E6BAE" w:rsidRDefault="000E6BAE">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right"/>
              <w:rPr>
                <w:color w:val="000000"/>
                <w:kern w:val="0"/>
                <w:sz w:val="24"/>
              </w:rPr>
            </w:pPr>
            <w:r>
              <w:rPr>
                <w:rFonts w:hint="eastAsia"/>
                <w:color w:val="000000"/>
                <w:kern w:val="0"/>
                <w:sz w:val="24"/>
              </w:rPr>
              <w:t>交银丰润收益债券</w:t>
            </w:r>
            <w:r>
              <w:rPr>
                <w:rFonts w:hint="eastAsia"/>
                <w:color w:val="000000"/>
                <w:kern w:val="0"/>
                <w:sz w:val="24"/>
              </w:rPr>
              <w:t>C</w:t>
            </w: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right"/>
              <w:rPr>
                <w:color w:val="000000"/>
                <w:kern w:val="0"/>
                <w:sz w:val="24"/>
              </w:rPr>
            </w:pPr>
            <w:r>
              <w:rPr>
                <w:color w:val="000000"/>
                <w:kern w:val="0"/>
                <w:sz w:val="24"/>
              </w:rPr>
              <w:t>0</w:t>
            </w:r>
          </w:p>
        </w:tc>
      </w:tr>
      <w:tr w:rsidR="000E6BAE">
        <w:trPr>
          <w:trHeight w:val="653"/>
        </w:trPr>
        <w:tc>
          <w:tcPr>
            <w:tcW w:w="3459" w:type="dxa"/>
            <w:vMerge/>
            <w:shd w:val="clear" w:color="auto" w:fill="auto"/>
            <w:vAlign w:val="center"/>
          </w:tcPr>
          <w:p w:rsidR="000E6BAE" w:rsidRDefault="000E6BAE">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center"/>
              <w:rPr>
                <w:color w:val="000000"/>
                <w:kern w:val="0"/>
                <w:sz w:val="24"/>
              </w:rPr>
            </w:pPr>
            <w:r>
              <w:rPr>
                <w:rFonts w:hint="eastAsia"/>
                <w:color w:val="000000"/>
                <w:kern w:val="0"/>
                <w:sz w:val="24"/>
              </w:rPr>
              <w:t>合计</w:t>
            </w:r>
          </w:p>
        </w:tc>
        <w:tc>
          <w:tcPr>
            <w:tcW w:w="3459" w:type="dxa"/>
            <w:shd w:val="clear" w:color="auto" w:fill="auto"/>
            <w:tcMar>
              <w:top w:w="0" w:type="dxa"/>
              <w:left w:w="108" w:type="dxa"/>
              <w:bottom w:w="0" w:type="dxa"/>
              <w:right w:w="108" w:type="dxa"/>
            </w:tcMar>
            <w:vAlign w:val="center"/>
          </w:tcPr>
          <w:p w:rsidR="000E6BAE" w:rsidRDefault="00CD6463">
            <w:pPr>
              <w:spacing w:before="29" w:line="288" w:lineRule="auto"/>
              <w:jc w:val="right"/>
              <w:rPr>
                <w:color w:val="000000"/>
                <w:kern w:val="0"/>
                <w:sz w:val="24"/>
              </w:rPr>
            </w:pPr>
            <w:r>
              <w:rPr>
                <w:color w:val="000000"/>
                <w:kern w:val="0"/>
                <w:sz w:val="24"/>
              </w:rPr>
              <w:t>0</w:t>
            </w:r>
          </w:p>
        </w:tc>
      </w:tr>
    </w:tbl>
    <w:p w:rsidR="000E6BAE" w:rsidRDefault="000E6BAE">
      <w:pPr>
        <w:spacing w:line="360" w:lineRule="auto"/>
        <w:rPr>
          <w:rFonts w:asciiTheme="minorEastAsia" w:eastAsiaTheme="minorEastAsia" w:hAnsiTheme="minorEastAsia"/>
          <w:color w:val="000000"/>
          <w:szCs w:val="21"/>
        </w:rPr>
      </w:pPr>
    </w:p>
    <w:p w:rsidR="000E6BAE" w:rsidRDefault="00CD6463">
      <w:pPr>
        <w:pStyle w:val="1"/>
        <w:keepNext/>
        <w:keepLines/>
        <w:widowControl w:val="0"/>
        <w:spacing w:beforeLines="100" w:before="312" w:afterLines="100" w:after="312" w:line="288" w:lineRule="auto"/>
        <w:jc w:val="center"/>
        <w:rPr>
          <w:b/>
          <w:bCs/>
          <w:szCs w:val="24"/>
          <w:lang w:val="en-US"/>
        </w:rPr>
      </w:pPr>
      <w:bookmarkStart w:id="164" w:name="_Toc225500053"/>
      <w:bookmarkStart w:id="165" w:name="_Toc361324892"/>
      <w:bookmarkStart w:id="166" w:name="_Toc21728"/>
      <w:r>
        <w:rPr>
          <w:rFonts w:hint="eastAsia"/>
          <w:b/>
          <w:bCs/>
          <w:szCs w:val="24"/>
          <w:lang w:val="en-US"/>
        </w:rPr>
        <w:t>§</w:t>
      </w:r>
      <w:r>
        <w:rPr>
          <w:b/>
          <w:bCs/>
          <w:szCs w:val="24"/>
          <w:lang w:val="en-US"/>
        </w:rPr>
        <w:t>10</w:t>
      </w:r>
      <w:r>
        <w:rPr>
          <w:rFonts w:hint="eastAsia"/>
          <w:b/>
          <w:bCs/>
          <w:szCs w:val="24"/>
          <w:lang w:val="en-US"/>
        </w:rPr>
        <w:t>开放式基金份额变动</w:t>
      </w:r>
      <w:bookmarkEnd w:id="164"/>
      <w:bookmarkEnd w:id="165"/>
      <w:bookmarkEnd w:id="166"/>
    </w:p>
    <w:p w:rsidR="000E6BAE" w:rsidRDefault="00CD6463">
      <w:pPr>
        <w:autoSpaceDE w:val="0"/>
        <w:autoSpaceDN w:val="0"/>
        <w:adjustRightInd w:val="0"/>
        <w:spacing w:before="29" w:line="288" w:lineRule="auto"/>
        <w:ind w:left="15"/>
        <w:jc w:val="right"/>
        <w:rPr>
          <w:bCs/>
          <w:color w:val="000000"/>
          <w:sz w:val="24"/>
        </w:rPr>
      </w:pPr>
      <w:r>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835"/>
        <w:gridCol w:w="2902"/>
      </w:tblGrid>
      <w:tr w:rsidR="000E6BAE">
        <w:tc>
          <w:tcPr>
            <w:tcW w:w="3261" w:type="dxa"/>
            <w:vAlign w:val="center"/>
          </w:tcPr>
          <w:p w:rsidR="000E6BAE" w:rsidRDefault="00CD6463">
            <w:pPr>
              <w:spacing w:before="29" w:line="288" w:lineRule="auto"/>
              <w:jc w:val="center"/>
              <w:rPr>
                <w:sz w:val="24"/>
              </w:rPr>
            </w:pPr>
            <w:r>
              <w:rPr>
                <w:rFonts w:hint="eastAsia"/>
                <w:sz w:val="24"/>
              </w:rPr>
              <w:t>项目</w:t>
            </w:r>
          </w:p>
        </w:tc>
        <w:tc>
          <w:tcPr>
            <w:tcW w:w="2835" w:type="dxa"/>
            <w:vAlign w:val="center"/>
          </w:tcPr>
          <w:p w:rsidR="000E6BAE" w:rsidRDefault="00CD6463">
            <w:pPr>
              <w:spacing w:before="29" w:line="288" w:lineRule="auto"/>
              <w:jc w:val="right"/>
              <w:rPr>
                <w:sz w:val="24"/>
              </w:rPr>
            </w:pPr>
            <w:r>
              <w:rPr>
                <w:sz w:val="24"/>
              </w:rPr>
              <w:t>交银丰润收益债券</w:t>
            </w:r>
            <w:r>
              <w:rPr>
                <w:sz w:val="24"/>
              </w:rPr>
              <w:t>A</w:t>
            </w:r>
          </w:p>
        </w:tc>
        <w:tc>
          <w:tcPr>
            <w:tcW w:w="2902" w:type="dxa"/>
            <w:vAlign w:val="center"/>
          </w:tcPr>
          <w:p w:rsidR="000E6BAE" w:rsidRDefault="00CD6463">
            <w:pPr>
              <w:spacing w:before="29" w:line="288" w:lineRule="auto"/>
              <w:jc w:val="right"/>
              <w:rPr>
                <w:sz w:val="24"/>
              </w:rPr>
            </w:pPr>
            <w:r>
              <w:rPr>
                <w:sz w:val="24"/>
              </w:rPr>
              <w:t>交银丰润收益债券</w:t>
            </w:r>
            <w:r>
              <w:rPr>
                <w:sz w:val="24"/>
              </w:rPr>
              <w:t>C</w:t>
            </w:r>
          </w:p>
        </w:tc>
      </w:tr>
      <w:tr w:rsidR="000E6BAE">
        <w:tc>
          <w:tcPr>
            <w:tcW w:w="3261" w:type="dxa"/>
            <w:vAlign w:val="center"/>
          </w:tcPr>
          <w:p w:rsidR="000E6BAE" w:rsidRDefault="00CD6463">
            <w:pPr>
              <w:spacing w:before="29" w:line="288" w:lineRule="auto"/>
              <w:rPr>
                <w:sz w:val="24"/>
              </w:rPr>
            </w:pPr>
            <w:r>
              <w:rPr>
                <w:rFonts w:hint="eastAsia"/>
                <w:sz w:val="24"/>
              </w:rPr>
              <w:t>基金合同生效日（</w:t>
            </w:r>
            <w:r>
              <w:rPr>
                <w:sz w:val="24"/>
              </w:rPr>
              <w:t>2014</w:t>
            </w:r>
            <w:r>
              <w:rPr>
                <w:sz w:val="24"/>
              </w:rPr>
              <w:t>年</w:t>
            </w:r>
            <w:r>
              <w:rPr>
                <w:sz w:val="24"/>
              </w:rPr>
              <w:t>12</w:t>
            </w:r>
            <w:r>
              <w:rPr>
                <w:sz w:val="24"/>
              </w:rPr>
              <w:t>月</w:t>
            </w:r>
            <w:r>
              <w:rPr>
                <w:sz w:val="24"/>
              </w:rPr>
              <w:t>15</w:t>
            </w:r>
            <w:r>
              <w:rPr>
                <w:sz w:val="24"/>
              </w:rPr>
              <w:t>日</w:t>
            </w:r>
            <w:r>
              <w:rPr>
                <w:rFonts w:hint="eastAsia"/>
                <w:sz w:val="24"/>
              </w:rPr>
              <w:t>）基金份额总额</w:t>
            </w:r>
          </w:p>
        </w:tc>
        <w:tc>
          <w:tcPr>
            <w:tcW w:w="2835" w:type="dxa"/>
            <w:vAlign w:val="center"/>
          </w:tcPr>
          <w:p w:rsidR="000E6BAE" w:rsidRDefault="00CD6463">
            <w:pPr>
              <w:spacing w:before="29" w:line="288" w:lineRule="auto"/>
              <w:jc w:val="right"/>
              <w:rPr>
                <w:color w:val="000000"/>
                <w:kern w:val="0"/>
                <w:sz w:val="24"/>
              </w:rPr>
            </w:pPr>
            <w:r>
              <w:rPr>
                <w:color w:val="000000"/>
                <w:kern w:val="0"/>
                <w:sz w:val="24"/>
              </w:rPr>
              <w:t>402,154,039.59</w:t>
            </w:r>
          </w:p>
        </w:tc>
        <w:tc>
          <w:tcPr>
            <w:tcW w:w="2902" w:type="dxa"/>
            <w:vAlign w:val="center"/>
          </w:tcPr>
          <w:p w:rsidR="000E6BAE" w:rsidRDefault="00CD6463">
            <w:pPr>
              <w:spacing w:before="29" w:line="288" w:lineRule="auto"/>
              <w:jc w:val="right"/>
              <w:rPr>
                <w:color w:val="000000"/>
                <w:kern w:val="0"/>
                <w:sz w:val="24"/>
              </w:rPr>
            </w:pPr>
            <w:r>
              <w:rPr>
                <w:color w:val="000000"/>
                <w:kern w:val="0"/>
                <w:sz w:val="24"/>
              </w:rPr>
              <w:t>23,334,238.83</w:t>
            </w:r>
          </w:p>
        </w:tc>
      </w:tr>
      <w:tr w:rsidR="000E6BAE">
        <w:tc>
          <w:tcPr>
            <w:tcW w:w="3261" w:type="dxa"/>
            <w:vAlign w:val="center"/>
          </w:tcPr>
          <w:p w:rsidR="000E6BAE" w:rsidRDefault="00CD6463">
            <w:pPr>
              <w:spacing w:before="29" w:line="288" w:lineRule="auto"/>
              <w:rPr>
                <w:sz w:val="24"/>
              </w:rPr>
            </w:pPr>
            <w:r>
              <w:rPr>
                <w:rFonts w:hint="eastAsia"/>
                <w:sz w:val="24"/>
              </w:rPr>
              <w:t>本报告期期初基金份额总额</w:t>
            </w:r>
          </w:p>
        </w:tc>
        <w:tc>
          <w:tcPr>
            <w:tcW w:w="2835" w:type="dxa"/>
            <w:vAlign w:val="center"/>
          </w:tcPr>
          <w:p w:rsidR="000E6BAE" w:rsidRDefault="00CD6463">
            <w:pPr>
              <w:spacing w:before="29" w:line="288" w:lineRule="auto"/>
              <w:jc w:val="right"/>
              <w:rPr>
                <w:color w:val="000000"/>
                <w:kern w:val="0"/>
                <w:sz w:val="24"/>
              </w:rPr>
            </w:pPr>
            <w:r>
              <w:rPr>
                <w:color w:val="000000"/>
                <w:kern w:val="0"/>
                <w:sz w:val="24"/>
              </w:rPr>
              <w:t>3,260,676,375.80</w:t>
            </w:r>
          </w:p>
        </w:tc>
        <w:tc>
          <w:tcPr>
            <w:tcW w:w="2902" w:type="dxa"/>
            <w:vAlign w:val="center"/>
          </w:tcPr>
          <w:p w:rsidR="000E6BAE" w:rsidRDefault="00CD6463">
            <w:pPr>
              <w:spacing w:before="29" w:line="288" w:lineRule="auto"/>
              <w:jc w:val="right"/>
              <w:rPr>
                <w:color w:val="000000"/>
                <w:kern w:val="0"/>
                <w:sz w:val="24"/>
              </w:rPr>
            </w:pPr>
            <w:r>
              <w:rPr>
                <w:color w:val="000000"/>
                <w:kern w:val="0"/>
                <w:sz w:val="24"/>
              </w:rPr>
              <w:t>936,176.19</w:t>
            </w:r>
          </w:p>
        </w:tc>
      </w:tr>
      <w:tr w:rsidR="000E6BAE">
        <w:tc>
          <w:tcPr>
            <w:tcW w:w="3261" w:type="dxa"/>
            <w:vAlign w:val="center"/>
          </w:tcPr>
          <w:p w:rsidR="000E6BAE" w:rsidRDefault="00CD6463">
            <w:pPr>
              <w:spacing w:before="29" w:line="288" w:lineRule="auto"/>
              <w:rPr>
                <w:sz w:val="24"/>
              </w:rPr>
            </w:pPr>
            <w:r>
              <w:rPr>
                <w:sz w:val="24"/>
              </w:rPr>
              <w:t>本报告期</w:t>
            </w:r>
            <w:r>
              <w:rPr>
                <w:rFonts w:hint="eastAsia"/>
                <w:sz w:val="24"/>
              </w:rPr>
              <w:t>基金总申购份额</w:t>
            </w:r>
          </w:p>
        </w:tc>
        <w:tc>
          <w:tcPr>
            <w:tcW w:w="2835" w:type="dxa"/>
            <w:vAlign w:val="center"/>
          </w:tcPr>
          <w:p w:rsidR="000E6BAE" w:rsidRDefault="00CD6463">
            <w:pPr>
              <w:spacing w:before="29" w:line="288" w:lineRule="auto"/>
              <w:jc w:val="right"/>
              <w:rPr>
                <w:color w:val="000000"/>
                <w:kern w:val="0"/>
                <w:sz w:val="24"/>
              </w:rPr>
            </w:pPr>
            <w:r>
              <w:rPr>
                <w:color w:val="000000"/>
                <w:kern w:val="0"/>
                <w:sz w:val="24"/>
              </w:rPr>
              <w:t>4,836,678,814.15</w:t>
            </w:r>
          </w:p>
        </w:tc>
        <w:tc>
          <w:tcPr>
            <w:tcW w:w="2902" w:type="dxa"/>
            <w:vAlign w:val="center"/>
          </w:tcPr>
          <w:p w:rsidR="000E6BAE" w:rsidRDefault="00CD6463">
            <w:pPr>
              <w:spacing w:before="29" w:line="288" w:lineRule="auto"/>
              <w:jc w:val="right"/>
              <w:rPr>
                <w:color w:val="000000"/>
                <w:kern w:val="0"/>
                <w:sz w:val="24"/>
              </w:rPr>
            </w:pPr>
            <w:r>
              <w:rPr>
                <w:color w:val="000000"/>
                <w:kern w:val="0"/>
                <w:sz w:val="24"/>
              </w:rPr>
              <w:t>16,681,751.31</w:t>
            </w:r>
          </w:p>
        </w:tc>
      </w:tr>
      <w:tr w:rsidR="000E6BAE">
        <w:tc>
          <w:tcPr>
            <w:tcW w:w="3261" w:type="dxa"/>
            <w:vAlign w:val="center"/>
          </w:tcPr>
          <w:p w:rsidR="000E6BAE" w:rsidRDefault="00CD6463">
            <w:pPr>
              <w:spacing w:before="29" w:line="288" w:lineRule="auto"/>
              <w:rPr>
                <w:sz w:val="24"/>
              </w:rPr>
            </w:pPr>
            <w:r>
              <w:rPr>
                <w:rFonts w:hint="eastAsia"/>
                <w:sz w:val="24"/>
              </w:rPr>
              <w:t>减：</w:t>
            </w:r>
            <w:r>
              <w:rPr>
                <w:sz w:val="24"/>
              </w:rPr>
              <w:t>本报告期</w:t>
            </w:r>
            <w:r>
              <w:rPr>
                <w:rFonts w:hint="eastAsia"/>
                <w:sz w:val="24"/>
              </w:rPr>
              <w:t>基金总赎回份额</w:t>
            </w:r>
          </w:p>
        </w:tc>
        <w:tc>
          <w:tcPr>
            <w:tcW w:w="2835" w:type="dxa"/>
            <w:vAlign w:val="center"/>
          </w:tcPr>
          <w:p w:rsidR="000E6BAE" w:rsidRDefault="00CD6463">
            <w:pPr>
              <w:spacing w:before="29" w:line="288" w:lineRule="auto"/>
              <w:jc w:val="right"/>
              <w:rPr>
                <w:color w:val="000000"/>
                <w:kern w:val="0"/>
                <w:sz w:val="24"/>
              </w:rPr>
            </w:pPr>
            <w:r>
              <w:rPr>
                <w:color w:val="000000"/>
                <w:kern w:val="0"/>
                <w:sz w:val="24"/>
              </w:rPr>
              <w:t>6,773,298,596.43</w:t>
            </w:r>
          </w:p>
        </w:tc>
        <w:tc>
          <w:tcPr>
            <w:tcW w:w="2902" w:type="dxa"/>
            <w:vAlign w:val="center"/>
          </w:tcPr>
          <w:p w:rsidR="000E6BAE" w:rsidRDefault="00CD6463">
            <w:pPr>
              <w:spacing w:before="29" w:line="288" w:lineRule="auto"/>
              <w:jc w:val="right"/>
              <w:rPr>
                <w:color w:val="000000"/>
                <w:kern w:val="0"/>
                <w:sz w:val="24"/>
              </w:rPr>
            </w:pPr>
            <w:r>
              <w:rPr>
                <w:color w:val="000000"/>
                <w:kern w:val="0"/>
                <w:sz w:val="24"/>
              </w:rPr>
              <w:t>15,588,841.50</w:t>
            </w:r>
          </w:p>
        </w:tc>
      </w:tr>
      <w:tr w:rsidR="000E6BAE">
        <w:tc>
          <w:tcPr>
            <w:tcW w:w="3261" w:type="dxa"/>
            <w:vAlign w:val="center"/>
          </w:tcPr>
          <w:p w:rsidR="000E6BAE" w:rsidRDefault="00CD6463">
            <w:pPr>
              <w:spacing w:before="29" w:line="288" w:lineRule="auto"/>
              <w:rPr>
                <w:sz w:val="24"/>
              </w:rPr>
            </w:pPr>
            <w:r>
              <w:rPr>
                <w:sz w:val="24"/>
              </w:rPr>
              <w:t>本报告期</w:t>
            </w:r>
            <w:r>
              <w:rPr>
                <w:rFonts w:hint="eastAsia"/>
                <w:sz w:val="24"/>
              </w:rPr>
              <w:t>基金拆分变动份额</w:t>
            </w:r>
          </w:p>
        </w:tc>
        <w:tc>
          <w:tcPr>
            <w:tcW w:w="2835" w:type="dxa"/>
            <w:vAlign w:val="center"/>
          </w:tcPr>
          <w:p w:rsidR="000E6BAE" w:rsidRDefault="00CD6463">
            <w:pPr>
              <w:spacing w:before="29" w:line="288" w:lineRule="auto"/>
              <w:jc w:val="right"/>
              <w:rPr>
                <w:color w:val="000000"/>
                <w:kern w:val="0"/>
                <w:sz w:val="24"/>
              </w:rPr>
            </w:pPr>
            <w:r>
              <w:rPr>
                <w:color w:val="000000"/>
                <w:kern w:val="0"/>
                <w:sz w:val="24"/>
              </w:rPr>
              <w:t>-</w:t>
            </w:r>
          </w:p>
        </w:tc>
        <w:tc>
          <w:tcPr>
            <w:tcW w:w="2902" w:type="dxa"/>
            <w:vAlign w:val="center"/>
          </w:tcPr>
          <w:p w:rsidR="000E6BAE" w:rsidRDefault="00CD6463">
            <w:pPr>
              <w:spacing w:before="29" w:line="288" w:lineRule="auto"/>
              <w:jc w:val="right"/>
              <w:rPr>
                <w:color w:val="000000"/>
                <w:kern w:val="0"/>
                <w:sz w:val="24"/>
              </w:rPr>
            </w:pPr>
            <w:r>
              <w:rPr>
                <w:color w:val="000000"/>
                <w:kern w:val="0"/>
                <w:sz w:val="24"/>
              </w:rPr>
              <w:t>-</w:t>
            </w:r>
          </w:p>
        </w:tc>
      </w:tr>
      <w:tr w:rsidR="000E6BAE">
        <w:tc>
          <w:tcPr>
            <w:tcW w:w="3261" w:type="dxa"/>
            <w:vAlign w:val="center"/>
          </w:tcPr>
          <w:p w:rsidR="000E6BAE" w:rsidRDefault="00CD6463">
            <w:pPr>
              <w:spacing w:before="29" w:line="288" w:lineRule="auto"/>
              <w:rPr>
                <w:sz w:val="24"/>
              </w:rPr>
            </w:pPr>
            <w:r>
              <w:rPr>
                <w:rFonts w:hint="eastAsia"/>
                <w:sz w:val="24"/>
              </w:rPr>
              <w:t>本报告期期末基金份额总额</w:t>
            </w:r>
          </w:p>
        </w:tc>
        <w:tc>
          <w:tcPr>
            <w:tcW w:w="2835" w:type="dxa"/>
            <w:vAlign w:val="center"/>
          </w:tcPr>
          <w:p w:rsidR="000E6BAE" w:rsidRDefault="00CD6463">
            <w:pPr>
              <w:spacing w:before="29" w:line="288" w:lineRule="auto"/>
              <w:jc w:val="right"/>
              <w:rPr>
                <w:color w:val="000000"/>
                <w:kern w:val="0"/>
                <w:sz w:val="24"/>
              </w:rPr>
            </w:pPr>
            <w:r>
              <w:rPr>
                <w:color w:val="000000"/>
                <w:kern w:val="0"/>
                <w:sz w:val="24"/>
              </w:rPr>
              <w:t>1,324,056,593.52</w:t>
            </w:r>
          </w:p>
        </w:tc>
        <w:tc>
          <w:tcPr>
            <w:tcW w:w="2902" w:type="dxa"/>
            <w:vAlign w:val="center"/>
          </w:tcPr>
          <w:p w:rsidR="000E6BAE" w:rsidRDefault="00CD6463">
            <w:pPr>
              <w:spacing w:before="29" w:line="288" w:lineRule="auto"/>
              <w:jc w:val="right"/>
              <w:rPr>
                <w:color w:val="000000"/>
                <w:kern w:val="0"/>
                <w:sz w:val="24"/>
              </w:rPr>
            </w:pPr>
            <w:r>
              <w:rPr>
                <w:color w:val="000000"/>
                <w:kern w:val="0"/>
                <w:sz w:val="24"/>
              </w:rPr>
              <w:t>2,029,086.00</w:t>
            </w:r>
          </w:p>
        </w:tc>
      </w:tr>
    </w:tbl>
    <w:p w:rsidR="000E6BAE" w:rsidRDefault="00CD646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0E6BAE" w:rsidRDefault="00CD6463">
      <w:pPr>
        <w:tabs>
          <w:tab w:val="left" w:pos="426"/>
        </w:tabs>
        <w:spacing w:before="29" w:line="288" w:lineRule="auto"/>
        <w:jc w:val="left"/>
        <w:rPr>
          <w:kern w:val="0"/>
          <w:sz w:val="24"/>
        </w:rPr>
      </w:pPr>
      <w:r>
        <w:rPr>
          <w:kern w:val="0"/>
          <w:sz w:val="24"/>
        </w:rPr>
        <w:t xml:space="preserve">    2</w:t>
      </w:r>
      <w:r>
        <w:rPr>
          <w:kern w:val="0"/>
          <w:sz w:val="24"/>
        </w:rPr>
        <w:t>、如果本报告期间发生转换出业务，则总赎回份额中包含该业务。</w:t>
      </w:r>
    </w:p>
    <w:p w:rsidR="000E6BAE" w:rsidRDefault="000E6BAE">
      <w:pPr>
        <w:tabs>
          <w:tab w:val="left" w:pos="426"/>
        </w:tabs>
        <w:spacing w:before="29" w:line="288" w:lineRule="auto"/>
        <w:jc w:val="left"/>
        <w:rPr>
          <w:rFonts w:ascii="宋体" w:hAnsi="宋体"/>
          <w:szCs w:val="21"/>
        </w:rPr>
      </w:pPr>
    </w:p>
    <w:p w:rsidR="000E6BAE" w:rsidRDefault="00CD6463">
      <w:pPr>
        <w:pStyle w:val="1"/>
        <w:keepNext/>
        <w:keepLines/>
        <w:widowControl w:val="0"/>
        <w:spacing w:beforeLines="100" w:before="312" w:afterLines="100" w:after="312" w:line="288" w:lineRule="auto"/>
        <w:jc w:val="center"/>
        <w:rPr>
          <w:b/>
          <w:bCs/>
          <w:szCs w:val="24"/>
          <w:lang w:val="en-US"/>
        </w:rPr>
      </w:pPr>
      <w:bookmarkStart w:id="167" w:name="_Toc225500054"/>
      <w:bookmarkStart w:id="168" w:name="_Toc361324893"/>
      <w:bookmarkStart w:id="169" w:name="_Toc20963"/>
      <w:r>
        <w:rPr>
          <w:rFonts w:hint="eastAsia"/>
          <w:b/>
          <w:bCs/>
          <w:szCs w:val="24"/>
          <w:lang w:val="en-US"/>
        </w:rPr>
        <w:t>§</w:t>
      </w:r>
      <w:r>
        <w:rPr>
          <w:b/>
          <w:bCs/>
          <w:szCs w:val="24"/>
          <w:lang w:val="en-US"/>
        </w:rPr>
        <w:t>11</w:t>
      </w:r>
      <w:r>
        <w:rPr>
          <w:rFonts w:hint="eastAsia"/>
          <w:b/>
          <w:bCs/>
          <w:szCs w:val="24"/>
          <w:lang w:val="en-US"/>
        </w:rPr>
        <w:t>重大事件揭示</w:t>
      </w:r>
      <w:bookmarkEnd w:id="167"/>
      <w:bookmarkEnd w:id="168"/>
      <w:bookmarkEnd w:id="169"/>
    </w:p>
    <w:p w:rsidR="000E6BAE" w:rsidRDefault="000E6BAE"/>
    <w:p w:rsidR="000E6BAE" w:rsidRDefault="00CD6463">
      <w:pPr>
        <w:pStyle w:val="2"/>
        <w:spacing w:before="29" w:after="0" w:line="288" w:lineRule="auto"/>
        <w:rPr>
          <w:rFonts w:eastAsiaTheme="minorEastAsia"/>
        </w:rPr>
      </w:pPr>
      <w:bookmarkStart w:id="170" w:name="_Toc361324894"/>
      <w:bookmarkStart w:id="171" w:name="_Toc30981"/>
      <w:r>
        <w:rPr>
          <w:rFonts w:eastAsiaTheme="minorEastAsia"/>
        </w:rPr>
        <w:t>11.1</w:t>
      </w:r>
      <w:r>
        <w:rPr>
          <w:rFonts w:eastAsiaTheme="minorEastAsia" w:hint="eastAsia"/>
        </w:rPr>
        <w:t>基金份额持有人大会决议</w:t>
      </w:r>
      <w:bookmarkEnd w:id="170"/>
      <w:bookmarkEnd w:id="171"/>
    </w:p>
    <w:p w:rsidR="000E6BAE" w:rsidRDefault="00CD6463">
      <w:pPr>
        <w:spacing w:before="29" w:line="288" w:lineRule="auto"/>
        <w:ind w:firstLineChars="200" w:firstLine="480"/>
        <w:rPr>
          <w:kern w:val="0"/>
          <w:sz w:val="24"/>
        </w:rPr>
      </w:pPr>
      <w:r>
        <w:rPr>
          <w:kern w:val="0"/>
          <w:sz w:val="24"/>
        </w:rPr>
        <w:t>本基金本报告期内未召开基金份额持有人大会。</w:t>
      </w:r>
    </w:p>
    <w:p w:rsidR="000E6BAE" w:rsidRDefault="000E6BAE">
      <w:pPr>
        <w:widowControl/>
        <w:spacing w:line="360" w:lineRule="auto"/>
        <w:ind w:firstLineChars="200" w:firstLine="420"/>
        <w:rPr>
          <w:rFonts w:asciiTheme="minorEastAsia" w:eastAsiaTheme="minorEastAsia" w:hAnsiTheme="minorEastAsia" w:cs="Arial"/>
          <w:color w:val="000000"/>
          <w:kern w:val="0"/>
          <w:szCs w:val="21"/>
        </w:rPr>
      </w:pPr>
    </w:p>
    <w:p w:rsidR="000E6BAE" w:rsidRDefault="00CD6463">
      <w:pPr>
        <w:pStyle w:val="2"/>
        <w:spacing w:before="29" w:after="0" w:line="288" w:lineRule="auto"/>
        <w:rPr>
          <w:rFonts w:asciiTheme="minorEastAsia" w:eastAsiaTheme="minorEastAsia" w:hAnsiTheme="minorEastAsia"/>
          <w:kern w:val="0"/>
          <w:szCs w:val="21"/>
        </w:rPr>
      </w:pPr>
      <w:bookmarkStart w:id="172" w:name="_Toc361324895"/>
      <w:bookmarkStart w:id="173" w:name="_Toc20112"/>
      <w:r>
        <w:rPr>
          <w:rFonts w:eastAsiaTheme="minorEastAsia"/>
        </w:rPr>
        <w:t xml:space="preserve">11.2 </w:t>
      </w:r>
      <w:r>
        <w:rPr>
          <w:rFonts w:eastAsiaTheme="minorEastAsia" w:hint="eastAsia"/>
        </w:rPr>
        <w:t>基金管理人、基金托管人的专门基金托管部门的重大人事变动</w:t>
      </w:r>
      <w:bookmarkEnd w:id="172"/>
      <w:bookmarkEnd w:id="173"/>
    </w:p>
    <w:p w:rsidR="000E6BAE" w:rsidRDefault="00CD6463">
      <w:pPr>
        <w:spacing w:before="29" w:line="288" w:lineRule="auto"/>
        <w:ind w:firstLineChars="200" w:firstLine="480"/>
        <w:rPr>
          <w:kern w:val="0"/>
          <w:sz w:val="24"/>
        </w:rPr>
      </w:pPr>
      <w:r>
        <w:rPr>
          <w:kern w:val="0"/>
          <w:sz w:val="24"/>
        </w:rPr>
        <w:t>1</w:t>
      </w:r>
      <w:r>
        <w:rPr>
          <w:kern w:val="0"/>
          <w:sz w:val="24"/>
        </w:rPr>
        <w:t>、基金管理人的重大人事变动：本报告期内，本基金的基金管理人未发生重大人事变动。</w:t>
      </w:r>
      <w:r>
        <w:rPr>
          <w:kern w:val="0"/>
          <w:sz w:val="24"/>
        </w:rPr>
        <w:t xml:space="preserve"> </w:t>
      </w:r>
    </w:p>
    <w:p w:rsidR="000E6BAE" w:rsidRDefault="00CD6463">
      <w:pPr>
        <w:spacing w:before="29" w:line="288" w:lineRule="auto"/>
        <w:ind w:firstLineChars="200" w:firstLine="480"/>
        <w:rPr>
          <w:kern w:val="0"/>
          <w:sz w:val="24"/>
        </w:rPr>
      </w:pPr>
      <w:r>
        <w:rPr>
          <w:kern w:val="0"/>
          <w:sz w:val="24"/>
        </w:rPr>
        <w:t>2</w:t>
      </w:r>
      <w:r>
        <w:rPr>
          <w:kern w:val="0"/>
          <w:sz w:val="24"/>
        </w:rPr>
        <w:t>、基金托管人的基金托管部门的重大人事变动：本报告期内，中信银行股份有限公司根据工作需要，于</w:t>
      </w:r>
      <w:r>
        <w:rPr>
          <w:kern w:val="0"/>
          <w:sz w:val="24"/>
        </w:rPr>
        <w:t>2020</w:t>
      </w:r>
      <w:r>
        <w:rPr>
          <w:kern w:val="0"/>
          <w:sz w:val="24"/>
        </w:rPr>
        <w:t>年</w:t>
      </w:r>
      <w:r>
        <w:rPr>
          <w:kern w:val="0"/>
          <w:sz w:val="24"/>
        </w:rPr>
        <w:t>10</w:t>
      </w:r>
      <w:r>
        <w:rPr>
          <w:kern w:val="0"/>
          <w:sz w:val="24"/>
        </w:rPr>
        <w:t>月</w:t>
      </w:r>
      <w:r>
        <w:rPr>
          <w:kern w:val="0"/>
          <w:sz w:val="24"/>
        </w:rPr>
        <w:t>9</w:t>
      </w:r>
      <w:r>
        <w:rPr>
          <w:kern w:val="0"/>
          <w:sz w:val="24"/>
        </w:rPr>
        <w:t>日，任命杨璋琪先生担任资产托管部总经理，主持资产托管部相关工作。</w:t>
      </w:r>
    </w:p>
    <w:p w:rsidR="000E6BAE" w:rsidRDefault="000E6BAE">
      <w:pPr>
        <w:widowControl/>
        <w:spacing w:line="360" w:lineRule="auto"/>
        <w:ind w:firstLineChars="200" w:firstLine="420"/>
        <w:rPr>
          <w:rFonts w:asciiTheme="minorEastAsia" w:eastAsiaTheme="minorEastAsia" w:hAnsiTheme="minorEastAsia" w:cs="Arial"/>
          <w:color w:val="000000"/>
          <w:kern w:val="0"/>
          <w:szCs w:val="21"/>
        </w:rPr>
      </w:pPr>
    </w:p>
    <w:p w:rsidR="000E6BAE" w:rsidRDefault="00CD6463">
      <w:pPr>
        <w:pStyle w:val="2"/>
        <w:spacing w:before="29" w:after="0" w:line="288" w:lineRule="auto"/>
        <w:rPr>
          <w:rFonts w:eastAsiaTheme="minorEastAsia"/>
        </w:rPr>
      </w:pPr>
      <w:bookmarkStart w:id="174" w:name="_Toc361324896"/>
      <w:bookmarkStart w:id="175" w:name="_Toc15567"/>
      <w:r>
        <w:rPr>
          <w:rFonts w:eastAsiaTheme="minorEastAsia"/>
        </w:rPr>
        <w:t xml:space="preserve">11.3 </w:t>
      </w:r>
      <w:r>
        <w:rPr>
          <w:rFonts w:eastAsiaTheme="minorEastAsia" w:hint="eastAsia"/>
        </w:rPr>
        <w:t>涉及基金管理人、基金财产、基金托管业务的诉讼</w:t>
      </w:r>
      <w:bookmarkEnd w:id="174"/>
      <w:bookmarkEnd w:id="175"/>
    </w:p>
    <w:p w:rsidR="000E6BAE" w:rsidRDefault="00CD6463">
      <w:pPr>
        <w:spacing w:before="29" w:line="288" w:lineRule="auto"/>
        <w:ind w:firstLineChars="200" w:firstLine="480"/>
        <w:rPr>
          <w:kern w:val="0"/>
          <w:sz w:val="24"/>
        </w:rPr>
      </w:pPr>
      <w:r>
        <w:rPr>
          <w:kern w:val="0"/>
          <w:sz w:val="24"/>
        </w:rPr>
        <w:t>本报告期内未发生涉及本基金管理人、基金财产、基金托管业务的诉讼事项。</w:t>
      </w:r>
    </w:p>
    <w:p w:rsidR="000E6BAE" w:rsidRDefault="000E6BAE">
      <w:pPr>
        <w:widowControl/>
        <w:spacing w:line="360" w:lineRule="auto"/>
        <w:ind w:firstLineChars="200" w:firstLine="420"/>
        <w:rPr>
          <w:rFonts w:asciiTheme="minorEastAsia" w:eastAsiaTheme="minorEastAsia" w:hAnsiTheme="minorEastAsia" w:cs="Arial"/>
          <w:color w:val="000000"/>
          <w:kern w:val="0"/>
          <w:szCs w:val="21"/>
        </w:rPr>
      </w:pPr>
    </w:p>
    <w:p w:rsidR="000E6BAE" w:rsidRDefault="00CD6463">
      <w:pPr>
        <w:pStyle w:val="2"/>
        <w:spacing w:before="29" w:after="0" w:line="288" w:lineRule="auto"/>
        <w:rPr>
          <w:rFonts w:eastAsiaTheme="minorEastAsia"/>
        </w:rPr>
      </w:pPr>
      <w:bookmarkStart w:id="176" w:name="_Toc361324897"/>
      <w:bookmarkStart w:id="177" w:name="_Toc30307"/>
      <w:r>
        <w:rPr>
          <w:rFonts w:eastAsiaTheme="minorEastAsia"/>
        </w:rPr>
        <w:t xml:space="preserve">11.4 </w:t>
      </w:r>
      <w:r>
        <w:rPr>
          <w:rFonts w:eastAsiaTheme="minorEastAsia" w:hint="eastAsia"/>
        </w:rPr>
        <w:t>基金投资策略的改变</w:t>
      </w:r>
      <w:bookmarkEnd w:id="176"/>
      <w:bookmarkEnd w:id="177"/>
    </w:p>
    <w:p w:rsidR="000E6BAE" w:rsidRDefault="00CD6463">
      <w:pPr>
        <w:spacing w:before="29" w:line="288" w:lineRule="auto"/>
        <w:ind w:firstLineChars="200" w:firstLine="480"/>
        <w:rPr>
          <w:kern w:val="0"/>
          <w:sz w:val="24"/>
        </w:rPr>
      </w:pPr>
      <w:r>
        <w:rPr>
          <w:kern w:val="0"/>
          <w:sz w:val="24"/>
        </w:rPr>
        <w:t>本基金本报告期内投资策略未发生改变。</w:t>
      </w:r>
    </w:p>
    <w:p w:rsidR="000E6BAE" w:rsidRDefault="000E6BAE">
      <w:pPr>
        <w:widowControl/>
        <w:spacing w:line="360" w:lineRule="auto"/>
        <w:ind w:firstLineChars="200" w:firstLine="420"/>
        <w:rPr>
          <w:rFonts w:asciiTheme="minorEastAsia" w:eastAsiaTheme="minorEastAsia" w:hAnsiTheme="minorEastAsia" w:cs="Arial"/>
          <w:color w:val="000000"/>
          <w:kern w:val="0"/>
          <w:szCs w:val="21"/>
        </w:rPr>
      </w:pPr>
    </w:p>
    <w:p w:rsidR="000E6BAE" w:rsidRDefault="00CD6463">
      <w:pPr>
        <w:pStyle w:val="2"/>
        <w:spacing w:before="29" w:after="0" w:line="288" w:lineRule="auto"/>
        <w:rPr>
          <w:rFonts w:ascii="Times New Roman" w:eastAsiaTheme="minorEastAsia" w:hAnsi="Times New Roman"/>
          <w:color w:val="000000" w:themeColor="text1"/>
          <w:kern w:val="0"/>
          <w:szCs w:val="24"/>
        </w:rPr>
      </w:pPr>
      <w:bookmarkStart w:id="178" w:name="_Toc361324898"/>
      <w:bookmarkStart w:id="179" w:name="_Toc409100466"/>
      <w:bookmarkStart w:id="180" w:name="_Toc409100103"/>
      <w:bookmarkStart w:id="181" w:name="_Toc2528"/>
      <w:r>
        <w:rPr>
          <w:rFonts w:ascii="Times New Roman" w:eastAsiaTheme="minorEastAsia" w:hAnsi="Times New Roman"/>
          <w:color w:val="000000" w:themeColor="text1"/>
          <w:kern w:val="0"/>
          <w:szCs w:val="24"/>
        </w:rPr>
        <w:t>11.</w:t>
      </w:r>
      <w:bookmarkEnd w:id="178"/>
      <w:r>
        <w:rPr>
          <w:rFonts w:ascii="Times New Roman" w:eastAsiaTheme="minorEastAsia" w:hAnsi="Times New Roman"/>
          <w:color w:val="000000" w:themeColor="text1"/>
          <w:kern w:val="0"/>
          <w:szCs w:val="24"/>
        </w:rPr>
        <w:t>5</w:t>
      </w:r>
      <w:r>
        <w:rPr>
          <w:rFonts w:ascii="Times New Roman" w:eastAsiaTheme="minorEastAsia" w:hAnsi="Times New Roman"/>
          <w:color w:val="000000" w:themeColor="text1"/>
          <w:szCs w:val="24"/>
        </w:rPr>
        <w:t>为基金进行审计的会计师事务所情况</w:t>
      </w:r>
      <w:bookmarkEnd w:id="179"/>
      <w:bookmarkEnd w:id="180"/>
      <w:bookmarkEnd w:id="181"/>
    </w:p>
    <w:p w:rsidR="000E6BAE" w:rsidRDefault="00CD6463">
      <w:pPr>
        <w:spacing w:line="360" w:lineRule="auto"/>
        <w:ind w:firstLineChars="200" w:firstLine="480"/>
        <w:rPr>
          <w:rFonts w:eastAsiaTheme="minorEastAsia"/>
          <w:color w:val="000000" w:themeColor="text1"/>
          <w:sz w:val="24"/>
        </w:rPr>
      </w:pPr>
      <w:bookmarkStart w:id="182" w:name="OLE_LINK3"/>
      <w:r>
        <w:rPr>
          <w:rFonts w:eastAsiaTheme="minorEastAsia"/>
          <w:color w:val="000000" w:themeColor="text1"/>
          <w:sz w:val="24"/>
        </w:rPr>
        <w:t>本报告期内，为本基金提供审计服务的会计师事务所为普华永道中天会计师事务所</w:t>
      </w:r>
      <w:r>
        <w:rPr>
          <w:rFonts w:eastAsiaTheme="minorEastAsia"/>
          <w:color w:val="000000" w:themeColor="text1"/>
          <w:sz w:val="24"/>
        </w:rPr>
        <w:t>(</w:t>
      </w:r>
      <w:r>
        <w:rPr>
          <w:rFonts w:eastAsiaTheme="minorEastAsia"/>
          <w:color w:val="000000" w:themeColor="text1"/>
          <w:sz w:val="24"/>
        </w:rPr>
        <w:t>特殊普通合伙</w:t>
      </w:r>
      <w:r>
        <w:rPr>
          <w:rFonts w:eastAsiaTheme="minorEastAsia"/>
          <w:color w:val="000000" w:themeColor="text1"/>
          <w:sz w:val="24"/>
        </w:rPr>
        <w:t>)</w:t>
      </w:r>
      <w:r>
        <w:rPr>
          <w:rFonts w:eastAsiaTheme="minorEastAsia"/>
          <w:color w:val="000000" w:themeColor="text1"/>
          <w:sz w:val="24"/>
        </w:rPr>
        <w:t>，本期审计费为</w:t>
      </w:r>
      <w:r>
        <w:rPr>
          <w:rFonts w:eastAsiaTheme="minorEastAsia"/>
          <w:color w:val="000000" w:themeColor="text1"/>
          <w:sz w:val="24"/>
        </w:rPr>
        <w:t>80,000.00</w:t>
      </w:r>
      <w:r>
        <w:rPr>
          <w:rFonts w:eastAsiaTheme="minorEastAsia"/>
          <w:color w:val="000000" w:themeColor="text1"/>
          <w:sz w:val="24"/>
        </w:rPr>
        <w:t>元。自本基金基金合同生效以来，本基金未改聘为其审计的会计师事务所。</w:t>
      </w:r>
    </w:p>
    <w:p w:rsidR="000E6BAE" w:rsidRDefault="00CD6463">
      <w:pPr>
        <w:pStyle w:val="2"/>
        <w:spacing w:before="0" w:after="0"/>
        <w:rPr>
          <w:rFonts w:ascii="Times New Roman" w:eastAsiaTheme="minorEastAsia" w:hAnsi="Times New Roman"/>
          <w:color w:val="000000" w:themeColor="text1"/>
          <w:kern w:val="0"/>
          <w:szCs w:val="24"/>
        </w:rPr>
      </w:pPr>
      <w:bookmarkStart w:id="183" w:name="_Toc409100104"/>
      <w:bookmarkStart w:id="184" w:name="_Toc409100467"/>
      <w:bookmarkStart w:id="185" w:name="_Toc361324899"/>
      <w:bookmarkStart w:id="186" w:name="_Toc26407"/>
      <w:bookmarkEnd w:id="182"/>
      <w:r>
        <w:rPr>
          <w:rFonts w:ascii="Times New Roman" w:eastAsiaTheme="minorEastAsia" w:hAnsi="Times New Roman"/>
          <w:color w:val="000000" w:themeColor="text1"/>
          <w:kern w:val="0"/>
          <w:szCs w:val="24"/>
        </w:rPr>
        <w:t xml:space="preserve">11.6 </w:t>
      </w:r>
      <w:r>
        <w:rPr>
          <w:rFonts w:ascii="Times New Roman" w:eastAsiaTheme="minorEastAsia" w:hAnsi="Times New Roman"/>
          <w:color w:val="000000" w:themeColor="text1"/>
          <w:kern w:val="0"/>
          <w:szCs w:val="24"/>
        </w:rPr>
        <w:t>管理人、托管人及其高级管理人员受稽查或处罚等情况</w:t>
      </w:r>
      <w:bookmarkEnd w:id="183"/>
      <w:bookmarkEnd w:id="184"/>
      <w:bookmarkEnd w:id="185"/>
      <w:bookmarkEnd w:id="186"/>
    </w:p>
    <w:p w:rsidR="000E6BAE" w:rsidRDefault="00CD6463">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w:t>
      </w:r>
      <w:r>
        <w:rPr>
          <w:rFonts w:eastAsiaTheme="minorEastAsia"/>
          <w:color w:val="000000" w:themeColor="text1"/>
          <w:sz w:val="24"/>
        </w:rPr>
        <w:t>处罚等情况</w:t>
      </w:r>
    </w:p>
    <w:p w:rsidR="000E6BAE" w:rsidRDefault="00CD6463">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0E6BAE" w:rsidRDefault="00CD6463">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0E6BAE" w:rsidRDefault="00CD6463">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基金托管人及其高级管理人员本报告期内未受监管部门稽查或处罚。</w:t>
      </w:r>
    </w:p>
    <w:p w:rsidR="000E6BAE" w:rsidRDefault="00CD6463">
      <w:pPr>
        <w:pStyle w:val="2"/>
        <w:spacing w:before="0" w:after="0"/>
        <w:rPr>
          <w:rFonts w:ascii="Times New Roman" w:eastAsiaTheme="minorEastAsia" w:hAnsi="Times New Roman"/>
          <w:color w:val="000000" w:themeColor="text1"/>
          <w:kern w:val="0"/>
          <w:szCs w:val="24"/>
        </w:rPr>
      </w:pPr>
      <w:bookmarkStart w:id="187" w:name="_Toc361324900"/>
      <w:bookmarkStart w:id="188" w:name="_Toc409100468"/>
      <w:bookmarkStart w:id="189" w:name="_Toc409100105"/>
      <w:bookmarkStart w:id="190" w:name="_Toc16074"/>
      <w:r>
        <w:rPr>
          <w:rFonts w:ascii="Times New Roman" w:eastAsiaTheme="minorEastAsia" w:hAnsi="Times New Roman"/>
          <w:color w:val="000000" w:themeColor="text1"/>
          <w:kern w:val="0"/>
          <w:szCs w:val="24"/>
        </w:rPr>
        <w:t xml:space="preserve">11.7 </w:t>
      </w:r>
      <w:r>
        <w:rPr>
          <w:rFonts w:ascii="Times New Roman" w:eastAsiaTheme="minorEastAsia" w:hAnsi="Times New Roman"/>
          <w:color w:val="000000" w:themeColor="text1"/>
          <w:kern w:val="0"/>
          <w:szCs w:val="24"/>
        </w:rPr>
        <w:t>基金租用证券公司交易单元的有关情况</w:t>
      </w:r>
      <w:bookmarkEnd w:id="187"/>
      <w:bookmarkEnd w:id="188"/>
      <w:bookmarkEnd w:id="189"/>
      <w:bookmarkEnd w:id="190"/>
    </w:p>
    <w:p w:rsidR="000E6BAE" w:rsidRDefault="00CD6463">
      <w:pPr>
        <w:spacing w:line="360" w:lineRule="auto"/>
        <w:rPr>
          <w:rFonts w:eastAsiaTheme="minorEastAsia"/>
          <w:b/>
          <w:color w:val="000000" w:themeColor="text1"/>
          <w:sz w:val="24"/>
        </w:rPr>
      </w:pPr>
      <w:bookmarkStart w:id="191" w:name="_Toc249760070"/>
      <w:r>
        <w:rPr>
          <w:rFonts w:eastAsiaTheme="minorEastAsia"/>
          <w:b/>
          <w:color w:val="000000" w:themeColor="text1"/>
          <w:sz w:val="24"/>
        </w:rPr>
        <w:t>11.7.1</w:t>
      </w:r>
      <w:r>
        <w:rPr>
          <w:rFonts w:eastAsiaTheme="minorEastAsia"/>
          <w:b/>
          <w:color w:val="000000" w:themeColor="text1"/>
          <w:sz w:val="24"/>
        </w:rPr>
        <w:t>基金租用证券公司交易单元进行股票投资及佣金支付情况</w:t>
      </w:r>
      <w:bookmarkEnd w:id="191"/>
    </w:p>
    <w:p w:rsidR="000E6BAE" w:rsidRDefault="00CD6463">
      <w:pPr>
        <w:pStyle w:val="a0"/>
        <w:spacing w:line="360" w:lineRule="auto"/>
        <w:ind w:firstLineChars="2600" w:firstLine="6240"/>
        <w:jc w:val="right"/>
        <w:rPr>
          <w:rFonts w:eastAsiaTheme="minorEastAsia"/>
          <w:color w:val="000000" w:themeColor="text1"/>
          <w:sz w:val="24"/>
        </w:rPr>
      </w:pPr>
      <w:r>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0E6BAE">
        <w:tc>
          <w:tcPr>
            <w:tcW w:w="1560" w:type="dxa"/>
            <w:vMerge w:val="restart"/>
            <w:vAlign w:val="center"/>
          </w:tcPr>
          <w:p w:rsidR="000E6BAE" w:rsidRDefault="00CD6463">
            <w:pPr>
              <w:spacing w:line="276" w:lineRule="auto"/>
              <w:jc w:val="center"/>
              <w:rPr>
                <w:rFonts w:eastAsiaTheme="minorEastAsia"/>
                <w:color w:val="000000" w:themeColor="text1"/>
                <w:sz w:val="24"/>
              </w:rPr>
            </w:pPr>
            <w:bookmarkStart w:id="192" w:name="_Toc249760071"/>
            <w:r>
              <w:rPr>
                <w:rFonts w:eastAsiaTheme="minorEastAsia"/>
                <w:color w:val="000000" w:themeColor="text1"/>
                <w:sz w:val="24"/>
              </w:rPr>
              <w:t>券商名称</w:t>
            </w:r>
          </w:p>
        </w:tc>
        <w:tc>
          <w:tcPr>
            <w:tcW w:w="780" w:type="dxa"/>
            <w:vMerge w:val="restart"/>
            <w:vAlign w:val="center"/>
          </w:tcPr>
          <w:p w:rsidR="000E6BAE" w:rsidRDefault="00CD6463">
            <w:pPr>
              <w:spacing w:line="276" w:lineRule="auto"/>
              <w:jc w:val="center"/>
              <w:rPr>
                <w:rFonts w:eastAsiaTheme="minorEastAsia"/>
                <w:color w:val="000000" w:themeColor="text1"/>
                <w:sz w:val="24"/>
              </w:rPr>
            </w:pPr>
            <w:r>
              <w:rPr>
                <w:rFonts w:eastAsiaTheme="minorEastAsia"/>
                <w:color w:val="000000" w:themeColor="text1"/>
                <w:sz w:val="24"/>
              </w:rPr>
              <w:t>交易单元数量</w:t>
            </w:r>
          </w:p>
        </w:tc>
        <w:tc>
          <w:tcPr>
            <w:tcW w:w="2880" w:type="dxa"/>
            <w:gridSpan w:val="2"/>
            <w:vAlign w:val="center"/>
          </w:tcPr>
          <w:p w:rsidR="000E6BAE" w:rsidRDefault="00CD6463">
            <w:pPr>
              <w:spacing w:line="276" w:lineRule="auto"/>
              <w:jc w:val="center"/>
              <w:rPr>
                <w:rFonts w:eastAsiaTheme="minorEastAsia"/>
                <w:color w:val="000000" w:themeColor="text1"/>
                <w:sz w:val="24"/>
              </w:rPr>
            </w:pPr>
            <w:r>
              <w:rPr>
                <w:rFonts w:eastAsiaTheme="minorEastAsia"/>
                <w:color w:val="000000" w:themeColor="text1"/>
                <w:sz w:val="24"/>
              </w:rPr>
              <w:t>股票交易</w:t>
            </w:r>
          </w:p>
        </w:tc>
        <w:tc>
          <w:tcPr>
            <w:tcW w:w="2700" w:type="dxa"/>
            <w:gridSpan w:val="2"/>
            <w:vAlign w:val="center"/>
          </w:tcPr>
          <w:p w:rsidR="000E6BAE" w:rsidRDefault="00CD6463">
            <w:pPr>
              <w:spacing w:line="276" w:lineRule="auto"/>
              <w:jc w:val="center"/>
              <w:rPr>
                <w:rFonts w:eastAsiaTheme="minorEastAsia"/>
                <w:color w:val="000000" w:themeColor="text1"/>
                <w:sz w:val="24"/>
              </w:rPr>
            </w:pPr>
            <w:r>
              <w:rPr>
                <w:rFonts w:eastAsiaTheme="minorEastAsia"/>
                <w:color w:val="000000" w:themeColor="text1"/>
                <w:sz w:val="24"/>
              </w:rPr>
              <w:t>应支付该券商的佣金</w:t>
            </w:r>
          </w:p>
        </w:tc>
        <w:tc>
          <w:tcPr>
            <w:tcW w:w="1080" w:type="dxa"/>
            <w:vMerge w:val="restart"/>
            <w:vAlign w:val="center"/>
          </w:tcPr>
          <w:p w:rsidR="000E6BAE" w:rsidRDefault="00CD6463">
            <w:pPr>
              <w:spacing w:line="276" w:lineRule="auto"/>
              <w:jc w:val="center"/>
              <w:rPr>
                <w:rFonts w:eastAsiaTheme="minorEastAsia"/>
                <w:color w:val="000000" w:themeColor="text1"/>
                <w:kern w:val="0"/>
                <w:sz w:val="24"/>
              </w:rPr>
            </w:pPr>
            <w:r>
              <w:rPr>
                <w:rFonts w:eastAsiaTheme="minorEastAsia"/>
                <w:color w:val="000000" w:themeColor="text1"/>
                <w:kern w:val="0"/>
                <w:sz w:val="24"/>
              </w:rPr>
              <w:t>备注</w:t>
            </w:r>
          </w:p>
        </w:tc>
      </w:tr>
      <w:tr w:rsidR="000E6BAE">
        <w:tc>
          <w:tcPr>
            <w:tcW w:w="1560" w:type="dxa"/>
            <w:vMerge/>
            <w:vAlign w:val="center"/>
          </w:tcPr>
          <w:p w:rsidR="000E6BAE" w:rsidRDefault="000E6BAE">
            <w:pPr>
              <w:widowControl/>
              <w:spacing w:line="276" w:lineRule="auto"/>
              <w:jc w:val="left"/>
              <w:rPr>
                <w:rFonts w:eastAsiaTheme="minorEastAsia"/>
                <w:color w:val="000000" w:themeColor="text1"/>
                <w:sz w:val="24"/>
              </w:rPr>
            </w:pPr>
          </w:p>
        </w:tc>
        <w:tc>
          <w:tcPr>
            <w:tcW w:w="780" w:type="dxa"/>
            <w:vMerge/>
            <w:vAlign w:val="center"/>
          </w:tcPr>
          <w:p w:rsidR="000E6BAE" w:rsidRDefault="000E6BAE">
            <w:pPr>
              <w:widowControl/>
              <w:spacing w:line="276" w:lineRule="auto"/>
              <w:jc w:val="left"/>
              <w:rPr>
                <w:rFonts w:eastAsiaTheme="minorEastAsia"/>
                <w:color w:val="000000" w:themeColor="text1"/>
                <w:sz w:val="24"/>
              </w:rPr>
            </w:pPr>
          </w:p>
        </w:tc>
        <w:tc>
          <w:tcPr>
            <w:tcW w:w="1800" w:type="dxa"/>
            <w:vAlign w:val="center"/>
          </w:tcPr>
          <w:p w:rsidR="000E6BAE" w:rsidRDefault="00CD6463">
            <w:pPr>
              <w:spacing w:line="276" w:lineRule="auto"/>
              <w:jc w:val="center"/>
              <w:rPr>
                <w:rFonts w:eastAsiaTheme="minorEastAsia"/>
                <w:color w:val="000000" w:themeColor="text1"/>
                <w:sz w:val="24"/>
              </w:rPr>
            </w:pPr>
            <w:r>
              <w:rPr>
                <w:rFonts w:eastAsiaTheme="minorEastAsia"/>
                <w:color w:val="000000" w:themeColor="text1"/>
                <w:sz w:val="24"/>
              </w:rPr>
              <w:t>成交金额</w:t>
            </w:r>
          </w:p>
        </w:tc>
        <w:tc>
          <w:tcPr>
            <w:tcW w:w="1080" w:type="dxa"/>
            <w:vAlign w:val="center"/>
          </w:tcPr>
          <w:p w:rsidR="000E6BAE" w:rsidRDefault="00CD6463">
            <w:pPr>
              <w:spacing w:line="276" w:lineRule="auto"/>
              <w:jc w:val="center"/>
              <w:rPr>
                <w:rFonts w:eastAsiaTheme="minorEastAsia"/>
                <w:color w:val="000000" w:themeColor="text1"/>
                <w:sz w:val="24"/>
              </w:rPr>
            </w:pPr>
            <w:r>
              <w:rPr>
                <w:rFonts w:eastAsiaTheme="minorEastAsia"/>
                <w:color w:val="000000" w:themeColor="text1"/>
                <w:sz w:val="24"/>
              </w:rPr>
              <w:t>占当期股票成交总额的比例</w:t>
            </w:r>
          </w:p>
        </w:tc>
        <w:tc>
          <w:tcPr>
            <w:tcW w:w="1620" w:type="dxa"/>
            <w:vAlign w:val="center"/>
          </w:tcPr>
          <w:p w:rsidR="000E6BAE" w:rsidRDefault="00CD6463">
            <w:pPr>
              <w:spacing w:line="276" w:lineRule="auto"/>
              <w:jc w:val="center"/>
              <w:rPr>
                <w:rFonts w:eastAsiaTheme="minorEastAsia"/>
                <w:color w:val="000000" w:themeColor="text1"/>
                <w:kern w:val="0"/>
                <w:sz w:val="24"/>
              </w:rPr>
            </w:pPr>
            <w:r>
              <w:rPr>
                <w:rFonts w:eastAsiaTheme="minorEastAsia"/>
                <w:color w:val="000000" w:themeColor="text1"/>
                <w:kern w:val="0"/>
                <w:sz w:val="24"/>
              </w:rPr>
              <w:t>佣金</w:t>
            </w:r>
          </w:p>
        </w:tc>
        <w:tc>
          <w:tcPr>
            <w:tcW w:w="1080" w:type="dxa"/>
            <w:vAlign w:val="center"/>
          </w:tcPr>
          <w:p w:rsidR="000E6BAE" w:rsidRDefault="00CD6463">
            <w:pPr>
              <w:spacing w:line="276" w:lineRule="auto"/>
              <w:jc w:val="center"/>
              <w:rPr>
                <w:rFonts w:eastAsiaTheme="minorEastAsia"/>
                <w:color w:val="000000" w:themeColor="text1"/>
                <w:sz w:val="24"/>
              </w:rPr>
            </w:pPr>
            <w:r>
              <w:rPr>
                <w:rFonts w:eastAsiaTheme="minorEastAsia"/>
                <w:color w:val="000000" w:themeColor="text1"/>
                <w:sz w:val="24"/>
              </w:rPr>
              <w:t>占当期佣金总量的比例</w:t>
            </w:r>
          </w:p>
        </w:tc>
        <w:tc>
          <w:tcPr>
            <w:tcW w:w="1080" w:type="dxa"/>
            <w:vMerge/>
            <w:vAlign w:val="center"/>
          </w:tcPr>
          <w:p w:rsidR="000E6BAE" w:rsidRDefault="000E6BAE">
            <w:pPr>
              <w:widowControl/>
              <w:spacing w:line="276" w:lineRule="auto"/>
              <w:jc w:val="left"/>
              <w:rPr>
                <w:rFonts w:eastAsiaTheme="minorEastAsia"/>
                <w:color w:val="000000" w:themeColor="text1"/>
                <w:kern w:val="0"/>
                <w:sz w:val="24"/>
              </w:rPr>
            </w:pPr>
          </w:p>
        </w:tc>
      </w:tr>
      <w:tr w:rsidR="000E6BAE">
        <w:tc>
          <w:tcPr>
            <w:tcW w:w="1560" w:type="dxa"/>
            <w:vAlign w:val="center"/>
          </w:tcPr>
          <w:p w:rsidR="000E6BAE" w:rsidRDefault="00CD6463">
            <w:pPr>
              <w:jc w:val="left"/>
            </w:pPr>
            <w:r>
              <w:rPr>
                <w:rFonts w:eastAsiaTheme="minorEastAsia"/>
                <w:color w:val="000000" w:themeColor="text1"/>
                <w:sz w:val="24"/>
              </w:rPr>
              <w:t>国元证券股份有限公司</w:t>
            </w:r>
          </w:p>
        </w:tc>
        <w:tc>
          <w:tcPr>
            <w:tcW w:w="780" w:type="dxa"/>
            <w:vAlign w:val="center"/>
          </w:tcPr>
          <w:p w:rsidR="000E6BAE" w:rsidRDefault="00CD6463">
            <w:pPr>
              <w:jc w:val="right"/>
            </w:pPr>
            <w:r>
              <w:rPr>
                <w:rFonts w:eastAsiaTheme="minorEastAsia"/>
                <w:color w:val="000000" w:themeColor="text1"/>
                <w:sz w:val="24"/>
              </w:rPr>
              <w:t>1</w:t>
            </w:r>
          </w:p>
        </w:tc>
        <w:tc>
          <w:tcPr>
            <w:tcW w:w="180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62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left"/>
            </w:pPr>
            <w:r>
              <w:rPr>
                <w:rFonts w:eastAsiaTheme="minorEastAsia"/>
                <w:color w:val="000000" w:themeColor="text1"/>
                <w:sz w:val="24"/>
              </w:rPr>
              <w:t>-</w:t>
            </w:r>
          </w:p>
        </w:tc>
      </w:tr>
      <w:tr w:rsidR="000E6BAE">
        <w:tc>
          <w:tcPr>
            <w:tcW w:w="1560" w:type="dxa"/>
            <w:vAlign w:val="center"/>
          </w:tcPr>
          <w:p w:rsidR="000E6BAE" w:rsidRDefault="00CD6463">
            <w:pPr>
              <w:jc w:val="left"/>
            </w:pPr>
            <w:r>
              <w:rPr>
                <w:rFonts w:eastAsiaTheme="minorEastAsia"/>
                <w:color w:val="000000" w:themeColor="text1"/>
                <w:sz w:val="24"/>
              </w:rPr>
              <w:t>中信证券股份有限公司</w:t>
            </w:r>
          </w:p>
        </w:tc>
        <w:tc>
          <w:tcPr>
            <w:tcW w:w="780" w:type="dxa"/>
            <w:vAlign w:val="center"/>
          </w:tcPr>
          <w:p w:rsidR="000E6BAE" w:rsidRDefault="00CD6463">
            <w:pPr>
              <w:jc w:val="right"/>
            </w:pPr>
            <w:r>
              <w:rPr>
                <w:rFonts w:eastAsiaTheme="minorEastAsia"/>
                <w:color w:val="000000" w:themeColor="text1"/>
                <w:sz w:val="24"/>
              </w:rPr>
              <w:t>1</w:t>
            </w:r>
          </w:p>
        </w:tc>
        <w:tc>
          <w:tcPr>
            <w:tcW w:w="180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62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left"/>
            </w:pPr>
            <w:r>
              <w:rPr>
                <w:rFonts w:eastAsiaTheme="minorEastAsia"/>
                <w:color w:val="000000" w:themeColor="text1"/>
                <w:sz w:val="24"/>
              </w:rPr>
              <w:t>-</w:t>
            </w:r>
          </w:p>
        </w:tc>
      </w:tr>
      <w:tr w:rsidR="000E6BAE">
        <w:tc>
          <w:tcPr>
            <w:tcW w:w="1560" w:type="dxa"/>
            <w:vAlign w:val="center"/>
          </w:tcPr>
          <w:p w:rsidR="000E6BAE" w:rsidRDefault="00CD6463">
            <w:pPr>
              <w:jc w:val="left"/>
            </w:pPr>
            <w:r>
              <w:rPr>
                <w:rFonts w:eastAsiaTheme="minorEastAsia"/>
                <w:color w:val="000000" w:themeColor="text1"/>
                <w:sz w:val="24"/>
              </w:rPr>
              <w:t>安信证券股份有限公司</w:t>
            </w:r>
          </w:p>
        </w:tc>
        <w:tc>
          <w:tcPr>
            <w:tcW w:w="780" w:type="dxa"/>
            <w:vAlign w:val="center"/>
          </w:tcPr>
          <w:p w:rsidR="000E6BAE" w:rsidRDefault="00CD6463">
            <w:pPr>
              <w:jc w:val="right"/>
            </w:pPr>
            <w:r>
              <w:rPr>
                <w:rFonts w:eastAsiaTheme="minorEastAsia"/>
                <w:color w:val="000000" w:themeColor="text1"/>
                <w:sz w:val="24"/>
              </w:rPr>
              <w:t>2</w:t>
            </w:r>
          </w:p>
        </w:tc>
        <w:tc>
          <w:tcPr>
            <w:tcW w:w="180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62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left"/>
            </w:pPr>
            <w:r>
              <w:rPr>
                <w:rFonts w:eastAsiaTheme="minorEastAsia"/>
                <w:color w:val="000000" w:themeColor="text1"/>
                <w:sz w:val="24"/>
              </w:rPr>
              <w:t>-</w:t>
            </w:r>
          </w:p>
        </w:tc>
      </w:tr>
      <w:tr w:rsidR="000E6BAE">
        <w:tc>
          <w:tcPr>
            <w:tcW w:w="1560" w:type="dxa"/>
            <w:vAlign w:val="center"/>
          </w:tcPr>
          <w:p w:rsidR="000E6BAE" w:rsidRDefault="00CD6463">
            <w:pPr>
              <w:jc w:val="left"/>
            </w:pPr>
            <w:r>
              <w:rPr>
                <w:rFonts w:eastAsiaTheme="minorEastAsia"/>
                <w:color w:val="000000" w:themeColor="text1"/>
                <w:sz w:val="24"/>
              </w:rPr>
              <w:t>国金证券股份有限公司</w:t>
            </w:r>
          </w:p>
        </w:tc>
        <w:tc>
          <w:tcPr>
            <w:tcW w:w="780" w:type="dxa"/>
            <w:vAlign w:val="center"/>
          </w:tcPr>
          <w:p w:rsidR="000E6BAE" w:rsidRDefault="00CD6463">
            <w:pPr>
              <w:jc w:val="right"/>
            </w:pPr>
            <w:r>
              <w:rPr>
                <w:rFonts w:eastAsiaTheme="minorEastAsia"/>
                <w:color w:val="000000" w:themeColor="text1"/>
                <w:sz w:val="24"/>
              </w:rPr>
              <w:t>2</w:t>
            </w:r>
          </w:p>
        </w:tc>
        <w:tc>
          <w:tcPr>
            <w:tcW w:w="180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62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left"/>
            </w:pPr>
            <w:r>
              <w:rPr>
                <w:rFonts w:eastAsiaTheme="minorEastAsia"/>
                <w:color w:val="000000" w:themeColor="text1"/>
                <w:sz w:val="24"/>
              </w:rPr>
              <w:t>-</w:t>
            </w:r>
          </w:p>
        </w:tc>
      </w:tr>
      <w:tr w:rsidR="000E6BAE">
        <w:tc>
          <w:tcPr>
            <w:tcW w:w="1560" w:type="dxa"/>
            <w:vAlign w:val="center"/>
          </w:tcPr>
          <w:p w:rsidR="000E6BAE" w:rsidRDefault="00CD6463">
            <w:pPr>
              <w:jc w:val="left"/>
            </w:pPr>
            <w:r>
              <w:rPr>
                <w:rFonts w:eastAsiaTheme="minorEastAsia"/>
                <w:color w:val="000000" w:themeColor="text1"/>
                <w:sz w:val="24"/>
              </w:rPr>
              <w:t>中泰证券股份有限公司</w:t>
            </w:r>
          </w:p>
        </w:tc>
        <w:tc>
          <w:tcPr>
            <w:tcW w:w="780" w:type="dxa"/>
            <w:vAlign w:val="center"/>
          </w:tcPr>
          <w:p w:rsidR="000E6BAE" w:rsidRDefault="00CD6463">
            <w:pPr>
              <w:jc w:val="right"/>
            </w:pPr>
            <w:r>
              <w:rPr>
                <w:rFonts w:eastAsiaTheme="minorEastAsia"/>
                <w:color w:val="000000" w:themeColor="text1"/>
                <w:sz w:val="24"/>
              </w:rPr>
              <w:t>3</w:t>
            </w:r>
          </w:p>
        </w:tc>
        <w:tc>
          <w:tcPr>
            <w:tcW w:w="180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62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left"/>
            </w:pPr>
            <w:r>
              <w:rPr>
                <w:rFonts w:eastAsiaTheme="minorEastAsia"/>
                <w:color w:val="000000" w:themeColor="text1"/>
                <w:sz w:val="24"/>
              </w:rPr>
              <w:t>-</w:t>
            </w:r>
          </w:p>
        </w:tc>
      </w:tr>
      <w:tr w:rsidR="000E6BAE">
        <w:tc>
          <w:tcPr>
            <w:tcW w:w="1560" w:type="dxa"/>
            <w:vAlign w:val="center"/>
          </w:tcPr>
          <w:p w:rsidR="000E6BAE" w:rsidRDefault="00CD6463">
            <w:pPr>
              <w:jc w:val="left"/>
            </w:pPr>
            <w:r>
              <w:rPr>
                <w:rFonts w:eastAsiaTheme="minorEastAsia"/>
                <w:color w:val="000000" w:themeColor="text1"/>
                <w:sz w:val="24"/>
              </w:rPr>
              <w:t>新时代证券股份有限公司</w:t>
            </w:r>
          </w:p>
        </w:tc>
        <w:tc>
          <w:tcPr>
            <w:tcW w:w="780" w:type="dxa"/>
            <w:vAlign w:val="center"/>
          </w:tcPr>
          <w:p w:rsidR="000E6BAE" w:rsidRDefault="00CD6463">
            <w:pPr>
              <w:jc w:val="right"/>
            </w:pPr>
            <w:r>
              <w:rPr>
                <w:rFonts w:eastAsiaTheme="minorEastAsia"/>
                <w:color w:val="000000" w:themeColor="text1"/>
                <w:sz w:val="24"/>
              </w:rPr>
              <w:t>1</w:t>
            </w:r>
          </w:p>
        </w:tc>
        <w:tc>
          <w:tcPr>
            <w:tcW w:w="180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62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left"/>
            </w:pPr>
            <w:r>
              <w:rPr>
                <w:rFonts w:eastAsiaTheme="minorEastAsia"/>
                <w:color w:val="000000" w:themeColor="text1"/>
                <w:sz w:val="24"/>
              </w:rPr>
              <w:t>-</w:t>
            </w:r>
          </w:p>
        </w:tc>
      </w:tr>
      <w:tr w:rsidR="000E6BAE">
        <w:tc>
          <w:tcPr>
            <w:tcW w:w="1560" w:type="dxa"/>
            <w:vAlign w:val="center"/>
          </w:tcPr>
          <w:p w:rsidR="000E6BAE" w:rsidRDefault="00CD6463">
            <w:pPr>
              <w:jc w:val="left"/>
            </w:pPr>
            <w:r>
              <w:rPr>
                <w:rFonts w:eastAsiaTheme="minorEastAsia"/>
                <w:color w:val="000000" w:themeColor="text1"/>
                <w:sz w:val="24"/>
              </w:rPr>
              <w:t>国盛证券有限责任公司</w:t>
            </w:r>
          </w:p>
        </w:tc>
        <w:tc>
          <w:tcPr>
            <w:tcW w:w="780" w:type="dxa"/>
            <w:vAlign w:val="center"/>
          </w:tcPr>
          <w:p w:rsidR="000E6BAE" w:rsidRDefault="00CD6463">
            <w:pPr>
              <w:jc w:val="right"/>
            </w:pPr>
            <w:r>
              <w:rPr>
                <w:rFonts w:eastAsiaTheme="minorEastAsia"/>
                <w:color w:val="000000" w:themeColor="text1"/>
                <w:sz w:val="24"/>
              </w:rPr>
              <w:t>1</w:t>
            </w:r>
          </w:p>
        </w:tc>
        <w:tc>
          <w:tcPr>
            <w:tcW w:w="180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62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left"/>
            </w:pPr>
            <w:r>
              <w:rPr>
                <w:rFonts w:eastAsiaTheme="minorEastAsia"/>
                <w:color w:val="000000" w:themeColor="text1"/>
                <w:sz w:val="24"/>
              </w:rPr>
              <w:t>-</w:t>
            </w:r>
          </w:p>
        </w:tc>
      </w:tr>
      <w:tr w:rsidR="000E6BAE">
        <w:tc>
          <w:tcPr>
            <w:tcW w:w="1560" w:type="dxa"/>
            <w:vAlign w:val="center"/>
          </w:tcPr>
          <w:p w:rsidR="000E6BAE" w:rsidRDefault="00CD6463">
            <w:pPr>
              <w:jc w:val="left"/>
            </w:pPr>
            <w:r>
              <w:rPr>
                <w:rFonts w:eastAsiaTheme="minorEastAsia"/>
                <w:color w:val="000000" w:themeColor="text1"/>
                <w:sz w:val="24"/>
              </w:rPr>
              <w:t>东吴证券股份有限公司</w:t>
            </w:r>
          </w:p>
        </w:tc>
        <w:tc>
          <w:tcPr>
            <w:tcW w:w="780" w:type="dxa"/>
            <w:vAlign w:val="center"/>
          </w:tcPr>
          <w:p w:rsidR="000E6BAE" w:rsidRDefault="00CD6463">
            <w:pPr>
              <w:jc w:val="right"/>
            </w:pPr>
            <w:r>
              <w:rPr>
                <w:rFonts w:eastAsiaTheme="minorEastAsia"/>
                <w:color w:val="000000" w:themeColor="text1"/>
                <w:sz w:val="24"/>
              </w:rPr>
              <w:t>1</w:t>
            </w:r>
          </w:p>
        </w:tc>
        <w:tc>
          <w:tcPr>
            <w:tcW w:w="180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62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right"/>
            </w:pPr>
            <w:r>
              <w:rPr>
                <w:rFonts w:eastAsiaTheme="minorEastAsia"/>
                <w:color w:val="000000" w:themeColor="text1"/>
                <w:sz w:val="24"/>
              </w:rPr>
              <w:t>-</w:t>
            </w:r>
          </w:p>
        </w:tc>
        <w:tc>
          <w:tcPr>
            <w:tcW w:w="1080" w:type="dxa"/>
            <w:vAlign w:val="center"/>
          </w:tcPr>
          <w:p w:rsidR="000E6BAE" w:rsidRDefault="00CD6463">
            <w:pPr>
              <w:jc w:val="left"/>
            </w:pPr>
            <w:r>
              <w:rPr>
                <w:rFonts w:eastAsiaTheme="minorEastAsia"/>
                <w:color w:val="000000" w:themeColor="text1"/>
                <w:sz w:val="24"/>
              </w:rPr>
              <w:t>-</w:t>
            </w:r>
          </w:p>
        </w:tc>
      </w:tr>
    </w:tbl>
    <w:p w:rsidR="000E6BAE" w:rsidRDefault="00CD646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、报告期内，本基金新增加东吴证券股份有限公司</w:t>
      </w:r>
      <w:r>
        <w:rPr>
          <w:rFonts w:eastAsiaTheme="minorEastAsia" w:hint="eastAsia"/>
          <w:color w:val="000000" w:themeColor="text1"/>
          <w:sz w:val="24"/>
        </w:rPr>
        <w:t>、国元证券股份有限公司</w:t>
      </w:r>
      <w:r>
        <w:rPr>
          <w:rFonts w:eastAsiaTheme="minorEastAsia"/>
          <w:color w:val="000000" w:themeColor="text1"/>
          <w:sz w:val="24"/>
        </w:rPr>
        <w:t>，其它交易单元未发生变化；</w:t>
      </w:r>
    </w:p>
    <w:p w:rsidR="000E6BAE" w:rsidRDefault="00CD646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0E6BAE" w:rsidRDefault="00CD646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0E6BAE" w:rsidRDefault="00CD6463">
      <w:pPr>
        <w:spacing w:beforeLines="100" w:before="312" w:line="360" w:lineRule="auto"/>
        <w:rPr>
          <w:rFonts w:eastAsiaTheme="minorEastAsia"/>
          <w:b/>
          <w:color w:val="000000" w:themeColor="text1"/>
          <w:sz w:val="24"/>
        </w:rPr>
      </w:pPr>
      <w:r>
        <w:rPr>
          <w:rFonts w:eastAsiaTheme="minorEastAsia"/>
          <w:b/>
          <w:color w:val="000000" w:themeColor="text1"/>
          <w:sz w:val="24"/>
        </w:rPr>
        <w:t xml:space="preserve">11.7.2 </w:t>
      </w:r>
      <w:r>
        <w:rPr>
          <w:rFonts w:eastAsiaTheme="minorEastAsia"/>
          <w:b/>
          <w:color w:val="000000" w:themeColor="text1"/>
          <w:sz w:val="24"/>
        </w:rPr>
        <w:t>基金租用证券公司交易单元进行其他证券投资的情况</w:t>
      </w:r>
      <w:bookmarkEnd w:id="192"/>
    </w:p>
    <w:p w:rsidR="000E6BAE" w:rsidRDefault="00CD646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无。</w:t>
      </w:r>
    </w:p>
    <w:p w:rsidR="000E6BAE" w:rsidRDefault="000E6BAE">
      <w:pPr>
        <w:spacing w:line="360" w:lineRule="auto"/>
        <w:rPr>
          <w:rFonts w:asciiTheme="minorEastAsia" w:eastAsiaTheme="minorEastAsia" w:hAnsiTheme="minorEastAsia"/>
          <w:color w:val="000000"/>
          <w:szCs w:val="21"/>
        </w:rPr>
      </w:pPr>
    </w:p>
    <w:p w:rsidR="000E6BAE" w:rsidRDefault="00CD6463">
      <w:pPr>
        <w:pStyle w:val="2"/>
        <w:spacing w:before="29" w:after="0" w:line="288" w:lineRule="auto"/>
        <w:rPr>
          <w:rFonts w:ascii="Times New Roman" w:hAnsi="Times New Roman"/>
          <w:kern w:val="0"/>
          <w:szCs w:val="24"/>
        </w:rPr>
      </w:pPr>
      <w:bookmarkStart w:id="193" w:name="_Toc361324901"/>
      <w:bookmarkStart w:id="194" w:name="_Toc1391"/>
      <w:r>
        <w:rPr>
          <w:rFonts w:ascii="Times New Roman" w:hAnsi="Times New Roman"/>
          <w:kern w:val="0"/>
          <w:szCs w:val="24"/>
        </w:rPr>
        <w:t>11.8</w:t>
      </w:r>
      <w:r>
        <w:rPr>
          <w:rFonts w:ascii="Times New Roman" w:hAnsi="Times New Roman" w:hint="eastAsia"/>
          <w:kern w:val="0"/>
          <w:szCs w:val="24"/>
        </w:rPr>
        <w:t>其他重大事件</w:t>
      </w:r>
      <w:bookmarkEnd w:id="193"/>
      <w:bookmarkEnd w:id="19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331"/>
        <w:gridCol w:w="1629"/>
      </w:tblGrid>
      <w:tr w:rsidR="000E6BAE">
        <w:tc>
          <w:tcPr>
            <w:tcW w:w="72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序号</w:t>
            </w:r>
          </w:p>
        </w:tc>
        <w:tc>
          <w:tcPr>
            <w:tcW w:w="4320"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公告事项</w:t>
            </w:r>
          </w:p>
        </w:tc>
        <w:tc>
          <w:tcPr>
            <w:tcW w:w="2331"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法定披露方式</w:t>
            </w:r>
          </w:p>
        </w:tc>
        <w:tc>
          <w:tcPr>
            <w:tcW w:w="1629" w:type="dxa"/>
            <w:vAlign w:val="center"/>
          </w:tcPr>
          <w:p w:rsidR="000E6BAE" w:rsidRDefault="00CD6463">
            <w:pPr>
              <w:widowControl/>
              <w:autoSpaceDE w:val="0"/>
              <w:autoSpaceDN w:val="0"/>
              <w:spacing w:before="29" w:line="288" w:lineRule="auto"/>
              <w:ind w:right="-15"/>
              <w:jc w:val="center"/>
              <w:textAlignment w:val="bottom"/>
              <w:rPr>
                <w:color w:val="000000"/>
                <w:sz w:val="24"/>
              </w:rPr>
            </w:pPr>
            <w:r>
              <w:rPr>
                <w:rFonts w:hint="eastAsia"/>
                <w:color w:val="000000"/>
                <w:sz w:val="24"/>
              </w:rPr>
              <w:t>法定披露日期</w:t>
            </w:r>
          </w:p>
        </w:tc>
      </w:tr>
      <w:tr w:rsidR="000E6BAE">
        <w:tc>
          <w:tcPr>
            <w:tcW w:w="720" w:type="dxa"/>
            <w:vAlign w:val="center"/>
          </w:tcPr>
          <w:p w:rsidR="000E6BAE" w:rsidRDefault="00CD6463">
            <w:pPr>
              <w:jc w:val="center"/>
            </w:pPr>
            <w:r>
              <w:rPr>
                <w:color w:val="000000"/>
                <w:sz w:val="24"/>
              </w:rPr>
              <w:t>1</w:t>
            </w:r>
          </w:p>
        </w:tc>
        <w:tc>
          <w:tcPr>
            <w:tcW w:w="4320" w:type="dxa"/>
            <w:vAlign w:val="center"/>
          </w:tcPr>
          <w:p w:rsidR="000E6BAE" w:rsidRDefault="00CD6463">
            <w:pPr>
              <w:jc w:val="left"/>
            </w:pPr>
            <w:r>
              <w:rPr>
                <w:color w:val="000000"/>
                <w:sz w:val="24"/>
              </w:rPr>
              <w:t>交银施罗德丰润收益债券型证券投资基金（更新）招募说明书摘要（</w:t>
            </w:r>
            <w:r>
              <w:rPr>
                <w:color w:val="000000"/>
                <w:sz w:val="24"/>
              </w:rPr>
              <w:t>2019</w:t>
            </w:r>
            <w:r>
              <w:rPr>
                <w:color w:val="000000"/>
                <w:sz w:val="24"/>
              </w:rPr>
              <w:t>年第</w:t>
            </w:r>
            <w:r>
              <w:rPr>
                <w:color w:val="000000"/>
                <w:sz w:val="24"/>
              </w:rPr>
              <w:t>3</w:t>
            </w:r>
            <w:r>
              <w:rPr>
                <w:color w:val="000000"/>
                <w:sz w:val="24"/>
              </w:rPr>
              <w:t>号）</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2020-01-10</w:t>
            </w:r>
          </w:p>
        </w:tc>
      </w:tr>
      <w:tr w:rsidR="000E6BAE">
        <w:tc>
          <w:tcPr>
            <w:tcW w:w="720" w:type="dxa"/>
            <w:vAlign w:val="center"/>
          </w:tcPr>
          <w:p w:rsidR="000E6BAE" w:rsidRDefault="00CD6463">
            <w:pPr>
              <w:jc w:val="center"/>
            </w:pPr>
            <w:r>
              <w:rPr>
                <w:color w:val="000000"/>
                <w:sz w:val="24"/>
              </w:rPr>
              <w:t>2</w:t>
            </w:r>
          </w:p>
        </w:tc>
        <w:tc>
          <w:tcPr>
            <w:tcW w:w="4320" w:type="dxa"/>
            <w:vAlign w:val="center"/>
          </w:tcPr>
          <w:p w:rsidR="000E6BAE" w:rsidRDefault="00CD6463">
            <w:pPr>
              <w:jc w:val="left"/>
            </w:pPr>
            <w:r>
              <w:rPr>
                <w:color w:val="000000"/>
                <w:sz w:val="24"/>
              </w:rPr>
              <w:t>交银施罗德丰润收益债券型证券投资基金（更新）招募说明书（</w:t>
            </w:r>
            <w:r>
              <w:rPr>
                <w:color w:val="000000"/>
                <w:sz w:val="24"/>
              </w:rPr>
              <w:t>2019</w:t>
            </w:r>
            <w:r>
              <w:rPr>
                <w:color w:val="000000"/>
                <w:sz w:val="24"/>
              </w:rPr>
              <w:t>年第</w:t>
            </w:r>
            <w:r>
              <w:rPr>
                <w:color w:val="000000"/>
                <w:sz w:val="24"/>
              </w:rPr>
              <w:t>3</w:t>
            </w:r>
            <w:r>
              <w:rPr>
                <w:color w:val="000000"/>
                <w:sz w:val="24"/>
              </w:rPr>
              <w:t>号）</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2020-01-10</w:t>
            </w:r>
          </w:p>
        </w:tc>
      </w:tr>
      <w:tr w:rsidR="000E6BAE">
        <w:tc>
          <w:tcPr>
            <w:tcW w:w="720" w:type="dxa"/>
            <w:vAlign w:val="center"/>
          </w:tcPr>
          <w:p w:rsidR="000E6BAE" w:rsidRDefault="00CD6463">
            <w:pPr>
              <w:jc w:val="center"/>
            </w:pPr>
            <w:r>
              <w:rPr>
                <w:color w:val="000000"/>
                <w:sz w:val="24"/>
              </w:rPr>
              <w:t>3</w:t>
            </w:r>
          </w:p>
        </w:tc>
        <w:tc>
          <w:tcPr>
            <w:tcW w:w="4320" w:type="dxa"/>
            <w:vAlign w:val="center"/>
          </w:tcPr>
          <w:p w:rsidR="000E6BAE" w:rsidRDefault="00CD6463">
            <w:pPr>
              <w:jc w:val="left"/>
            </w:pPr>
            <w:r>
              <w:rPr>
                <w:color w:val="000000"/>
                <w:sz w:val="24"/>
              </w:rPr>
              <w:t>交银施罗德基金管理有限公司关于增加阳光人寿保险股份有限公司为旗下基金销售机构的公告</w:t>
            </w:r>
          </w:p>
        </w:tc>
        <w:tc>
          <w:tcPr>
            <w:tcW w:w="2331" w:type="dxa"/>
            <w:vAlign w:val="center"/>
          </w:tcPr>
          <w:p w:rsidR="000E6BAE" w:rsidRDefault="00CD6463">
            <w:pPr>
              <w:jc w:val="center"/>
            </w:pPr>
            <w:r>
              <w:rPr>
                <w:color w:val="000000"/>
                <w:sz w:val="24"/>
              </w:rPr>
              <w:t>中国证券报、上海证券报、证券时报、公司网站</w:t>
            </w:r>
          </w:p>
        </w:tc>
        <w:tc>
          <w:tcPr>
            <w:tcW w:w="1629" w:type="dxa"/>
            <w:vAlign w:val="center"/>
          </w:tcPr>
          <w:p w:rsidR="000E6BAE" w:rsidRDefault="00CD6463">
            <w:pPr>
              <w:jc w:val="center"/>
            </w:pPr>
            <w:r>
              <w:rPr>
                <w:color w:val="000000"/>
                <w:sz w:val="24"/>
              </w:rPr>
              <w:t>2020-01-20</w:t>
            </w:r>
          </w:p>
        </w:tc>
      </w:tr>
      <w:tr w:rsidR="000E6BAE">
        <w:tc>
          <w:tcPr>
            <w:tcW w:w="720" w:type="dxa"/>
            <w:vAlign w:val="center"/>
          </w:tcPr>
          <w:p w:rsidR="000E6BAE" w:rsidRDefault="00CD6463">
            <w:pPr>
              <w:jc w:val="center"/>
            </w:pPr>
            <w:r>
              <w:rPr>
                <w:color w:val="000000"/>
                <w:sz w:val="24"/>
              </w:rPr>
              <w:t>4</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2019</w:t>
            </w:r>
            <w:r>
              <w:rPr>
                <w:color w:val="000000"/>
                <w:sz w:val="24"/>
              </w:rPr>
              <w:t>年第</w:t>
            </w:r>
            <w:r>
              <w:rPr>
                <w:color w:val="000000"/>
                <w:sz w:val="24"/>
              </w:rPr>
              <w:t>4</w:t>
            </w:r>
            <w:r>
              <w:rPr>
                <w:color w:val="000000"/>
                <w:sz w:val="24"/>
              </w:rPr>
              <w:t>季度报告</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2020-01-21</w:t>
            </w:r>
          </w:p>
        </w:tc>
      </w:tr>
      <w:tr w:rsidR="000E6BAE">
        <w:tc>
          <w:tcPr>
            <w:tcW w:w="720" w:type="dxa"/>
            <w:vAlign w:val="center"/>
          </w:tcPr>
          <w:p w:rsidR="000E6BAE" w:rsidRDefault="00CD6463">
            <w:pPr>
              <w:jc w:val="center"/>
            </w:pPr>
            <w:r>
              <w:rPr>
                <w:color w:val="000000"/>
                <w:sz w:val="24"/>
              </w:rPr>
              <w:t>5</w:t>
            </w:r>
          </w:p>
        </w:tc>
        <w:tc>
          <w:tcPr>
            <w:tcW w:w="4320" w:type="dxa"/>
            <w:vAlign w:val="center"/>
          </w:tcPr>
          <w:p w:rsidR="000E6BAE" w:rsidRDefault="00CD6463">
            <w:pPr>
              <w:jc w:val="left"/>
            </w:pPr>
            <w:r>
              <w:rPr>
                <w:color w:val="000000"/>
                <w:sz w:val="24"/>
              </w:rPr>
              <w:t>交银施罗德基金管理有限公司关于春节假期调整延期办理有关业务的公告</w:t>
            </w:r>
          </w:p>
        </w:tc>
        <w:tc>
          <w:tcPr>
            <w:tcW w:w="2331" w:type="dxa"/>
            <w:vAlign w:val="center"/>
          </w:tcPr>
          <w:p w:rsidR="000E6BAE" w:rsidRDefault="00CD6463">
            <w:pPr>
              <w:jc w:val="center"/>
            </w:pPr>
            <w:r>
              <w:rPr>
                <w:color w:val="000000"/>
                <w:sz w:val="24"/>
              </w:rPr>
              <w:t>中国证券报、上海证券报、证券时报、公司网站</w:t>
            </w:r>
          </w:p>
        </w:tc>
        <w:tc>
          <w:tcPr>
            <w:tcW w:w="1629" w:type="dxa"/>
            <w:vAlign w:val="center"/>
          </w:tcPr>
          <w:p w:rsidR="000E6BAE" w:rsidRDefault="00CD6463">
            <w:pPr>
              <w:jc w:val="center"/>
            </w:pPr>
            <w:r>
              <w:rPr>
                <w:color w:val="000000"/>
                <w:sz w:val="24"/>
              </w:rPr>
              <w:t>2020-01-31</w:t>
            </w:r>
          </w:p>
        </w:tc>
      </w:tr>
      <w:tr w:rsidR="000E6BAE">
        <w:tc>
          <w:tcPr>
            <w:tcW w:w="720" w:type="dxa"/>
            <w:vAlign w:val="center"/>
          </w:tcPr>
          <w:p w:rsidR="000E6BAE" w:rsidRDefault="00CD6463">
            <w:pPr>
              <w:jc w:val="center"/>
            </w:pPr>
            <w:r>
              <w:rPr>
                <w:color w:val="000000"/>
                <w:sz w:val="24"/>
              </w:rPr>
              <w:t>6</w:t>
            </w:r>
          </w:p>
        </w:tc>
        <w:tc>
          <w:tcPr>
            <w:tcW w:w="4320" w:type="dxa"/>
            <w:vAlign w:val="center"/>
          </w:tcPr>
          <w:p w:rsidR="000E6BAE" w:rsidRDefault="00CD6463">
            <w:pPr>
              <w:jc w:val="left"/>
            </w:pPr>
            <w:r>
              <w:rPr>
                <w:color w:val="000000"/>
                <w:sz w:val="24"/>
              </w:rPr>
              <w:t>交银施罗德基金管理有限公司关于增加平安银行股份有限公司为旗下基金销售机构的公告</w:t>
            </w:r>
          </w:p>
        </w:tc>
        <w:tc>
          <w:tcPr>
            <w:tcW w:w="2331" w:type="dxa"/>
            <w:vAlign w:val="center"/>
          </w:tcPr>
          <w:p w:rsidR="000E6BAE" w:rsidRDefault="00CD6463">
            <w:pPr>
              <w:jc w:val="center"/>
            </w:pPr>
            <w:r>
              <w:rPr>
                <w:color w:val="000000"/>
                <w:sz w:val="24"/>
              </w:rPr>
              <w:t>中国证券报、上海证券报、证券时报、公司网站</w:t>
            </w:r>
          </w:p>
        </w:tc>
        <w:tc>
          <w:tcPr>
            <w:tcW w:w="1629" w:type="dxa"/>
            <w:vAlign w:val="center"/>
          </w:tcPr>
          <w:p w:rsidR="000E6BAE" w:rsidRDefault="00CD6463">
            <w:pPr>
              <w:jc w:val="center"/>
            </w:pPr>
            <w:r>
              <w:rPr>
                <w:color w:val="000000"/>
                <w:sz w:val="24"/>
              </w:rPr>
              <w:t>2020-02-20</w:t>
            </w:r>
          </w:p>
        </w:tc>
      </w:tr>
      <w:tr w:rsidR="000E6BAE">
        <w:tc>
          <w:tcPr>
            <w:tcW w:w="720" w:type="dxa"/>
            <w:vAlign w:val="center"/>
          </w:tcPr>
          <w:p w:rsidR="000E6BAE" w:rsidRDefault="00CD6463">
            <w:pPr>
              <w:jc w:val="center"/>
            </w:pPr>
            <w:r>
              <w:rPr>
                <w:color w:val="000000"/>
                <w:sz w:val="24"/>
              </w:rPr>
              <w:t>7</w:t>
            </w:r>
          </w:p>
        </w:tc>
        <w:tc>
          <w:tcPr>
            <w:tcW w:w="4320" w:type="dxa"/>
            <w:vAlign w:val="center"/>
          </w:tcPr>
          <w:p w:rsidR="000E6BAE" w:rsidRDefault="00CD6463">
            <w:pPr>
              <w:jc w:val="left"/>
            </w:pPr>
            <w:r>
              <w:rPr>
                <w:color w:val="000000"/>
                <w:sz w:val="24"/>
              </w:rPr>
              <w:t>交银施罗德基金管理有限公司关于交银施罗德丰润收益债券型证券投资基金暂停及恢复大额申购、定期定额投资业务的公告</w:t>
            </w:r>
          </w:p>
        </w:tc>
        <w:tc>
          <w:tcPr>
            <w:tcW w:w="2331" w:type="dxa"/>
            <w:vAlign w:val="center"/>
          </w:tcPr>
          <w:p w:rsidR="000E6BAE" w:rsidRDefault="00CD6463">
            <w:pPr>
              <w:jc w:val="center"/>
            </w:pPr>
            <w:r>
              <w:rPr>
                <w:color w:val="000000"/>
                <w:sz w:val="24"/>
              </w:rPr>
              <w:t>上海证券报、公司网站</w:t>
            </w:r>
          </w:p>
        </w:tc>
        <w:tc>
          <w:tcPr>
            <w:tcW w:w="1629" w:type="dxa"/>
            <w:vAlign w:val="center"/>
          </w:tcPr>
          <w:p w:rsidR="000E6BAE" w:rsidRDefault="00CD6463">
            <w:pPr>
              <w:jc w:val="center"/>
            </w:pPr>
            <w:r>
              <w:rPr>
                <w:color w:val="000000"/>
                <w:sz w:val="24"/>
              </w:rPr>
              <w:t>2020-03-19</w:t>
            </w:r>
          </w:p>
        </w:tc>
      </w:tr>
      <w:tr w:rsidR="000E6BAE">
        <w:tc>
          <w:tcPr>
            <w:tcW w:w="720" w:type="dxa"/>
            <w:vAlign w:val="center"/>
          </w:tcPr>
          <w:p w:rsidR="000E6BAE" w:rsidRDefault="00CD6463">
            <w:pPr>
              <w:jc w:val="center"/>
            </w:pPr>
            <w:r>
              <w:rPr>
                <w:color w:val="000000"/>
                <w:sz w:val="24"/>
              </w:rPr>
              <w:t>8</w:t>
            </w:r>
          </w:p>
        </w:tc>
        <w:tc>
          <w:tcPr>
            <w:tcW w:w="4320" w:type="dxa"/>
            <w:vAlign w:val="center"/>
          </w:tcPr>
          <w:p w:rsidR="000E6BAE" w:rsidRDefault="00CD6463">
            <w:pPr>
              <w:jc w:val="left"/>
            </w:pPr>
            <w:r>
              <w:rPr>
                <w:color w:val="000000"/>
                <w:sz w:val="24"/>
              </w:rPr>
              <w:t>交银施罗德基金管理有限公司关于终止泰诚财富基金销售（大连）有限公司办理相关销售业务的公告</w:t>
            </w:r>
          </w:p>
        </w:tc>
        <w:tc>
          <w:tcPr>
            <w:tcW w:w="2331" w:type="dxa"/>
            <w:vAlign w:val="center"/>
          </w:tcPr>
          <w:p w:rsidR="000E6BAE" w:rsidRDefault="00CD6463">
            <w:pPr>
              <w:jc w:val="center"/>
            </w:pPr>
            <w:r>
              <w:rPr>
                <w:color w:val="000000"/>
                <w:sz w:val="24"/>
              </w:rPr>
              <w:t>中国证券报、上海证券报、证券时报、公司网站</w:t>
            </w:r>
          </w:p>
        </w:tc>
        <w:tc>
          <w:tcPr>
            <w:tcW w:w="1629" w:type="dxa"/>
            <w:vAlign w:val="center"/>
          </w:tcPr>
          <w:p w:rsidR="000E6BAE" w:rsidRDefault="00CD6463">
            <w:pPr>
              <w:jc w:val="center"/>
            </w:pPr>
            <w:r>
              <w:rPr>
                <w:color w:val="000000"/>
                <w:sz w:val="24"/>
              </w:rPr>
              <w:t>2020-03-21</w:t>
            </w:r>
          </w:p>
        </w:tc>
      </w:tr>
      <w:tr w:rsidR="000E6BAE">
        <w:tc>
          <w:tcPr>
            <w:tcW w:w="720" w:type="dxa"/>
            <w:vAlign w:val="center"/>
          </w:tcPr>
          <w:p w:rsidR="000E6BAE" w:rsidRDefault="00CD6463">
            <w:pPr>
              <w:jc w:val="center"/>
            </w:pPr>
            <w:r>
              <w:rPr>
                <w:color w:val="000000"/>
                <w:sz w:val="24"/>
              </w:rPr>
              <w:t>9</w:t>
            </w:r>
          </w:p>
        </w:tc>
        <w:tc>
          <w:tcPr>
            <w:tcW w:w="4320" w:type="dxa"/>
            <w:vAlign w:val="center"/>
          </w:tcPr>
          <w:p w:rsidR="000E6BAE" w:rsidRDefault="00CD6463">
            <w:pPr>
              <w:jc w:val="left"/>
            </w:pPr>
            <w:r>
              <w:rPr>
                <w:color w:val="000000"/>
                <w:sz w:val="24"/>
              </w:rPr>
              <w:t>交银施罗德基金管理有限公司关于交银施罗德丰润收益债券型证券投资基金分红的公告</w:t>
            </w:r>
          </w:p>
        </w:tc>
        <w:tc>
          <w:tcPr>
            <w:tcW w:w="2331" w:type="dxa"/>
            <w:vAlign w:val="center"/>
          </w:tcPr>
          <w:p w:rsidR="000E6BAE" w:rsidRDefault="00CD6463">
            <w:pPr>
              <w:jc w:val="center"/>
            </w:pPr>
            <w:r>
              <w:rPr>
                <w:color w:val="000000"/>
                <w:sz w:val="24"/>
              </w:rPr>
              <w:t>上海证券报、公司网站</w:t>
            </w:r>
          </w:p>
        </w:tc>
        <w:tc>
          <w:tcPr>
            <w:tcW w:w="1629" w:type="dxa"/>
            <w:vAlign w:val="center"/>
          </w:tcPr>
          <w:p w:rsidR="000E6BAE" w:rsidRDefault="00CD6463">
            <w:pPr>
              <w:jc w:val="center"/>
            </w:pPr>
            <w:r>
              <w:rPr>
                <w:color w:val="000000"/>
                <w:sz w:val="24"/>
              </w:rPr>
              <w:t>2020-03-23</w:t>
            </w:r>
          </w:p>
        </w:tc>
      </w:tr>
      <w:tr w:rsidR="000E6BAE">
        <w:tc>
          <w:tcPr>
            <w:tcW w:w="720" w:type="dxa"/>
            <w:vAlign w:val="center"/>
          </w:tcPr>
          <w:p w:rsidR="000E6BAE" w:rsidRDefault="00CD6463">
            <w:pPr>
              <w:jc w:val="center"/>
            </w:pPr>
            <w:r>
              <w:rPr>
                <w:color w:val="000000"/>
                <w:sz w:val="24"/>
              </w:rPr>
              <w:t>10</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2019</w:t>
            </w:r>
            <w:r>
              <w:rPr>
                <w:color w:val="000000"/>
                <w:sz w:val="24"/>
              </w:rPr>
              <w:t>年年度报告</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2020-03-30</w:t>
            </w:r>
          </w:p>
        </w:tc>
      </w:tr>
      <w:tr w:rsidR="000E6BAE">
        <w:tc>
          <w:tcPr>
            <w:tcW w:w="720" w:type="dxa"/>
            <w:vAlign w:val="center"/>
          </w:tcPr>
          <w:p w:rsidR="000E6BAE" w:rsidRDefault="00CD6463">
            <w:pPr>
              <w:jc w:val="center"/>
            </w:pPr>
            <w:r>
              <w:rPr>
                <w:color w:val="000000"/>
                <w:sz w:val="24"/>
              </w:rPr>
              <w:t>11</w:t>
            </w:r>
          </w:p>
        </w:tc>
        <w:tc>
          <w:tcPr>
            <w:tcW w:w="4320" w:type="dxa"/>
            <w:vAlign w:val="center"/>
          </w:tcPr>
          <w:p w:rsidR="000E6BAE" w:rsidRDefault="00CD6463">
            <w:pPr>
              <w:jc w:val="left"/>
            </w:pPr>
            <w:r>
              <w:rPr>
                <w:color w:val="000000"/>
                <w:sz w:val="24"/>
              </w:rPr>
              <w:t>交银施罗德基金管理有限公司关于暂停部分销售机构办理相关销售业务的公告</w:t>
            </w:r>
          </w:p>
        </w:tc>
        <w:tc>
          <w:tcPr>
            <w:tcW w:w="2331" w:type="dxa"/>
            <w:vAlign w:val="center"/>
          </w:tcPr>
          <w:p w:rsidR="000E6BAE" w:rsidRDefault="00CD6463">
            <w:pPr>
              <w:jc w:val="center"/>
            </w:pPr>
            <w:r>
              <w:rPr>
                <w:color w:val="000000"/>
                <w:sz w:val="24"/>
              </w:rPr>
              <w:t>中国证券报、上海证券报、证券时报、公司网站</w:t>
            </w:r>
          </w:p>
        </w:tc>
        <w:tc>
          <w:tcPr>
            <w:tcW w:w="1629" w:type="dxa"/>
            <w:vAlign w:val="center"/>
          </w:tcPr>
          <w:p w:rsidR="000E6BAE" w:rsidRDefault="00CD6463">
            <w:pPr>
              <w:jc w:val="center"/>
            </w:pPr>
            <w:r>
              <w:rPr>
                <w:color w:val="000000"/>
                <w:sz w:val="24"/>
              </w:rPr>
              <w:t>2020-04-13</w:t>
            </w:r>
          </w:p>
        </w:tc>
      </w:tr>
      <w:tr w:rsidR="000E6BAE">
        <w:tc>
          <w:tcPr>
            <w:tcW w:w="720" w:type="dxa"/>
            <w:vAlign w:val="center"/>
          </w:tcPr>
          <w:p w:rsidR="000E6BAE" w:rsidRDefault="00CD6463">
            <w:pPr>
              <w:jc w:val="center"/>
            </w:pPr>
            <w:r>
              <w:rPr>
                <w:color w:val="000000"/>
                <w:sz w:val="24"/>
              </w:rPr>
              <w:t>12</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2020</w:t>
            </w:r>
            <w:r>
              <w:rPr>
                <w:color w:val="000000"/>
                <w:sz w:val="24"/>
              </w:rPr>
              <w:t>年第</w:t>
            </w:r>
            <w:r>
              <w:rPr>
                <w:color w:val="000000"/>
                <w:sz w:val="24"/>
              </w:rPr>
              <w:t>1</w:t>
            </w:r>
            <w:r>
              <w:rPr>
                <w:color w:val="000000"/>
                <w:sz w:val="24"/>
              </w:rPr>
              <w:t>季度报告</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2020-04-22</w:t>
            </w:r>
          </w:p>
        </w:tc>
      </w:tr>
      <w:tr w:rsidR="000E6BAE">
        <w:tc>
          <w:tcPr>
            <w:tcW w:w="720" w:type="dxa"/>
            <w:vAlign w:val="center"/>
          </w:tcPr>
          <w:p w:rsidR="000E6BAE" w:rsidRDefault="00CD6463">
            <w:pPr>
              <w:jc w:val="center"/>
            </w:pPr>
            <w:r>
              <w:rPr>
                <w:color w:val="000000"/>
                <w:sz w:val="24"/>
              </w:rPr>
              <w:t>13</w:t>
            </w:r>
          </w:p>
        </w:tc>
        <w:tc>
          <w:tcPr>
            <w:tcW w:w="4320" w:type="dxa"/>
            <w:vAlign w:val="center"/>
          </w:tcPr>
          <w:p w:rsidR="000E6BAE" w:rsidRDefault="00CD6463">
            <w:pPr>
              <w:jc w:val="left"/>
            </w:pPr>
            <w:r>
              <w:rPr>
                <w:color w:val="000000"/>
                <w:sz w:val="24"/>
              </w:rPr>
              <w:t>交银施罗德基金管理有限公司关于交银施罗德丰润收益债券型证券投资基金开放日常转换业务的公告</w:t>
            </w:r>
          </w:p>
        </w:tc>
        <w:tc>
          <w:tcPr>
            <w:tcW w:w="2331" w:type="dxa"/>
            <w:vAlign w:val="center"/>
          </w:tcPr>
          <w:p w:rsidR="000E6BAE" w:rsidRDefault="00CD6463">
            <w:pPr>
              <w:jc w:val="center"/>
            </w:pPr>
            <w:r>
              <w:rPr>
                <w:color w:val="000000"/>
                <w:sz w:val="24"/>
              </w:rPr>
              <w:t>上海证券报、公司网站</w:t>
            </w:r>
          </w:p>
        </w:tc>
        <w:tc>
          <w:tcPr>
            <w:tcW w:w="1629" w:type="dxa"/>
            <w:vAlign w:val="center"/>
          </w:tcPr>
          <w:p w:rsidR="000E6BAE" w:rsidRDefault="00CD6463">
            <w:pPr>
              <w:jc w:val="center"/>
            </w:pPr>
            <w:r>
              <w:rPr>
                <w:color w:val="000000"/>
                <w:sz w:val="24"/>
              </w:rPr>
              <w:t>2020-05-11</w:t>
            </w:r>
          </w:p>
        </w:tc>
      </w:tr>
      <w:tr w:rsidR="000E6BAE">
        <w:tc>
          <w:tcPr>
            <w:tcW w:w="720" w:type="dxa"/>
            <w:vAlign w:val="center"/>
          </w:tcPr>
          <w:p w:rsidR="000E6BAE" w:rsidRDefault="00CD6463">
            <w:pPr>
              <w:jc w:val="center"/>
            </w:pPr>
            <w:r>
              <w:rPr>
                <w:color w:val="000000"/>
                <w:sz w:val="24"/>
              </w:rPr>
              <w:t>14</w:t>
            </w:r>
          </w:p>
        </w:tc>
        <w:tc>
          <w:tcPr>
            <w:tcW w:w="4320" w:type="dxa"/>
            <w:vAlign w:val="center"/>
          </w:tcPr>
          <w:p w:rsidR="000E6BAE" w:rsidRDefault="00CD6463">
            <w:pPr>
              <w:jc w:val="left"/>
            </w:pPr>
            <w:r>
              <w:rPr>
                <w:color w:val="000000"/>
                <w:sz w:val="24"/>
              </w:rPr>
              <w:t>交银施罗德基金管理有限公司关于增加中信证券华南股份有限公司为旗下基金销售机构的公告</w:t>
            </w:r>
          </w:p>
        </w:tc>
        <w:tc>
          <w:tcPr>
            <w:tcW w:w="2331" w:type="dxa"/>
            <w:vAlign w:val="center"/>
          </w:tcPr>
          <w:p w:rsidR="000E6BAE" w:rsidRDefault="00CD6463">
            <w:pPr>
              <w:jc w:val="center"/>
            </w:pPr>
            <w:r>
              <w:rPr>
                <w:color w:val="000000"/>
                <w:sz w:val="24"/>
              </w:rPr>
              <w:t>中国证券报、上海证券报、证券时报、公司网站</w:t>
            </w:r>
          </w:p>
        </w:tc>
        <w:tc>
          <w:tcPr>
            <w:tcW w:w="1629" w:type="dxa"/>
            <w:vAlign w:val="center"/>
          </w:tcPr>
          <w:p w:rsidR="000E6BAE" w:rsidRDefault="00CD6463">
            <w:pPr>
              <w:jc w:val="center"/>
            </w:pPr>
            <w:r>
              <w:rPr>
                <w:color w:val="000000"/>
                <w:sz w:val="24"/>
              </w:rPr>
              <w:t>2020-05-27</w:t>
            </w:r>
          </w:p>
        </w:tc>
      </w:tr>
      <w:tr w:rsidR="000E6BAE">
        <w:tc>
          <w:tcPr>
            <w:tcW w:w="720" w:type="dxa"/>
            <w:vAlign w:val="center"/>
          </w:tcPr>
          <w:p w:rsidR="000E6BAE" w:rsidRDefault="00CD6463">
            <w:pPr>
              <w:jc w:val="center"/>
            </w:pPr>
            <w:r>
              <w:rPr>
                <w:color w:val="000000"/>
                <w:sz w:val="24"/>
              </w:rPr>
              <w:t>15</w:t>
            </w:r>
          </w:p>
        </w:tc>
        <w:tc>
          <w:tcPr>
            <w:tcW w:w="4320" w:type="dxa"/>
            <w:vAlign w:val="center"/>
          </w:tcPr>
          <w:p w:rsidR="000E6BAE" w:rsidRDefault="00CD6463">
            <w:pPr>
              <w:jc w:val="left"/>
            </w:pPr>
            <w:r>
              <w:rPr>
                <w:color w:val="000000"/>
                <w:sz w:val="24"/>
              </w:rPr>
              <w:t>交银施罗德基金管理有限公司关于增加中信期货有限公司为旗下基金销售机构的公告</w:t>
            </w:r>
          </w:p>
        </w:tc>
        <w:tc>
          <w:tcPr>
            <w:tcW w:w="2331" w:type="dxa"/>
            <w:vAlign w:val="center"/>
          </w:tcPr>
          <w:p w:rsidR="000E6BAE" w:rsidRDefault="00CD6463">
            <w:pPr>
              <w:jc w:val="center"/>
            </w:pPr>
            <w:r>
              <w:rPr>
                <w:color w:val="000000"/>
                <w:sz w:val="24"/>
              </w:rPr>
              <w:t>中国证券报、上海证券报、证券时报、公司网站</w:t>
            </w:r>
          </w:p>
        </w:tc>
        <w:tc>
          <w:tcPr>
            <w:tcW w:w="1629" w:type="dxa"/>
            <w:vAlign w:val="center"/>
          </w:tcPr>
          <w:p w:rsidR="000E6BAE" w:rsidRDefault="00CD6463">
            <w:pPr>
              <w:jc w:val="center"/>
            </w:pPr>
            <w:r>
              <w:rPr>
                <w:color w:val="000000"/>
                <w:sz w:val="24"/>
              </w:rPr>
              <w:t>2020-05-27</w:t>
            </w:r>
          </w:p>
        </w:tc>
      </w:tr>
      <w:tr w:rsidR="000E6BAE">
        <w:tc>
          <w:tcPr>
            <w:tcW w:w="720" w:type="dxa"/>
            <w:vAlign w:val="center"/>
          </w:tcPr>
          <w:p w:rsidR="000E6BAE" w:rsidRDefault="00CD6463">
            <w:pPr>
              <w:jc w:val="center"/>
            </w:pPr>
            <w:r>
              <w:rPr>
                <w:color w:val="000000"/>
                <w:sz w:val="24"/>
              </w:rPr>
              <w:t>16</w:t>
            </w:r>
          </w:p>
        </w:tc>
        <w:tc>
          <w:tcPr>
            <w:tcW w:w="4320" w:type="dxa"/>
            <w:vAlign w:val="center"/>
          </w:tcPr>
          <w:p w:rsidR="000E6BAE" w:rsidRDefault="00CD6463">
            <w:pPr>
              <w:jc w:val="left"/>
            </w:pPr>
            <w:r>
              <w:rPr>
                <w:color w:val="000000"/>
                <w:sz w:val="24"/>
              </w:rPr>
              <w:t>交银施罗德基金管理有限公司关于交银施罗德丰润收益债券型证券投资基金暂停及恢复大额申购（转换转入、定期定额投资）业务的公告</w:t>
            </w:r>
          </w:p>
        </w:tc>
        <w:tc>
          <w:tcPr>
            <w:tcW w:w="2331" w:type="dxa"/>
            <w:vAlign w:val="center"/>
          </w:tcPr>
          <w:p w:rsidR="000E6BAE" w:rsidRDefault="00CD6463">
            <w:pPr>
              <w:jc w:val="center"/>
            </w:pPr>
            <w:r>
              <w:rPr>
                <w:color w:val="000000"/>
                <w:sz w:val="24"/>
              </w:rPr>
              <w:t>上海证券报、公司网站</w:t>
            </w:r>
          </w:p>
        </w:tc>
        <w:tc>
          <w:tcPr>
            <w:tcW w:w="1629" w:type="dxa"/>
            <w:vAlign w:val="center"/>
          </w:tcPr>
          <w:p w:rsidR="000E6BAE" w:rsidRDefault="00CD6463">
            <w:pPr>
              <w:jc w:val="center"/>
            </w:pPr>
            <w:r>
              <w:rPr>
                <w:color w:val="000000"/>
                <w:sz w:val="24"/>
              </w:rPr>
              <w:t>2020-06-16</w:t>
            </w:r>
          </w:p>
        </w:tc>
      </w:tr>
      <w:tr w:rsidR="000E6BAE">
        <w:tc>
          <w:tcPr>
            <w:tcW w:w="720" w:type="dxa"/>
            <w:vAlign w:val="center"/>
          </w:tcPr>
          <w:p w:rsidR="000E6BAE" w:rsidRDefault="00CD6463">
            <w:pPr>
              <w:jc w:val="center"/>
            </w:pPr>
            <w:r>
              <w:rPr>
                <w:color w:val="000000"/>
                <w:sz w:val="24"/>
              </w:rPr>
              <w:t>17</w:t>
            </w:r>
          </w:p>
        </w:tc>
        <w:tc>
          <w:tcPr>
            <w:tcW w:w="4320" w:type="dxa"/>
            <w:vAlign w:val="center"/>
          </w:tcPr>
          <w:p w:rsidR="000E6BAE" w:rsidRDefault="00CD6463">
            <w:pPr>
              <w:jc w:val="left"/>
            </w:pPr>
            <w:r>
              <w:rPr>
                <w:color w:val="000000"/>
                <w:sz w:val="24"/>
              </w:rPr>
              <w:t>交银施罗德基金管理有限公司关于交银施罗德丰润收益债券型证券投资基金分红的公告</w:t>
            </w:r>
          </w:p>
        </w:tc>
        <w:tc>
          <w:tcPr>
            <w:tcW w:w="2331" w:type="dxa"/>
            <w:vAlign w:val="center"/>
          </w:tcPr>
          <w:p w:rsidR="000E6BAE" w:rsidRDefault="00CD6463">
            <w:pPr>
              <w:jc w:val="center"/>
            </w:pPr>
            <w:r>
              <w:rPr>
                <w:color w:val="000000"/>
                <w:sz w:val="24"/>
              </w:rPr>
              <w:t>上海证券报、公司网站</w:t>
            </w:r>
          </w:p>
        </w:tc>
        <w:tc>
          <w:tcPr>
            <w:tcW w:w="1629" w:type="dxa"/>
            <w:vAlign w:val="center"/>
          </w:tcPr>
          <w:p w:rsidR="000E6BAE" w:rsidRDefault="00CD6463">
            <w:pPr>
              <w:jc w:val="center"/>
            </w:pPr>
            <w:r>
              <w:rPr>
                <w:color w:val="000000"/>
                <w:sz w:val="24"/>
              </w:rPr>
              <w:t>2020-06-18</w:t>
            </w:r>
          </w:p>
        </w:tc>
      </w:tr>
      <w:tr w:rsidR="000E6BAE">
        <w:tc>
          <w:tcPr>
            <w:tcW w:w="720" w:type="dxa"/>
            <w:vAlign w:val="center"/>
          </w:tcPr>
          <w:p w:rsidR="000E6BAE" w:rsidRDefault="00CD6463">
            <w:pPr>
              <w:jc w:val="center"/>
            </w:pPr>
            <w:r>
              <w:rPr>
                <w:color w:val="000000"/>
                <w:sz w:val="24"/>
              </w:rPr>
              <w:t>18</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2020</w:t>
            </w:r>
            <w:r>
              <w:rPr>
                <w:color w:val="000000"/>
                <w:sz w:val="24"/>
              </w:rPr>
              <w:t>年第</w:t>
            </w:r>
            <w:r>
              <w:rPr>
                <w:color w:val="000000"/>
                <w:sz w:val="24"/>
              </w:rPr>
              <w:t>2</w:t>
            </w:r>
            <w:r>
              <w:rPr>
                <w:color w:val="000000"/>
                <w:sz w:val="24"/>
              </w:rPr>
              <w:t>季度报告</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2020-07-21</w:t>
            </w:r>
          </w:p>
        </w:tc>
      </w:tr>
      <w:tr w:rsidR="000E6BAE">
        <w:tc>
          <w:tcPr>
            <w:tcW w:w="720" w:type="dxa"/>
            <w:vAlign w:val="center"/>
          </w:tcPr>
          <w:p w:rsidR="000E6BAE" w:rsidRDefault="00CD6463">
            <w:pPr>
              <w:jc w:val="center"/>
            </w:pPr>
            <w:r>
              <w:rPr>
                <w:color w:val="000000"/>
                <w:sz w:val="24"/>
              </w:rPr>
              <w:t>19</w:t>
            </w:r>
          </w:p>
        </w:tc>
        <w:tc>
          <w:tcPr>
            <w:tcW w:w="4320" w:type="dxa"/>
            <w:vAlign w:val="center"/>
          </w:tcPr>
          <w:p w:rsidR="000E6BAE" w:rsidRDefault="00CD6463">
            <w:pPr>
              <w:jc w:val="left"/>
            </w:pPr>
            <w:r>
              <w:rPr>
                <w:color w:val="000000"/>
                <w:sz w:val="24"/>
              </w:rPr>
              <w:t>交银施罗德基金管理有限公司关于交银施罗德丰润收益债券型证券投资基金基金经理变更的公告</w:t>
            </w:r>
          </w:p>
        </w:tc>
        <w:tc>
          <w:tcPr>
            <w:tcW w:w="2331" w:type="dxa"/>
            <w:vAlign w:val="center"/>
          </w:tcPr>
          <w:p w:rsidR="000E6BAE" w:rsidRDefault="00CD6463">
            <w:pPr>
              <w:jc w:val="center"/>
            </w:pPr>
            <w:r>
              <w:rPr>
                <w:color w:val="000000"/>
                <w:sz w:val="24"/>
              </w:rPr>
              <w:t>上海证券报、公司网站</w:t>
            </w:r>
          </w:p>
        </w:tc>
        <w:tc>
          <w:tcPr>
            <w:tcW w:w="1629" w:type="dxa"/>
            <w:vAlign w:val="center"/>
          </w:tcPr>
          <w:p w:rsidR="000E6BAE" w:rsidRDefault="00CD6463">
            <w:pPr>
              <w:jc w:val="center"/>
            </w:pPr>
            <w:r>
              <w:rPr>
                <w:color w:val="000000"/>
                <w:sz w:val="24"/>
              </w:rPr>
              <w:t>2020-08-22</w:t>
            </w:r>
          </w:p>
        </w:tc>
      </w:tr>
      <w:tr w:rsidR="000E6BAE">
        <w:tc>
          <w:tcPr>
            <w:tcW w:w="720" w:type="dxa"/>
            <w:vAlign w:val="center"/>
          </w:tcPr>
          <w:p w:rsidR="000E6BAE" w:rsidRDefault="00CD6463">
            <w:pPr>
              <w:jc w:val="center"/>
            </w:pPr>
            <w:r>
              <w:rPr>
                <w:color w:val="000000"/>
                <w:sz w:val="24"/>
              </w:rPr>
              <w:t>20</w:t>
            </w:r>
          </w:p>
        </w:tc>
        <w:tc>
          <w:tcPr>
            <w:tcW w:w="4320" w:type="dxa"/>
            <w:vAlign w:val="center"/>
          </w:tcPr>
          <w:p w:rsidR="000E6BAE" w:rsidRDefault="00CD6463">
            <w:pPr>
              <w:jc w:val="left"/>
            </w:pPr>
            <w:r>
              <w:rPr>
                <w:color w:val="000000"/>
                <w:sz w:val="24"/>
              </w:rPr>
              <w:t>交银施罗德丰润收益债券型证券投资基金（更新）招募说明书（</w:t>
            </w:r>
            <w:r>
              <w:rPr>
                <w:color w:val="000000"/>
                <w:sz w:val="24"/>
              </w:rPr>
              <w:t>2020</w:t>
            </w:r>
            <w:r>
              <w:rPr>
                <w:color w:val="000000"/>
                <w:sz w:val="24"/>
              </w:rPr>
              <w:t>年第</w:t>
            </w:r>
            <w:r>
              <w:rPr>
                <w:color w:val="000000"/>
                <w:sz w:val="24"/>
              </w:rPr>
              <w:t>1</w:t>
            </w:r>
            <w:r>
              <w:rPr>
                <w:color w:val="000000"/>
                <w:sz w:val="24"/>
              </w:rPr>
              <w:t>号）</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2020-08-26</w:t>
            </w:r>
          </w:p>
        </w:tc>
      </w:tr>
      <w:tr w:rsidR="000E6BAE">
        <w:tc>
          <w:tcPr>
            <w:tcW w:w="720" w:type="dxa"/>
            <w:vAlign w:val="center"/>
          </w:tcPr>
          <w:p w:rsidR="000E6BAE" w:rsidRDefault="00CD6463">
            <w:pPr>
              <w:jc w:val="center"/>
            </w:pPr>
            <w:r>
              <w:rPr>
                <w:color w:val="000000"/>
                <w:sz w:val="24"/>
              </w:rPr>
              <w:t>21</w:t>
            </w:r>
          </w:p>
        </w:tc>
        <w:tc>
          <w:tcPr>
            <w:tcW w:w="4320" w:type="dxa"/>
            <w:vAlign w:val="center"/>
          </w:tcPr>
          <w:p w:rsidR="000E6BAE" w:rsidRDefault="00CD6463">
            <w:pPr>
              <w:jc w:val="left"/>
            </w:pPr>
            <w:r>
              <w:rPr>
                <w:color w:val="000000"/>
                <w:sz w:val="24"/>
              </w:rPr>
              <w:t>交银施罗德丰润收益债券型证券投资基金（更新）招募说明书摘要（</w:t>
            </w:r>
            <w:r>
              <w:rPr>
                <w:color w:val="000000"/>
                <w:sz w:val="24"/>
              </w:rPr>
              <w:t>2020</w:t>
            </w:r>
            <w:r>
              <w:rPr>
                <w:color w:val="000000"/>
                <w:sz w:val="24"/>
              </w:rPr>
              <w:t>年第</w:t>
            </w:r>
            <w:r>
              <w:rPr>
                <w:color w:val="000000"/>
                <w:sz w:val="24"/>
              </w:rPr>
              <w:t>1</w:t>
            </w:r>
            <w:r>
              <w:rPr>
                <w:color w:val="000000"/>
                <w:sz w:val="24"/>
              </w:rPr>
              <w:t>号）</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2020-08-26</w:t>
            </w:r>
          </w:p>
        </w:tc>
      </w:tr>
      <w:tr w:rsidR="000E6BAE">
        <w:tc>
          <w:tcPr>
            <w:tcW w:w="720" w:type="dxa"/>
            <w:vAlign w:val="center"/>
          </w:tcPr>
          <w:p w:rsidR="000E6BAE" w:rsidRDefault="00CD6463">
            <w:pPr>
              <w:jc w:val="center"/>
            </w:pPr>
            <w:r>
              <w:rPr>
                <w:color w:val="000000"/>
                <w:sz w:val="24"/>
              </w:rPr>
              <w:t>22</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2020</w:t>
            </w:r>
            <w:r>
              <w:rPr>
                <w:color w:val="000000"/>
                <w:sz w:val="24"/>
              </w:rPr>
              <w:t>年中期报告</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2020-08-29</w:t>
            </w:r>
          </w:p>
        </w:tc>
      </w:tr>
      <w:tr w:rsidR="000E6BAE">
        <w:tc>
          <w:tcPr>
            <w:tcW w:w="720" w:type="dxa"/>
            <w:vAlign w:val="center"/>
          </w:tcPr>
          <w:p w:rsidR="000E6BAE" w:rsidRDefault="00CD6463">
            <w:pPr>
              <w:jc w:val="center"/>
            </w:pPr>
            <w:r>
              <w:rPr>
                <w:color w:val="000000"/>
                <w:sz w:val="24"/>
              </w:rPr>
              <w:t>23</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C</w:t>
            </w:r>
            <w:r>
              <w:rPr>
                <w:color w:val="000000"/>
                <w:sz w:val="24"/>
              </w:rPr>
              <w:t>类份额）基金产品资料概要</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2020-08-31</w:t>
            </w:r>
          </w:p>
        </w:tc>
      </w:tr>
      <w:tr w:rsidR="000E6BAE">
        <w:tc>
          <w:tcPr>
            <w:tcW w:w="720" w:type="dxa"/>
            <w:vAlign w:val="center"/>
          </w:tcPr>
          <w:p w:rsidR="000E6BAE" w:rsidRDefault="00CD6463">
            <w:pPr>
              <w:jc w:val="center"/>
            </w:pPr>
            <w:r>
              <w:rPr>
                <w:color w:val="000000"/>
                <w:sz w:val="24"/>
              </w:rPr>
              <w:t>24</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A</w:t>
            </w:r>
            <w:r>
              <w:rPr>
                <w:color w:val="000000"/>
                <w:sz w:val="24"/>
              </w:rPr>
              <w:t>类份额）基金产品资料概要</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2020-08-31</w:t>
            </w:r>
          </w:p>
        </w:tc>
      </w:tr>
      <w:tr w:rsidR="000E6BAE">
        <w:tc>
          <w:tcPr>
            <w:tcW w:w="720" w:type="dxa"/>
            <w:vAlign w:val="center"/>
          </w:tcPr>
          <w:p w:rsidR="000E6BAE" w:rsidRDefault="00CD6463">
            <w:pPr>
              <w:jc w:val="center"/>
            </w:pPr>
            <w:r>
              <w:rPr>
                <w:color w:val="000000"/>
                <w:sz w:val="24"/>
              </w:rPr>
              <w:t>25</w:t>
            </w:r>
          </w:p>
        </w:tc>
        <w:tc>
          <w:tcPr>
            <w:tcW w:w="4320" w:type="dxa"/>
            <w:vAlign w:val="center"/>
          </w:tcPr>
          <w:p w:rsidR="000E6BAE" w:rsidRDefault="00CD6463">
            <w:pPr>
              <w:jc w:val="left"/>
            </w:pPr>
            <w:r>
              <w:rPr>
                <w:color w:val="000000"/>
                <w:sz w:val="24"/>
              </w:rPr>
              <w:t>交银施罗德基金管理有限公司关于增加泛华普益基金销售有限公司为旗下基金销售机构的公告</w:t>
            </w:r>
          </w:p>
        </w:tc>
        <w:tc>
          <w:tcPr>
            <w:tcW w:w="2331" w:type="dxa"/>
            <w:vAlign w:val="center"/>
          </w:tcPr>
          <w:p w:rsidR="000E6BAE" w:rsidRDefault="00CD6463">
            <w:pPr>
              <w:jc w:val="center"/>
            </w:pPr>
            <w:r>
              <w:rPr>
                <w:color w:val="000000"/>
                <w:sz w:val="24"/>
              </w:rPr>
              <w:t>中国证券报、上海证券报、证券时报、公司网站</w:t>
            </w:r>
          </w:p>
        </w:tc>
        <w:tc>
          <w:tcPr>
            <w:tcW w:w="1629" w:type="dxa"/>
            <w:vAlign w:val="center"/>
          </w:tcPr>
          <w:p w:rsidR="000E6BAE" w:rsidRDefault="00CD6463">
            <w:pPr>
              <w:jc w:val="center"/>
            </w:pPr>
            <w:r>
              <w:rPr>
                <w:color w:val="000000"/>
                <w:sz w:val="24"/>
              </w:rPr>
              <w:t>2020-09-07</w:t>
            </w:r>
          </w:p>
        </w:tc>
      </w:tr>
      <w:tr w:rsidR="000E6BAE">
        <w:tc>
          <w:tcPr>
            <w:tcW w:w="720" w:type="dxa"/>
            <w:vAlign w:val="center"/>
          </w:tcPr>
          <w:p w:rsidR="000E6BAE" w:rsidRDefault="00CD6463">
            <w:pPr>
              <w:jc w:val="center"/>
            </w:pPr>
            <w:r>
              <w:rPr>
                <w:color w:val="000000"/>
                <w:sz w:val="24"/>
              </w:rPr>
              <w:t>26</w:t>
            </w:r>
          </w:p>
        </w:tc>
        <w:tc>
          <w:tcPr>
            <w:tcW w:w="4320" w:type="dxa"/>
            <w:vAlign w:val="center"/>
          </w:tcPr>
          <w:p w:rsidR="000E6BAE" w:rsidRDefault="00CD6463">
            <w:pPr>
              <w:jc w:val="left"/>
            </w:pPr>
            <w:r>
              <w:rPr>
                <w:color w:val="000000"/>
                <w:sz w:val="24"/>
              </w:rPr>
              <w:t>交银施罗德基金管理有限公司关于暂停上海凯石财富基金销售有限公司办理相关销售业务的公告</w:t>
            </w:r>
          </w:p>
        </w:tc>
        <w:tc>
          <w:tcPr>
            <w:tcW w:w="2331" w:type="dxa"/>
            <w:vAlign w:val="center"/>
          </w:tcPr>
          <w:p w:rsidR="000E6BAE" w:rsidRDefault="00CD6463">
            <w:pPr>
              <w:jc w:val="center"/>
            </w:pPr>
            <w:r>
              <w:rPr>
                <w:color w:val="000000"/>
                <w:sz w:val="24"/>
              </w:rPr>
              <w:t>中国证券报、上海证券报、证券时报、公司网站</w:t>
            </w:r>
          </w:p>
        </w:tc>
        <w:tc>
          <w:tcPr>
            <w:tcW w:w="1629" w:type="dxa"/>
            <w:vAlign w:val="center"/>
          </w:tcPr>
          <w:p w:rsidR="000E6BAE" w:rsidRDefault="00CD6463">
            <w:pPr>
              <w:jc w:val="center"/>
            </w:pPr>
            <w:r>
              <w:rPr>
                <w:color w:val="000000"/>
                <w:sz w:val="24"/>
              </w:rPr>
              <w:t>2020-09-29</w:t>
            </w:r>
          </w:p>
        </w:tc>
      </w:tr>
      <w:tr w:rsidR="000E6BAE">
        <w:tc>
          <w:tcPr>
            <w:tcW w:w="720" w:type="dxa"/>
            <w:vAlign w:val="center"/>
          </w:tcPr>
          <w:p w:rsidR="000E6BAE" w:rsidRDefault="00CD6463">
            <w:pPr>
              <w:jc w:val="center"/>
            </w:pPr>
            <w:r>
              <w:rPr>
                <w:color w:val="000000"/>
                <w:sz w:val="24"/>
              </w:rPr>
              <w:t>27</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2020</w:t>
            </w:r>
            <w:r>
              <w:rPr>
                <w:color w:val="000000"/>
                <w:sz w:val="24"/>
              </w:rPr>
              <w:t>年第</w:t>
            </w:r>
            <w:r>
              <w:rPr>
                <w:color w:val="000000"/>
                <w:sz w:val="24"/>
              </w:rPr>
              <w:t>3</w:t>
            </w:r>
            <w:r>
              <w:rPr>
                <w:color w:val="000000"/>
                <w:sz w:val="24"/>
              </w:rPr>
              <w:t>季度报告</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2020-10-28</w:t>
            </w:r>
          </w:p>
        </w:tc>
      </w:tr>
      <w:tr w:rsidR="000E6BAE">
        <w:tc>
          <w:tcPr>
            <w:tcW w:w="720" w:type="dxa"/>
            <w:vAlign w:val="center"/>
          </w:tcPr>
          <w:p w:rsidR="000E6BAE" w:rsidRDefault="00CD6463">
            <w:pPr>
              <w:jc w:val="center"/>
            </w:pPr>
            <w:r>
              <w:rPr>
                <w:color w:val="000000"/>
                <w:sz w:val="24"/>
              </w:rPr>
              <w:t>28</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C</w:t>
            </w:r>
            <w:r>
              <w:rPr>
                <w:color w:val="000000"/>
                <w:sz w:val="24"/>
              </w:rPr>
              <w:t>类份额）基金产品资料概要更新</w:t>
            </w:r>
            <w:r>
              <w:rPr>
                <w:color w:val="000000"/>
                <w:sz w:val="24"/>
              </w:rPr>
              <w:t>(2020</w:t>
            </w:r>
            <w:r>
              <w:rPr>
                <w:color w:val="000000"/>
                <w:sz w:val="24"/>
              </w:rPr>
              <w:t>年第</w:t>
            </w:r>
            <w:r>
              <w:rPr>
                <w:color w:val="000000"/>
                <w:sz w:val="24"/>
              </w:rPr>
              <w:t>2</w:t>
            </w:r>
            <w:r>
              <w:rPr>
                <w:color w:val="000000"/>
                <w:sz w:val="24"/>
              </w:rPr>
              <w:t>号</w:t>
            </w:r>
            <w:r>
              <w:rPr>
                <w:color w:val="000000"/>
                <w:sz w:val="24"/>
              </w:rPr>
              <w:t>)</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2020-12-30</w:t>
            </w:r>
          </w:p>
        </w:tc>
      </w:tr>
      <w:tr w:rsidR="000E6BAE">
        <w:tc>
          <w:tcPr>
            <w:tcW w:w="720" w:type="dxa"/>
            <w:vAlign w:val="center"/>
          </w:tcPr>
          <w:p w:rsidR="000E6BAE" w:rsidRDefault="00CD6463">
            <w:pPr>
              <w:jc w:val="center"/>
            </w:pPr>
            <w:r>
              <w:rPr>
                <w:color w:val="000000"/>
                <w:sz w:val="24"/>
              </w:rPr>
              <w:t>29</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A</w:t>
            </w:r>
            <w:r>
              <w:rPr>
                <w:color w:val="000000"/>
                <w:sz w:val="24"/>
              </w:rPr>
              <w:t>类份额）基金产品资料概要更新</w:t>
            </w:r>
            <w:r>
              <w:rPr>
                <w:color w:val="000000"/>
                <w:sz w:val="24"/>
              </w:rPr>
              <w:t>(2020</w:t>
            </w:r>
            <w:r>
              <w:rPr>
                <w:color w:val="000000"/>
                <w:sz w:val="24"/>
              </w:rPr>
              <w:t>年第</w:t>
            </w:r>
            <w:r>
              <w:rPr>
                <w:color w:val="000000"/>
                <w:sz w:val="24"/>
              </w:rPr>
              <w:t>2</w:t>
            </w:r>
            <w:r>
              <w:rPr>
                <w:color w:val="000000"/>
                <w:sz w:val="24"/>
              </w:rPr>
              <w:t>号</w:t>
            </w:r>
            <w:r>
              <w:rPr>
                <w:color w:val="000000"/>
                <w:sz w:val="24"/>
              </w:rPr>
              <w:t>)</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2020-12-30</w:t>
            </w:r>
          </w:p>
        </w:tc>
      </w:tr>
      <w:tr w:rsidR="000E6BAE">
        <w:tc>
          <w:tcPr>
            <w:tcW w:w="720" w:type="dxa"/>
            <w:vAlign w:val="center"/>
          </w:tcPr>
          <w:p w:rsidR="000E6BAE" w:rsidRDefault="00CD6463">
            <w:pPr>
              <w:jc w:val="center"/>
            </w:pPr>
            <w:r>
              <w:rPr>
                <w:color w:val="000000"/>
                <w:sz w:val="24"/>
              </w:rPr>
              <w:t>30</w:t>
            </w:r>
          </w:p>
        </w:tc>
        <w:tc>
          <w:tcPr>
            <w:tcW w:w="4320" w:type="dxa"/>
            <w:vAlign w:val="center"/>
          </w:tcPr>
          <w:p w:rsidR="000E6BAE" w:rsidRDefault="00CD6463">
            <w:pPr>
              <w:jc w:val="left"/>
            </w:pPr>
            <w:r>
              <w:rPr>
                <w:color w:val="000000"/>
                <w:sz w:val="24"/>
              </w:rPr>
              <w:t>交银施罗德丰润收益债券型证券投资基金</w:t>
            </w:r>
            <w:r>
              <w:rPr>
                <w:color w:val="000000"/>
                <w:sz w:val="24"/>
              </w:rPr>
              <w:t>(</w:t>
            </w:r>
            <w:r>
              <w:rPr>
                <w:color w:val="000000"/>
                <w:sz w:val="24"/>
              </w:rPr>
              <w:t>更新</w:t>
            </w:r>
            <w:r>
              <w:rPr>
                <w:color w:val="000000"/>
                <w:sz w:val="24"/>
              </w:rPr>
              <w:t>)</w:t>
            </w:r>
            <w:r>
              <w:rPr>
                <w:color w:val="000000"/>
                <w:sz w:val="24"/>
              </w:rPr>
              <w:t>招募说明书</w:t>
            </w:r>
            <w:r>
              <w:rPr>
                <w:color w:val="000000"/>
                <w:sz w:val="24"/>
              </w:rPr>
              <w:t>(2020</w:t>
            </w:r>
            <w:r>
              <w:rPr>
                <w:color w:val="000000"/>
                <w:sz w:val="24"/>
              </w:rPr>
              <w:t>年第</w:t>
            </w:r>
            <w:r>
              <w:rPr>
                <w:color w:val="000000"/>
                <w:sz w:val="24"/>
              </w:rPr>
              <w:t>2</w:t>
            </w:r>
            <w:r>
              <w:rPr>
                <w:color w:val="000000"/>
                <w:sz w:val="24"/>
              </w:rPr>
              <w:t>号</w:t>
            </w:r>
            <w:r>
              <w:rPr>
                <w:color w:val="000000"/>
                <w:sz w:val="24"/>
              </w:rPr>
              <w:t>)</w:t>
            </w:r>
          </w:p>
        </w:tc>
        <w:tc>
          <w:tcPr>
            <w:tcW w:w="2331" w:type="dxa"/>
            <w:vAlign w:val="center"/>
          </w:tcPr>
          <w:p w:rsidR="000E6BAE" w:rsidRDefault="00CD6463">
            <w:pPr>
              <w:jc w:val="center"/>
            </w:pPr>
            <w:r>
              <w:rPr>
                <w:color w:val="000000"/>
                <w:sz w:val="24"/>
              </w:rPr>
              <w:t>公司网站</w:t>
            </w:r>
          </w:p>
        </w:tc>
        <w:tc>
          <w:tcPr>
            <w:tcW w:w="1629" w:type="dxa"/>
            <w:vAlign w:val="center"/>
          </w:tcPr>
          <w:p w:rsidR="000E6BAE" w:rsidRDefault="00CD6463">
            <w:pPr>
              <w:jc w:val="center"/>
            </w:pPr>
            <w:r>
              <w:rPr>
                <w:color w:val="000000"/>
                <w:sz w:val="24"/>
              </w:rPr>
              <w:t>2020-12-30</w:t>
            </w:r>
          </w:p>
        </w:tc>
      </w:tr>
      <w:tr w:rsidR="000E6BAE">
        <w:tc>
          <w:tcPr>
            <w:tcW w:w="720" w:type="dxa"/>
            <w:vAlign w:val="center"/>
          </w:tcPr>
          <w:p w:rsidR="000E6BAE" w:rsidRDefault="00CD6463">
            <w:pPr>
              <w:jc w:val="center"/>
            </w:pPr>
            <w:r>
              <w:rPr>
                <w:color w:val="000000"/>
                <w:sz w:val="24"/>
              </w:rPr>
              <w:t>31</w:t>
            </w:r>
          </w:p>
        </w:tc>
        <w:tc>
          <w:tcPr>
            <w:tcW w:w="4320" w:type="dxa"/>
            <w:vAlign w:val="center"/>
          </w:tcPr>
          <w:p w:rsidR="000E6BAE" w:rsidRDefault="00CD6463">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0E6BAE" w:rsidRDefault="00CD6463">
            <w:pPr>
              <w:jc w:val="center"/>
            </w:pPr>
            <w:r>
              <w:rPr>
                <w:color w:val="000000"/>
                <w:sz w:val="24"/>
              </w:rPr>
              <w:t>中国证券报、上海证券报、证券时报、公司网站</w:t>
            </w:r>
          </w:p>
        </w:tc>
        <w:tc>
          <w:tcPr>
            <w:tcW w:w="1629" w:type="dxa"/>
            <w:vAlign w:val="center"/>
          </w:tcPr>
          <w:p w:rsidR="000E6BAE" w:rsidRDefault="00CD6463">
            <w:pPr>
              <w:jc w:val="center"/>
            </w:pPr>
            <w:r>
              <w:rPr>
                <w:color w:val="000000"/>
                <w:sz w:val="24"/>
              </w:rPr>
              <w:t>2020-12-31</w:t>
            </w:r>
          </w:p>
        </w:tc>
      </w:tr>
    </w:tbl>
    <w:p w:rsidR="000E6BAE" w:rsidRDefault="000E6BAE">
      <w:pPr>
        <w:tabs>
          <w:tab w:val="left" w:pos="426"/>
        </w:tabs>
        <w:spacing w:before="29" w:line="288" w:lineRule="auto"/>
        <w:jc w:val="left"/>
        <w:rPr>
          <w:kern w:val="0"/>
          <w:sz w:val="24"/>
        </w:rPr>
      </w:pPr>
    </w:p>
    <w:p w:rsidR="000E6BAE" w:rsidRDefault="00CD6463">
      <w:pPr>
        <w:pStyle w:val="1"/>
        <w:keepNext/>
        <w:keepLines/>
        <w:widowControl w:val="0"/>
        <w:spacing w:beforeLines="100" w:before="312" w:afterLines="100" w:after="312" w:line="360" w:lineRule="auto"/>
        <w:jc w:val="center"/>
        <w:rPr>
          <w:rFonts w:eastAsiaTheme="minorEastAsia"/>
          <w:b/>
          <w:bCs/>
          <w:sz w:val="21"/>
          <w:szCs w:val="21"/>
          <w:lang w:val="en-US"/>
        </w:rPr>
      </w:pPr>
      <w:bookmarkStart w:id="195" w:name="_Toc374532345"/>
      <w:bookmarkStart w:id="196" w:name="_Toc13574"/>
      <w:r>
        <w:rPr>
          <w:rFonts w:eastAsiaTheme="minorEastAsia"/>
          <w:b/>
          <w:bCs/>
        </w:rPr>
        <w:t>§</w:t>
      </w:r>
      <w:r>
        <w:rPr>
          <w:rFonts w:eastAsiaTheme="minorEastAsia"/>
          <w:b/>
          <w:bCs/>
          <w:sz w:val="21"/>
          <w:szCs w:val="21"/>
          <w:lang w:val="en-US"/>
        </w:rPr>
        <w:t xml:space="preserve">12  </w:t>
      </w:r>
      <w:r>
        <w:rPr>
          <w:rFonts w:eastAsiaTheme="minorEastAsia"/>
          <w:b/>
          <w:bCs/>
          <w:sz w:val="21"/>
          <w:szCs w:val="21"/>
          <w:lang w:val="en-US"/>
        </w:rPr>
        <w:t>影响投资者决策的其他重要信息</w:t>
      </w:r>
      <w:bookmarkEnd w:id="195"/>
      <w:bookmarkEnd w:id="196"/>
    </w:p>
    <w:p w:rsidR="000E6BAE" w:rsidRDefault="00CD6463">
      <w:pPr>
        <w:pStyle w:val="2"/>
        <w:spacing w:before="29" w:after="0" w:line="288" w:lineRule="auto"/>
        <w:rPr>
          <w:rFonts w:ascii="宋体" w:hAnsi="宋体"/>
          <w:color w:val="000000"/>
          <w:kern w:val="0"/>
          <w:szCs w:val="21"/>
        </w:rPr>
      </w:pPr>
      <w:bookmarkStart w:id="197" w:name="_Toc5913"/>
      <w:r>
        <w:rPr>
          <w:rFonts w:ascii="宋体" w:hAnsi="宋体"/>
          <w:color w:val="000000"/>
          <w:kern w:val="0"/>
          <w:szCs w:val="21"/>
        </w:rPr>
        <w:t>12.</w:t>
      </w:r>
      <w:r>
        <w:rPr>
          <w:rFonts w:ascii="宋体" w:hAnsi="宋体" w:hint="eastAsia"/>
          <w:color w:val="000000"/>
          <w:kern w:val="0"/>
          <w:szCs w:val="21"/>
        </w:rPr>
        <w:t xml:space="preserve">1 </w:t>
      </w:r>
      <w:r>
        <w:rPr>
          <w:rFonts w:ascii="宋体" w:hAnsi="宋体" w:hint="eastAsia"/>
          <w:color w:val="000000"/>
          <w:kern w:val="0"/>
          <w:szCs w:val="21"/>
        </w:rPr>
        <w:t>报告期内单一投资者持有基金份额比例达到或超过</w:t>
      </w:r>
      <w:r>
        <w:rPr>
          <w:rFonts w:ascii="宋体" w:hAnsi="宋体" w:hint="eastAsia"/>
          <w:color w:val="000000"/>
          <w:kern w:val="0"/>
          <w:szCs w:val="21"/>
        </w:rPr>
        <w:t>20%</w:t>
      </w:r>
      <w:r>
        <w:rPr>
          <w:rFonts w:ascii="宋体" w:hAnsi="宋体" w:hint="eastAsia"/>
          <w:color w:val="000000"/>
          <w:kern w:val="0"/>
          <w:szCs w:val="21"/>
        </w:rPr>
        <w:t>的情况</w:t>
      </w:r>
      <w:bookmarkEnd w:id="197"/>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0E6BAE">
        <w:tc>
          <w:tcPr>
            <w:tcW w:w="993" w:type="dxa"/>
            <w:vMerge w:val="restart"/>
            <w:vAlign w:val="center"/>
          </w:tcPr>
          <w:p w:rsidR="000E6BAE" w:rsidRDefault="00CD646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r>
              <w:rPr>
                <w:rFonts w:ascii="宋体" w:hAnsi="宋体"/>
                <w:color w:val="000000"/>
                <w:kern w:val="0"/>
                <w:szCs w:val="21"/>
              </w:rPr>
              <w:t xml:space="preserve">  </w:t>
            </w:r>
          </w:p>
        </w:tc>
        <w:tc>
          <w:tcPr>
            <w:tcW w:w="5670" w:type="dxa"/>
            <w:gridSpan w:val="5"/>
            <w:vAlign w:val="center"/>
          </w:tcPr>
          <w:p w:rsidR="000E6BAE" w:rsidRDefault="00CD646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vAlign w:val="center"/>
          </w:tcPr>
          <w:p w:rsidR="000E6BAE" w:rsidRDefault="00CD646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0E6BAE">
        <w:tc>
          <w:tcPr>
            <w:tcW w:w="993" w:type="dxa"/>
            <w:vMerge/>
            <w:vAlign w:val="center"/>
          </w:tcPr>
          <w:p w:rsidR="000E6BAE" w:rsidRDefault="000E6BAE">
            <w:pPr>
              <w:autoSpaceDE w:val="0"/>
              <w:autoSpaceDN w:val="0"/>
              <w:adjustRightInd w:val="0"/>
              <w:jc w:val="center"/>
              <w:rPr>
                <w:rFonts w:ascii="宋体" w:hAnsi="宋体"/>
                <w:b/>
                <w:bCs/>
                <w:color w:val="000000"/>
                <w:kern w:val="0"/>
                <w:szCs w:val="21"/>
              </w:rPr>
            </w:pPr>
          </w:p>
        </w:tc>
        <w:tc>
          <w:tcPr>
            <w:tcW w:w="992" w:type="dxa"/>
            <w:vAlign w:val="center"/>
          </w:tcPr>
          <w:p w:rsidR="000E6BAE" w:rsidRDefault="00CD646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vAlign w:val="center"/>
          </w:tcPr>
          <w:p w:rsidR="000E6BAE" w:rsidRDefault="00CD646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w:t>
            </w:r>
            <w:r>
              <w:rPr>
                <w:rFonts w:ascii="宋体" w:hAnsi="宋体" w:hint="eastAsia"/>
                <w:color w:val="000000"/>
                <w:kern w:val="0"/>
                <w:szCs w:val="21"/>
              </w:rPr>
              <w:t>20%</w:t>
            </w:r>
            <w:r>
              <w:rPr>
                <w:rFonts w:ascii="宋体" w:hAnsi="宋体" w:hint="eastAsia"/>
                <w:color w:val="000000"/>
                <w:kern w:val="0"/>
                <w:szCs w:val="21"/>
              </w:rPr>
              <w:t>的时间区间</w:t>
            </w:r>
          </w:p>
        </w:tc>
        <w:tc>
          <w:tcPr>
            <w:tcW w:w="851" w:type="dxa"/>
            <w:vAlign w:val="center"/>
          </w:tcPr>
          <w:p w:rsidR="000E6BAE" w:rsidRDefault="00CD6463">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vAlign w:val="center"/>
          </w:tcPr>
          <w:p w:rsidR="000E6BAE" w:rsidRDefault="00CD6463">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vAlign w:val="center"/>
          </w:tcPr>
          <w:p w:rsidR="000E6BAE" w:rsidRDefault="00CD6463">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vAlign w:val="center"/>
          </w:tcPr>
          <w:p w:rsidR="000E6BAE" w:rsidRDefault="00CD646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vAlign w:val="center"/>
          </w:tcPr>
          <w:p w:rsidR="000E6BAE" w:rsidRDefault="00CD646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0E6BAE">
        <w:tc>
          <w:tcPr>
            <w:tcW w:w="993" w:type="dxa"/>
            <w:vMerge w:val="restart"/>
          </w:tcPr>
          <w:p w:rsidR="000E6BAE" w:rsidRDefault="000E6BAE"/>
          <w:p w:rsidR="000E6BAE" w:rsidRDefault="00CD6463">
            <w:r>
              <w:rPr>
                <w:rFonts w:ascii="宋体" w:hAnsi="宋体" w:hint="eastAsia"/>
                <w:bCs/>
                <w:color w:val="000000"/>
                <w:kern w:val="0"/>
                <w:szCs w:val="21"/>
              </w:rPr>
              <w:t>机构</w:t>
            </w:r>
          </w:p>
        </w:tc>
        <w:tc>
          <w:tcPr>
            <w:tcW w:w="992" w:type="dxa"/>
            <w:vAlign w:val="center"/>
          </w:tcPr>
          <w:p w:rsidR="000E6BAE" w:rsidRDefault="00CD6463">
            <w:pPr>
              <w:jc w:val="center"/>
            </w:pPr>
            <w:r>
              <w:rPr>
                <w:rFonts w:ascii="宋体" w:hAnsi="宋体"/>
                <w:color w:val="000000"/>
                <w:kern w:val="0"/>
                <w:szCs w:val="21"/>
              </w:rPr>
              <w:t>1</w:t>
            </w:r>
          </w:p>
        </w:tc>
        <w:tc>
          <w:tcPr>
            <w:tcW w:w="1843" w:type="dxa"/>
            <w:vAlign w:val="center"/>
          </w:tcPr>
          <w:p w:rsidR="000E6BAE" w:rsidRDefault="00CD6463">
            <w:pPr>
              <w:jc w:val="center"/>
            </w:pPr>
            <w:r>
              <w:rPr>
                <w:rFonts w:ascii="宋体" w:hAnsi="宋体"/>
                <w:color w:val="000000"/>
                <w:kern w:val="0"/>
                <w:szCs w:val="21"/>
              </w:rPr>
              <w:t>2020/1/1-2020/12/31</w:t>
            </w:r>
          </w:p>
        </w:tc>
        <w:tc>
          <w:tcPr>
            <w:tcW w:w="851" w:type="dxa"/>
            <w:vAlign w:val="center"/>
          </w:tcPr>
          <w:p w:rsidR="000E6BAE" w:rsidRDefault="00CD6463">
            <w:pPr>
              <w:jc w:val="center"/>
            </w:pPr>
            <w:r>
              <w:rPr>
                <w:rFonts w:ascii="宋体" w:hAnsi="宋体"/>
                <w:color w:val="000000"/>
                <w:kern w:val="0"/>
                <w:szCs w:val="21"/>
              </w:rPr>
              <w:t>-</w:t>
            </w:r>
          </w:p>
        </w:tc>
        <w:tc>
          <w:tcPr>
            <w:tcW w:w="850" w:type="dxa"/>
            <w:vAlign w:val="center"/>
          </w:tcPr>
          <w:p w:rsidR="000E6BAE" w:rsidRDefault="00CD6463">
            <w:pPr>
              <w:jc w:val="center"/>
            </w:pPr>
            <w:r>
              <w:rPr>
                <w:rFonts w:ascii="宋体" w:hAnsi="宋体"/>
                <w:color w:val="000000"/>
                <w:kern w:val="0"/>
                <w:szCs w:val="21"/>
              </w:rPr>
              <w:t>1,885,901,258.40</w:t>
            </w:r>
          </w:p>
        </w:tc>
        <w:tc>
          <w:tcPr>
            <w:tcW w:w="1134" w:type="dxa"/>
            <w:vAlign w:val="center"/>
          </w:tcPr>
          <w:p w:rsidR="000E6BAE" w:rsidRDefault="00CD6463">
            <w:pPr>
              <w:jc w:val="center"/>
            </w:pPr>
            <w:r>
              <w:rPr>
                <w:rFonts w:ascii="宋体" w:hAnsi="宋体"/>
                <w:color w:val="000000"/>
                <w:kern w:val="0"/>
                <w:szCs w:val="21"/>
              </w:rPr>
              <w:t>1,885,901,258.40</w:t>
            </w:r>
          </w:p>
        </w:tc>
        <w:tc>
          <w:tcPr>
            <w:tcW w:w="1419" w:type="dxa"/>
            <w:vAlign w:val="center"/>
          </w:tcPr>
          <w:p w:rsidR="000E6BAE" w:rsidRDefault="00CD6463">
            <w:pPr>
              <w:jc w:val="center"/>
            </w:pPr>
            <w:r>
              <w:rPr>
                <w:rFonts w:ascii="宋体" w:hAnsi="宋体"/>
                <w:color w:val="000000"/>
                <w:kern w:val="0"/>
                <w:szCs w:val="21"/>
              </w:rPr>
              <w:t>-</w:t>
            </w:r>
          </w:p>
        </w:tc>
        <w:tc>
          <w:tcPr>
            <w:tcW w:w="1130" w:type="dxa"/>
            <w:vAlign w:val="center"/>
          </w:tcPr>
          <w:p w:rsidR="000E6BAE" w:rsidRDefault="00CD6463">
            <w:pPr>
              <w:jc w:val="center"/>
            </w:pPr>
            <w:r>
              <w:rPr>
                <w:rFonts w:ascii="宋体" w:hAnsi="宋体"/>
                <w:color w:val="000000"/>
                <w:kern w:val="0"/>
                <w:szCs w:val="21"/>
              </w:rPr>
              <w:t>-</w:t>
            </w:r>
          </w:p>
        </w:tc>
      </w:tr>
      <w:tr w:rsidR="000E6BAE">
        <w:tc>
          <w:tcPr>
            <w:tcW w:w="993" w:type="dxa"/>
            <w:vMerge/>
          </w:tcPr>
          <w:p w:rsidR="000E6BAE" w:rsidRDefault="000E6BAE"/>
        </w:tc>
        <w:tc>
          <w:tcPr>
            <w:tcW w:w="992" w:type="dxa"/>
            <w:vAlign w:val="center"/>
          </w:tcPr>
          <w:p w:rsidR="000E6BAE" w:rsidRDefault="00CD6463">
            <w:pPr>
              <w:jc w:val="center"/>
            </w:pPr>
            <w:r>
              <w:rPr>
                <w:rFonts w:ascii="宋体" w:hAnsi="宋体"/>
                <w:color w:val="000000"/>
                <w:kern w:val="0"/>
                <w:szCs w:val="21"/>
              </w:rPr>
              <w:t>2</w:t>
            </w:r>
          </w:p>
        </w:tc>
        <w:tc>
          <w:tcPr>
            <w:tcW w:w="1843" w:type="dxa"/>
            <w:vAlign w:val="center"/>
          </w:tcPr>
          <w:p w:rsidR="000E6BAE" w:rsidRDefault="00CD6463">
            <w:pPr>
              <w:jc w:val="center"/>
            </w:pPr>
            <w:r>
              <w:rPr>
                <w:rFonts w:ascii="宋体" w:hAnsi="宋体"/>
                <w:color w:val="000000"/>
                <w:kern w:val="0"/>
                <w:szCs w:val="21"/>
              </w:rPr>
              <w:t>2020/1/1-2020/12/31</w:t>
            </w:r>
          </w:p>
        </w:tc>
        <w:tc>
          <w:tcPr>
            <w:tcW w:w="851" w:type="dxa"/>
            <w:vAlign w:val="center"/>
          </w:tcPr>
          <w:p w:rsidR="000E6BAE" w:rsidRDefault="00CD6463">
            <w:pPr>
              <w:jc w:val="center"/>
            </w:pPr>
            <w:r>
              <w:rPr>
                <w:rFonts w:ascii="宋体" w:hAnsi="宋体"/>
                <w:color w:val="000000"/>
                <w:kern w:val="0"/>
                <w:szCs w:val="21"/>
              </w:rPr>
              <w:t>858,286,286.48</w:t>
            </w:r>
          </w:p>
        </w:tc>
        <w:tc>
          <w:tcPr>
            <w:tcW w:w="850" w:type="dxa"/>
            <w:vAlign w:val="center"/>
          </w:tcPr>
          <w:p w:rsidR="000E6BAE" w:rsidRDefault="00CD6463">
            <w:pPr>
              <w:jc w:val="center"/>
            </w:pPr>
            <w:r>
              <w:rPr>
                <w:rFonts w:ascii="宋体" w:hAnsi="宋体"/>
                <w:color w:val="000000"/>
                <w:kern w:val="0"/>
                <w:szCs w:val="21"/>
              </w:rPr>
              <w:t>-</w:t>
            </w:r>
          </w:p>
        </w:tc>
        <w:tc>
          <w:tcPr>
            <w:tcW w:w="1134" w:type="dxa"/>
            <w:vAlign w:val="center"/>
          </w:tcPr>
          <w:p w:rsidR="000E6BAE" w:rsidRDefault="00CD6463">
            <w:pPr>
              <w:jc w:val="center"/>
            </w:pPr>
            <w:r>
              <w:rPr>
                <w:rFonts w:ascii="宋体" w:hAnsi="宋体"/>
                <w:color w:val="000000"/>
                <w:kern w:val="0"/>
                <w:szCs w:val="21"/>
              </w:rPr>
              <w:t>400,000,000.00</w:t>
            </w:r>
          </w:p>
        </w:tc>
        <w:tc>
          <w:tcPr>
            <w:tcW w:w="1419" w:type="dxa"/>
            <w:vAlign w:val="center"/>
          </w:tcPr>
          <w:p w:rsidR="000E6BAE" w:rsidRDefault="00CD6463">
            <w:pPr>
              <w:jc w:val="center"/>
            </w:pPr>
            <w:r>
              <w:rPr>
                <w:rFonts w:ascii="宋体" w:hAnsi="宋体"/>
                <w:color w:val="000000"/>
                <w:kern w:val="0"/>
                <w:szCs w:val="21"/>
              </w:rPr>
              <w:t>458,286,286.48</w:t>
            </w:r>
          </w:p>
        </w:tc>
        <w:tc>
          <w:tcPr>
            <w:tcW w:w="1130" w:type="dxa"/>
            <w:vAlign w:val="center"/>
          </w:tcPr>
          <w:p w:rsidR="000E6BAE" w:rsidRDefault="00CD6463">
            <w:pPr>
              <w:jc w:val="center"/>
            </w:pPr>
            <w:r>
              <w:rPr>
                <w:rFonts w:ascii="宋体" w:hAnsi="宋体"/>
                <w:color w:val="000000"/>
                <w:kern w:val="0"/>
                <w:szCs w:val="21"/>
              </w:rPr>
              <w:t>34.56%</w:t>
            </w:r>
          </w:p>
        </w:tc>
      </w:tr>
      <w:tr w:rsidR="000E6BAE">
        <w:tc>
          <w:tcPr>
            <w:tcW w:w="9212" w:type="dxa"/>
            <w:gridSpan w:val="8"/>
            <w:vAlign w:val="center"/>
          </w:tcPr>
          <w:p w:rsidR="000E6BAE" w:rsidRDefault="00CD6463">
            <w:pPr>
              <w:autoSpaceDE w:val="0"/>
              <w:autoSpaceDN w:val="0"/>
              <w:adjustRightInd w:val="0"/>
              <w:jc w:val="center"/>
              <w:rPr>
                <w:rFonts w:ascii="宋体" w:hAnsi="宋体"/>
                <w:kern w:val="0"/>
                <w:szCs w:val="21"/>
              </w:rPr>
            </w:pPr>
            <w:r>
              <w:rPr>
                <w:rFonts w:ascii="宋体" w:hAnsi="宋体"/>
                <w:color w:val="000000"/>
                <w:kern w:val="0"/>
                <w:szCs w:val="21"/>
              </w:rPr>
              <w:t>产品特有风险</w:t>
            </w:r>
          </w:p>
        </w:tc>
      </w:tr>
      <w:tr w:rsidR="000E6BAE">
        <w:tc>
          <w:tcPr>
            <w:tcW w:w="9212" w:type="dxa"/>
            <w:gridSpan w:val="8"/>
            <w:vAlign w:val="center"/>
          </w:tcPr>
          <w:p w:rsidR="000E6BAE" w:rsidRDefault="00CD6463">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w:t>
            </w:r>
            <w:r>
              <w:rPr>
                <w:rFonts w:ascii="宋体" w:hAnsi="宋体" w:hint="eastAsia"/>
                <w:kern w:val="0"/>
                <w:szCs w:val="21"/>
              </w:rPr>
              <w:t>20%</w:t>
            </w:r>
            <w:r>
              <w:rPr>
                <w:rFonts w:ascii="宋体" w:hAnsi="宋体" w:hint="eastAsia"/>
                <w:kern w:val="0"/>
                <w:szCs w:val="21"/>
              </w:rPr>
              <w:t>的情况。如该类投资者集中赎回，可能会对本基金带来流动性冲击，从而影响基金的投资运作和收益水平。基金管理人将加强流动性管理，防范相关风险，保护持有人利益。</w:t>
            </w:r>
          </w:p>
        </w:tc>
      </w:tr>
    </w:tbl>
    <w:p w:rsidR="000E6BAE" w:rsidRDefault="00CD6463">
      <w:pPr>
        <w:pStyle w:val="1"/>
        <w:keepNext/>
        <w:keepLines/>
        <w:widowControl w:val="0"/>
        <w:spacing w:beforeLines="100" w:before="312" w:afterLines="100" w:after="312" w:line="288" w:lineRule="auto"/>
        <w:jc w:val="center"/>
        <w:rPr>
          <w:b/>
          <w:bCs/>
          <w:szCs w:val="24"/>
          <w:lang w:val="en-US"/>
        </w:rPr>
      </w:pPr>
      <w:bookmarkStart w:id="198" w:name="_Toc225500055"/>
      <w:bookmarkStart w:id="199" w:name="_Toc361324903"/>
      <w:bookmarkStart w:id="200" w:name="_Toc27659"/>
      <w:r>
        <w:rPr>
          <w:rFonts w:hint="eastAsia"/>
          <w:b/>
          <w:bCs/>
          <w:szCs w:val="24"/>
          <w:lang w:val="en-US"/>
        </w:rPr>
        <w:t>§</w:t>
      </w:r>
      <w:r>
        <w:rPr>
          <w:b/>
          <w:bCs/>
          <w:szCs w:val="24"/>
          <w:lang w:val="en-US"/>
        </w:rPr>
        <w:t>13</w:t>
      </w:r>
      <w:r>
        <w:rPr>
          <w:rFonts w:hint="eastAsia"/>
          <w:b/>
          <w:bCs/>
          <w:szCs w:val="24"/>
          <w:lang w:val="en-US"/>
        </w:rPr>
        <w:t>备查文件目录</w:t>
      </w:r>
      <w:bookmarkEnd w:id="198"/>
      <w:bookmarkEnd w:id="199"/>
      <w:bookmarkEnd w:id="200"/>
    </w:p>
    <w:p w:rsidR="000E6BAE" w:rsidRDefault="000E6BAE"/>
    <w:p w:rsidR="000E6BAE" w:rsidRDefault="00CD6463">
      <w:pPr>
        <w:pStyle w:val="2"/>
        <w:spacing w:before="29" w:after="0" w:line="288" w:lineRule="auto"/>
        <w:rPr>
          <w:color w:val="000000"/>
          <w:kern w:val="0"/>
        </w:rPr>
      </w:pPr>
      <w:bookmarkStart w:id="201" w:name="_Toc361324904"/>
      <w:bookmarkStart w:id="202" w:name="_Toc21162"/>
      <w:r>
        <w:rPr>
          <w:color w:val="000000"/>
          <w:kern w:val="0"/>
        </w:rPr>
        <w:t xml:space="preserve">13.1 </w:t>
      </w:r>
      <w:r>
        <w:rPr>
          <w:rFonts w:hint="eastAsia"/>
          <w:color w:val="000000"/>
          <w:kern w:val="0"/>
        </w:rPr>
        <w:t>备查文件目录</w:t>
      </w:r>
      <w:bookmarkEnd w:id="201"/>
      <w:bookmarkEnd w:id="202"/>
    </w:p>
    <w:p w:rsidR="000E6BAE" w:rsidRDefault="00CD6463">
      <w:pPr>
        <w:spacing w:before="29" w:line="288" w:lineRule="auto"/>
        <w:rPr>
          <w:kern w:val="0"/>
          <w:sz w:val="24"/>
        </w:rPr>
      </w:pPr>
      <w:r>
        <w:rPr>
          <w:kern w:val="0"/>
          <w:sz w:val="24"/>
        </w:rPr>
        <w:t>1</w:t>
      </w:r>
      <w:r>
        <w:rPr>
          <w:kern w:val="0"/>
          <w:sz w:val="24"/>
        </w:rPr>
        <w:t>、中国证监会准予交银施罗德丰润收益债券型证券投资基金募集注册的文件；</w:t>
      </w:r>
      <w:r>
        <w:rPr>
          <w:kern w:val="0"/>
          <w:sz w:val="24"/>
        </w:rPr>
        <w:t xml:space="preserve"> </w:t>
      </w:r>
    </w:p>
    <w:p w:rsidR="000E6BAE" w:rsidRDefault="00CD6463">
      <w:pPr>
        <w:spacing w:before="29" w:line="288" w:lineRule="auto"/>
        <w:rPr>
          <w:kern w:val="0"/>
          <w:sz w:val="24"/>
        </w:rPr>
      </w:pPr>
      <w:r>
        <w:rPr>
          <w:kern w:val="0"/>
          <w:sz w:val="24"/>
        </w:rPr>
        <w:t>2</w:t>
      </w:r>
      <w:r>
        <w:rPr>
          <w:kern w:val="0"/>
          <w:sz w:val="24"/>
        </w:rPr>
        <w:t>、《交银施罗德丰润收益债券型证券投资基金基金合同》；</w:t>
      </w:r>
    </w:p>
    <w:p w:rsidR="000E6BAE" w:rsidRDefault="00CD6463">
      <w:pPr>
        <w:spacing w:before="29" w:line="288" w:lineRule="auto"/>
        <w:rPr>
          <w:kern w:val="0"/>
          <w:sz w:val="24"/>
        </w:rPr>
      </w:pPr>
      <w:r>
        <w:rPr>
          <w:kern w:val="0"/>
          <w:sz w:val="24"/>
        </w:rPr>
        <w:t>3</w:t>
      </w:r>
      <w:r>
        <w:rPr>
          <w:kern w:val="0"/>
          <w:sz w:val="24"/>
        </w:rPr>
        <w:t>、《交银施罗德丰润收益债券型证券投资基金招募说明书》；</w:t>
      </w:r>
      <w:r>
        <w:rPr>
          <w:kern w:val="0"/>
          <w:sz w:val="24"/>
        </w:rPr>
        <w:t xml:space="preserve"> </w:t>
      </w:r>
    </w:p>
    <w:p w:rsidR="000E6BAE" w:rsidRDefault="00CD6463">
      <w:pPr>
        <w:spacing w:before="29" w:line="288" w:lineRule="auto"/>
        <w:rPr>
          <w:kern w:val="0"/>
          <w:sz w:val="24"/>
        </w:rPr>
      </w:pPr>
      <w:r>
        <w:rPr>
          <w:kern w:val="0"/>
          <w:sz w:val="24"/>
        </w:rPr>
        <w:t>4</w:t>
      </w:r>
      <w:r>
        <w:rPr>
          <w:kern w:val="0"/>
          <w:sz w:val="24"/>
        </w:rPr>
        <w:t>、《交银施罗德丰润收益债券型证券投资基金托管协议》；</w:t>
      </w:r>
      <w:r>
        <w:rPr>
          <w:kern w:val="0"/>
          <w:sz w:val="24"/>
        </w:rPr>
        <w:t xml:space="preserve"> </w:t>
      </w:r>
    </w:p>
    <w:p w:rsidR="000E6BAE" w:rsidRDefault="00CD6463">
      <w:pPr>
        <w:spacing w:before="29" w:line="288" w:lineRule="auto"/>
        <w:rPr>
          <w:kern w:val="0"/>
          <w:sz w:val="24"/>
        </w:rPr>
      </w:pPr>
      <w:r>
        <w:rPr>
          <w:kern w:val="0"/>
          <w:sz w:val="24"/>
        </w:rPr>
        <w:t>5</w:t>
      </w:r>
      <w:r>
        <w:rPr>
          <w:kern w:val="0"/>
          <w:sz w:val="24"/>
        </w:rPr>
        <w:t>、基金管理人业务资格批件、营业执照；</w:t>
      </w:r>
    </w:p>
    <w:p w:rsidR="000E6BAE" w:rsidRDefault="00CD6463">
      <w:pPr>
        <w:spacing w:before="29" w:line="288" w:lineRule="auto"/>
        <w:rPr>
          <w:kern w:val="0"/>
          <w:sz w:val="24"/>
        </w:rPr>
      </w:pPr>
      <w:r>
        <w:rPr>
          <w:kern w:val="0"/>
          <w:sz w:val="24"/>
        </w:rPr>
        <w:t>6</w:t>
      </w:r>
      <w:r>
        <w:rPr>
          <w:kern w:val="0"/>
          <w:sz w:val="24"/>
        </w:rPr>
        <w:t>、基金托管人业务资格批件、营业执照；</w:t>
      </w:r>
    </w:p>
    <w:p w:rsidR="000E6BAE" w:rsidRDefault="00CD6463">
      <w:pPr>
        <w:spacing w:before="29" w:line="288" w:lineRule="auto"/>
        <w:rPr>
          <w:kern w:val="0"/>
          <w:sz w:val="24"/>
        </w:rPr>
      </w:pPr>
      <w:r>
        <w:rPr>
          <w:kern w:val="0"/>
          <w:sz w:val="24"/>
        </w:rPr>
        <w:t>7</w:t>
      </w:r>
      <w:r>
        <w:rPr>
          <w:kern w:val="0"/>
          <w:sz w:val="24"/>
        </w:rPr>
        <w:t>、关于申请募集注册交银施罗德丰润收益债券型证券投资基金的法律意见书；</w:t>
      </w:r>
    </w:p>
    <w:p w:rsidR="000E6BAE" w:rsidRDefault="00CD6463">
      <w:pPr>
        <w:spacing w:before="29" w:line="288" w:lineRule="auto"/>
        <w:rPr>
          <w:kern w:val="0"/>
          <w:sz w:val="24"/>
        </w:rPr>
      </w:pPr>
      <w:r>
        <w:rPr>
          <w:kern w:val="0"/>
          <w:sz w:val="24"/>
        </w:rPr>
        <w:t>8</w:t>
      </w:r>
      <w:r>
        <w:rPr>
          <w:kern w:val="0"/>
          <w:sz w:val="24"/>
        </w:rPr>
        <w:t>、报告期内交银施罗德丰润收益债券型证券投资基金在指定报刊上各项公告的原稿。</w:t>
      </w:r>
    </w:p>
    <w:p w:rsidR="000E6BAE" w:rsidRDefault="000E6BAE">
      <w:pPr>
        <w:spacing w:line="360" w:lineRule="auto"/>
        <w:ind w:firstLineChars="150" w:firstLine="315"/>
        <w:rPr>
          <w:rFonts w:asciiTheme="minorEastAsia" w:eastAsiaTheme="minorEastAsia" w:hAnsiTheme="minorEastAsia"/>
          <w:bCs/>
          <w:color w:val="000000"/>
          <w:szCs w:val="21"/>
        </w:rPr>
      </w:pPr>
    </w:p>
    <w:p w:rsidR="000E6BAE" w:rsidRDefault="00CD6463">
      <w:pPr>
        <w:pStyle w:val="2"/>
        <w:spacing w:before="29" w:after="0" w:line="288" w:lineRule="auto"/>
        <w:rPr>
          <w:color w:val="000000"/>
          <w:kern w:val="0"/>
        </w:rPr>
      </w:pPr>
      <w:bookmarkStart w:id="203" w:name="_Toc361324905"/>
      <w:bookmarkStart w:id="204" w:name="_Toc10653"/>
      <w:r>
        <w:rPr>
          <w:color w:val="000000"/>
          <w:kern w:val="0"/>
        </w:rPr>
        <w:t>13.2</w:t>
      </w:r>
      <w:r>
        <w:rPr>
          <w:rFonts w:hint="eastAsia"/>
          <w:color w:val="000000"/>
          <w:kern w:val="0"/>
        </w:rPr>
        <w:t>存放地点</w:t>
      </w:r>
      <w:bookmarkEnd w:id="203"/>
      <w:bookmarkEnd w:id="204"/>
    </w:p>
    <w:p w:rsidR="000E6BAE" w:rsidRDefault="00CD6463">
      <w:pPr>
        <w:spacing w:before="29" w:line="288" w:lineRule="auto"/>
        <w:ind w:firstLineChars="200" w:firstLine="480"/>
        <w:rPr>
          <w:kern w:val="0"/>
          <w:sz w:val="24"/>
        </w:rPr>
      </w:pPr>
      <w:r>
        <w:rPr>
          <w:kern w:val="0"/>
          <w:sz w:val="24"/>
        </w:rPr>
        <w:t>备查文件存放于基金管理人的办公场所。</w:t>
      </w:r>
    </w:p>
    <w:p w:rsidR="000E6BAE" w:rsidRDefault="000E6BAE">
      <w:pPr>
        <w:spacing w:line="360" w:lineRule="auto"/>
        <w:rPr>
          <w:rFonts w:asciiTheme="minorEastAsia" w:eastAsiaTheme="minorEastAsia" w:hAnsiTheme="minorEastAsia"/>
          <w:bCs/>
          <w:color w:val="000000"/>
          <w:szCs w:val="21"/>
        </w:rPr>
      </w:pPr>
    </w:p>
    <w:p w:rsidR="000E6BAE" w:rsidRDefault="00CD6463">
      <w:pPr>
        <w:pStyle w:val="2"/>
        <w:spacing w:before="29" w:after="0" w:line="288" w:lineRule="auto"/>
        <w:rPr>
          <w:color w:val="000000"/>
          <w:kern w:val="0"/>
        </w:rPr>
      </w:pPr>
      <w:bookmarkStart w:id="205" w:name="_Toc361324906"/>
      <w:bookmarkStart w:id="206" w:name="_Toc4802"/>
      <w:r>
        <w:rPr>
          <w:color w:val="000000"/>
          <w:kern w:val="0"/>
        </w:rPr>
        <w:t>13.3</w:t>
      </w:r>
      <w:r>
        <w:rPr>
          <w:rFonts w:hint="eastAsia"/>
          <w:color w:val="000000"/>
          <w:kern w:val="0"/>
        </w:rPr>
        <w:t>查阅方式</w:t>
      </w:r>
      <w:bookmarkEnd w:id="205"/>
      <w:bookmarkEnd w:id="206"/>
    </w:p>
    <w:p w:rsidR="000E6BAE" w:rsidRDefault="00CD6463">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0E6BAE" w:rsidRDefault="00CD6463">
      <w:pPr>
        <w:spacing w:before="29" w:line="288" w:lineRule="auto"/>
        <w:ind w:firstLineChars="200" w:firstLine="480"/>
        <w:rPr>
          <w:kern w:val="0"/>
          <w:sz w:val="24"/>
        </w:rPr>
      </w:pPr>
      <w:r>
        <w:rPr>
          <w:kern w:val="0"/>
          <w:sz w:val="24"/>
        </w:rPr>
        <w:t>投资者对本报告书如有疑问，可咨询本基金管理人交银施罗德基金管理有限公司。本公司客户服务中心电话：</w:t>
      </w:r>
      <w:r>
        <w:rPr>
          <w:kern w:val="0"/>
          <w:sz w:val="24"/>
        </w:rPr>
        <w:t>400-700-5000</w:t>
      </w:r>
      <w:r>
        <w:rPr>
          <w:kern w:val="0"/>
          <w:sz w:val="24"/>
        </w:rPr>
        <w:t>（免长途话费），</w:t>
      </w:r>
      <w:r>
        <w:rPr>
          <w:kern w:val="0"/>
          <w:sz w:val="24"/>
        </w:rPr>
        <w:t>021-61055000</w:t>
      </w:r>
      <w:r>
        <w:rPr>
          <w:kern w:val="0"/>
          <w:sz w:val="24"/>
        </w:rPr>
        <w:t>，电子邮件：</w:t>
      </w:r>
      <w:r>
        <w:rPr>
          <w:kern w:val="0"/>
          <w:sz w:val="24"/>
        </w:rPr>
        <w:t>services@jysld.com</w:t>
      </w:r>
      <w:r>
        <w:rPr>
          <w:kern w:val="0"/>
          <w:sz w:val="24"/>
        </w:rPr>
        <w:t>。</w:t>
      </w:r>
    </w:p>
    <w:p w:rsidR="000E6BAE" w:rsidRDefault="000E6BAE">
      <w:pPr>
        <w:spacing w:line="360" w:lineRule="auto"/>
        <w:ind w:firstLineChars="150" w:firstLine="315"/>
        <w:rPr>
          <w:rFonts w:asciiTheme="minorEastAsia" w:eastAsiaTheme="minorEastAsia" w:hAnsiTheme="minorEastAsia"/>
          <w:bCs/>
          <w:color w:val="000000"/>
          <w:szCs w:val="21"/>
        </w:rPr>
      </w:pPr>
    </w:p>
    <w:p w:rsidR="000E6BAE" w:rsidRDefault="000E6BAE">
      <w:pPr>
        <w:spacing w:line="360" w:lineRule="auto"/>
        <w:ind w:firstLineChars="150" w:firstLine="315"/>
        <w:rPr>
          <w:rFonts w:asciiTheme="minorEastAsia" w:eastAsiaTheme="minorEastAsia" w:hAnsiTheme="minorEastAsia"/>
          <w:bCs/>
          <w:color w:val="000000"/>
          <w:szCs w:val="21"/>
        </w:rPr>
      </w:pPr>
    </w:p>
    <w:p w:rsidR="000E6BAE" w:rsidRDefault="000E6BAE">
      <w:pPr>
        <w:spacing w:line="360" w:lineRule="auto"/>
        <w:ind w:firstLineChars="150" w:firstLine="315"/>
        <w:rPr>
          <w:rFonts w:asciiTheme="minorEastAsia" w:eastAsiaTheme="minorEastAsia" w:hAnsiTheme="minorEastAsia"/>
          <w:bCs/>
          <w:color w:val="000000"/>
          <w:szCs w:val="21"/>
        </w:rPr>
      </w:pPr>
    </w:p>
    <w:p w:rsidR="000E6BAE" w:rsidRDefault="000E6BAE">
      <w:pPr>
        <w:spacing w:line="360" w:lineRule="auto"/>
        <w:ind w:firstLineChars="150" w:firstLine="315"/>
        <w:rPr>
          <w:rFonts w:asciiTheme="minorEastAsia" w:eastAsiaTheme="minorEastAsia" w:hAnsiTheme="minorEastAsia"/>
          <w:bCs/>
          <w:color w:val="000000"/>
          <w:szCs w:val="21"/>
        </w:rPr>
      </w:pPr>
    </w:p>
    <w:p w:rsidR="000E6BAE" w:rsidRDefault="000E6BAE">
      <w:pPr>
        <w:spacing w:line="360" w:lineRule="auto"/>
        <w:ind w:firstLineChars="150" w:firstLine="315"/>
        <w:rPr>
          <w:rFonts w:asciiTheme="minorEastAsia" w:eastAsiaTheme="minorEastAsia" w:hAnsiTheme="minorEastAsia"/>
          <w:bCs/>
          <w:color w:val="000000"/>
          <w:szCs w:val="21"/>
        </w:rPr>
      </w:pPr>
    </w:p>
    <w:p w:rsidR="000E6BAE" w:rsidRDefault="000E6BAE">
      <w:pPr>
        <w:spacing w:line="360" w:lineRule="auto"/>
        <w:ind w:firstLineChars="150" w:firstLine="315"/>
        <w:rPr>
          <w:rFonts w:asciiTheme="minorEastAsia" w:eastAsiaTheme="minorEastAsia" w:hAnsiTheme="minorEastAsia"/>
          <w:bCs/>
          <w:color w:val="000000"/>
          <w:szCs w:val="21"/>
        </w:rPr>
      </w:pPr>
    </w:p>
    <w:p w:rsidR="000E6BAE" w:rsidRDefault="000E6BAE">
      <w:pPr>
        <w:spacing w:line="360" w:lineRule="auto"/>
        <w:ind w:firstLineChars="150" w:firstLine="315"/>
        <w:rPr>
          <w:rFonts w:asciiTheme="minorEastAsia" w:eastAsiaTheme="minorEastAsia" w:hAnsiTheme="minorEastAsia"/>
          <w:bCs/>
          <w:color w:val="000000"/>
          <w:szCs w:val="21"/>
        </w:rPr>
      </w:pPr>
    </w:p>
    <w:p w:rsidR="000E6BAE" w:rsidRDefault="00CD6463">
      <w:pPr>
        <w:spacing w:before="29" w:line="288" w:lineRule="auto"/>
        <w:ind w:firstLineChars="200" w:firstLine="482"/>
        <w:jc w:val="right"/>
        <w:rPr>
          <w:b/>
          <w:kern w:val="0"/>
          <w:sz w:val="24"/>
        </w:rPr>
      </w:pPr>
      <w:r>
        <w:rPr>
          <w:b/>
          <w:kern w:val="0"/>
          <w:sz w:val="24"/>
        </w:rPr>
        <w:t>交银施罗德基金管理有限公司</w:t>
      </w:r>
    </w:p>
    <w:p w:rsidR="000E6BAE" w:rsidRDefault="00CD6463">
      <w:pPr>
        <w:spacing w:before="29" w:line="288" w:lineRule="auto"/>
        <w:ind w:firstLineChars="200" w:firstLine="482"/>
        <w:jc w:val="right"/>
        <w:rPr>
          <w:b/>
          <w:kern w:val="0"/>
          <w:sz w:val="24"/>
        </w:rPr>
      </w:pPr>
      <w:r>
        <w:rPr>
          <w:b/>
          <w:kern w:val="0"/>
          <w:sz w:val="24"/>
        </w:rPr>
        <w:t>二〇二一年三月三十日</w:t>
      </w:r>
    </w:p>
    <w:p w:rsidR="000E6BAE" w:rsidRDefault="000E6BAE">
      <w:pPr>
        <w:spacing w:line="360" w:lineRule="auto"/>
        <w:rPr>
          <w:rFonts w:asciiTheme="minorEastAsia" w:eastAsiaTheme="minorEastAsia" w:hAnsiTheme="minorEastAsia"/>
          <w:szCs w:val="21"/>
        </w:rPr>
      </w:pPr>
    </w:p>
    <w:sectPr w:rsidR="000E6BAE">
      <w:footerReference w:type="even" r:id="rId18"/>
      <w:footerReference w:type="default" r:id="rId19"/>
      <w:pgSz w:w="11906" w:h="16838"/>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D6463">
      <w:r>
        <w:separator/>
      </w:r>
    </w:p>
  </w:endnote>
  <w:endnote w:type="continuationSeparator" w:id="0">
    <w:p w:rsidR="00000000" w:rsidRDefault="00CD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BAE" w:rsidRDefault="000E6BA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BAE" w:rsidRDefault="000E6BA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BAE" w:rsidRDefault="000E6BAE">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BAE" w:rsidRDefault="00CD6463">
    <w:pPr>
      <w:pStyle w:val="af2"/>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0E6BAE" w:rsidRDefault="000E6BAE">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BAE" w:rsidRDefault="00CD6463">
    <w:pPr>
      <w:pStyle w:val="af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noProof/>
        <w:kern w:val="0"/>
        <w:szCs w:val="21"/>
      </w:rPr>
      <w:t>49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56</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D6463">
      <w:r>
        <w:separator/>
      </w:r>
    </w:p>
  </w:footnote>
  <w:footnote w:type="continuationSeparator" w:id="0">
    <w:p w:rsidR="00000000" w:rsidRDefault="00CD6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BAE" w:rsidRDefault="000E6BAE">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BAE" w:rsidRDefault="00CD6463">
    <w:pPr>
      <w:spacing w:before="29" w:line="288" w:lineRule="auto"/>
      <w:jc w:val="right"/>
      <w:rPr>
        <w:rFonts w:eastAsiaTheme="minorEastAsia"/>
        <w:sz w:val="24"/>
      </w:rPr>
    </w:pPr>
    <w:r>
      <w:rPr>
        <w:rFonts w:eastAsiaTheme="minorEastAsia"/>
        <w:sz w:val="24"/>
      </w:rPr>
      <w:t>交银施罗德丰润收益债券型证券投资基金</w:t>
    </w:r>
    <w:r>
      <w:rPr>
        <w:rFonts w:eastAsiaTheme="minorEastAsia"/>
        <w:sz w:val="24"/>
      </w:rPr>
      <w:t>2020</w:t>
    </w:r>
    <w:r>
      <w:rPr>
        <w:rFonts w:eastAsiaTheme="minorEastAsia"/>
        <w:sz w:val="24"/>
      </w:rPr>
      <w:t>年年度报告</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BAE" w:rsidRDefault="000E6BAE">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2C0"/>
    <w:rsid w:val="00013CAE"/>
    <w:rsid w:val="00014EDA"/>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387"/>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0CC4"/>
    <w:rsid w:val="000510AB"/>
    <w:rsid w:val="000514E0"/>
    <w:rsid w:val="0005173E"/>
    <w:rsid w:val="00052276"/>
    <w:rsid w:val="000525D9"/>
    <w:rsid w:val="00053091"/>
    <w:rsid w:val="0005346A"/>
    <w:rsid w:val="000534CD"/>
    <w:rsid w:val="00053EED"/>
    <w:rsid w:val="0005448A"/>
    <w:rsid w:val="00054499"/>
    <w:rsid w:val="00055AF1"/>
    <w:rsid w:val="000573B5"/>
    <w:rsid w:val="00057665"/>
    <w:rsid w:val="00060597"/>
    <w:rsid w:val="00060702"/>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B58"/>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4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D7C"/>
    <w:rsid w:val="000E0947"/>
    <w:rsid w:val="000E13A1"/>
    <w:rsid w:val="000E34ED"/>
    <w:rsid w:val="000E3DA6"/>
    <w:rsid w:val="000E4456"/>
    <w:rsid w:val="000E5DBC"/>
    <w:rsid w:val="000E6184"/>
    <w:rsid w:val="000E67FE"/>
    <w:rsid w:val="000E6BA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5A1C"/>
    <w:rsid w:val="000F60F3"/>
    <w:rsid w:val="000F60FF"/>
    <w:rsid w:val="000F635F"/>
    <w:rsid w:val="000F6C61"/>
    <w:rsid w:val="000F754C"/>
    <w:rsid w:val="000F7EF1"/>
    <w:rsid w:val="00100C12"/>
    <w:rsid w:val="001013A8"/>
    <w:rsid w:val="00101C35"/>
    <w:rsid w:val="00101DF8"/>
    <w:rsid w:val="001025F3"/>
    <w:rsid w:val="00102CC8"/>
    <w:rsid w:val="001030B5"/>
    <w:rsid w:val="0010352B"/>
    <w:rsid w:val="0010401E"/>
    <w:rsid w:val="001049B6"/>
    <w:rsid w:val="00104DE3"/>
    <w:rsid w:val="00104E75"/>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66F"/>
    <w:rsid w:val="00147D2C"/>
    <w:rsid w:val="00147D41"/>
    <w:rsid w:val="0015080E"/>
    <w:rsid w:val="00150AD6"/>
    <w:rsid w:val="0015173F"/>
    <w:rsid w:val="00151B2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7ACB"/>
    <w:rsid w:val="00197C86"/>
    <w:rsid w:val="00197E15"/>
    <w:rsid w:val="001A088E"/>
    <w:rsid w:val="001A0F4A"/>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081B"/>
    <w:rsid w:val="001C189E"/>
    <w:rsid w:val="001C1C7F"/>
    <w:rsid w:val="001C22D0"/>
    <w:rsid w:val="001C2F9C"/>
    <w:rsid w:val="001C31D0"/>
    <w:rsid w:val="001C3399"/>
    <w:rsid w:val="001C3716"/>
    <w:rsid w:val="001C37F6"/>
    <w:rsid w:val="001C393B"/>
    <w:rsid w:val="001C4555"/>
    <w:rsid w:val="001C4D9F"/>
    <w:rsid w:val="001C5289"/>
    <w:rsid w:val="001C5C68"/>
    <w:rsid w:val="001C60B4"/>
    <w:rsid w:val="001C6288"/>
    <w:rsid w:val="001C67A1"/>
    <w:rsid w:val="001C72BF"/>
    <w:rsid w:val="001C7C58"/>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05D0"/>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319"/>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0567"/>
    <w:rsid w:val="00251201"/>
    <w:rsid w:val="0025158D"/>
    <w:rsid w:val="00251C7E"/>
    <w:rsid w:val="0025210C"/>
    <w:rsid w:val="00252697"/>
    <w:rsid w:val="0025281A"/>
    <w:rsid w:val="00253D3C"/>
    <w:rsid w:val="002544D7"/>
    <w:rsid w:val="00255292"/>
    <w:rsid w:val="00255A23"/>
    <w:rsid w:val="00256071"/>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758"/>
    <w:rsid w:val="00271DCB"/>
    <w:rsid w:val="00272321"/>
    <w:rsid w:val="0027235A"/>
    <w:rsid w:val="00273F39"/>
    <w:rsid w:val="00273F86"/>
    <w:rsid w:val="002741BE"/>
    <w:rsid w:val="00274E28"/>
    <w:rsid w:val="002752EA"/>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A70"/>
    <w:rsid w:val="00291F6F"/>
    <w:rsid w:val="002920D8"/>
    <w:rsid w:val="002923B1"/>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AAC"/>
    <w:rsid w:val="002A3DFD"/>
    <w:rsid w:val="002A46A7"/>
    <w:rsid w:val="002A5C6B"/>
    <w:rsid w:val="002A5D31"/>
    <w:rsid w:val="002A5EF1"/>
    <w:rsid w:val="002A6567"/>
    <w:rsid w:val="002A714F"/>
    <w:rsid w:val="002A75D7"/>
    <w:rsid w:val="002B02AE"/>
    <w:rsid w:val="002B09C0"/>
    <w:rsid w:val="002B1851"/>
    <w:rsid w:val="002B27FF"/>
    <w:rsid w:val="002B2F4E"/>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CC4"/>
    <w:rsid w:val="002D2F3A"/>
    <w:rsid w:val="002D32E3"/>
    <w:rsid w:val="002D33D4"/>
    <w:rsid w:val="002D33F1"/>
    <w:rsid w:val="002D344B"/>
    <w:rsid w:val="002D353D"/>
    <w:rsid w:val="002D5076"/>
    <w:rsid w:val="002D52AD"/>
    <w:rsid w:val="002D58D8"/>
    <w:rsid w:val="002D5EB1"/>
    <w:rsid w:val="002E0394"/>
    <w:rsid w:val="002E0644"/>
    <w:rsid w:val="002E0FEB"/>
    <w:rsid w:val="002E171B"/>
    <w:rsid w:val="002E2E3E"/>
    <w:rsid w:val="002E319D"/>
    <w:rsid w:val="002E38CA"/>
    <w:rsid w:val="002E4AD5"/>
    <w:rsid w:val="002E4C2D"/>
    <w:rsid w:val="002E63B8"/>
    <w:rsid w:val="002E6E13"/>
    <w:rsid w:val="002E79D0"/>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500A"/>
    <w:rsid w:val="00335C87"/>
    <w:rsid w:val="00336AA2"/>
    <w:rsid w:val="00337B1B"/>
    <w:rsid w:val="00337FC0"/>
    <w:rsid w:val="003405DA"/>
    <w:rsid w:val="003407A5"/>
    <w:rsid w:val="0034096C"/>
    <w:rsid w:val="003410A1"/>
    <w:rsid w:val="00341188"/>
    <w:rsid w:val="0034147B"/>
    <w:rsid w:val="00341F55"/>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1EE8"/>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E2"/>
    <w:rsid w:val="003A551D"/>
    <w:rsid w:val="003A6C46"/>
    <w:rsid w:val="003A773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5DE7"/>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2EC"/>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182"/>
    <w:rsid w:val="003F0394"/>
    <w:rsid w:val="003F0B30"/>
    <w:rsid w:val="003F0C3A"/>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88"/>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4503"/>
    <w:rsid w:val="00414827"/>
    <w:rsid w:val="00414C00"/>
    <w:rsid w:val="004153B3"/>
    <w:rsid w:val="00415772"/>
    <w:rsid w:val="004163FD"/>
    <w:rsid w:val="0041683D"/>
    <w:rsid w:val="00416C10"/>
    <w:rsid w:val="004175C1"/>
    <w:rsid w:val="00417976"/>
    <w:rsid w:val="00417A0E"/>
    <w:rsid w:val="0042053A"/>
    <w:rsid w:val="004213D6"/>
    <w:rsid w:val="00421C75"/>
    <w:rsid w:val="004220A8"/>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5BF3"/>
    <w:rsid w:val="00435F05"/>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610E"/>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C7E86"/>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3C68"/>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43CD"/>
    <w:rsid w:val="00575B68"/>
    <w:rsid w:val="00575DA6"/>
    <w:rsid w:val="00576FEE"/>
    <w:rsid w:val="005770BD"/>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AD4"/>
    <w:rsid w:val="00586819"/>
    <w:rsid w:val="00586E9A"/>
    <w:rsid w:val="005872C2"/>
    <w:rsid w:val="00587419"/>
    <w:rsid w:val="00590FE4"/>
    <w:rsid w:val="0059158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AC3"/>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6FAB"/>
    <w:rsid w:val="005B7476"/>
    <w:rsid w:val="005B75B3"/>
    <w:rsid w:val="005B7688"/>
    <w:rsid w:val="005B7849"/>
    <w:rsid w:val="005B7B0E"/>
    <w:rsid w:val="005B7BB7"/>
    <w:rsid w:val="005C0DFA"/>
    <w:rsid w:val="005C0FF0"/>
    <w:rsid w:val="005C1282"/>
    <w:rsid w:val="005C219B"/>
    <w:rsid w:val="005C3358"/>
    <w:rsid w:val="005C492F"/>
    <w:rsid w:val="005C4A35"/>
    <w:rsid w:val="005C4B4C"/>
    <w:rsid w:val="005C5409"/>
    <w:rsid w:val="005C55D8"/>
    <w:rsid w:val="005C55EF"/>
    <w:rsid w:val="005C565E"/>
    <w:rsid w:val="005C5BCB"/>
    <w:rsid w:val="005C5FDA"/>
    <w:rsid w:val="005C628C"/>
    <w:rsid w:val="005C63D3"/>
    <w:rsid w:val="005C6765"/>
    <w:rsid w:val="005C69AC"/>
    <w:rsid w:val="005C722E"/>
    <w:rsid w:val="005C7576"/>
    <w:rsid w:val="005C7759"/>
    <w:rsid w:val="005C7DCF"/>
    <w:rsid w:val="005D0002"/>
    <w:rsid w:val="005D01A4"/>
    <w:rsid w:val="005D072B"/>
    <w:rsid w:val="005D0CA4"/>
    <w:rsid w:val="005D15AE"/>
    <w:rsid w:val="005D1A7B"/>
    <w:rsid w:val="005D1EDD"/>
    <w:rsid w:val="005D1F4A"/>
    <w:rsid w:val="005D2376"/>
    <w:rsid w:val="005D3B90"/>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5256"/>
    <w:rsid w:val="005F55D6"/>
    <w:rsid w:val="005F5CA9"/>
    <w:rsid w:val="005F68CB"/>
    <w:rsid w:val="005F6BDE"/>
    <w:rsid w:val="00600242"/>
    <w:rsid w:val="0060066A"/>
    <w:rsid w:val="00602AD8"/>
    <w:rsid w:val="006033E3"/>
    <w:rsid w:val="006036E0"/>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505"/>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732"/>
    <w:rsid w:val="00640CFF"/>
    <w:rsid w:val="00640DA7"/>
    <w:rsid w:val="00642072"/>
    <w:rsid w:val="00643BA5"/>
    <w:rsid w:val="006440ED"/>
    <w:rsid w:val="0064467C"/>
    <w:rsid w:val="00644A4B"/>
    <w:rsid w:val="00644AB5"/>
    <w:rsid w:val="00644AF0"/>
    <w:rsid w:val="00645213"/>
    <w:rsid w:val="00645293"/>
    <w:rsid w:val="006468CB"/>
    <w:rsid w:val="00650975"/>
    <w:rsid w:val="00651A3C"/>
    <w:rsid w:val="00651B78"/>
    <w:rsid w:val="00651D72"/>
    <w:rsid w:val="00652263"/>
    <w:rsid w:val="0065238F"/>
    <w:rsid w:val="00652881"/>
    <w:rsid w:val="006528B8"/>
    <w:rsid w:val="00652985"/>
    <w:rsid w:val="006533AE"/>
    <w:rsid w:val="006551AE"/>
    <w:rsid w:val="00655493"/>
    <w:rsid w:val="00655F30"/>
    <w:rsid w:val="0065716F"/>
    <w:rsid w:val="00657A5B"/>
    <w:rsid w:val="00657E9A"/>
    <w:rsid w:val="00660056"/>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8A5"/>
    <w:rsid w:val="006B4B92"/>
    <w:rsid w:val="006B4C49"/>
    <w:rsid w:val="006B62F0"/>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88A"/>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4A7"/>
    <w:rsid w:val="0073681C"/>
    <w:rsid w:val="0073725B"/>
    <w:rsid w:val="00737CA9"/>
    <w:rsid w:val="0074033C"/>
    <w:rsid w:val="0074050E"/>
    <w:rsid w:val="00740B66"/>
    <w:rsid w:val="00741626"/>
    <w:rsid w:val="00741645"/>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2DC"/>
    <w:rsid w:val="00745B3E"/>
    <w:rsid w:val="00745FCE"/>
    <w:rsid w:val="00746130"/>
    <w:rsid w:val="007462CE"/>
    <w:rsid w:val="00746A40"/>
    <w:rsid w:val="00746C24"/>
    <w:rsid w:val="00746E6A"/>
    <w:rsid w:val="00747598"/>
    <w:rsid w:val="00747AA1"/>
    <w:rsid w:val="00750358"/>
    <w:rsid w:val="007520A3"/>
    <w:rsid w:val="00752152"/>
    <w:rsid w:val="007526F5"/>
    <w:rsid w:val="00754346"/>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77C"/>
    <w:rsid w:val="00775832"/>
    <w:rsid w:val="0077589D"/>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619A"/>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60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5BD"/>
    <w:rsid w:val="007B3968"/>
    <w:rsid w:val="007B45AF"/>
    <w:rsid w:val="007B4DD0"/>
    <w:rsid w:val="007B611E"/>
    <w:rsid w:val="007B662A"/>
    <w:rsid w:val="007B6DD8"/>
    <w:rsid w:val="007B70BA"/>
    <w:rsid w:val="007B71DC"/>
    <w:rsid w:val="007B7743"/>
    <w:rsid w:val="007C01A3"/>
    <w:rsid w:val="007C04F4"/>
    <w:rsid w:val="007C0D70"/>
    <w:rsid w:val="007C183B"/>
    <w:rsid w:val="007C2139"/>
    <w:rsid w:val="007C27DE"/>
    <w:rsid w:val="007C299E"/>
    <w:rsid w:val="007C2AE2"/>
    <w:rsid w:val="007C525F"/>
    <w:rsid w:val="007C5321"/>
    <w:rsid w:val="007C5E8A"/>
    <w:rsid w:val="007C5F4B"/>
    <w:rsid w:val="007C6AAB"/>
    <w:rsid w:val="007C7AE2"/>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0F62"/>
    <w:rsid w:val="007E1AA2"/>
    <w:rsid w:val="007E1EB2"/>
    <w:rsid w:val="007E1F2C"/>
    <w:rsid w:val="007E26F4"/>
    <w:rsid w:val="007E279D"/>
    <w:rsid w:val="007E2D69"/>
    <w:rsid w:val="007E3B9A"/>
    <w:rsid w:val="007E3EEF"/>
    <w:rsid w:val="007E46E8"/>
    <w:rsid w:val="007E470F"/>
    <w:rsid w:val="007E4C1F"/>
    <w:rsid w:val="007E51B6"/>
    <w:rsid w:val="007E628B"/>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2C5C"/>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4731"/>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0B42"/>
    <w:rsid w:val="00861B4D"/>
    <w:rsid w:val="00863011"/>
    <w:rsid w:val="00863C5B"/>
    <w:rsid w:val="00863D2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2004"/>
    <w:rsid w:val="008825BF"/>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6E81"/>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B1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0DE"/>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121"/>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24CC"/>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7264"/>
    <w:rsid w:val="0090765F"/>
    <w:rsid w:val="00907748"/>
    <w:rsid w:val="009108B4"/>
    <w:rsid w:val="00910C34"/>
    <w:rsid w:val="00911305"/>
    <w:rsid w:val="009113DE"/>
    <w:rsid w:val="00912590"/>
    <w:rsid w:val="00913200"/>
    <w:rsid w:val="009136A4"/>
    <w:rsid w:val="009138B7"/>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10D9"/>
    <w:rsid w:val="00941E93"/>
    <w:rsid w:val="00942286"/>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36F8"/>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55F7"/>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2CC"/>
    <w:rsid w:val="009844D6"/>
    <w:rsid w:val="00984520"/>
    <w:rsid w:val="0098545C"/>
    <w:rsid w:val="00985506"/>
    <w:rsid w:val="009855ED"/>
    <w:rsid w:val="0098576C"/>
    <w:rsid w:val="00985A6A"/>
    <w:rsid w:val="009862F1"/>
    <w:rsid w:val="00986F23"/>
    <w:rsid w:val="009871EA"/>
    <w:rsid w:val="009906D0"/>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14CD"/>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3E5B"/>
    <w:rsid w:val="009E43DD"/>
    <w:rsid w:val="009E4465"/>
    <w:rsid w:val="009E4E1C"/>
    <w:rsid w:val="009E52A9"/>
    <w:rsid w:val="009E5318"/>
    <w:rsid w:val="009E5FFF"/>
    <w:rsid w:val="009E6401"/>
    <w:rsid w:val="009E6C54"/>
    <w:rsid w:val="009E704A"/>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05BB8"/>
    <w:rsid w:val="00A114B9"/>
    <w:rsid w:val="00A12107"/>
    <w:rsid w:val="00A129F4"/>
    <w:rsid w:val="00A13A65"/>
    <w:rsid w:val="00A14589"/>
    <w:rsid w:val="00A148F0"/>
    <w:rsid w:val="00A14AE3"/>
    <w:rsid w:val="00A16675"/>
    <w:rsid w:val="00A16F9C"/>
    <w:rsid w:val="00A17957"/>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088B"/>
    <w:rsid w:val="00A31819"/>
    <w:rsid w:val="00A3276D"/>
    <w:rsid w:val="00A3283D"/>
    <w:rsid w:val="00A334D1"/>
    <w:rsid w:val="00A34257"/>
    <w:rsid w:val="00A3655D"/>
    <w:rsid w:val="00A3663D"/>
    <w:rsid w:val="00A36822"/>
    <w:rsid w:val="00A36984"/>
    <w:rsid w:val="00A36AB5"/>
    <w:rsid w:val="00A36B69"/>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728"/>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708E"/>
    <w:rsid w:val="00A879F6"/>
    <w:rsid w:val="00A87D8A"/>
    <w:rsid w:val="00A903B6"/>
    <w:rsid w:val="00A90B96"/>
    <w:rsid w:val="00A90F4F"/>
    <w:rsid w:val="00A9208E"/>
    <w:rsid w:val="00A92579"/>
    <w:rsid w:val="00A925DC"/>
    <w:rsid w:val="00A936F9"/>
    <w:rsid w:val="00A94390"/>
    <w:rsid w:val="00A943D0"/>
    <w:rsid w:val="00A947AA"/>
    <w:rsid w:val="00A94888"/>
    <w:rsid w:val="00A94970"/>
    <w:rsid w:val="00A9586E"/>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4DD"/>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C7"/>
    <w:rsid w:val="00AE14DD"/>
    <w:rsid w:val="00AE16F7"/>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6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F0D"/>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486A"/>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BC5"/>
    <w:rsid w:val="00B55C03"/>
    <w:rsid w:val="00B55F0B"/>
    <w:rsid w:val="00B56670"/>
    <w:rsid w:val="00B56A70"/>
    <w:rsid w:val="00B56CD4"/>
    <w:rsid w:val="00B60638"/>
    <w:rsid w:val="00B606F8"/>
    <w:rsid w:val="00B61923"/>
    <w:rsid w:val="00B621D6"/>
    <w:rsid w:val="00B63AF2"/>
    <w:rsid w:val="00B644D5"/>
    <w:rsid w:val="00B649BF"/>
    <w:rsid w:val="00B65747"/>
    <w:rsid w:val="00B65D6F"/>
    <w:rsid w:val="00B65FAD"/>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96D"/>
    <w:rsid w:val="00BB1EB3"/>
    <w:rsid w:val="00BB2678"/>
    <w:rsid w:val="00BB29CC"/>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645C"/>
    <w:rsid w:val="00BC702F"/>
    <w:rsid w:val="00BD0ECF"/>
    <w:rsid w:val="00BD1BD7"/>
    <w:rsid w:val="00BD30C8"/>
    <w:rsid w:val="00BD38F4"/>
    <w:rsid w:val="00BD3EB4"/>
    <w:rsid w:val="00BD4300"/>
    <w:rsid w:val="00BD4C5B"/>
    <w:rsid w:val="00BD4C70"/>
    <w:rsid w:val="00BD50EA"/>
    <w:rsid w:val="00BD5359"/>
    <w:rsid w:val="00BD5468"/>
    <w:rsid w:val="00BD5C65"/>
    <w:rsid w:val="00BD6235"/>
    <w:rsid w:val="00BD7BCC"/>
    <w:rsid w:val="00BE0717"/>
    <w:rsid w:val="00BE0DE7"/>
    <w:rsid w:val="00BE16E9"/>
    <w:rsid w:val="00BE2730"/>
    <w:rsid w:val="00BE280A"/>
    <w:rsid w:val="00BE28CE"/>
    <w:rsid w:val="00BE2A17"/>
    <w:rsid w:val="00BE31BE"/>
    <w:rsid w:val="00BE3A1D"/>
    <w:rsid w:val="00BE3B92"/>
    <w:rsid w:val="00BE41BF"/>
    <w:rsid w:val="00BE487E"/>
    <w:rsid w:val="00BE6018"/>
    <w:rsid w:val="00BE7086"/>
    <w:rsid w:val="00BE7278"/>
    <w:rsid w:val="00BE7F3D"/>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29C"/>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194D"/>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D71"/>
    <w:rsid w:val="00C55FBF"/>
    <w:rsid w:val="00C56D47"/>
    <w:rsid w:val="00C5718C"/>
    <w:rsid w:val="00C57E68"/>
    <w:rsid w:val="00C601C9"/>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A7ED6"/>
    <w:rsid w:val="00CB002C"/>
    <w:rsid w:val="00CB10F5"/>
    <w:rsid w:val="00CB1E4B"/>
    <w:rsid w:val="00CB259F"/>
    <w:rsid w:val="00CB378B"/>
    <w:rsid w:val="00CB3806"/>
    <w:rsid w:val="00CB39C2"/>
    <w:rsid w:val="00CB3E38"/>
    <w:rsid w:val="00CB3F75"/>
    <w:rsid w:val="00CB4C8C"/>
    <w:rsid w:val="00CB4E90"/>
    <w:rsid w:val="00CB5850"/>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2621"/>
    <w:rsid w:val="00CD29E8"/>
    <w:rsid w:val="00CD2E48"/>
    <w:rsid w:val="00CD4826"/>
    <w:rsid w:val="00CD4E19"/>
    <w:rsid w:val="00CD5772"/>
    <w:rsid w:val="00CD6219"/>
    <w:rsid w:val="00CD6463"/>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5696"/>
    <w:rsid w:val="00D15B96"/>
    <w:rsid w:val="00D15C51"/>
    <w:rsid w:val="00D160A2"/>
    <w:rsid w:val="00D16A9E"/>
    <w:rsid w:val="00D16C68"/>
    <w:rsid w:val="00D200BD"/>
    <w:rsid w:val="00D201AA"/>
    <w:rsid w:val="00D204A7"/>
    <w:rsid w:val="00D20AA5"/>
    <w:rsid w:val="00D21330"/>
    <w:rsid w:val="00D22399"/>
    <w:rsid w:val="00D224ED"/>
    <w:rsid w:val="00D2370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52D"/>
    <w:rsid w:val="00D73F89"/>
    <w:rsid w:val="00D74479"/>
    <w:rsid w:val="00D744BC"/>
    <w:rsid w:val="00D7505C"/>
    <w:rsid w:val="00D7585A"/>
    <w:rsid w:val="00D758D9"/>
    <w:rsid w:val="00D75C62"/>
    <w:rsid w:val="00D77C53"/>
    <w:rsid w:val="00D77E96"/>
    <w:rsid w:val="00D80618"/>
    <w:rsid w:val="00D807DF"/>
    <w:rsid w:val="00D81900"/>
    <w:rsid w:val="00D81C9A"/>
    <w:rsid w:val="00D82339"/>
    <w:rsid w:val="00D82494"/>
    <w:rsid w:val="00D826C5"/>
    <w:rsid w:val="00D82FF2"/>
    <w:rsid w:val="00D83774"/>
    <w:rsid w:val="00D83C27"/>
    <w:rsid w:val="00D8431C"/>
    <w:rsid w:val="00D84A4B"/>
    <w:rsid w:val="00D85052"/>
    <w:rsid w:val="00D85686"/>
    <w:rsid w:val="00D877B1"/>
    <w:rsid w:val="00D90A81"/>
    <w:rsid w:val="00D90B7D"/>
    <w:rsid w:val="00D90DCE"/>
    <w:rsid w:val="00D91984"/>
    <w:rsid w:val="00D91E41"/>
    <w:rsid w:val="00D92168"/>
    <w:rsid w:val="00D9217F"/>
    <w:rsid w:val="00D9231C"/>
    <w:rsid w:val="00D92607"/>
    <w:rsid w:val="00D92A5E"/>
    <w:rsid w:val="00D935BD"/>
    <w:rsid w:val="00D93F1F"/>
    <w:rsid w:val="00D940B5"/>
    <w:rsid w:val="00D9582D"/>
    <w:rsid w:val="00D95CB0"/>
    <w:rsid w:val="00D9654F"/>
    <w:rsid w:val="00D966FE"/>
    <w:rsid w:val="00D977C0"/>
    <w:rsid w:val="00D97E14"/>
    <w:rsid w:val="00DA00A3"/>
    <w:rsid w:val="00DA0E5A"/>
    <w:rsid w:val="00DA13F3"/>
    <w:rsid w:val="00DA2894"/>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17F"/>
    <w:rsid w:val="00DE122A"/>
    <w:rsid w:val="00DE14CD"/>
    <w:rsid w:val="00DE2D17"/>
    <w:rsid w:val="00DE353C"/>
    <w:rsid w:val="00DE401C"/>
    <w:rsid w:val="00DE6E2F"/>
    <w:rsid w:val="00DE6F47"/>
    <w:rsid w:val="00DE770B"/>
    <w:rsid w:val="00DE7D13"/>
    <w:rsid w:val="00DE7DB9"/>
    <w:rsid w:val="00DE7FF4"/>
    <w:rsid w:val="00DF008B"/>
    <w:rsid w:val="00DF0727"/>
    <w:rsid w:val="00DF0D24"/>
    <w:rsid w:val="00DF1523"/>
    <w:rsid w:val="00DF1DE0"/>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C43"/>
    <w:rsid w:val="00E02DEB"/>
    <w:rsid w:val="00E037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56B2B"/>
    <w:rsid w:val="00E579BD"/>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C5"/>
    <w:rsid w:val="00E75645"/>
    <w:rsid w:val="00E75790"/>
    <w:rsid w:val="00E76792"/>
    <w:rsid w:val="00E769C8"/>
    <w:rsid w:val="00E76B86"/>
    <w:rsid w:val="00E777F5"/>
    <w:rsid w:val="00E77D79"/>
    <w:rsid w:val="00E809F3"/>
    <w:rsid w:val="00E80C21"/>
    <w:rsid w:val="00E820BD"/>
    <w:rsid w:val="00E8227B"/>
    <w:rsid w:val="00E826BC"/>
    <w:rsid w:val="00E82E97"/>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0F2"/>
    <w:rsid w:val="00EA59DD"/>
    <w:rsid w:val="00EA6FA7"/>
    <w:rsid w:val="00EB067F"/>
    <w:rsid w:val="00EB17BE"/>
    <w:rsid w:val="00EB18B8"/>
    <w:rsid w:val="00EB1A1B"/>
    <w:rsid w:val="00EB1F02"/>
    <w:rsid w:val="00EB2E64"/>
    <w:rsid w:val="00EB2F9A"/>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D7814"/>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4871"/>
    <w:rsid w:val="00EF5403"/>
    <w:rsid w:val="00EF55B7"/>
    <w:rsid w:val="00EF567D"/>
    <w:rsid w:val="00EF5B3A"/>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2B3"/>
    <w:rsid w:val="00F07485"/>
    <w:rsid w:val="00F102F5"/>
    <w:rsid w:val="00F10B9D"/>
    <w:rsid w:val="00F10BC6"/>
    <w:rsid w:val="00F11352"/>
    <w:rsid w:val="00F11AD0"/>
    <w:rsid w:val="00F12313"/>
    <w:rsid w:val="00F12C56"/>
    <w:rsid w:val="00F13D34"/>
    <w:rsid w:val="00F1453B"/>
    <w:rsid w:val="00F14602"/>
    <w:rsid w:val="00F1498D"/>
    <w:rsid w:val="00F14DDF"/>
    <w:rsid w:val="00F152AD"/>
    <w:rsid w:val="00F15BA3"/>
    <w:rsid w:val="00F15BB3"/>
    <w:rsid w:val="00F165B7"/>
    <w:rsid w:val="00F16761"/>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57B08"/>
    <w:rsid w:val="00F6131E"/>
    <w:rsid w:val="00F614A7"/>
    <w:rsid w:val="00F619D9"/>
    <w:rsid w:val="00F62584"/>
    <w:rsid w:val="00F62C0F"/>
    <w:rsid w:val="00F633F1"/>
    <w:rsid w:val="00F6352D"/>
    <w:rsid w:val="00F63BF7"/>
    <w:rsid w:val="00F644D4"/>
    <w:rsid w:val="00F6453E"/>
    <w:rsid w:val="00F64FAD"/>
    <w:rsid w:val="00F65215"/>
    <w:rsid w:val="00F65617"/>
    <w:rsid w:val="00F65A88"/>
    <w:rsid w:val="00F66494"/>
    <w:rsid w:val="00F67BD7"/>
    <w:rsid w:val="00F710BE"/>
    <w:rsid w:val="00F712C1"/>
    <w:rsid w:val="00F713BD"/>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3CD6"/>
    <w:rsid w:val="00F855F5"/>
    <w:rsid w:val="00F85F83"/>
    <w:rsid w:val="00F86F3C"/>
    <w:rsid w:val="00F87B7B"/>
    <w:rsid w:val="00F9030E"/>
    <w:rsid w:val="00F90A44"/>
    <w:rsid w:val="00F90F99"/>
    <w:rsid w:val="00F91045"/>
    <w:rsid w:val="00F912FD"/>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338"/>
    <w:rsid w:val="00FA54E8"/>
    <w:rsid w:val="00FA5528"/>
    <w:rsid w:val="00FA5A36"/>
    <w:rsid w:val="00FA5FE8"/>
    <w:rsid w:val="00FA668B"/>
    <w:rsid w:val="00FA67CF"/>
    <w:rsid w:val="00FA743C"/>
    <w:rsid w:val="00FB0CBD"/>
    <w:rsid w:val="00FB0D68"/>
    <w:rsid w:val="00FB1410"/>
    <w:rsid w:val="00FB175E"/>
    <w:rsid w:val="00FB2187"/>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19F"/>
    <w:rsid w:val="00FC674E"/>
    <w:rsid w:val="00FC6D6C"/>
    <w:rsid w:val="00FD1C3C"/>
    <w:rsid w:val="00FD24F6"/>
    <w:rsid w:val="00FD2D6C"/>
    <w:rsid w:val="00FD2DB1"/>
    <w:rsid w:val="00FD3669"/>
    <w:rsid w:val="00FD38A8"/>
    <w:rsid w:val="00FD3983"/>
    <w:rsid w:val="00FD3CAF"/>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 w:val="01D160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0C7298-AB2B-4F8A-A03A-C764D716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qFormat="1"/>
    <w:lsdException w:name="annotation text" w:semiHidden="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qFormat="1"/>
    <w:lsdException w:name="Block Text" w:semiHidden="1" w:unhideWhenUsed="1"/>
    <w:lsdException w:name="FollowedHyperlink" w:qFormat="1"/>
    <w:lsdException w:name="Strong" w:locked="1" w:uiPriority="22" w:qFormat="1"/>
    <w:lsdException w:name="Emphasis" w:locked="1" w:uiPriority="0" w:qFormat="1"/>
    <w:lsdException w:name="Document Map" w:semiHidden="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widowControl/>
      <w:jc w:val="left"/>
      <w:outlineLvl w:val="0"/>
    </w:pPr>
    <w:rPr>
      <w:kern w:val="0"/>
      <w:sz w:val="24"/>
      <w:szCs w:val="20"/>
      <w:lang w:val="en-GB"/>
    </w:rPr>
  </w:style>
  <w:style w:type="paragraph" w:styleId="2">
    <w:name w:val="heading 2"/>
    <w:basedOn w:val="a"/>
    <w:next w:val="a0"/>
    <w:link w:val="20"/>
    <w:uiPriority w:val="99"/>
    <w:qFormat/>
    <w:pPr>
      <w:keepNext/>
      <w:keepLines/>
      <w:spacing w:before="260" w:after="260" w:line="360" w:lineRule="auto"/>
      <w:outlineLvl w:val="1"/>
    </w:pPr>
    <w:rPr>
      <w:rFonts w:ascii="Arial" w:hAnsi="Arial"/>
      <w:b/>
      <w:bCs/>
      <w:sz w:val="24"/>
      <w:szCs w:val="28"/>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ind w:firstLineChars="200" w:firstLine="420"/>
    </w:pPr>
  </w:style>
  <w:style w:type="paragraph" w:styleId="a4">
    <w:name w:val="Document Map"/>
    <w:basedOn w:val="a"/>
    <w:link w:val="a5"/>
    <w:uiPriority w:val="99"/>
    <w:semiHidden/>
    <w:pPr>
      <w:shd w:val="clear" w:color="auto" w:fill="000080"/>
    </w:pPr>
  </w:style>
  <w:style w:type="paragraph" w:styleId="a6">
    <w:name w:val="annotation text"/>
    <w:basedOn w:val="a"/>
    <w:link w:val="a7"/>
    <w:uiPriority w:val="99"/>
    <w:semiHidden/>
    <w:pPr>
      <w:jc w:val="left"/>
    </w:pPr>
  </w:style>
  <w:style w:type="paragraph" w:styleId="a8">
    <w:name w:val="Body Text"/>
    <w:basedOn w:val="a"/>
    <w:link w:val="a9"/>
    <w:uiPriority w:val="99"/>
    <w:qFormat/>
    <w:pPr>
      <w:spacing w:after="120"/>
    </w:pPr>
  </w:style>
  <w:style w:type="paragraph" w:styleId="aa">
    <w:name w:val="Body Text Indent"/>
    <w:basedOn w:val="a"/>
    <w:link w:val="ab"/>
    <w:uiPriority w:val="99"/>
    <w:pPr>
      <w:widowControl/>
      <w:spacing w:before="100" w:beforeAutospacing="1" w:after="100" w:afterAutospacing="1"/>
      <w:jc w:val="left"/>
    </w:pPr>
    <w:rPr>
      <w:rFonts w:ascii="Arial Unicode MS" w:hAnsi="Arial Unicode MS" w:cs="Arial Unicode MS"/>
      <w:kern w:val="0"/>
      <w:sz w:val="24"/>
    </w:rPr>
  </w:style>
  <w:style w:type="paragraph" w:styleId="31">
    <w:name w:val="toc 3"/>
    <w:basedOn w:val="a"/>
    <w:next w:val="a"/>
    <w:uiPriority w:val="39"/>
    <w:qFormat/>
    <w:pPr>
      <w:ind w:leftChars="400" w:left="840"/>
    </w:pPr>
  </w:style>
  <w:style w:type="paragraph" w:styleId="ac">
    <w:name w:val="Plain Text"/>
    <w:basedOn w:val="a"/>
    <w:link w:val="ad"/>
    <w:rPr>
      <w:rFonts w:ascii="宋体" w:hAnsi="Courier New"/>
      <w:szCs w:val="21"/>
    </w:rPr>
  </w:style>
  <w:style w:type="paragraph" w:styleId="ae">
    <w:name w:val="Date"/>
    <w:basedOn w:val="a"/>
    <w:next w:val="a"/>
    <w:link w:val="af"/>
    <w:uiPriority w:val="99"/>
    <w:rPr>
      <w:sz w:val="24"/>
      <w:szCs w:val="20"/>
    </w:rPr>
  </w:style>
  <w:style w:type="paragraph" w:styleId="21">
    <w:name w:val="Body Text Indent 2"/>
    <w:basedOn w:val="a"/>
    <w:link w:val="22"/>
    <w:pPr>
      <w:spacing w:line="560" w:lineRule="exact"/>
      <w:ind w:firstLineChars="200" w:firstLine="480"/>
    </w:pPr>
    <w:rPr>
      <w:rFonts w:ascii="宋体" w:hAnsi="宋体"/>
      <w:color w:val="FF0000"/>
      <w:sz w:val="24"/>
    </w:rPr>
  </w:style>
  <w:style w:type="paragraph" w:styleId="af0">
    <w:name w:val="Balloon Text"/>
    <w:basedOn w:val="a"/>
    <w:link w:val="af1"/>
    <w:uiPriority w:val="99"/>
    <w:semiHidden/>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072"/>
      </w:tabs>
    </w:pPr>
  </w:style>
  <w:style w:type="paragraph" w:styleId="af6">
    <w:name w:val="List"/>
    <w:basedOn w:val="a8"/>
    <w:uiPriority w:val="99"/>
    <w:pPr>
      <w:spacing w:after="220" w:line="220" w:lineRule="atLeast"/>
      <w:ind w:left="1440" w:hanging="360"/>
    </w:pPr>
    <w:rPr>
      <w:szCs w:val="20"/>
    </w:rPr>
  </w:style>
  <w:style w:type="paragraph" w:styleId="af7">
    <w:name w:val="footnote text"/>
    <w:basedOn w:val="a"/>
    <w:link w:val="af8"/>
    <w:uiPriority w:val="99"/>
    <w:semiHidden/>
    <w:qFormat/>
    <w:pPr>
      <w:snapToGrid w:val="0"/>
      <w:jc w:val="left"/>
    </w:pPr>
    <w:rPr>
      <w:sz w:val="18"/>
      <w:szCs w:val="18"/>
    </w:rPr>
  </w:style>
  <w:style w:type="paragraph" w:styleId="32">
    <w:name w:val="Body Text Indent 3"/>
    <w:basedOn w:val="a"/>
    <w:link w:val="33"/>
    <w:uiPriority w:val="99"/>
    <w:qFormat/>
    <w:pPr>
      <w:spacing w:line="560" w:lineRule="exact"/>
      <w:ind w:firstLineChars="200" w:firstLine="420"/>
    </w:pPr>
    <w:rPr>
      <w:rFonts w:ascii="Arial" w:hAnsi="Arial" w:cs="Arial"/>
      <w:color w:val="FF0000"/>
    </w:rPr>
  </w:style>
  <w:style w:type="paragraph" w:styleId="23">
    <w:name w:val="toc 2"/>
    <w:basedOn w:val="a"/>
    <w:next w:val="a"/>
    <w:uiPriority w:val="39"/>
    <w:qFormat/>
    <w:pPr>
      <w:tabs>
        <w:tab w:val="left" w:pos="1260"/>
        <w:tab w:val="right" w:leader="dot" w:pos="9072"/>
      </w:tabs>
      <w:ind w:leftChars="200" w:left="200"/>
    </w:pPr>
    <w:rPr>
      <w:kern w:val="0"/>
      <w:szCs w:val="21"/>
    </w:rPr>
  </w:style>
  <w:style w:type="paragraph" w:styleId="af9">
    <w:name w:val="Normal (Web)"/>
    <w:basedOn w:val="a"/>
    <w:uiPriority w:val="99"/>
    <w:qFormat/>
    <w:pPr>
      <w:widowControl/>
      <w:spacing w:before="100" w:beforeAutospacing="1" w:after="100" w:afterAutospacing="1"/>
      <w:jc w:val="left"/>
    </w:pPr>
    <w:rPr>
      <w:rFonts w:ascii="宋体" w:hAnsi="宋体"/>
      <w:kern w:val="0"/>
      <w:sz w:val="24"/>
    </w:rPr>
  </w:style>
  <w:style w:type="paragraph" w:styleId="12">
    <w:name w:val="index 1"/>
    <w:basedOn w:val="a"/>
    <w:next w:val="a"/>
    <w:uiPriority w:val="99"/>
    <w:semiHidden/>
    <w:pPr>
      <w:jc w:val="right"/>
    </w:pPr>
    <w:rPr>
      <w:color w:val="008000"/>
    </w:rPr>
  </w:style>
  <w:style w:type="paragraph" w:styleId="afa">
    <w:name w:val="annotation subject"/>
    <w:basedOn w:val="a6"/>
    <w:next w:val="a6"/>
    <w:link w:val="afb"/>
    <w:uiPriority w:val="99"/>
    <w:semiHidden/>
    <w:qFormat/>
    <w:rPr>
      <w:b/>
      <w:bCs/>
    </w:rPr>
  </w:style>
  <w:style w:type="table" w:styleId="af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uiPriority w:val="22"/>
    <w:qFormat/>
    <w:locked/>
    <w:rPr>
      <w:b/>
      <w:bCs/>
    </w:rPr>
  </w:style>
  <w:style w:type="character" w:styleId="afe">
    <w:name w:val="page number"/>
    <w:uiPriority w:val="99"/>
    <w:qFormat/>
    <w:rPr>
      <w:rFonts w:cs="Times New Roman"/>
    </w:rPr>
  </w:style>
  <w:style w:type="character" w:styleId="aff">
    <w:name w:val="FollowedHyperlink"/>
    <w:uiPriority w:val="99"/>
    <w:qFormat/>
    <w:rPr>
      <w:rFonts w:cs="Times New Roman"/>
      <w:color w:val="800080"/>
      <w:u w:val="single"/>
    </w:rPr>
  </w:style>
  <w:style w:type="character" w:styleId="aff0">
    <w:name w:val="Hyperlink"/>
    <w:uiPriority w:val="99"/>
    <w:rPr>
      <w:rFonts w:cs="Times New Roman"/>
      <w:color w:val="0000FF"/>
      <w:u w:val="single"/>
    </w:rPr>
  </w:style>
  <w:style w:type="character" w:styleId="aff1">
    <w:name w:val="annotation reference"/>
    <w:uiPriority w:val="99"/>
    <w:semiHidden/>
    <w:qFormat/>
    <w:rPr>
      <w:rFonts w:cs="Times New Roman"/>
      <w:sz w:val="21"/>
    </w:rPr>
  </w:style>
  <w:style w:type="character" w:styleId="aff2">
    <w:name w:val="footnote reference"/>
    <w:uiPriority w:val="99"/>
    <w:semiHidden/>
    <w:qFormat/>
    <w:rPr>
      <w:rFonts w:cs="Times New Roman"/>
      <w:vertAlign w:val="superscript"/>
    </w:rPr>
  </w:style>
  <w:style w:type="character" w:customStyle="1" w:styleId="10">
    <w:name w:val="标题 1 字符"/>
    <w:link w:val="1"/>
    <w:uiPriority w:val="99"/>
    <w:qFormat/>
    <w:locked/>
    <w:rPr>
      <w:rFonts w:cs="Times New Roman"/>
      <w:sz w:val="24"/>
      <w:lang w:val="en-GB"/>
    </w:rPr>
  </w:style>
  <w:style w:type="character" w:customStyle="1" w:styleId="20">
    <w:name w:val="标题 2 字符"/>
    <w:link w:val="2"/>
    <w:uiPriority w:val="99"/>
    <w:qFormat/>
    <w:locked/>
    <w:rPr>
      <w:rFonts w:ascii="Arial" w:hAnsi="Arial"/>
      <w:b/>
      <w:kern w:val="2"/>
      <w:sz w:val="28"/>
    </w:rPr>
  </w:style>
  <w:style w:type="character" w:customStyle="1" w:styleId="30">
    <w:name w:val="标题 3 字符"/>
    <w:link w:val="3"/>
    <w:uiPriority w:val="99"/>
    <w:locked/>
    <w:rPr>
      <w:rFonts w:cs="Times New Roman"/>
      <w:b/>
      <w:bCs/>
      <w:kern w:val="2"/>
      <w:sz w:val="32"/>
      <w:szCs w:val="32"/>
    </w:rPr>
  </w:style>
  <w:style w:type="character" w:customStyle="1" w:styleId="af1">
    <w:name w:val="批注框文本 字符"/>
    <w:link w:val="af0"/>
    <w:uiPriority w:val="99"/>
    <w:semiHidden/>
    <w:locked/>
    <w:rPr>
      <w:rFonts w:cs="Times New Roman"/>
      <w:kern w:val="2"/>
      <w:sz w:val="18"/>
      <w:szCs w:val="18"/>
    </w:rPr>
  </w:style>
  <w:style w:type="character" w:customStyle="1" w:styleId="ab">
    <w:name w:val="正文文本缩进 字符"/>
    <w:link w:val="aa"/>
    <w:uiPriority w:val="99"/>
    <w:locked/>
    <w:rPr>
      <w:rFonts w:ascii="Arial Unicode MS" w:eastAsia="Times New Roman" w:hAnsi="Arial Unicode MS" w:cs="Arial Unicode MS"/>
      <w:sz w:val="24"/>
      <w:szCs w:val="24"/>
    </w:rPr>
  </w:style>
  <w:style w:type="character" w:customStyle="1" w:styleId="ad">
    <w:name w:val="纯文本 字符"/>
    <w:link w:val="ac"/>
    <w:locked/>
    <w:rPr>
      <w:rFonts w:ascii="宋体" w:hAnsi="Courier New"/>
      <w:kern w:val="2"/>
      <w:sz w:val="21"/>
    </w:rPr>
  </w:style>
  <w:style w:type="character" w:customStyle="1" w:styleId="22">
    <w:name w:val="正文文本缩进 2 字符"/>
    <w:link w:val="21"/>
    <w:locked/>
    <w:rPr>
      <w:rFonts w:ascii="宋体" w:eastAsia="宋体" w:cs="Times New Roman"/>
      <w:color w:val="FF0000"/>
      <w:kern w:val="2"/>
      <w:sz w:val="24"/>
      <w:szCs w:val="24"/>
    </w:rPr>
  </w:style>
  <w:style w:type="character" w:customStyle="1" w:styleId="af3">
    <w:name w:val="页脚 字符"/>
    <w:link w:val="af2"/>
    <w:uiPriority w:val="99"/>
    <w:qFormat/>
    <w:locked/>
    <w:rPr>
      <w:rFonts w:cs="Times New Roman"/>
      <w:kern w:val="2"/>
      <w:sz w:val="18"/>
      <w:szCs w:val="18"/>
    </w:rPr>
  </w:style>
  <w:style w:type="character" w:customStyle="1" w:styleId="33">
    <w:name w:val="正文文本缩进 3 字符"/>
    <w:link w:val="32"/>
    <w:uiPriority w:val="99"/>
    <w:qFormat/>
    <w:locked/>
    <w:rPr>
      <w:rFonts w:ascii="Arial" w:hAnsi="Arial" w:cs="Arial"/>
      <w:color w:val="FF0000"/>
      <w:kern w:val="2"/>
      <w:sz w:val="24"/>
      <w:szCs w:val="24"/>
    </w:rPr>
  </w:style>
  <w:style w:type="character" w:customStyle="1" w:styleId="af5">
    <w:name w:val="页眉 字符"/>
    <w:link w:val="af4"/>
    <w:uiPriority w:val="99"/>
    <w:qFormat/>
    <w:locked/>
    <w:rPr>
      <w:rFonts w:cs="Times New Roman"/>
      <w:kern w:val="2"/>
      <w:sz w:val="18"/>
      <w:szCs w:val="18"/>
    </w:rPr>
  </w:style>
  <w:style w:type="character" w:customStyle="1" w:styleId="a9">
    <w:name w:val="正文文本 字符"/>
    <w:link w:val="a8"/>
    <w:uiPriority w:val="99"/>
    <w:qFormat/>
    <w:locked/>
    <w:rPr>
      <w:rFonts w:cs="Times New Roman"/>
      <w:kern w:val="2"/>
      <w:sz w:val="24"/>
      <w:szCs w:val="24"/>
    </w:rPr>
  </w:style>
  <w:style w:type="character" w:customStyle="1" w:styleId="af">
    <w:name w:val="日期 字符"/>
    <w:link w:val="ae"/>
    <w:uiPriority w:val="99"/>
    <w:qFormat/>
    <w:locked/>
    <w:rPr>
      <w:rFonts w:cs="Times New Roman"/>
      <w:kern w:val="2"/>
      <w:sz w:val="24"/>
    </w:rPr>
  </w:style>
  <w:style w:type="character" w:customStyle="1" w:styleId="c1">
    <w:name w:val="c1"/>
    <w:uiPriority w:val="99"/>
    <w:qFormat/>
    <w:rPr>
      <w:color w:val="000000"/>
      <w:spacing w:val="300"/>
      <w:sz w:val="18"/>
    </w:rPr>
  </w:style>
  <w:style w:type="paragraph" w:customStyle="1" w:styleId="font5">
    <w:name w:val="font5"/>
    <w:basedOn w:val="a"/>
    <w:uiPriority w:val="99"/>
    <w:qFormat/>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customStyle="1" w:styleId="a7">
    <w:name w:val="批注文字 字符"/>
    <w:link w:val="a6"/>
    <w:uiPriority w:val="99"/>
    <w:semiHidden/>
    <w:qFormat/>
    <w:locked/>
    <w:rPr>
      <w:rFonts w:cs="Times New Roman"/>
      <w:kern w:val="2"/>
      <w:sz w:val="24"/>
      <w:szCs w:val="24"/>
    </w:rPr>
  </w:style>
  <w:style w:type="character" w:customStyle="1" w:styleId="afb">
    <w:name w:val="批注主题 字符"/>
    <w:link w:val="afa"/>
    <w:uiPriority w:val="99"/>
    <w:semiHidden/>
    <w:locked/>
    <w:rPr>
      <w:rFonts w:cs="Times New Roman"/>
      <w:b/>
      <w:bCs/>
      <w:kern w:val="2"/>
      <w:sz w:val="24"/>
      <w:szCs w:val="24"/>
    </w:rPr>
  </w:style>
  <w:style w:type="paragraph" w:customStyle="1" w:styleId="Char">
    <w:name w:val="Char"/>
    <w:basedOn w:val="a"/>
    <w:uiPriority w:val="99"/>
    <w:qFormat/>
  </w:style>
  <w:style w:type="character" w:customStyle="1" w:styleId="a5">
    <w:name w:val="文档结构图 字符"/>
    <w:link w:val="a4"/>
    <w:uiPriority w:val="99"/>
    <w:semiHidden/>
    <w:qFormat/>
    <w:locked/>
    <w:rPr>
      <w:rFonts w:cs="Times New Roman"/>
      <w:kern w:val="2"/>
      <w:sz w:val="24"/>
      <w:szCs w:val="24"/>
      <w:shd w:val="clear" w:color="auto" w:fill="000080"/>
    </w:rPr>
  </w:style>
  <w:style w:type="paragraph" w:customStyle="1" w:styleId="aff3">
    <w:name w:val="正文 + (符号) 宋体"/>
    <w:basedOn w:val="a"/>
    <w:uiPriority w:val="99"/>
    <w:pPr>
      <w:autoSpaceDE w:val="0"/>
      <w:autoSpaceDN w:val="0"/>
      <w:adjustRightInd w:val="0"/>
      <w:ind w:rightChars="671" w:right="1409" w:firstLineChars="512" w:firstLine="1229"/>
      <w:jc w:val="distribute"/>
    </w:pPr>
    <w:rPr>
      <w:sz w:val="24"/>
    </w:rPr>
  </w:style>
  <w:style w:type="character" w:customStyle="1" w:styleId="af8">
    <w:name w:val="脚注文本 字符"/>
    <w:link w:val="af7"/>
    <w:uiPriority w:val="99"/>
    <w:semiHidden/>
    <w:qFormat/>
    <w:locked/>
    <w:rPr>
      <w:rFonts w:cs="Times New Roman"/>
      <w:kern w:val="2"/>
      <w:sz w:val="18"/>
      <w:szCs w:val="18"/>
    </w:rPr>
  </w:style>
  <w:style w:type="paragraph" w:customStyle="1" w:styleId="Char1">
    <w:name w:val="Char1"/>
    <w:basedOn w:val="a"/>
    <w:uiPriority w:val="99"/>
  </w:style>
  <w:style w:type="paragraph" w:customStyle="1" w:styleId="CharCharCharCharCharChar1CharCharChar">
    <w:name w:val="Char Char Char Char Char Char1 Char Char Char"/>
    <w:basedOn w:val="a"/>
    <w:uiPriority w:val="99"/>
    <w:qFormat/>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qFormat/>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qFormat/>
    <w:pPr>
      <w:autoSpaceDE w:val="0"/>
      <w:autoSpaceDN w:val="0"/>
      <w:adjustRightInd w:val="0"/>
      <w:jc w:val="left"/>
      <w:textAlignment w:val="baseline"/>
    </w:pPr>
    <w:rPr>
      <w:rFonts w:ascii="宋体"/>
      <w:kern w:val="0"/>
      <w:sz w:val="34"/>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4439F-7FF9-4E83-ADBE-A4D80A7C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7119</Words>
  <Characters>40584</Characters>
  <Application>Microsoft Office Word</Application>
  <DocSecurity>0</DocSecurity>
  <Lines>338</Lines>
  <Paragraphs>95</Paragraphs>
  <ScaleCrop>false</ScaleCrop>
  <Company/>
  <LinksUpToDate>false</LinksUpToDate>
  <CharactersWithSpaces>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陈海斌</cp:lastModifiedBy>
  <cp:revision>1354</cp:revision>
  <cp:lastPrinted>2007-07-19T00:46:00Z</cp:lastPrinted>
  <dcterms:created xsi:type="dcterms:W3CDTF">2013-08-19T02:39:00Z</dcterms:created>
  <dcterms:modified xsi:type="dcterms:W3CDTF">2021-03-31T04:01:00Z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