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jc w:val="left"/>
        <w:rPr>
          <w:rFonts w:asciiTheme="minorEastAsia" w:hAnsiTheme="minorEastAsia" w:eastAsiaTheme="minorEastAsia"/>
          <w:color w:val="000000"/>
          <w:kern w:val="0"/>
          <w:szCs w:val="21"/>
        </w:rPr>
      </w:pPr>
    </w:p>
    <w:p>
      <w:pPr>
        <w:autoSpaceDE w:val="0"/>
        <w:autoSpaceDN w:val="0"/>
        <w:adjustRightInd w:val="0"/>
        <w:spacing w:line="360" w:lineRule="auto"/>
        <w:jc w:val="left"/>
        <w:rPr>
          <w:rFonts w:asciiTheme="minorEastAsia" w:hAnsiTheme="minorEastAsia" w:eastAsiaTheme="minorEastAsia"/>
          <w:color w:val="000000"/>
          <w:kern w:val="0"/>
          <w:szCs w:val="21"/>
        </w:rPr>
      </w:pPr>
    </w:p>
    <w:p>
      <w:pPr>
        <w:autoSpaceDE w:val="0"/>
        <w:autoSpaceDN w:val="0"/>
        <w:adjustRightInd w:val="0"/>
        <w:spacing w:line="360" w:lineRule="auto"/>
        <w:jc w:val="left"/>
        <w:rPr>
          <w:rFonts w:asciiTheme="minorEastAsia" w:hAnsiTheme="minorEastAsia" w:eastAsiaTheme="minorEastAsia"/>
          <w:color w:val="000000"/>
          <w:kern w:val="0"/>
          <w:szCs w:val="21"/>
        </w:rPr>
      </w:pPr>
    </w:p>
    <w:p>
      <w:pPr>
        <w:autoSpaceDE w:val="0"/>
        <w:autoSpaceDN w:val="0"/>
        <w:adjustRightInd w:val="0"/>
        <w:spacing w:line="360" w:lineRule="auto"/>
        <w:jc w:val="left"/>
        <w:rPr>
          <w:rFonts w:asciiTheme="minorEastAsia" w:hAnsiTheme="minorEastAsia" w:eastAsiaTheme="minorEastAsia"/>
          <w:color w:val="000000"/>
          <w:kern w:val="0"/>
          <w:szCs w:val="21"/>
        </w:rPr>
      </w:pPr>
    </w:p>
    <w:p>
      <w:pPr>
        <w:spacing w:before="29" w:line="288" w:lineRule="auto"/>
        <w:jc w:val="center"/>
        <w:rPr>
          <w:b/>
          <w:sz w:val="36"/>
          <w:szCs w:val="36"/>
        </w:rPr>
      </w:pPr>
      <w:bookmarkStart w:id="0" w:name="_Toc361324840"/>
      <w:r>
        <w:rPr>
          <w:b/>
          <w:sz w:val="36"/>
          <w:szCs w:val="36"/>
        </w:rPr>
        <w:t>交银施罗德新成长混合型证券投资基金</w:t>
      </w:r>
      <w:bookmarkEnd w:id="0"/>
    </w:p>
    <w:p>
      <w:pPr>
        <w:spacing w:before="29" w:line="288" w:lineRule="auto"/>
        <w:jc w:val="center"/>
        <w:rPr>
          <w:b/>
          <w:sz w:val="36"/>
          <w:szCs w:val="36"/>
        </w:rPr>
      </w:pPr>
      <w:bookmarkStart w:id="1" w:name="_Toc361324841"/>
      <w:r>
        <w:rPr>
          <w:b/>
          <w:sz w:val="36"/>
          <w:szCs w:val="36"/>
        </w:rPr>
        <w:t>2020年年度报告</w:t>
      </w:r>
      <w:bookmarkEnd w:id="1"/>
    </w:p>
    <w:p>
      <w:pPr>
        <w:spacing w:before="29" w:line="288" w:lineRule="auto"/>
        <w:jc w:val="center"/>
        <w:rPr>
          <w:b/>
          <w:sz w:val="36"/>
          <w:szCs w:val="36"/>
        </w:rPr>
      </w:pPr>
      <w:r>
        <w:rPr>
          <w:b/>
          <w:sz w:val="36"/>
          <w:szCs w:val="36"/>
        </w:rPr>
        <w:t>2020年12月31日</w:t>
      </w: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rPr>
          <w:rFonts w:asciiTheme="minorEastAsia" w:hAnsiTheme="minorEastAsia" w:eastAsiaTheme="minorEastAsia"/>
          <w:b/>
          <w:color w:val="000000"/>
          <w:szCs w:val="21"/>
        </w:rPr>
      </w:pPr>
    </w:p>
    <w:p>
      <w:pPr>
        <w:spacing w:before="29" w:line="288" w:lineRule="auto"/>
        <w:ind w:firstLine="2168" w:firstLineChars="900"/>
        <w:rPr>
          <w:b/>
          <w:color w:val="000000"/>
          <w:sz w:val="24"/>
        </w:rPr>
      </w:pPr>
      <w:r>
        <w:rPr>
          <w:rFonts w:hint="eastAsia"/>
          <w:b/>
          <w:color w:val="000000"/>
          <w:sz w:val="24"/>
        </w:rPr>
        <w:t>基金管理人：</w:t>
      </w:r>
      <w:r>
        <w:rPr>
          <w:b/>
          <w:color w:val="000000"/>
          <w:sz w:val="24"/>
        </w:rPr>
        <w:t>交银施罗德基金管理有限公司</w:t>
      </w:r>
    </w:p>
    <w:p>
      <w:pPr>
        <w:spacing w:before="29" w:line="288" w:lineRule="auto"/>
        <w:ind w:firstLine="2168" w:firstLineChars="900"/>
        <w:rPr>
          <w:b/>
          <w:color w:val="000000"/>
          <w:sz w:val="24"/>
        </w:rPr>
      </w:pPr>
      <w:r>
        <w:rPr>
          <w:rFonts w:hint="eastAsia"/>
          <w:b/>
          <w:color w:val="000000"/>
          <w:sz w:val="24"/>
        </w:rPr>
        <w:t>基金托管人：</w:t>
      </w:r>
      <w:r>
        <w:rPr>
          <w:b/>
          <w:color w:val="000000"/>
          <w:sz w:val="24"/>
        </w:rPr>
        <w:t>招商银行股份有限公司</w:t>
      </w:r>
    </w:p>
    <w:p>
      <w:pPr>
        <w:spacing w:before="29" w:line="288" w:lineRule="auto"/>
        <w:ind w:firstLine="2168" w:firstLineChars="900"/>
        <w:rPr>
          <w:b/>
          <w:color w:val="000000"/>
          <w:sz w:val="24"/>
        </w:rPr>
        <w:sectPr>
          <w:headerReference r:id="rId5" w:type="first"/>
          <w:footerReference r:id="rId8" w:type="first"/>
          <w:headerReference r:id="rId3" w:type="default"/>
          <w:footerReference r:id="rId6" w:type="default"/>
          <w:headerReference r:id="rId4" w:type="even"/>
          <w:footerReference r:id="rId7" w:type="even"/>
          <w:pgSz w:w="11926" w:h="15840"/>
          <w:pgMar w:top="1418" w:right="1418" w:bottom="851" w:left="1418" w:header="851" w:footer="992" w:gutter="0"/>
          <w:cols w:space="720" w:num="1"/>
          <w:titlePg/>
          <w:docGrid w:linePitch="286" w:charSpace="0"/>
        </w:sectPr>
      </w:pPr>
      <w:r>
        <w:rPr>
          <w:rFonts w:hint="eastAsia"/>
          <w:b/>
          <w:color w:val="000000"/>
          <w:sz w:val="24"/>
        </w:rPr>
        <w:t>报告送出日期：</w:t>
      </w:r>
      <w:r>
        <w:rPr>
          <w:b/>
          <w:color w:val="000000"/>
          <w:sz w:val="24"/>
        </w:rPr>
        <w:t>二〇二一年三月三十日</w:t>
      </w:r>
    </w:p>
    <w:p>
      <w:pPr>
        <w:pStyle w:val="2"/>
        <w:keepNext/>
        <w:keepLines/>
        <w:widowControl w:val="0"/>
        <w:spacing w:before="312" w:beforeLines="100" w:after="312" w:afterLines="100" w:line="288" w:lineRule="auto"/>
        <w:jc w:val="center"/>
        <w:rPr>
          <w:b/>
          <w:bCs/>
          <w:szCs w:val="24"/>
          <w:lang w:val="en-US"/>
        </w:rPr>
      </w:pPr>
      <w:bookmarkStart w:id="2" w:name="_Toc361324842"/>
      <w:bookmarkStart w:id="3" w:name="_Toc225498243"/>
      <w:bookmarkStart w:id="4" w:name="_Toc67596568"/>
      <w:r>
        <w:rPr>
          <w:rFonts w:hint="eastAsia"/>
          <w:b/>
          <w:bCs/>
          <w:szCs w:val="24"/>
          <w:lang w:val="en-US"/>
        </w:rPr>
        <w:t>§</w:t>
      </w:r>
      <w:r>
        <w:rPr>
          <w:b/>
          <w:bCs/>
          <w:szCs w:val="24"/>
          <w:lang w:val="en-US"/>
        </w:rPr>
        <w:t xml:space="preserve">1  </w:t>
      </w:r>
      <w:r>
        <w:rPr>
          <w:rFonts w:hint="eastAsia"/>
          <w:b/>
          <w:bCs/>
          <w:szCs w:val="24"/>
          <w:lang w:val="en-US"/>
        </w:rPr>
        <w:t>重要提示及目录</w:t>
      </w:r>
      <w:bookmarkEnd w:id="2"/>
      <w:bookmarkEnd w:id="3"/>
      <w:bookmarkEnd w:id="4"/>
    </w:p>
    <w:p/>
    <w:p>
      <w:pPr>
        <w:pStyle w:val="3"/>
        <w:spacing w:before="29" w:after="0" w:line="288" w:lineRule="auto"/>
        <w:rPr>
          <w:rFonts w:ascii="Times New Roman" w:hAnsi="Times New Roman"/>
          <w:kern w:val="0"/>
          <w:szCs w:val="24"/>
        </w:rPr>
      </w:pPr>
      <w:bookmarkStart w:id="5" w:name="_Toc67596569"/>
      <w:bookmarkStart w:id="6" w:name="_Toc361324843"/>
      <w:r>
        <w:rPr>
          <w:rFonts w:ascii="Times New Roman" w:hAnsi="Times New Roman"/>
          <w:kern w:val="0"/>
          <w:szCs w:val="24"/>
        </w:rPr>
        <w:t xml:space="preserve">1.1 </w:t>
      </w:r>
      <w:r>
        <w:rPr>
          <w:rFonts w:hint="eastAsia" w:ascii="Times New Roman" w:hAnsi="Times New Roman"/>
          <w:kern w:val="0"/>
          <w:szCs w:val="24"/>
        </w:rPr>
        <w:t>重要提示</w:t>
      </w:r>
      <w:bookmarkEnd w:id="5"/>
      <w:bookmarkEnd w:id="6"/>
    </w:p>
    <w:p>
      <w:pPr>
        <w:spacing w:before="29" w:line="288" w:lineRule="auto"/>
        <w:ind w:firstLine="480" w:firstLineChars="200"/>
        <w:rPr>
          <w:color w:val="000000"/>
          <w:sz w:val="24"/>
        </w:rPr>
      </w:pPr>
      <w:r>
        <w:rPr>
          <w:color w:val="000000"/>
          <w:sz w:val="24"/>
        </w:rPr>
        <w:t xml:space="preserve">基金管理人的董事会、董事保证本报告所载资料不存在虚假记载、误导性陈述或重大遗漏，并对其内容的真实性、准确性和完整性承担个别及连带的法律责任。本年度报告已经三分之二以上独立董事签字同意，并由董事长签发。 </w:t>
      </w:r>
    </w:p>
    <w:p>
      <w:pPr>
        <w:spacing w:before="29" w:line="288" w:lineRule="auto"/>
        <w:ind w:firstLine="480" w:firstLineChars="200"/>
        <w:rPr>
          <w:color w:val="000000"/>
          <w:sz w:val="24"/>
        </w:rPr>
      </w:pPr>
      <w:r>
        <w:rPr>
          <w:color w:val="000000"/>
          <w:sz w:val="24"/>
        </w:rPr>
        <w:t xml:space="preserve">基金托管人招商银行股份有限公司根据本基金合同规定，于2021年3月29日复核了本报告中的财务指标、净值表现、利润分配情况、财务会计报告、投资组合报告等内容，保证复核内容不存在虚假记载、误导性陈述或者重大遗漏。 </w:t>
      </w:r>
    </w:p>
    <w:p>
      <w:pPr>
        <w:spacing w:before="29" w:line="288" w:lineRule="auto"/>
        <w:ind w:firstLine="480" w:firstLineChars="200"/>
        <w:rPr>
          <w:color w:val="000000"/>
          <w:sz w:val="24"/>
        </w:rPr>
      </w:pPr>
      <w:r>
        <w:rPr>
          <w:color w:val="000000"/>
          <w:sz w:val="24"/>
        </w:rPr>
        <w:t xml:space="preserve">基金管理人承诺以诚实信用、勤勉尽责的原则管理和运用基金资产，但不保证基金一定盈利。 </w:t>
      </w:r>
    </w:p>
    <w:p>
      <w:pPr>
        <w:spacing w:before="29" w:line="288" w:lineRule="auto"/>
        <w:ind w:firstLine="480" w:firstLineChars="200"/>
        <w:rPr>
          <w:color w:val="000000"/>
          <w:sz w:val="24"/>
        </w:rPr>
      </w:pPr>
      <w:r>
        <w:rPr>
          <w:color w:val="000000"/>
          <w:sz w:val="24"/>
        </w:rPr>
        <w:t>基金的过往业绩并不代表其未来表现。投资有风险，投资者在作出投资决策前应仔细阅读本基金的招募说明书及其更新。</w:t>
      </w:r>
    </w:p>
    <w:p>
      <w:pPr>
        <w:spacing w:before="29" w:line="288" w:lineRule="auto"/>
        <w:ind w:firstLine="480" w:firstLineChars="200"/>
        <w:rPr>
          <w:color w:val="000000"/>
          <w:sz w:val="24"/>
        </w:rPr>
      </w:pPr>
      <w:r>
        <w:rPr>
          <w:color w:val="000000"/>
          <w:sz w:val="24"/>
        </w:rPr>
        <w:t>本报告期自2020年1月1日起至12月31日止。</w:t>
      </w:r>
    </w:p>
    <w:p>
      <w:pPr>
        <w:spacing w:before="29" w:line="288" w:lineRule="auto"/>
        <w:rPr>
          <w:b/>
          <w:bCs/>
          <w:kern w:val="0"/>
          <w:sz w:val="24"/>
        </w:rPr>
      </w:pPr>
      <w:r>
        <w:rPr>
          <w:rFonts w:asciiTheme="minorEastAsia" w:hAnsiTheme="minorEastAsia" w:eastAsiaTheme="minorEastAsia"/>
          <w:szCs w:val="21"/>
        </w:rPr>
        <w:br w:type="page"/>
      </w:r>
      <w:bookmarkStart w:id="7" w:name="_Toc245193808"/>
      <w:r>
        <w:rPr>
          <w:b/>
          <w:bCs/>
          <w:kern w:val="0"/>
          <w:sz w:val="24"/>
        </w:rPr>
        <w:t>1.2</w:t>
      </w:r>
      <w:r>
        <w:rPr>
          <w:rFonts w:hint="eastAsia"/>
          <w:b/>
          <w:bCs/>
          <w:kern w:val="0"/>
          <w:sz w:val="24"/>
        </w:rPr>
        <w:t>目录</w:t>
      </w:r>
      <w:bookmarkEnd w:id="7"/>
    </w:p>
    <w:p>
      <w:pPr>
        <w:spacing w:line="360" w:lineRule="auto"/>
        <w:ind w:firstLine="105" w:firstLineChars="50"/>
        <w:rPr>
          <w:rFonts w:ascii="宋体" w:hAnsi="宋体"/>
          <w:b/>
          <w:color w:val="000000"/>
          <w:szCs w:val="21"/>
        </w:rPr>
      </w:pPr>
    </w:p>
    <w:p>
      <w:pPr>
        <w:pStyle w:val="20"/>
        <w:rPr>
          <w:rFonts w:asciiTheme="minorHAnsi" w:hAnsiTheme="minorHAnsi" w:eastAsiaTheme="minorEastAsia" w:cstheme="minorBidi"/>
          <w:szCs w:val="22"/>
        </w:rPr>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r>
        <w:fldChar w:fldCharType="begin"/>
      </w:r>
      <w:r>
        <w:instrText xml:space="preserve"> HYPERLINK \l "_Toc67596568" </w:instrText>
      </w:r>
      <w:r>
        <w:fldChar w:fldCharType="separate"/>
      </w:r>
      <w:r>
        <w:rPr>
          <w:rStyle w:val="37"/>
          <w:b/>
          <w:bCs/>
        </w:rPr>
        <w:t>§1  重要提示及目录</w:t>
      </w:r>
      <w:r>
        <w:tab/>
      </w:r>
      <w:r>
        <w:fldChar w:fldCharType="begin"/>
      </w:r>
      <w:r>
        <w:instrText xml:space="preserve"> PAGEREF _Toc67596568 \h </w:instrText>
      </w:r>
      <w:r>
        <w:fldChar w:fldCharType="separate"/>
      </w:r>
      <w:r>
        <w:t>2</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"_Toc67596569" </w:instrText>
      </w:r>
      <w:r>
        <w:fldChar w:fldCharType="separate"/>
      </w:r>
      <w:r>
        <w:rPr>
          <w:rStyle w:val="37"/>
        </w:rPr>
        <w:t>1.1 重要提示</w:t>
      </w:r>
      <w:r>
        <w:tab/>
      </w:r>
      <w:r>
        <w:fldChar w:fldCharType="begin"/>
      </w:r>
      <w:r>
        <w:instrText xml:space="preserve"> PAGEREF _Toc67596569 \h </w:instrText>
      </w:r>
      <w:r>
        <w:fldChar w:fldCharType="separate"/>
      </w:r>
      <w:r>
        <w:t>2</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"_Toc67596570" </w:instrText>
      </w:r>
      <w:r>
        <w:fldChar w:fldCharType="separate"/>
      </w:r>
      <w:r>
        <w:rPr>
          <w:rStyle w:val="37"/>
          <w:b/>
          <w:bCs/>
        </w:rPr>
        <w:t>§2  基金简介</w:t>
      </w:r>
      <w:r>
        <w:tab/>
      </w:r>
      <w:r>
        <w:fldChar w:fldCharType="begin"/>
      </w:r>
      <w:r>
        <w:instrText xml:space="preserve"> PAGEREF _Toc67596570 \h </w:instrText>
      </w:r>
      <w:r>
        <w:fldChar w:fldCharType="separate"/>
      </w:r>
      <w:r>
        <w:t>7</w:t>
      </w:r>
      <w:r>
        <w:fldChar w:fldCharType="end"/>
      </w:r>
      <w:r>
        <w:fldChar w:fldCharType="end"/>
      </w:r>
    </w:p>
    <w:p>
      <w:pPr>
        <w:pStyle w:val="26"/>
        <w:tabs>
          <w:tab w:val="left" w:pos="846"/>
        </w:tabs>
        <w:rPr>
          <w:rFonts w:asciiTheme="minorHAnsi" w:hAnsiTheme="minorHAnsi" w:eastAsiaTheme="minorEastAsia" w:cstheme="minorBidi"/>
          <w:kern w:val="2"/>
          <w:szCs w:val="22"/>
        </w:rPr>
      </w:pPr>
      <w:r>
        <w:fldChar w:fldCharType="begin"/>
      </w:r>
      <w:r>
        <w:instrText xml:space="preserve"> HYPERLINK \l "_Toc67596571" </w:instrText>
      </w:r>
      <w:r>
        <w:fldChar w:fldCharType="separate"/>
      </w:r>
      <w:r>
        <w:rPr>
          <w:rStyle w:val="37"/>
        </w:rPr>
        <w:t>2.1</w:t>
      </w:r>
      <w:r>
        <w:rPr>
          <w:rFonts w:asciiTheme="minorHAnsi" w:hAnsiTheme="minorHAnsi" w:eastAsiaTheme="minorEastAsia" w:cstheme="minorBidi"/>
          <w:kern w:val="2"/>
          <w:szCs w:val="22"/>
        </w:rPr>
        <w:tab/>
      </w:r>
      <w:r>
        <w:rPr>
          <w:rStyle w:val="37"/>
        </w:rPr>
        <w:t>基金基本情况</w:t>
      </w:r>
      <w:r>
        <w:tab/>
      </w:r>
      <w:r>
        <w:fldChar w:fldCharType="begin"/>
      </w:r>
      <w:r>
        <w:instrText xml:space="preserve"> PAGEREF _Toc67596571 \h </w:instrText>
      </w:r>
      <w:r>
        <w:fldChar w:fldCharType="separate"/>
      </w:r>
      <w:r>
        <w:t>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"_Toc67596572" </w:instrText>
      </w:r>
      <w:r>
        <w:fldChar w:fldCharType="separate"/>
      </w:r>
      <w:r>
        <w:rPr>
          <w:rStyle w:val="37"/>
        </w:rPr>
        <w:t>2.2 基金产品说明</w:t>
      </w:r>
      <w:r>
        <w:tab/>
      </w:r>
      <w:r>
        <w:fldChar w:fldCharType="begin"/>
      </w:r>
      <w:r>
        <w:instrText xml:space="preserve"> PAGEREF _Toc67596572 \h </w:instrText>
      </w:r>
      <w:r>
        <w:fldChar w:fldCharType="separate"/>
      </w:r>
      <w:r>
        <w:t>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"_Toc67596573" </w:instrText>
      </w:r>
      <w:r>
        <w:fldChar w:fldCharType="separate"/>
      </w:r>
      <w:r>
        <w:rPr>
          <w:rStyle w:val="37"/>
        </w:rPr>
        <w:t>2.3 基金管理人和基金托管人</w:t>
      </w:r>
      <w:r>
        <w:tab/>
      </w:r>
      <w:r>
        <w:fldChar w:fldCharType="begin"/>
      </w:r>
      <w:r>
        <w:instrText xml:space="preserve"> PAGEREF _Toc67596573 \h </w:instrText>
      </w:r>
      <w:r>
        <w:fldChar w:fldCharType="separate"/>
      </w:r>
      <w:r>
        <w:t>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"_Toc67596574" </w:instrText>
      </w:r>
      <w:r>
        <w:fldChar w:fldCharType="separate"/>
      </w:r>
      <w:r>
        <w:rPr>
          <w:rStyle w:val="37"/>
        </w:rPr>
        <w:t>2.4 信息披露方式</w:t>
      </w:r>
      <w:r>
        <w:tab/>
      </w:r>
      <w:r>
        <w:fldChar w:fldCharType="begin"/>
      </w:r>
      <w:r>
        <w:instrText xml:space="preserve"> PAGEREF _Toc67596574 \h </w:instrText>
      </w:r>
      <w:r>
        <w:fldChar w:fldCharType="separate"/>
      </w:r>
      <w:r>
        <w:t>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"_Toc67596575" </w:instrText>
      </w:r>
      <w:r>
        <w:fldChar w:fldCharType="separate"/>
      </w:r>
      <w:r>
        <w:rPr>
          <w:rStyle w:val="37"/>
        </w:rPr>
        <w:t>2.5 其他相关资料</w:t>
      </w:r>
      <w:r>
        <w:tab/>
      </w:r>
      <w:r>
        <w:fldChar w:fldCharType="begin"/>
      </w:r>
      <w:r>
        <w:instrText xml:space="preserve"> PAGEREF _Toc67596575 \h </w:instrText>
      </w:r>
      <w:r>
        <w:fldChar w:fldCharType="separate"/>
      </w:r>
      <w:r>
        <w:t>8</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"_Toc67596576" </w:instrText>
      </w:r>
      <w:r>
        <w:fldChar w:fldCharType="separate"/>
      </w:r>
      <w:r>
        <w:rPr>
          <w:rStyle w:val="37"/>
          <w:b/>
          <w:bCs/>
        </w:rPr>
        <w:t>§3 主要财务指标、基金净值表现及利润分配情况</w:t>
      </w:r>
      <w:r>
        <w:tab/>
      </w:r>
      <w:r>
        <w:fldChar w:fldCharType="begin"/>
      </w:r>
      <w:r>
        <w:instrText xml:space="preserve"> PAGEREF _Toc67596576 \h </w:instrText>
      </w:r>
      <w:r>
        <w:fldChar w:fldCharType="separate"/>
      </w:r>
      <w:r>
        <w:t>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"_Toc67596577" </w:instrText>
      </w:r>
      <w:r>
        <w:fldChar w:fldCharType="separate"/>
      </w:r>
      <w:r>
        <w:rPr>
          <w:rStyle w:val="37"/>
        </w:rPr>
        <w:t>3.1 主要会计数据和财务指标</w:t>
      </w:r>
      <w:r>
        <w:tab/>
      </w:r>
      <w:r>
        <w:fldChar w:fldCharType="begin"/>
      </w:r>
      <w:r>
        <w:instrText xml:space="preserve"> PAGEREF _Toc67596577 \h </w:instrText>
      </w:r>
      <w:r>
        <w:fldChar w:fldCharType="separate"/>
      </w:r>
      <w:r>
        <w:t>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"_Toc67596578" </w:instrText>
      </w:r>
      <w:r>
        <w:fldChar w:fldCharType="separate"/>
      </w:r>
      <w:r>
        <w:rPr>
          <w:rStyle w:val="37"/>
        </w:rPr>
        <w:t>3.2 基金净值表现</w:t>
      </w:r>
      <w:r>
        <w:tab/>
      </w:r>
      <w:r>
        <w:fldChar w:fldCharType="begin"/>
      </w:r>
      <w:r>
        <w:instrText xml:space="preserve"> PAGEREF _Toc67596578 \h </w:instrText>
      </w:r>
      <w:r>
        <w:fldChar w:fldCharType="separate"/>
      </w:r>
      <w:r>
        <w:t>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"_Toc67596580" </w:instrText>
      </w:r>
      <w:r>
        <w:fldChar w:fldCharType="separate"/>
      </w:r>
      <w:r>
        <w:rPr>
          <w:rStyle w:val="37"/>
        </w:rPr>
        <w:t>3.3 过去三年基金的利润分配情况</w:t>
      </w:r>
      <w:r>
        <w:tab/>
      </w:r>
      <w:r>
        <w:fldChar w:fldCharType="begin"/>
      </w:r>
      <w:r>
        <w:instrText xml:space="preserve"> PAGEREF _Toc67596580 \h </w:instrText>
      </w:r>
      <w:r>
        <w:fldChar w:fldCharType="separate"/>
      </w:r>
      <w:r>
        <w:t>11</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"_Toc67596581" </w:instrText>
      </w:r>
      <w:r>
        <w:fldChar w:fldCharType="separate"/>
      </w:r>
      <w:r>
        <w:rPr>
          <w:rStyle w:val="37"/>
          <w:b/>
          <w:bCs/>
        </w:rPr>
        <w:t>§4  管理人报告</w:t>
      </w:r>
      <w:r>
        <w:tab/>
      </w:r>
      <w:r>
        <w:fldChar w:fldCharType="begin"/>
      </w:r>
      <w:r>
        <w:instrText xml:space="preserve"> PAGEREF _Toc67596581 \h </w:instrText>
      </w:r>
      <w:r>
        <w:fldChar w:fldCharType="separate"/>
      </w:r>
      <w:r>
        <w:t>11</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"_Toc67596582" </w:instrText>
      </w:r>
      <w:r>
        <w:fldChar w:fldCharType="separate"/>
      </w:r>
      <w:r>
        <w:rPr>
          <w:rStyle w:val="37"/>
        </w:rPr>
        <w:t>4.1 基金管理人及基金经理情况</w:t>
      </w:r>
      <w:r>
        <w:tab/>
      </w:r>
      <w:r>
        <w:fldChar w:fldCharType="begin"/>
      </w:r>
      <w:r>
        <w:instrText xml:space="preserve"> PAGEREF _Toc67596582 \h </w:instrText>
      </w:r>
      <w:r>
        <w:fldChar w:fldCharType="separate"/>
      </w:r>
      <w:r>
        <w:t>11</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"_Toc67596585" </w:instrText>
      </w:r>
      <w:r>
        <w:fldChar w:fldCharType="separate"/>
      </w:r>
      <w:r>
        <w:rPr>
          <w:rStyle w:val="37"/>
        </w:rPr>
        <w:t>4.2 管理人对报告期内本基金运作遵规守信情况的说明</w:t>
      </w:r>
      <w:r>
        <w:tab/>
      </w:r>
      <w:r>
        <w:fldChar w:fldCharType="begin"/>
      </w:r>
      <w:r>
        <w:instrText xml:space="preserve"> PAGEREF _Toc67596585 \h </w:instrText>
      </w:r>
      <w:r>
        <w:fldChar w:fldCharType="separate"/>
      </w:r>
      <w:r>
        <w:t>12</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"_Toc67596586" </w:instrText>
      </w:r>
      <w:r>
        <w:fldChar w:fldCharType="separate"/>
      </w:r>
      <w:r>
        <w:rPr>
          <w:rStyle w:val="37"/>
        </w:rPr>
        <w:t>4.3 管理人对报告期内公平交易情况的专项说明</w:t>
      </w:r>
      <w:r>
        <w:tab/>
      </w:r>
      <w:r>
        <w:fldChar w:fldCharType="begin"/>
      </w:r>
      <w:r>
        <w:instrText xml:space="preserve"> PAGEREF _Toc67596586 \h </w:instrText>
      </w:r>
      <w:r>
        <w:fldChar w:fldCharType="separate"/>
      </w:r>
      <w:r>
        <w:t>12</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"_Toc67596590" </w:instrText>
      </w:r>
      <w:r>
        <w:fldChar w:fldCharType="separate"/>
      </w:r>
      <w:r>
        <w:rPr>
          <w:rStyle w:val="37"/>
        </w:rPr>
        <w:t>4.4 管理人对报告期内基金的投资策略和业绩表现的说明</w:t>
      </w:r>
      <w:r>
        <w:tab/>
      </w:r>
      <w:r>
        <w:fldChar w:fldCharType="begin"/>
      </w:r>
      <w:r>
        <w:instrText xml:space="preserve"> PAGEREF _Toc67596590 \h </w:instrText>
      </w:r>
      <w:r>
        <w:fldChar w:fldCharType="separate"/>
      </w:r>
      <w:r>
        <w:t>14</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"_Toc67596593" </w:instrText>
      </w:r>
      <w:r>
        <w:fldChar w:fldCharType="separate"/>
      </w:r>
      <w:r>
        <w:rPr>
          <w:rStyle w:val="37"/>
        </w:rPr>
        <w:t>4.5 管理人对宏观经济、证券市场及行业走势的简要展望</w:t>
      </w:r>
      <w:r>
        <w:tab/>
      </w:r>
      <w:r>
        <w:fldChar w:fldCharType="begin"/>
      </w:r>
      <w:r>
        <w:instrText xml:space="preserve"> PAGEREF _Toc67596593 \h </w:instrText>
      </w:r>
      <w:r>
        <w:fldChar w:fldCharType="separate"/>
      </w:r>
      <w:r>
        <w:t>14</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"_Toc67596594" </w:instrText>
      </w:r>
      <w:r>
        <w:fldChar w:fldCharType="separate"/>
      </w:r>
      <w:r>
        <w:rPr>
          <w:rStyle w:val="37"/>
        </w:rPr>
        <w:t>4.6 管理人内部有关本基金的监察稽核工作情况</w:t>
      </w:r>
      <w:r>
        <w:tab/>
      </w:r>
      <w:r>
        <w:fldChar w:fldCharType="begin"/>
      </w:r>
      <w:r>
        <w:instrText xml:space="preserve"> PAGEREF _Toc67596594 \h </w:instrText>
      </w:r>
      <w:r>
        <w:fldChar w:fldCharType="separate"/>
      </w:r>
      <w:r>
        <w:t>15</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"_Toc67596595" </w:instrText>
      </w:r>
      <w:r>
        <w:fldChar w:fldCharType="separate"/>
      </w:r>
      <w:r>
        <w:rPr>
          <w:rStyle w:val="37"/>
        </w:rPr>
        <w:t>4.7 管理人对报告期内基金估值程序等事项的说明</w:t>
      </w:r>
      <w:r>
        <w:tab/>
      </w:r>
      <w:r>
        <w:fldChar w:fldCharType="begin"/>
      </w:r>
      <w:r>
        <w:instrText xml:space="preserve"> PAGEREF _Toc67596595 \h </w:instrText>
      </w:r>
      <w:r>
        <w:fldChar w:fldCharType="separate"/>
      </w:r>
      <w:r>
        <w:t>15</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"_Toc67596596" </w:instrText>
      </w:r>
      <w:r>
        <w:fldChar w:fldCharType="separate"/>
      </w:r>
      <w:r>
        <w:rPr>
          <w:rStyle w:val="37"/>
        </w:rPr>
        <w:t>4.8管理人对报告期内基金利润分配情况的说明</w:t>
      </w:r>
      <w:r>
        <w:tab/>
      </w:r>
      <w:r>
        <w:fldChar w:fldCharType="begin"/>
      </w:r>
      <w:r>
        <w:instrText xml:space="preserve"> PAGEREF _Toc67596596 \h </w:instrText>
      </w:r>
      <w:r>
        <w:fldChar w:fldCharType="separate"/>
      </w:r>
      <w:r>
        <w:t>16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"_Toc67596597" </w:instrText>
      </w:r>
      <w:r>
        <w:fldChar w:fldCharType="separate"/>
      </w:r>
      <w:r>
        <w:rPr>
          <w:rStyle w:val="37"/>
        </w:rPr>
        <w:t>4.9报告期内管理人对本基金持有人数或基金资产净值预警情形的说明</w:t>
      </w:r>
      <w:r>
        <w:tab/>
      </w:r>
      <w:r>
        <w:fldChar w:fldCharType="begin"/>
      </w:r>
      <w:r>
        <w:instrText xml:space="preserve"> PAGEREF _Toc67596597 \h </w:instrText>
      </w:r>
      <w:r>
        <w:fldChar w:fldCharType="separate"/>
      </w:r>
      <w:r>
        <w:t>16</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"_Toc67596598" </w:instrText>
      </w:r>
      <w:r>
        <w:fldChar w:fldCharType="separate"/>
      </w:r>
      <w:r>
        <w:rPr>
          <w:rStyle w:val="37"/>
          <w:b/>
          <w:bCs/>
        </w:rPr>
        <w:t>§5  托管人报告</w:t>
      </w:r>
      <w:r>
        <w:tab/>
      </w:r>
      <w:r>
        <w:fldChar w:fldCharType="begin"/>
      </w:r>
      <w:r>
        <w:instrText xml:space="preserve"> PAGEREF _Toc67596598 \h </w:instrText>
      </w:r>
      <w:r>
        <w:fldChar w:fldCharType="separate"/>
      </w:r>
      <w:r>
        <w:t>16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"_Toc67596599" </w:instrText>
      </w:r>
      <w:r>
        <w:fldChar w:fldCharType="separate"/>
      </w:r>
      <w:r>
        <w:rPr>
          <w:rStyle w:val="37"/>
        </w:rPr>
        <w:t>5.1 报告期内本基金托管人遵规守信情况声明</w:t>
      </w:r>
      <w:r>
        <w:tab/>
      </w:r>
      <w:r>
        <w:fldChar w:fldCharType="begin"/>
      </w:r>
      <w:r>
        <w:instrText xml:space="preserve"> PAGEREF _Toc67596599 \h </w:instrText>
      </w:r>
      <w:r>
        <w:fldChar w:fldCharType="separate"/>
      </w:r>
      <w:r>
        <w:t>16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"_Toc67596600" </w:instrText>
      </w:r>
      <w:r>
        <w:fldChar w:fldCharType="separate"/>
      </w:r>
      <w:r>
        <w:rPr>
          <w:rStyle w:val="37"/>
        </w:rPr>
        <w:t>5.2 托管人对报告期内本基金投资运作遵规守信、净值计算、利润分配等情况的说明</w:t>
      </w:r>
      <w:r>
        <w:tab/>
      </w:r>
      <w:r>
        <w:fldChar w:fldCharType="begin"/>
      </w:r>
      <w:r>
        <w:instrText xml:space="preserve"> PAGEREF _Toc67596600 \h </w:instrText>
      </w:r>
      <w:r>
        <w:fldChar w:fldCharType="separate"/>
      </w:r>
      <w:r>
        <w:t>16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"_Toc67596601" </w:instrText>
      </w:r>
      <w:r>
        <w:fldChar w:fldCharType="separate"/>
      </w:r>
      <w:r>
        <w:rPr>
          <w:rStyle w:val="37"/>
        </w:rPr>
        <w:t>5.3 托管人对本年度报告中财务信息等内容的真实、准确和完整发表意见</w:t>
      </w:r>
      <w:r>
        <w:tab/>
      </w:r>
      <w:r>
        <w:fldChar w:fldCharType="begin"/>
      </w:r>
      <w:r>
        <w:instrText xml:space="preserve"> PAGEREF _Toc67596601 \h </w:instrText>
      </w:r>
      <w:r>
        <w:fldChar w:fldCharType="separate"/>
      </w:r>
      <w:r>
        <w:t>16</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"_Toc67596602" </w:instrText>
      </w:r>
      <w:r>
        <w:fldChar w:fldCharType="separate"/>
      </w:r>
      <w:r>
        <w:rPr>
          <w:rStyle w:val="37"/>
          <w:b/>
          <w:bCs/>
        </w:rPr>
        <w:t>§6  审计报告</w:t>
      </w:r>
      <w:r>
        <w:tab/>
      </w:r>
      <w:r>
        <w:fldChar w:fldCharType="begin"/>
      </w:r>
      <w:r>
        <w:instrText xml:space="preserve"> PAGEREF _Toc67596602 \h </w:instrText>
      </w:r>
      <w:r>
        <w:fldChar w:fldCharType="separate"/>
      </w:r>
      <w:r>
        <w:t>17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"_Toc67596603" </w:instrText>
      </w:r>
      <w:r>
        <w:fldChar w:fldCharType="separate"/>
      </w:r>
      <w:r>
        <w:rPr>
          <w:rStyle w:val="37"/>
        </w:rPr>
        <w:t>6.1 审计意见</w:t>
      </w:r>
      <w:r>
        <w:tab/>
      </w:r>
      <w:r>
        <w:fldChar w:fldCharType="begin"/>
      </w:r>
      <w:r>
        <w:instrText xml:space="preserve"> PAGEREF _Toc67596603 \h </w:instrText>
      </w:r>
      <w:r>
        <w:fldChar w:fldCharType="separate"/>
      </w:r>
      <w:r>
        <w:t>17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"_Toc67596604" </w:instrText>
      </w:r>
      <w:r>
        <w:fldChar w:fldCharType="separate"/>
      </w:r>
      <w:r>
        <w:rPr>
          <w:rStyle w:val="37"/>
        </w:rPr>
        <w:t>6.2 形成审计意见的基础</w:t>
      </w:r>
      <w:r>
        <w:tab/>
      </w:r>
      <w:r>
        <w:fldChar w:fldCharType="begin"/>
      </w:r>
      <w:r>
        <w:instrText xml:space="preserve"> PAGEREF _Toc67596604 \h </w:instrText>
      </w:r>
      <w:r>
        <w:fldChar w:fldCharType="separate"/>
      </w:r>
      <w:r>
        <w:t>17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"_Toc67596605" </w:instrText>
      </w:r>
      <w:r>
        <w:fldChar w:fldCharType="separate"/>
      </w:r>
      <w:r>
        <w:rPr>
          <w:rStyle w:val="37"/>
        </w:rPr>
        <w:t>6.3 管理层和治理层对财务报表的责任</w:t>
      </w:r>
      <w:r>
        <w:tab/>
      </w:r>
      <w:r>
        <w:fldChar w:fldCharType="begin"/>
      </w:r>
      <w:r>
        <w:instrText xml:space="preserve"> PAGEREF _Toc67596605 \h </w:instrText>
      </w:r>
      <w:r>
        <w:fldChar w:fldCharType="separate"/>
      </w:r>
      <w:r>
        <w:t>17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"_Toc67596606" </w:instrText>
      </w:r>
      <w:r>
        <w:fldChar w:fldCharType="separate"/>
      </w:r>
      <w:r>
        <w:rPr>
          <w:rStyle w:val="37"/>
        </w:rPr>
        <w:t>6.4 注册会计师对财务报表审计的责任</w:t>
      </w:r>
      <w:r>
        <w:tab/>
      </w:r>
      <w:r>
        <w:fldChar w:fldCharType="begin"/>
      </w:r>
      <w:r>
        <w:instrText xml:space="preserve"> PAGEREF _Toc67596606 \h </w:instrText>
      </w:r>
      <w:r>
        <w:fldChar w:fldCharType="separate"/>
      </w:r>
      <w:r>
        <w:t>17</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"_Toc67596607" </w:instrText>
      </w:r>
      <w:r>
        <w:fldChar w:fldCharType="separate"/>
      </w:r>
      <w:r>
        <w:rPr>
          <w:rStyle w:val="37"/>
          <w:b/>
          <w:bCs/>
        </w:rPr>
        <w:t>§7年度财务报表</w:t>
      </w:r>
      <w:r>
        <w:tab/>
      </w:r>
      <w:r>
        <w:fldChar w:fldCharType="begin"/>
      </w:r>
      <w:r>
        <w:instrText xml:space="preserve"> PAGEREF _Toc67596607 \h </w:instrText>
      </w:r>
      <w:r>
        <w:fldChar w:fldCharType="separate"/>
      </w:r>
      <w:r>
        <w:t>18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"_Toc67596608" </w:instrText>
      </w:r>
      <w:r>
        <w:fldChar w:fldCharType="separate"/>
      </w:r>
      <w:r>
        <w:rPr>
          <w:rStyle w:val="37"/>
        </w:rPr>
        <w:t>7.1 资产负债表</w:t>
      </w:r>
      <w:r>
        <w:tab/>
      </w:r>
      <w:r>
        <w:fldChar w:fldCharType="begin"/>
      </w:r>
      <w:r>
        <w:instrText xml:space="preserve"> PAGEREF _Toc67596608 \h </w:instrText>
      </w:r>
      <w:r>
        <w:fldChar w:fldCharType="separate"/>
      </w:r>
      <w:r>
        <w:t>18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"_Toc67596609" </w:instrText>
      </w:r>
      <w:r>
        <w:fldChar w:fldCharType="separate"/>
      </w:r>
      <w:r>
        <w:rPr>
          <w:rStyle w:val="37"/>
        </w:rPr>
        <w:t>7.2 利润表</w:t>
      </w:r>
      <w:r>
        <w:tab/>
      </w:r>
      <w:r>
        <w:fldChar w:fldCharType="begin"/>
      </w:r>
      <w:r>
        <w:instrText xml:space="preserve"> PAGEREF _Toc67596609 \h </w:instrText>
      </w:r>
      <w:r>
        <w:fldChar w:fldCharType="separate"/>
      </w:r>
      <w:r>
        <w:t>20</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"_Toc67596610" </w:instrText>
      </w:r>
      <w:r>
        <w:fldChar w:fldCharType="separate"/>
      </w:r>
      <w:r>
        <w:rPr>
          <w:rStyle w:val="37"/>
        </w:rPr>
        <w:t>7.3 所有者权益（基金净值）变动表</w:t>
      </w:r>
      <w:r>
        <w:tab/>
      </w:r>
      <w:r>
        <w:fldChar w:fldCharType="begin"/>
      </w:r>
      <w:r>
        <w:instrText xml:space="preserve"> PAGEREF _Toc67596610 \h </w:instrText>
      </w:r>
      <w:r>
        <w:fldChar w:fldCharType="separate"/>
      </w:r>
      <w:r>
        <w:t>21</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"_Toc67596611" </w:instrText>
      </w:r>
      <w:r>
        <w:fldChar w:fldCharType="separate"/>
      </w:r>
      <w:r>
        <w:rPr>
          <w:rStyle w:val="37"/>
        </w:rPr>
        <w:t>7.4 报表附注</w:t>
      </w:r>
      <w:r>
        <w:tab/>
      </w:r>
      <w:r>
        <w:fldChar w:fldCharType="begin"/>
      </w:r>
      <w:r>
        <w:instrText xml:space="preserve"> PAGEREF _Toc67596611 \h </w:instrText>
      </w:r>
      <w:r>
        <w:fldChar w:fldCharType="separate"/>
      </w:r>
      <w:r>
        <w:t>23</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"_Toc67596682" </w:instrText>
      </w:r>
      <w:r>
        <w:fldChar w:fldCharType="separate"/>
      </w:r>
      <w:r>
        <w:rPr>
          <w:rStyle w:val="37"/>
          <w:b/>
        </w:rPr>
        <w:t>§8投资组合报告</w:t>
      </w:r>
      <w:r>
        <w:tab/>
      </w:r>
      <w:r>
        <w:fldChar w:fldCharType="begin"/>
      </w:r>
      <w:r>
        <w:instrText xml:space="preserve"> PAGEREF _Toc67596682 \h </w:instrText>
      </w:r>
      <w:r>
        <w:fldChar w:fldCharType="separate"/>
      </w:r>
      <w:r>
        <w:t>50</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"_Toc67596683" </w:instrText>
      </w:r>
      <w:r>
        <w:fldChar w:fldCharType="separate"/>
      </w:r>
      <w:r>
        <w:rPr>
          <w:rStyle w:val="37"/>
        </w:rPr>
        <w:t>8.1 期末基金资产组合情况</w:t>
      </w:r>
      <w:r>
        <w:tab/>
      </w:r>
      <w:r>
        <w:fldChar w:fldCharType="begin"/>
      </w:r>
      <w:r>
        <w:instrText xml:space="preserve"> PAGEREF _Toc67596683 \h </w:instrText>
      </w:r>
      <w:r>
        <w:fldChar w:fldCharType="separate"/>
      </w:r>
      <w:r>
        <w:t>50</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"_Toc67596684" </w:instrText>
      </w:r>
      <w:r>
        <w:fldChar w:fldCharType="separate"/>
      </w:r>
      <w:r>
        <w:rPr>
          <w:rStyle w:val="37"/>
        </w:rPr>
        <w:t>8.2期末按行业分类的股票投资组合</w:t>
      </w:r>
      <w:r>
        <w:tab/>
      </w:r>
      <w:r>
        <w:fldChar w:fldCharType="begin"/>
      </w:r>
      <w:r>
        <w:instrText xml:space="preserve"> PAGEREF _Toc67596684 \h </w:instrText>
      </w:r>
      <w:r>
        <w:fldChar w:fldCharType="separate"/>
      </w:r>
      <w:r>
        <w:t>50</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"_Toc67596685" </w:instrText>
      </w:r>
      <w:r>
        <w:fldChar w:fldCharType="separate"/>
      </w:r>
      <w:r>
        <w:rPr>
          <w:rStyle w:val="37"/>
        </w:rPr>
        <w:t>8.3期末按公允价值占基金资产净值比例大小排序的所有股票投资明细</w:t>
      </w:r>
      <w:r>
        <w:tab/>
      </w:r>
      <w:r>
        <w:fldChar w:fldCharType="begin"/>
      </w:r>
      <w:r>
        <w:instrText xml:space="preserve"> PAGEREF _Toc67596685 \h </w:instrText>
      </w:r>
      <w:r>
        <w:fldChar w:fldCharType="separate"/>
      </w:r>
      <w:r>
        <w:t>51</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"_Toc67596686" </w:instrText>
      </w:r>
      <w:r>
        <w:fldChar w:fldCharType="separate"/>
      </w:r>
      <w:r>
        <w:rPr>
          <w:rStyle w:val="37"/>
        </w:rPr>
        <w:t>8.4报告期内股票投资组合的重大变动</w:t>
      </w:r>
      <w:r>
        <w:tab/>
      </w:r>
      <w:r>
        <w:fldChar w:fldCharType="begin"/>
      </w:r>
      <w:r>
        <w:instrText xml:space="preserve"> PAGEREF _Toc67596686 \h </w:instrText>
      </w:r>
      <w:r>
        <w:fldChar w:fldCharType="separate"/>
      </w:r>
      <w:r>
        <w:t>54</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"_Toc67596690" </w:instrText>
      </w:r>
      <w:r>
        <w:fldChar w:fldCharType="separate"/>
      </w:r>
      <w:r>
        <w:rPr>
          <w:rStyle w:val="37"/>
        </w:rPr>
        <w:t>8.5期末按债券品种分类的债券投资组合</w:t>
      </w:r>
      <w:r>
        <w:tab/>
      </w:r>
      <w:r>
        <w:fldChar w:fldCharType="begin"/>
      </w:r>
      <w:r>
        <w:instrText xml:space="preserve"> PAGEREF _Toc67596690 \h </w:instrText>
      </w:r>
      <w:r>
        <w:fldChar w:fldCharType="separate"/>
      </w:r>
      <w:r>
        <w:t>56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"_Toc67596691" </w:instrText>
      </w:r>
      <w:r>
        <w:fldChar w:fldCharType="separate"/>
      </w:r>
      <w:r>
        <w:rPr>
          <w:rStyle w:val="37"/>
        </w:rPr>
        <w:t>8.6期末按公允价值占基金资产净值比例大小排序的前五名债券投资明细</w:t>
      </w:r>
      <w:r>
        <w:tab/>
      </w:r>
      <w:r>
        <w:fldChar w:fldCharType="begin"/>
      </w:r>
      <w:r>
        <w:instrText xml:space="preserve"> PAGEREF _Toc67596691 \h </w:instrText>
      </w:r>
      <w:r>
        <w:fldChar w:fldCharType="separate"/>
      </w:r>
      <w:r>
        <w:t>56</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"_Toc67596692" </w:instrText>
      </w:r>
      <w:r>
        <w:fldChar w:fldCharType="separate"/>
      </w:r>
      <w:r>
        <w:rPr>
          <w:rStyle w:val="37"/>
        </w:rPr>
        <w:t>8.7期末按公允价值占基金资产净值比例大小排序的所有资产支持证券投资明细</w:t>
      </w:r>
      <w:r>
        <w:tab/>
      </w:r>
      <w:r>
        <w:fldChar w:fldCharType="begin"/>
      </w:r>
      <w:r>
        <w:instrText xml:space="preserve"> PAGEREF _Toc67596692 \h </w:instrText>
      </w:r>
      <w:r>
        <w:fldChar w:fldCharType="separate"/>
      </w:r>
      <w:r>
        <w:t>57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"_Toc67596693" </w:instrText>
      </w:r>
      <w:r>
        <w:fldChar w:fldCharType="separate"/>
      </w:r>
      <w:r>
        <w:rPr>
          <w:rStyle w:val="37"/>
        </w:rPr>
        <w:t>8.8报告期末按公允价值占基金资产净值比例大小排序的前五名贵金属投资明细</w:t>
      </w:r>
      <w:r>
        <w:tab/>
      </w:r>
      <w:r>
        <w:fldChar w:fldCharType="begin"/>
      </w:r>
      <w:r>
        <w:instrText xml:space="preserve"> PAGEREF _Toc67596693 \h </w:instrText>
      </w:r>
      <w:r>
        <w:fldChar w:fldCharType="separate"/>
      </w:r>
      <w:r>
        <w:t>57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"_Toc67596694" </w:instrText>
      </w:r>
      <w:r>
        <w:fldChar w:fldCharType="separate"/>
      </w:r>
      <w:r>
        <w:rPr>
          <w:rStyle w:val="37"/>
        </w:rPr>
        <w:t>8.9期末按公允价值占基金资产净值比例大小排序的前五名权证投资明细</w:t>
      </w:r>
      <w:r>
        <w:tab/>
      </w:r>
      <w:r>
        <w:fldChar w:fldCharType="begin"/>
      </w:r>
      <w:r>
        <w:instrText xml:space="preserve"> PAGEREF _Toc67596694 \h </w:instrText>
      </w:r>
      <w:r>
        <w:fldChar w:fldCharType="separate"/>
      </w:r>
      <w:r>
        <w:t>57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"_Toc67596695" </w:instrText>
      </w:r>
      <w:r>
        <w:fldChar w:fldCharType="separate"/>
      </w:r>
      <w:r>
        <w:rPr>
          <w:rStyle w:val="37"/>
        </w:rPr>
        <w:t>8.10 报告期末本基金投资的股指期货交易情况说明</w:t>
      </w:r>
      <w:r>
        <w:tab/>
      </w:r>
      <w:r>
        <w:fldChar w:fldCharType="begin"/>
      </w:r>
      <w:r>
        <w:instrText xml:space="preserve"> PAGEREF _Toc67596695 \h </w:instrText>
      </w:r>
      <w:r>
        <w:fldChar w:fldCharType="separate"/>
      </w:r>
      <w:r>
        <w:t>57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"_Toc67596696" </w:instrText>
      </w:r>
      <w:r>
        <w:fldChar w:fldCharType="separate"/>
      </w:r>
      <w:r>
        <w:rPr>
          <w:rStyle w:val="37"/>
        </w:rPr>
        <w:t>8.11 报告期末本基金投资的国债期货交易情况说明</w:t>
      </w:r>
      <w:r>
        <w:tab/>
      </w:r>
      <w:r>
        <w:fldChar w:fldCharType="begin"/>
      </w:r>
      <w:r>
        <w:instrText xml:space="preserve"> PAGEREF _Toc67596696 \h </w:instrText>
      </w:r>
      <w:r>
        <w:fldChar w:fldCharType="separate"/>
      </w:r>
      <w:r>
        <w:t>57</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"_Toc67596697" </w:instrText>
      </w:r>
      <w:r>
        <w:fldChar w:fldCharType="separate"/>
      </w:r>
      <w:r>
        <w:rPr>
          <w:rStyle w:val="37"/>
        </w:rPr>
        <w:t>8.12 投资组合报告附注</w:t>
      </w:r>
      <w:r>
        <w:tab/>
      </w:r>
      <w:r>
        <w:fldChar w:fldCharType="begin"/>
      </w:r>
      <w:r>
        <w:instrText xml:space="preserve"> PAGEREF _Toc67596697 \h </w:instrText>
      </w:r>
      <w:r>
        <w:fldChar w:fldCharType="separate"/>
      </w:r>
      <w:r>
        <w:t>57</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"_Toc67596702" </w:instrText>
      </w:r>
      <w:r>
        <w:fldChar w:fldCharType="separate"/>
      </w:r>
      <w:r>
        <w:rPr>
          <w:rStyle w:val="37"/>
          <w:b/>
        </w:rPr>
        <w:t>§9基金份额持有人信息</w:t>
      </w:r>
      <w:r>
        <w:tab/>
      </w:r>
      <w:r>
        <w:fldChar w:fldCharType="begin"/>
      </w:r>
      <w:r>
        <w:instrText xml:space="preserve"> PAGEREF _Toc67596702 \h </w:instrText>
      </w:r>
      <w:r>
        <w:fldChar w:fldCharType="separate"/>
      </w:r>
      <w:r>
        <w:t>58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"_Toc67596703" </w:instrText>
      </w:r>
      <w:r>
        <w:fldChar w:fldCharType="separate"/>
      </w:r>
      <w:r>
        <w:rPr>
          <w:rStyle w:val="37"/>
        </w:rPr>
        <w:t>9.1 期末基金份额持有人户数及持有人结构</w:t>
      </w:r>
      <w:r>
        <w:tab/>
      </w:r>
      <w:r>
        <w:fldChar w:fldCharType="begin"/>
      </w:r>
      <w:r>
        <w:instrText xml:space="preserve"> PAGEREF _Toc67596703 \h </w:instrText>
      </w:r>
      <w:r>
        <w:fldChar w:fldCharType="separate"/>
      </w:r>
      <w:r>
        <w:t>58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"_Toc67596704" </w:instrText>
      </w:r>
      <w:r>
        <w:fldChar w:fldCharType="separate"/>
      </w:r>
      <w:r>
        <w:rPr>
          <w:rStyle w:val="37"/>
        </w:rPr>
        <w:t>9.2期末基金管理人的从业人员持有本基金的情况</w:t>
      </w:r>
      <w:r>
        <w:tab/>
      </w:r>
      <w:r>
        <w:fldChar w:fldCharType="begin"/>
      </w:r>
      <w:r>
        <w:instrText xml:space="preserve"> PAGEREF _Toc67596704 \h </w:instrText>
      </w:r>
      <w:r>
        <w:fldChar w:fldCharType="separate"/>
      </w:r>
      <w:r>
        <w:t>58</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"_Toc67596705" </w:instrText>
      </w:r>
      <w:r>
        <w:fldChar w:fldCharType="separate"/>
      </w:r>
      <w:r>
        <w:rPr>
          <w:rStyle w:val="37"/>
        </w:rPr>
        <w:t>9.3期末基金管理人的从业人员持有本开放式基金份额总量区间的情况</w:t>
      </w:r>
      <w:r>
        <w:tab/>
      </w:r>
      <w:r>
        <w:fldChar w:fldCharType="begin"/>
      </w:r>
      <w:r>
        <w:instrText xml:space="preserve"> PAGEREF _Toc67596705 \h </w:instrText>
      </w:r>
      <w:r>
        <w:fldChar w:fldCharType="separate"/>
      </w:r>
      <w:r>
        <w:t>58</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"_Toc67596706" </w:instrText>
      </w:r>
      <w:r>
        <w:fldChar w:fldCharType="separate"/>
      </w:r>
      <w:r>
        <w:rPr>
          <w:rStyle w:val="37"/>
          <w:b/>
          <w:bCs/>
        </w:rPr>
        <w:t>§10开放式基金份额变动</w:t>
      </w:r>
      <w:r>
        <w:tab/>
      </w:r>
      <w:r>
        <w:fldChar w:fldCharType="begin"/>
      </w:r>
      <w:r>
        <w:instrText xml:space="preserve"> PAGEREF _Toc67596706 \h </w:instrText>
      </w:r>
      <w:r>
        <w:fldChar w:fldCharType="separate"/>
      </w:r>
      <w:r>
        <w:t>59</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"_Toc67596707" </w:instrText>
      </w:r>
      <w:r>
        <w:fldChar w:fldCharType="separate"/>
      </w:r>
      <w:r>
        <w:rPr>
          <w:rStyle w:val="37"/>
          <w:b/>
          <w:bCs/>
        </w:rPr>
        <w:t>§11重大事件揭示</w:t>
      </w:r>
      <w:r>
        <w:tab/>
      </w:r>
      <w:r>
        <w:fldChar w:fldCharType="begin"/>
      </w:r>
      <w:r>
        <w:instrText xml:space="preserve"> PAGEREF _Toc67596707 \h </w:instrText>
      </w:r>
      <w:r>
        <w:fldChar w:fldCharType="separate"/>
      </w:r>
      <w:r>
        <w:t>59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"_Toc67596708" </w:instrText>
      </w:r>
      <w:r>
        <w:fldChar w:fldCharType="separate"/>
      </w:r>
      <w:r>
        <w:rPr>
          <w:rStyle w:val="37"/>
        </w:rPr>
        <w:t>11.1 基金份额持有人大会决议</w:t>
      </w:r>
      <w:r>
        <w:tab/>
      </w:r>
      <w:r>
        <w:fldChar w:fldCharType="begin"/>
      </w:r>
      <w:r>
        <w:instrText xml:space="preserve"> PAGEREF _Toc67596708 \h </w:instrText>
      </w:r>
      <w:r>
        <w:fldChar w:fldCharType="separate"/>
      </w:r>
      <w:r>
        <w:t>59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"_Toc67596709" </w:instrText>
      </w:r>
      <w:r>
        <w:fldChar w:fldCharType="separate"/>
      </w:r>
      <w:r>
        <w:rPr>
          <w:rStyle w:val="37"/>
        </w:rPr>
        <w:t>11.2 基金管理人、基金托管人的专门基金托管部门的重大人事变动</w:t>
      </w:r>
      <w:r>
        <w:tab/>
      </w:r>
      <w:r>
        <w:fldChar w:fldCharType="begin"/>
      </w:r>
      <w:r>
        <w:instrText xml:space="preserve"> PAGEREF _Toc67596709 \h </w:instrText>
      </w:r>
      <w:r>
        <w:fldChar w:fldCharType="separate"/>
      </w:r>
      <w:r>
        <w:t>59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"_Toc67596710" </w:instrText>
      </w:r>
      <w:r>
        <w:fldChar w:fldCharType="separate"/>
      </w:r>
      <w:r>
        <w:rPr>
          <w:rStyle w:val="37"/>
        </w:rPr>
        <w:t>11.3 涉及基金管理人、基金财产、基金托管业务的诉讼</w:t>
      </w:r>
      <w:r>
        <w:tab/>
      </w:r>
      <w:r>
        <w:fldChar w:fldCharType="begin"/>
      </w:r>
      <w:r>
        <w:instrText xml:space="preserve"> PAGEREF _Toc67596710 \h </w:instrText>
      </w:r>
      <w:r>
        <w:fldChar w:fldCharType="separate"/>
      </w:r>
      <w:r>
        <w:t>59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"_Toc67596711" </w:instrText>
      </w:r>
      <w:r>
        <w:fldChar w:fldCharType="separate"/>
      </w:r>
      <w:r>
        <w:rPr>
          <w:rStyle w:val="37"/>
        </w:rPr>
        <w:t>11.4 基金投资策略的改变</w:t>
      </w:r>
      <w:r>
        <w:tab/>
      </w:r>
      <w:r>
        <w:fldChar w:fldCharType="begin"/>
      </w:r>
      <w:r>
        <w:instrText xml:space="preserve"> PAGEREF _Toc67596711 \h </w:instrText>
      </w:r>
      <w:r>
        <w:fldChar w:fldCharType="separate"/>
      </w:r>
      <w:r>
        <w:t>59</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"_Toc67596712" </w:instrText>
      </w:r>
      <w:r>
        <w:fldChar w:fldCharType="separate"/>
      </w:r>
      <w:r>
        <w:rPr>
          <w:rStyle w:val="37"/>
        </w:rPr>
        <w:t>11.5 为基金进行审计的会计师事务所情况</w:t>
      </w:r>
      <w:r>
        <w:tab/>
      </w:r>
      <w:r>
        <w:fldChar w:fldCharType="begin"/>
      </w:r>
      <w:r>
        <w:instrText xml:space="preserve"> PAGEREF _Toc67596712 \h </w:instrText>
      </w:r>
      <w:r>
        <w:fldChar w:fldCharType="separate"/>
      </w:r>
      <w:r>
        <w:t>60</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"_Toc67596713" </w:instrText>
      </w:r>
      <w:r>
        <w:fldChar w:fldCharType="separate"/>
      </w:r>
      <w:r>
        <w:rPr>
          <w:rStyle w:val="37"/>
        </w:rPr>
        <w:t>11.6 管理人、托管人及其高级管理人员受稽查或处罚等情况</w:t>
      </w:r>
      <w:r>
        <w:tab/>
      </w:r>
      <w:r>
        <w:fldChar w:fldCharType="begin"/>
      </w:r>
      <w:r>
        <w:instrText xml:space="preserve"> PAGEREF _Toc67596713 \h </w:instrText>
      </w:r>
      <w:r>
        <w:fldChar w:fldCharType="separate"/>
      </w:r>
      <w:r>
        <w:t>60</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"_Toc67596714" </w:instrText>
      </w:r>
      <w:r>
        <w:fldChar w:fldCharType="separate"/>
      </w:r>
      <w:r>
        <w:rPr>
          <w:rStyle w:val="37"/>
        </w:rPr>
        <w:t>11.7 基金租用证券公司交易单元的有关情况</w:t>
      </w:r>
      <w:r>
        <w:tab/>
      </w:r>
      <w:r>
        <w:fldChar w:fldCharType="begin"/>
      </w:r>
      <w:r>
        <w:instrText xml:space="preserve"> PAGEREF _Toc67596714 \h </w:instrText>
      </w:r>
      <w:r>
        <w:fldChar w:fldCharType="separate"/>
      </w:r>
      <w:r>
        <w:t>60</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"_Toc67596715" </w:instrText>
      </w:r>
      <w:r>
        <w:fldChar w:fldCharType="separate"/>
      </w:r>
      <w:r>
        <w:rPr>
          <w:rStyle w:val="37"/>
        </w:rPr>
        <w:t>11.8 其他重大事件</w:t>
      </w:r>
      <w:r>
        <w:tab/>
      </w:r>
      <w:r>
        <w:fldChar w:fldCharType="begin"/>
      </w:r>
      <w:r>
        <w:instrText xml:space="preserve"> PAGEREF _Toc67596715 \h </w:instrText>
      </w:r>
      <w:r>
        <w:fldChar w:fldCharType="separate"/>
      </w:r>
      <w:r>
        <w:t>61</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"_Toc67596716" </w:instrText>
      </w:r>
      <w:r>
        <w:fldChar w:fldCharType="separate"/>
      </w:r>
      <w:r>
        <w:rPr>
          <w:rStyle w:val="37"/>
          <w:b/>
          <w:bCs/>
        </w:rPr>
        <w:t>§12 影响投资者决策的其他重要信息</w:t>
      </w:r>
      <w:r>
        <w:tab/>
      </w:r>
      <w:r>
        <w:fldChar w:fldCharType="begin"/>
      </w:r>
      <w:r>
        <w:instrText xml:space="preserve"> PAGEREF _Toc67596716 \h </w:instrText>
      </w:r>
      <w:r>
        <w:fldChar w:fldCharType="separate"/>
      </w:r>
      <w:r>
        <w:t>64</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"_Toc67596717" </w:instrText>
      </w:r>
      <w:r>
        <w:fldChar w:fldCharType="separate"/>
      </w:r>
      <w:r>
        <w:rPr>
          <w:rStyle w:val="37"/>
        </w:rPr>
        <w:t>12.1 影响投资者决策的其他重要信息</w:t>
      </w:r>
      <w:r>
        <w:tab/>
      </w:r>
      <w:r>
        <w:fldChar w:fldCharType="begin"/>
      </w:r>
      <w:r>
        <w:instrText xml:space="preserve"> PAGEREF _Toc67596717 \h </w:instrText>
      </w:r>
      <w:r>
        <w:fldChar w:fldCharType="separate"/>
      </w:r>
      <w:r>
        <w:t>64</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"_Toc67596718" </w:instrText>
      </w:r>
      <w:r>
        <w:fldChar w:fldCharType="separate"/>
      </w:r>
      <w:r>
        <w:rPr>
          <w:rStyle w:val="37"/>
          <w:b/>
          <w:bCs/>
        </w:rPr>
        <w:t>§13备查文件目录</w:t>
      </w:r>
      <w:r>
        <w:tab/>
      </w:r>
      <w:r>
        <w:fldChar w:fldCharType="begin"/>
      </w:r>
      <w:r>
        <w:instrText xml:space="preserve"> PAGEREF _Toc67596718 \h </w:instrText>
      </w:r>
      <w:r>
        <w:fldChar w:fldCharType="separate"/>
      </w:r>
      <w:r>
        <w:t>64</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"_Toc67596719" </w:instrText>
      </w:r>
      <w:r>
        <w:fldChar w:fldCharType="separate"/>
      </w:r>
      <w:r>
        <w:rPr>
          <w:rStyle w:val="37"/>
        </w:rPr>
        <w:t>13.1 备查文件目录</w:t>
      </w:r>
      <w:r>
        <w:tab/>
      </w:r>
      <w:r>
        <w:fldChar w:fldCharType="begin"/>
      </w:r>
      <w:r>
        <w:instrText xml:space="preserve"> PAGEREF _Toc67596719 \h </w:instrText>
      </w:r>
      <w:r>
        <w:fldChar w:fldCharType="separate"/>
      </w:r>
      <w:r>
        <w:t>64</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"_Toc67596720" </w:instrText>
      </w:r>
      <w:r>
        <w:fldChar w:fldCharType="separate"/>
      </w:r>
      <w:r>
        <w:rPr>
          <w:rStyle w:val="37"/>
        </w:rPr>
        <w:t>13.2存放地点</w:t>
      </w:r>
      <w:r>
        <w:tab/>
      </w:r>
      <w:r>
        <w:fldChar w:fldCharType="begin"/>
      </w:r>
      <w:r>
        <w:instrText xml:space="preserve"> PAGEREF _Toc67596720 \h </w:instrText>
      </w:r>
      <w:r>
        <w:fldChar w:fldCharType="separate"/>
      </w:r>
      <w:r>
        <w:t>65</w:t>
      </w:r>
      <w:r>
        <w:fldChar w:fldCharType="end"/>
      </w:r>
      <w:r>
        <w:fldChar w:fldCharType="end"/>
      </w:r>
    </w:p>
    <w:p>
      <w:pPr>
        <w:pStyle w:val="26"/>
        <w:rPr>
          <w:rFonts w:asciiTheme="minorHAnsi" w:hAnsiTheme="minorHAnsi" w:eastAsiaTheme="minorEastAsia" w:cstheme="minorBidi"/>
          <w:kern w:val="2"/>
          <w:szCs w:val="22"/>
        </w:rPr>
      </w:pPr>
      <w:r>
        <w:fldChar w:fldCharType="begin"/>
      </w:r>
      <w:r>
        <w:instrText xml:space="preserve"> HYPERLINK \l "_Toc67596721" </w:instrText>
      </w:r>
      <w:r>
        <w:fldChar w:fldCharType="separate"/>
      </w:r>
      <w:r>
        <w:rPr>
          <w:rStyle w:val="37"/>
        </w:rPr>
        <w:t>13.3查阅方式</w:t>
      </w:r>
      <w:r>
        <w:tab/>
      </w:r>
      <w:r>
        <w:fldChar w:fldCharType="begin"/>
      </w:r>
      <w:r>
        <w:instrText xml:space="preserve"> PAGEREF _Toc67596721 \h </w:instrText>
      </w:r>
      <w:r>
        <w:fldChar w:fldCharType="separate"/>
      </w:r>
      <w:r>
        <w:t>65</w:t>
      </w:r>
      <w:r>
        <w:fldChar w:fldCharType="end"/>
      </w:r>
      <w:r>
        <w:fldChar w:fldCharType="end"/>
      </w:r>
    </w:p>
    <w:p>
      <w:pPr>
        <w:spacing w:before="29" w:line="288" w:lineRule="auto"/>
        <w:ind w:firstLine="480" w:firstLineChars="200"/>
        <w:rPr>
          <w:rFonts w:asciiTheme="minorEastAsia" w:hAnsiTheme="minorEastAsia" w:eastAsiaTheme="minorEastAsia"/>
          <w:b/>
          <w:color w:val="000000"/>
          <w:kern w:val="0"/>
          <w:sz w:val="24"/>
        </w:rPr>
      </w:pPr>
      <w:r>
        <w:rPr>
          <w:color w:val="000000"/>
          <w:kern w:val="0"/>
          <w:sz w:val="24"/>
        </w:rPr>
        <w:fldChar w:fldCharType="end"/>
      </w:r>
    </w:p>
    <w:p>
      <w:pPr>
        <w:autoSpaceDE w:val="0"/>
        <w:autoSpaceDN w:val="0"/>
        <w:adjustRightInd w:val="0"/>
        <w:spacing w:before="29" w:line="288" w:lineRule="auto"/>
        <w:ind w:left="15"/>
        <w:jc w:val="center"/>
        <w:rPr>
          <w:rFonts w:asciiTheme="minorEastAsia" w:hAnsiTheme="minorEastAsia" w:eastAsiaTheme="minorEastAsia"/>
          <w:b/>
          <w:color w:val="000000"/>
          <w:kern w:val="0"/>
          <w:sz w:val="24"/>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pStyle w:val="2"/>
        <w:keepNext/>
        <w:keepLines/>
        <w:widowControl w:val="0"/>
        <w:spacing w:before="312" w:beforeLines="100" w:after="312" w:afterLines="100" w:line="288" w:lineRule="auto"/>
        <w:jc w:val="center"/>
        <w:rPr>
          <w:b/>
          <w:bCs/>
          <w:szCs w:val="24"/>
          <w:lang w:val="en-US"/>
        </w:rPr>
      </w:pPr>
      <w:r>
        <w:rPr>
          <w:rFonts w:asciiTheme="minorEastAsia" w:hAnsiTheme="minorEastAsia" w:eastAsiaTheme="minorEastAsia"/>
          <w:color w:val="000000"/>
          <w:sz w:val="21"/>
          <w:szCs w:val="21"/>
        </w:rPr>
        <w:br w:type="page"/>
      </w:r>
      <w:bookmarkStart w:id="8" w:name="_Toc361324844"/>
      <w:bookmarkStart w:id="9" w:name="_Toc67596570"/>
      <w:bookmarkStart w:id="10" w:name="_Toc225498244"/>
      <w:r>
        <w:rPr>
          <w:rFonts w:hint="eastAsia"/>
          <w:b/>
          <w:bCs/>
          <w:szCs w:val="24"/>
          <w:lang w:val="en-US"/>
        </w:rPr>
        <w:t>§</w:t>
      </w:r>
      <w:r>
        <w:rPr>
          <w:b/>
          <w:bCs/>
          <w:szCs w:val="24"/>
          <w:lang w:val="en-US"/>
        </w:rPr>
        <w:t xml:space="preserve">2  </w:t>
      </w:r>
      <w:r>
        <w:rPr>
          <w:rFonts w:hint="eastAsia"/>
          <w:b/>
          <w:bCs/>
          <w:szCs w:val="24"/>
          <w:lang w:val="en-US"/>
        </w:rPr>
        <w:t>基金简介</w:t>
      </w:r>
      <w:bookmarkEnd w:id="8"/>
      <w:bookmarkEnd w:id="9"/>
      <w:bookmarkEnd w:id="10"/>
    </w:p>
    <w:p/>
    <w:p>
      <w:pPr>
        <w:pStyle w:val="3"/>
        <w:spacing w:before="29" w:after="0" w:line="288" w:lineRule="auto"/>
        <w:rPr>
          <w:rFonts w:ascii="Times New Roman" w:hAnsi="Times New Roman"/>
          <w:kern w:val="0"/>
          <w:szCs w:val="24"/>
        </w:rPr>
      </w:pPr>
      <w:bookmarkStart w:id="11" w:name="_Toc361324845"/>
      <w:bookmarkStart w:id="12" w:name="_Toc67596571"/>
      <w:r>
        <w:rPr>
          <w:rFonts w:ascii="Times New Roman" w:hAnsi="Times New Roman"/>
          <w:kern w:val="0"/>
          <w:szCs w:val="24"/>
        </w:rPr>
        <w:t>2.1</w:t>
      </w:r>
      <w:r>
        <w:rPr>
          <w:rFonts w:ascii="Times New Roman" w:hAnsi="Times New Roman"/>
          <w:kern w:val="0"/>
          <w:szCs w:val="24"/>
        </w:rPr>
        <w:tab/>
      </w:r>
      <w:r>
        <w:rPr>
          <w:rFonts w:hint="eastAsia" w:ascii="Times New Roman" w:hAnsi="Times New Roman"/>
          <w:kern w:val="0"/>
          <w:szCs w:val="24"/>
        </w:rPr>
        <w:t>基金基本情况</w:t>
      </w:r>
      <w:bookmarkEnd w:id="11"/>
      <w:bookmarkEnd w:id="12"/>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77"/>
        <w:gridCol w:w="3022"/>
        <w:gridCol w:w="29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基金名称</w:t>
            </w:r>
          </w:p>
        </w:tc>
        <w:tc>
          <w:tcPr>
            <w:tcW w:w="6021" w:type="dxa"/>
            <w:gridSpan w:val="2"/>
            <w:vAlign w:val="center"/>
          </w:tcPr>
          <w:p>
            <w:pPr>
              <w:spacing w:before="29" w:line="288" w:lineRule="auto"/>
              <w:jc w:val="center"/>
              <w:rPr>
                <w:sz w:val="24"/>
              </w:rPr>
            </w:pPr>
            <w:r>
              <w:rPr>
                <w:sz w:val="24"/>
              </w:rPr>
              <w:t>交银施罗德新成长混合型证券投资基金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基金简称</w:t>
            </w:r>
          </w:p>
        </w:tc>
        <w:tc>
          <w:tcPr>
            <w:tcW w:w="6021" w:type="dxa"/>
            <w:gridSpan w:val="2"/>
            <w:vAlign w:val="center"/>
          </w:tcPr>
          <w:p>
            <w:pPr>
              <w:spacing w:before="29" w:line="288" w:lineRule="auto"/>
              <w:jc w:val="center"/>
              <w:rPr>
                <w:sz w:val="24"/>
              </w:rPr>
            </w:pPr>
            <w:r>
              <w:rPr>
                <w:sz w:val="24"/>
              </w:rPr>
              <w:t>交银新成长混合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基金主代码</w:t>
            </w:r>
          </w:p>
        </w:tc>
        <w:tc>
          <w:tcPr>
            <w:tcW w:w="6021" w:type="dxa"/>
            <w:gridSpan w:val="2"/>
            <w:vAlign w:val="center"/>
          </w:tcPr>
          <w:p>
            <w:pPr>
              <w:spacing w:before="29" w:line="288" w:lineRule="auto"/>
              <w:jc w:val="center"/>
              <w:rPr>
                <w:sz w:val="24"/>
              </w:rPr>
            </w:pPr>
            <w:r>
              <w:rPr>
                <w:sz w:val="24"/>
              </w:rPr>
              <w:t>519736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交易代码</w:t>
            </w:r>
          </w:p>
        </w:tc>
        <w:tc>
          <w:tcPr>
            <w:tcW w:w="3022" w:type="dxa"/>
            <w:vAlign w:val="center"/>
          </w:tcPr>
          <w:p>
            <w:pPr>
              <w:spacing w:before="29" w:line="288" w:lineRule="auto"/>
              <w:jc w:val="center"/>
              <w:rPr>
                <w:sz w:val="24"/>
              </w:rPr>
            </w:pPr>
            <w:r>
              <w:rPr>
                <w:rFonts w:hint="eastAsia"/>
                <w:sz w:val="24"/>
              </w:rPr>
              <w:t xml:space="preserve"> 519736(前端)</w:t>
            </w:r>
          </w:p>
        </w:tc>
        <w:tc>
          <w:tcPr>
            <w:tcW w:w="2999" w:type="dxa"/>
            <w:vAlign w:val="center"/>
          </w:tcPr>
          <w:p>
            <w:pPr>
              <w:spacing w:before="29" w:line="288" w:lineRule="auto"/>
              <w:jc w:val="center"/>
              <w:rPr>
                <w:sz w:val="24"/>
              </w:rPr>
            </w:pPr>
            <w:r>
              <w:rPr>
                <w:rFonts w:hint="eastAsia"/>
                <w:sz w:val="24"/>
              </w:rPr>
              <w:t xml:space="preserve"> 519737(后端)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基金运作方式</w:t>
            </w:r>
          </w:p>
        </w:tc>
        <w:tc>
          <w:tcPr>
            <w:tcW w:w="6021" w:type="dxa"/>
            <w:gridSpan w:val="2"/>
            <w:vAlign w:val="center"/>
          </w:tcPr>
          <w:p>
            <w:pPr>
              <w:spacing w:before="29" w:line="288" w:lineRule="auto"/>
              <w:jc w:val="center"/>
              <w:rPr>
                <w:sz w:val="24"/>
              </w:rPr>
            </w:pPr>
            <w:r>
              <w:rPr>
                <w:sz w:val="24"/>
              </w:rPr>
              <w:t>契约型开放式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基金合同生效日</w:t>
            </w:r>
          </w:p>
        </w:tc>
        <w:tc>
          <w:tcPr>
            <w:tcW w:w="6021" w:type="dxa"/>
            <w:gridSpan w:val="2"/>
            <w:vAlign w:val="center"/>
          </w:tcPr>
          <w:p>
            <w:pPr>
              <w:spacing w:before="29" w:line="288" w:lineRule="auto"/>
              <w:jc w:val="center"/>
              <w:rPr>
                <w:sz w:val="24"/>
              </w:rPr>
            </w:pPr>
            <w:r>
              <w:rPr>
                <w:sz w:val="24"/>
              </w:rPr>
              <w:t>2014年5月9日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基金管理人</w:t>
            </w:r>
          </w:p>
        </w:tc>
        <w:tc>
          <w:tcPr>
            <w:tcW w:w="6021" w:type="dxa"/>
            <w:gridSpan w:val="2"/>
            <w:vAlign w:val="center"/>
          </w:tcPr>
          <w:p>
            <w:pPr>
              <w:spacing w:before="29" w:line="288" w:lineRule="auto"/>
              <w:jc w:val="center"/>
              <w:rPr>
                <w:sz w:val="24"/>
              </w:rPr>
            </w:pPr>
            <w:r>
              <w:rPr>
                <w:sz w:val="24"/>
              </w:rPr>
              <w:t>交银施罗德基金管理有限公司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基金托管人</w:t>
            </w:r>
          </w:p>
        </w:tc>
        <w:tc>
          <w:tcPr>
            <w:tcW w:w="6021" w:type="dxa"/>
            <w:gridSpan w:val="2"/>
            <w:vAlign w:val="center"/>
          </w:tcPr>
          <w:p>
            <w:pPr>
              <w:spacing w:before="29" w:line="288" w:lineRule="auto"/>
              <w:jc w:val="center"/>
              <w:rPr>
                <w:sz w:val="24"/>
              </w:rPr>
            </w:pPr>
            <w:r>
              <w:rPr>
                <w:sz w:val="24"/>
              </w:rPr>
              <w:t>招商银行股份有限公司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报告期末基金份额总额</w:t>
            </w:r>
          </w:p>
        </w:tc>
        <w:tc>
          <w:tcPr>
            <w:tcW w:w="6021" w:type="dxa"/>
            <w:gridSpan w:val="2"/>
            <w:vAlign w:val="center"/>
          </w:tcPr>
          <w:p>
            <w:pPr>
              <w:spacing w:before="29" w:line="288" w:lineRule="auto"/>
              <w:jc w:val="center"/>
              <w:rPr>
                <w:sz w:val="24"/>
              </w:rPr>
            </w:pPr>
            <w:r>
              <w:rPr>
                <w:sz w:val="24"/>
              </w:rPr>
              <w:t>2,791,616,270.87</w:t>
            </w:r>
            <w:r>
              <w:rPr>
                <w:rFonts w:hint="eastAsia"/>
                <w:sz w:val="24"/>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基金合同存续期</w:t>
            </w:r>
          </w:p>
        </w:tc>
        <w:tc>
          <w:tcPr>
            <w:tcW w:w="6021" w:type="dxa"/>
            <w:gridSpan w:val="2"/>
            <w:vAlign w:val="center"/>
          </w:tcPr>
          <w:p>
            <w:pPr>
              <w:spacing w:before="29" w:line="288" w:lineRule="auto"/>
              <w:jc w:val="center"/>
              <w:rPr>
                <w:sz w:val="24"/>
              </w:rPr>
            </w:pPr>
            <w:r>
              <w:rPr>
                <w:sz w:val="24"/>
              </w:rPr>
              <w:t>不定期</w:t>
            </w:r>
          </w:p>
        </w:tc>
      </w:tr>
    </w:tbl>
    <w:p>
      <w:pPr>
        <w:tabs>
          <w:tab w:val="left" w:pos="426"/>
        </w:tabs>
        <w:spacing w:line="360" w:lineRule="auto"/>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3" w:name="_Toc67596572"/>
      <w:bookmarkStart w:id="14" w:name="_Toc361324846"/>
      <w:r>
        <w:rPr>
          <w:rFonts w:ascii="Times New Roman" w:hAnsi="Times New Roman"/>
          <w:kern w:val="0"/>
          <w:szCs w:val="24"/>
        </w:rPr>
        <w:t xml:space="preserve">2.2 </w:t>
      </w:r>
      <w:r>
        <w:rPr>
          <w:rFonts w:hint="eastAsia" w:ascii="Times New Roman" w:hAnsi="Times New Roman"/>
          <w:kern w:val="0"/>
          <w:szCs w:val="24"/>
        </w:rPr>
        <w:t>基金产品说明</w:t>
      </w:r>
      <w:bookmarkEnd w:id="13"/>
      <w:bookmarkEnd w:id="14"/>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42"/>
        <w:gridCol w:w="60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2942" w:type="dxa"/>
            <w:vAlign w:val="center"/>
          </w:tcPr>
          <w:p>
            <w:pPr>
              <w:spacing w:before="29" w:line="288" w:lineRule="auto"/>
              <w:rPr>
                <w:sz w:val="24"/>
              </w:rPr>
            </w:pPr>
            <w:r>
              <w:rPr>
                <w:rFonts w:hint="eastAsia"/>
                <w:sz w:val="24"/>
              </w:rPr>
              <w:t>投资目标</w:t>
            </w:r>
          </w:p>
        </w:tc>
        <w:tc>
          <w:tcPr>
            <w:tcW w:w="6058" w:type="dxa"/>
          </w:tcPr>
          <w:p>
            <w:pPr>
              <w:spacing w:before="29" w:line="288" w:lineRule="auto"/>
              <w:rPr>
                <w:sz w:val="24"/>
              </w:rPr>
            </w:pPr>
            <w:r>
              <w:rPr>
                <w:sz w:val="24"/>
              </w:rPr>
              <w:t xml:space="preserve">深入挖掘经济转型背景下的投资机会，自下而上精选个股，力争实现基金资产的长期稳定增值。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42" w:type="dxa"/>
            <w:vAlign w:val="center"/>
          </w:tcPr>
          <w:p>
            <w:pPr>
              <w:spacing w:before="29" w:line="288" w:lineRule="auto"/>
              <w:rPr>
                <w:sz w:val="24"/>
              </w:rPr>
            </w:pPr>
            <w:r>
              <w:rPr>
                <w:rFonts w:hint="eastAsia"/>
                <w:sz w:val="24"/>
              </w:rPr>
              <w:t>投资策略</w:t>
            </w:r>
          </w:p>
        </w:tc>
        <w:tc>
          <w:tcPr>
            <w:tcW w:w="6058" w:type="dxa"/>
          </w:tcPr>
          <w:p>
            <w:pPr>
              <w:spacing w:before="29" w:line="288" w:lineRule="auto"/>
              <w:rPr>
                <w:sz w:val="24"/>
              </w:rPr>
            </w:pPr>
            <w:r>
              <w:rPr>
                <w:sz w:val="24"/>
              </w:rPr>
              <w:t>本基金充分发挥基金管理人研究优势，在经济转型大背景下，分析和判断宏观经济运行变化和政府产业政策等多因素影响，积极挖掘不同行业和子行业景气度新变化下的个股投资机会，通过团队对个股深入的基本面研究和细致的实地调研，精选公司品质良好、成长具有可持续性、定价相对合理的股票进行投资，以谋求超额收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42" w:type="dxa"/>
            <w:vAlign w:val="center"/>
          </w:tcPr>
          <w:p>
            <w:pPr>
              <w:spacing w:before="29" w:line="288" w:lineRule="auto"/>
              <w:rPr>
                <w:sz w:val="24"/>
              </w:rPr>
            </w:pPr>
            <w:r>
              <w:rPr>
                <w:rFonts w:hint="eastAsia"/>
                <w:sz w:val="24"/>
              </w:rPr>
              <w:t>业绩比较基准</w:t>
            </w:r>
          </w:p>
        </w:tc>
        <w:tc>
          <w:tcPr>
            <w:tcW w:w="6058" w:type="dxa"/>
          </w:tcPr>
          <w:p>
            <w:pPr>
              <w:spacing w:before="29" w:line="288" w:lineRule="auto"/>
              <w:rPr>
                <w:sz w:val="24"/>
              </w:rPr>
            </w:pPr>
            <w:r>
              <w:rPr>
                <w:sz w:val="24"/>
              </w:rPr>
              <w:t>75%×富时中国A600成长指数+25%×中证综合债券指数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42" w:type="dxa"/>
            <w:vAlign w:val="center"/>
          </w:tcPr>
          <w:p>
            <w:pPr>
              <w:spacing w:before="29" w:line="288" w:lineRule="auto"/>
              <w:rPr>
                <w:sz w:val="24"/>
              </w:rPr>
            </w:pPr>
            <w:r>
              <w:rPr>
                <w:rFonts w:hint="eastAsia"/>
                <w:sz w:val="24"/>
              </w:rPr>
              <w:t>风险收益特征</w:t>
            </w:r>
          </w:p>
        </w:tc>
        <w:tc>
          <w:tcPr>
            <w:tcW w:w="6058" w:type="dxa"/>
          </w:tcPr>
          <w:p>
            <w:pPr>
              <w:spacing w:before="29" w:line="288" w:lineRule="auto"/>
              <w:rPr>
                <w:sz w:val="24"/>
              </w:rPr>
            </w:pPr>
            <w:r>
              <w:rPr>
                <w:sz w:val="24"/>
              </w:rPr>
              <w:t>本基金是一只混合型基金，其风险和预期收益高于债券型基金和货币市场基金，低于股票型基金。属于承担较高风险、预期收益较高的证券投资基金品种。</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5" w:name="_Toc361324847"/>
      <w:bookmarkStart w:id="16" w:name="_Toc225498247"/>
      <w:bookmarkStart w:id="17" w:name="_Toc67596573"/>
      <w:r>
        <w:rPr>
          <w:rFonts w:ascii="Times New Roman" w:hAnsi="Times New Roman"/>
          <w:kern w:val="0"/>
          <w:szCs w:val="24"/>
        </w:rPr>
        <w:t xml:space="preserve">2.3 </w:t>
      </w:r>
      <w:r>
        <w:rPr>
          <w:rFonts w:hint="eastAsia" w:ascii="Times New Roman" w:hAnsi="Times New Roman"/>
          <w:kern w:val="0"/>
          <w:szCs w:val="24"/>
        </w:rPr>
        <w:t>基金管理人和基金托管人</w:t>
      </w:r>
      <w:bookmarkEnd w:id="15"/>
      <w:bookmarkEnd w:id="16"/>
      <w:bookmarkEnd w:id="17"/>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1276"/>
        <w:gridCol w:w="3118"/>
        <w:gridCol w:w="33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118" w:type="dxa"/>
            <w:vAlign w:val="center"/>
          </w:tcPr>
          <w:p>
            <w:pPr>
              <w:spacing w:line="288" w:lineRule="auto"/>
              <w:jc w:val="center"/>
              <w:rPr>
                <w:color w:val="000000"/>
                <w:kern w:val="0"/>
                <w:sz w:val="24"/>
              </w:rPr>
            </w:pPr>
            <w:r>
              <w:rPr>
                <w:rFonts w:hint="eastAsia"/>
                <w:color w:val="000000"/>
                <w:kern w:val="0"/>
                <w:sz w:val="24"/>
              </w:rPr>
              <w:t>基金管理人</w:t>
            </w:r>
          </w:p>
        </w:tc>
        <w:tc>
          <w:tcPr>
            <w:tcW w:w="3328" w:type="dxa"/>
            <w:vAlign w:val="center"/>
          </w:tcPr>
          <w:p>
            <w:pPr>
              <w:spacing w:line="288" w:lineRule="auto"/>
              <w:jc w:val="center"/>
              <w:rPr>
                <w:color w:val="000000"/>
                <w:kern w:val="0"/>
                <w:sz w:val="24"/>
              </w:rPr>
            </w:pPr>
            <w:r>
              <w:rPr>
                <w:rFonts w:hint="eastAsia"/>
                <w:color w:val="000000"/>
                <w:kern w:val="0"/>
                <w:sz w:val="24"/>
              </w:rPr>
              <w:t>基金托管人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118" w:type="dxa"/>
            <w:vAlign w:val="center"/>
          </w:tcPr>
          <w:p>
            <w:pPr>
              <w:spacing w:before="29" w:line="288" w:lineRule="auto"/>
              <w:jc w:val="center"/>
              <w:rPr>
                <w:sz w:val="24"/>
              </w:rPr>
            </w:pPr>
            <w:r>
              <w:rPr>
                <w:sz w:val="24"/>
              </w:rPr>
              <w:t>交银施罗德基金管理有限公司</w:t>
            </w:r>
          </w:p>
        </w:tc>
        <w:tc>
          <w:tcPr>
            <w:tcW w:w="3328" w:type="dxa"/>
            <w:vAlign w:val="center"/>
          </w:tcPr>
          <w:p>
            <w:pPr>
              <w:spacing w:before="29" w:line="288" w:lineRule="auto"/>
              <w:jc w:val="center"/>
              <w:rPr>
                <w:sz w:val="24"/>
              </w:rPr>
            </w:pPr>
            <w:r>
              <w:rPr>
                <w:sz w:val="24"/>
              </w:rPr>
              <w:t>招商银行股份有限公司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restart"/>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信息披露负责人</w:t>
            </w:r>
          </w:p>
        </w:tc>
        <w:tc>
          <w:tcPr>
            <w:tcW w:w="1276" w:type="dxa"/>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姓名</w:t>
            </w:r>
          </w:p>
        </w:tc>
        <w:tc>
          <w:tcPr>
            <w:tcW w:w="3118" w:type="dxa"/>
            <w:vAlign w:val="center"/>
          </w:tcPr>
          <w:p>
            <w:pPr>
              <w:spacing w:before="29" w:line="288" w:lineRule="auto"/>
              <w:jc w:val="center"/>
              <w:rPr>
                <w:sz w:val="24"/>
              </w:rPr>
            </w:pPr>
            <w:r>
              <w:rPr>
                <w:sz w:val="24"/>
              </w:rPr>
              <w:t>王晚婷</w:t>
            </w:r>
          </w:p>
        </w:tc>
        <w:tc>
          <w:tcPr>
            <w:tcW w:w="3328" w:type="dxa"/>
            <w:vAlign w:val="center"/>
          </w:tcPr>
          <w:p>
            <w:pPr>
              <w:spacing w:before="29" w:line="288" w:lineRule="auto"/>
              <w:jc w:val="center"/>
              <w:rPr>
                <w:sz w:val="24"/>
              </w:rPr>
            </w:pPr>
            <w:r>
              <w:rPr>
                <w:sz w:val="24"/>
              </w:rPr>
              <w:t>张燕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continue"/>
            <w:vAlign w:val="center"/>
          </w:tcPr>
          <w:p>
            <w:pPr>
              <w:autoSpaceDE w:val="0"/>
              <w:autoSpaceDN w:val="0"/>
              <w:adjustRightInd w:val="0"/>
              <w:spacing w:before="29" w:line="288" w:lineRule="auto"/>
              <w:ind w:left="15"/>
              <w:rPr>
                <w:color w:val="000000"/>
                <w:kern w:val="0"/>
                <w:sz w:val="24"/>
              </w:rPr>
            </w:pPr>
          </w:p>
        </w:tc>
        <w:tc>
          <w:tcPr>
            <w:tcW w:w="1276" w:type="dxa"/>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联系电话</w:t>
            </w:r>
          </w:p>
        </w:tc>
        <w:tc>
          <w:tcPr>
            <w:tcW w:w="3118" w:type="dxa"/>
            <w:vAlign w:val="center"/>
          </w:tcPr>
          <w:p>
            <w:pPr>
              <w:spacing w:before="29" w:line="288" w:lineRule="auto"/>
              <w:jc w:val="center"/>
              <w:rPr>
                <w:sz w:val="24"/>
              </w:rPr>
            </w:pPr>
            <w:r>
              <w:rPr>
                <w:sz w:val="24"/>
              </w:rPr>
              <w:t>（021）61055050</w:t>
            </w:r>
          </w:p>
        </w:tc>
        <w:tc>
          <w:tcPr>
            <w:tcW w:w="3328" w:type="dxa"/>
            <w:vAlign w:val="center"/>
          </w:tcPr>
          <w:p>
            <w:pPr>
              <w:spacing w:before="29" w:line="288" w:lineRule="auto"/>
              <w:jc w:val="center"/>
              <w:rPr>
                <w:sz w:val="24"/>
              </w:rPr>
            </w:pPr>
            <w:r>
              <w:rPr>
                <w:sz w:val="24"/>
              </w:rPr>
              <w:t>0755-83199084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continue"/>
            <w:vAlign w:val="center"/>
          </w:tcPr>
          <w:p>
            <w:pPr>
              <w:autoSpaceDE w:val="0"/>
              <w:autoSpaceDN w:val="0"/>
              <w:adjustRightInd w:val="0"/>
              <w:spacing w:before="29" w:line="288" w:lineRule="auto"/>
              <w:ind w:left="15"/>
              <w:rPr>
                <w:color w:val="000000"/>
                <w:kern w:val="0"/>
                <w:sz w:val="24"/>
              </w:rPr>
            </w:pPr>
          </w:p>
        </w:tc>
        <w:tc>
          <w:tcPr>
            <w:tcW w:w="1276" w:type="dxa"/>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电子邮箱</w:t>
            </w:r>
          </w:p>
        </w:tc>
        <w:tc>
          <w:tcPr>
            <w:tcW w:w="3118" w:type="dxa"/>
            <w:vAlign w:val="center"/>
          </w:tcPr>
          <w:p>
            <w:pPr>
              <w:spacing w:before="29" w:line="288" w:lineRule="auto"/>
              <w:jc w:val="center"/>
              <w:rPr>
                <w:sz w:val="24"/>
              </w:rPr>
            </w:pPr>
            <w:r>
              <w:rPr>
                <w:sz w:val="24"/>
              </w:rPr>
              <w:t>xxpl@jysld.com,disclosure@jysld.com</w:t>
            </w:r>
          </w:p>
        </w:tc>
        <w:tc>
          <w:tcPr>
            <w:tcW w:w="3328" w:type="dxa"/>
            <w:vAlign w:val="center"/>
          </w:tcPr>
          <w:p>
            <w:pPr>
              <w:spacing w:before="29" w:line="288" w:lineRule="auto"/>
              <w:jc w:val="center"/>
              <w:rPr>
                <w:sz w:val="24"/>
              </w:rPr>
            </w:pPr>
            <w:r>
              <w:rPr>
                <w:sz w:val="24"/>
              </w:rPr>
              <w:t>yan_zhang@cmbchina.com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客户服务电话</w:t>
            </w:r>
          </w:p>
        </w:tc>
        <w:tc>
          <w:tcPr>
            <w:tcW w:w="3118" w:type="dxa"/>
            <w:vAlign w:val="center"/>
          </w:tcPr>
          <w:p>
            <w:pPr>
              <w:spacing w:before="29" w:line="288" w:lineRule="auto"/>
              <w:jc w:val="center"/>
              <w:rPr>
                <w:sz w:val="24"/>
              </w:rPr>
            </w:pPr>
            <w:r>
              <w:rPr>
                <w:sz w:val="24"/>
              </w:rPr>
              <w:t>400-700-5000，021-61055000</w:t>
            </w:r>
          </w:p>
        </w:tc>
        <w:tc>
          <w:tcPr>
            <w:tcW w:w="3328" w:type="dxa"/>
            <w:vAlign w:val="center"/>
          </w:tcPr>
          <w:p>
            <w:pPr>
              <w:spacing w:before="29" w:line="288" w:lineRule="auto"/>
              <w:jc w:val="center"/>
              <w:rPr>
                <w:sz w:val="24"/>
              </w:rPr>
            </w:pPr>
            <w:r>
              <w:rPr>
                <w:sz w:val="24"/>
              </w:rPr>
              <w:t>95555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传真</w:t>
            </w:r>
          </w:p>
        </w:tc>
        <w:tc>
          <w:tcPr>
            <w:tcW w:w="3118" w:type="dxa"/>
            <w:vAlign w:val="center"/>
          </w:tcPr>
          <w:p>
            <w:pPr>
              <w:spacing w:before="29" w:line="288" w:lineRule="auto"/>
              <w:jc w:val="center"/>
              <w:rPr>
                <w:sz w:val="24"/>
              </w:rPr>
            </w:pPr>
            <w:r>
              <w:rPr>
                <w:sz w:val="24"/>
              </w:rPr>
              <w:t>（021）61055054</w:t>
            </w:r>
          </w:p>
        </w:tc>
        <w:tc>
          <w:tcPr>
            <w:tcW w:w="3328" w:type="dxa"/>
            <w:vAlign w:val="center"/>
          </w:tcPr>
          <w:p>
            <w:pPr>
              <w:spacing w:before="29" w:line="288" w:lineRule="auto"/>
              <w:jc w:val="center"/>
              <w:rPr>
                <w:sz w:val="24"/>
              </w:rPr>
            </w:pPr>
            <w:r>
              <w:rPr>
                <w:sz w:val="24"/>
              </w:rPr>
              <w:t>0755-83195201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注册地址</w:t>
            </w:r>
          </w:p>
        </w:tc>
        <w:tc>
          <w:tcPr>
            <w:tcW w:w="3118" w:type="dxa"/>
            <w:vAlign w:val="center"/>
          </w:tcPr>
          <w:p>
            <w:pPr>
              <w:spacing w:before="29" w:line="288" w:lineRule="auto"/>
              <w:jc w:val="center"/>
              <w:rPr>
                <w:sz w:val="24"/>
              </w:rPr>
            </w:pPr>
            <w:r>
              <w:rPr>
                <w:sz w:val="24"/>
              </w:rPr>
              <w:t>中国（上海）自由贸易试验区银城中路188号交通银行大楼二层（裙）</w:t>
            </w:r>
          </w:p>
        </w:tc>
        <w:tc>
          <w:tcPr>
            <w:tcW w:w="3328" w:type="dxa"/>
            <w:vAlign w:val="center"/>
          </w:tcPr>
          <w:p>
            <w:pPr>
              <w:spacing w:before="29" w:line="288" w:lineRule="auto"/>
              <w:jc w:val="center"/>
              <w:rPr>
                <w:sz w:val="24"/>
              </w:rPr>
            </w:pPr>
            <w:r>
              <w:rPr>
                <w:sz w:val="24"/>
              </w:rPr>
              <w:t>深圳市深南大道7088号招商银行大厦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办公地址</w:t>
            </w:r>
          </w:p>
        </w:tc>
        <w:tc>
          <w:tcPr>
            <w:tcW w:w="3118" w:type="dxa"/>
            <w:vAlign w:val="center"/>
          </w:tcPr>
          <w:p>
            <w:pPr>
              <w:spacing w:before="29" w:line="288" w:lineRule="auto"/>
              <w:jc w:val="center"/>
              <w:rPr>
                <w:sz w:val="24"/>
              </w:rPr>
            </w:pPr>
            <w:r>
              <w:rPr>
                <w:sz w:val="24"/>
              </w:rPr>
              <w:t>上海市浦东新区世纪大道8号国金中心二期21-22楼</w:t>
            </w:r>
          </w:p>
        </w:tc>
        <w:tc>
          <w:tcPr>
            <w:tcW w:w="3328" w:type="dxa"/>
            <w:vAlign w:val="center"/>
          </w:tcPr>
          <w:p>
            <w:pPr>
              <w:spacing w:before="29" w:line="288" w:lineRule="auto"/>
              <w:jc w:val="center"/>
              <w:rPr>
                <w:sz w:val="24"/>
              </w:rPr>
            </w:pPr>
            <w:r>
              <w:rPr>
                <w:sz w:val="24"/>
              </w:rPr>
              <w:t>深圳市深南大道7088号招商银行大厦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邮政编码</w:t>
            </w:r>
          </w:p>
        </w:tc>
        <w:tc>
          <w:tcPr>
            <w:tcW w:w="3118" w:type="dxa"/>
            <w:vAlign w:val="center"/>
          </w:tcPr>
          <w:p>
            <w:pPr>
              <w:spacing w:before="29" w:line="288" w:lineRule="auto"/>
              <w:jc w:val="center"/>
              <w:rPr>
                <w:sz w:val="24"/>
              </w:rPr>
            </w:pPr>
            <w:r>
              <w:rPr>
                <w:sz w:val="24"/>
              </w:rPr>
              <w:t>200120</w:t>
            </w:r>
          </w:p>
        </w:tc>
        <w:tc>
          <w:tcPr>
            <w:tcW w:w="3328" w:type="dxa"/>
            <w:vAlign w:val="center"/>
          </w:tcPr>
          <w:p>
            <w:pPr>
              <w:spacing w:before="29" w:line="288" w:lineRule="auto"/>
              <w:jc w:val="center"/>
              <w:rPr>
                <w:sz w:val="24"/>
              </w:rPr>
            </w:pPr>
            <w:r>
              <w:rPr>
                <w:sz w:val="24"/>
              </w:rPr>
              <w:t>518040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法定代表人</w:t>
            </w:r>
          </w:p>
        </w:tc>
        <w:tc>
          <w:tcPr>
            <w:tcW w:w="3118" w:type="dxa"/>
            <w:vAlign w:val="center"/>
          </w:tcPr>
          <w:p>
            <w:pPr>
              <w:spacing w:before="29" w:line="288" w:lineRule="auto"/>
              <w:jc w:val="center"/>
              <w:rPr>
                <w:sz w:val="24"/>
              </w:rPr>
            </w:pPr>
            <w:r>
              <w:rPr>
                <w:sz w:val="24"/>
              </w:rPr>
              <w:t>阮红</w:t>
            </w:r>
          </w:p>
        </w:tc>
        <w:tc>
          <w:tcPr>
            <w:tcW w:w="3328" w:type="dxa"/>
            <w:vAlign w:val="center"/>
          </w:tcPr>
          <w:p>
            <w:pPr>
              <w:spacing w:before="29" w:line="288" w:lineRule="auto"/>
              <w:jc w:val="center"/>
              <w:rPr>
                <w:sz w:val="24"/>
              </w:rPr>
            </w:pPr>
            <w:r>
              <w:rPr>
                <w:rFonts w:hint="eastAsia"/>
                <w:sz w:val="24"/>
              </w:rPr>
              <w:t>缪</w:t>
            </w:r>
            <w:r>
              <w:rPr>
                <w:sz w:val="24"/>
              </w:rPr>
              <w:t>建民</w:t>
            </w:r>
          </w:p>
        </w:tc>
      </w:tr>
    </w:tbl>
    <w:p>
      <w:pPr>
        <w:tabs>
          <w:tab w:val="left" w:pos="1740"/>
        </w:tabs>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8" w:name="_Toc361324848"/>
      <w:bookmarkStart w:id="19" w:name="_Toc225498248"/>
      <w:bookmarkStart w:id="20" w:name="_Toc67596574"/>
      <w:r>
        <w:rPr>
          <w:rFonts w:ascii="Times New Roman" w:hAnsi="Times New Roman"/>
          <w:kern w:val="0"/>
          <w:szCs w:val="24"/>
        </w:rPr>
        <w:t xml:space="preserve">2.4 </w:t>
      </w:r>
      <w:r>
        <w:rPr>
          <w:rFonts w:hint="eastAsia" w:ascii="Times New Roman" w:hAnsi="Times New Roman"/>
          <w:kern w:val="0"/>
          <w:szCs w:val="24"/>
        </w:rPr>
        <w:t>信息披露方式</w:t>
      </w:r>
      <w:bookmarkEnd w:id="18"/>
      <w:bookmarkEnd w:id="19"/>
      <w:bookmarkEnd w:id="20"/>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20"/>
        <w:gridCol w:w="41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0" w:type="dxa"/>
            <w:vAlign w:val="center"/>
          </w:tcPr>
          <w:p>
            <w:pPr>
              <w:spacing w:before="29" w:line="288" w:lineRule="auto"/>
              <w:rPr>
                <w:sz w:val="24"/>
              </w:rPr>
            </w:pPr>
            <w:r>
              <w:rPr>
                <w:rFonts w:hint="eastAsia"/>
                <w:sz w:val="24"/>
              </w:rPr>
              <w:t>本基金选定的信息披露报纸名称</w:t>
            </w:r>
          </w:p>
        </w:tc>
        <w:tc>
          <w:tcPr>
            <w:tcW w:w="4178" w:type="dxa"/>
            <w:vAlign w:val="center"/>
          </w:tcPr>
          <w:p>
            <w:pPr>
              <w:spacing w:before="29" w:line="288" w:lineRule="auto"/>
              <w:jc w:val="center"/>
              <w:rPr>
                <w:sz w:val="24"/>
              </w:rPr>
            </w:pPr>
            <w:r>
              <w:rPr>
                <w:sz w:val="24"/>
              </w:rPr>
              <w:t>《中国证券报》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0" w:type="dxa"/>
            <w:vAlign w:val="center"/>
          </w:tcPr>
          <w:p>
            <w:pPr>
              <w:spacing w:before="29" w:line="288" w:lineRule="auto"/>
              <w:rPr>
                <w:sz w:val="24"/>
              </w:rPr>
            </w:pPr>
            <w:r>
              <w:rPr>
                <w:rFonts w:hint="eastAsia"/>
                <w:sz w:val="24"/>
              </w:rPr>
              <w:t>登载基金年度报告正文的管理人互联网网址</w:t>
            </w:r>
          </w:p>
        </w:tc>
        <w:tc>
          <w:tcPr>
            <w:tcW w:w="4178" w:type="dxa"/>
            <w:vAlign w:val="center"/>
          </w:tcPr>
          <w:p>
            <w:pPr>
              <w:spacing w:before="29" w:line="288" w:lineRule="auto"/>
              <w:jc w:val="center"/>
              <w:rPr>
                <w:sz w:val="24"/>
              </w:rPr>
            </w:pPr>
            <w:r>
              <w:rPr>
                <w:sz w:val="24"/>
              </w:rPr>
              <w:t>www.fund001.com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0" w:type="dxa"/>
            <w:vAlign w:val="center"/>
          </w:tcPr>
          <w:p>
            <w:pPr>
              <w:spacing w:before="29" w:line="288" w:lineRule="auto"/>
              <w:rPr>
                <w:sz w:val="24"/>
              </w:rPr>
            </w:pPr>
            <w:r>
              <w:rPr>
                <w:rFonts w:hint="eastAsia"/>
                <w:sz w:val="24"/>
              </w:rPr>
              <w:t>基金年度报告备置地点</w:t>
            </w:r>
          </w:p>
        </w:tc>
        <w:tc>
          <w:tcPr>
            <w:tcW w:w="4178" w:type="dxa"/>
            <w:vAlign w:val="center"/>
          </w:tcPr>
          <w:p>
            <w:pPr>
              <w:spacing w:before="29" w:line="288" w:lineRule="auto"/>
              <w:jc w:val="center"/>
              <w:rPr>
                <w:sz w:val="24"/>
              </w:rPr>
            </w:pPr>
            <w:r>
              <w:rPr>
                <w:sz w:val="24"/>
              </w:rPr>
              <w:t>基金管理人的办公场所</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1" w:name="_Toc225498249"/>
      <w:bookmarkStart w:id="22" w:name="_Toc361324849"/>
      <w:bookmarkStart w:id="23" w:name="_Toc67596575"/>
      <w:r>
        <w:rPr>
          <w:rFonts w:ascii="Times New Roman" w:hAnsi="Times New Roman"/>
          <w:kern w:val="0"/>
          <w:szCs w:val="24"/>
        </w:rPr>
        <w:t xml:space="preserve">2.5 </w:t>
      </w:r>
      <w:r>
        <w:rPr>
          <w:rFonts w:hint="eastAsia" w:ascii="Times New Roman" w:hAnsi="Times New Roman"/>
          <w:kern w:val="0"/>
          <w:szCs w:val="24"/>
        </w:rPr>
        <w:t>其他相关资料</w:t>
      </w:r>
      <w:bookmarkEnd w:id="21"/>
      <w:bookmarkEnd w:id="22"/>
      <w:bookmarkEnd w:id="23"/>
    </w:p>
    <w:tbl>
      <w:tblPr>
        <w:tblStyle w:val="31"/>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1"/>
        <w:gridCol w:w="2976"/>
        <w:gridCol w:w="2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vAlign w:val="center"/>
          </w:tcPr>
          <w:p>
            <w:pPr>
              <w:tabs>
                <w:tab w:val="left" w:pos="1740"/>
              </w:tabs>
              <w:spacing w:line="360" w:lineRule="auto"/>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项目</w:t>
            </w:r>
          </w:p>
        </w:tc>
        <w:tc>
          <w:tcPr>
            <w:tcW w:w="2976" w:type="dxa"/>
            <w:vAlign w:val="center"/>
          </w:tcPr>
          <w:p>
            <w:pPr>
              <w:tabs>
                <w:tab w:val="left" w:pos="1740"/>
              </w:tabs>
              <w:spacing w:line="360" w:lineRule="auto"/>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名称</w:t>
            </w:r>
          </w:p>
        </w:tc>
        <w:tc>
          <w:tcPr>
            <w:tcW w:w="2761" w:type="dxa"/>
            <w:vAlign w:val="center"/>
          </w:tcPr>
          <w:p>
            <w:pPr>
              <w:tabs>
                <w:tab w:val="left" w:pos="1740"/>
              </w:tabs>
              <w:spacing w:line="360" w:lineRule="auto"/>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办公地址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vAlign w:val="center"/>
          </w:tcPr>
          <w:p>
            <w:pPr>
              <w:spacing w:before="29" w:line="288" w:lineRule="auto"/>
              <w:rPr>
                <w:sz w:val="24"/>
              </w:rPr>
            </w:pPr>
            <w:r>
              <w:rPr>
                <w:rFonts w:hint="eastAsia"/>
                <w:sz w:val="24"/>
              </w:rPr>
              <w:t>会计师事务所</w:t>
            </w:r>
          </w:p>
        </w:tc>
        <w:tc>
          <w:tcPr>
            <w:tcW w:w="2976" w:type="dxa"/>
            <w:vAlign w:val="center"/>
          </w:tcPr>
          <w:p>
            <w:pPr>
              <w:spacing w:before="29" w:line="288" w:lineRule="auto"/>
              <w:jc w:val="center"/>
              <w:rPr>
                <w:sz w:val="24"/>
              </w:rPr>
            </w:pPr>
            <w:r>
              <w:rPr>
                <w:sz w:val="24"/>
              </w:rPr>
              <w:t>普华永道中天会计师事务所（特殊普通合伙）</w:t>
            </w:r>
          </w:p>
        </w:tc>
        <w:tc>
          <w:tcPr>
            <w:tcW w:w="2761" w:type="dxa"/>
            <w:vAlign w:val="center"/>
          </w:tcPr>
          <w:p>
            <w:pPr>
              <w:spacing w:before="29" w:line="288" w:lineRule="auto"/>
              <w:jc w:val="center"/>
              <w:rPr>
                <w:sz w:val="24"/>
              </w:rPr>
            </w:pPr>
            <w:r>
              <w:rPr>
                <w:sz w:val="24"/>
              </w:rPr>
              <w:t>上海市湖滨路202号普华永道中心11楼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vAlign w:val="center"/>
          </w:tcPr>
          <w:p>
            <w:pPr>
              <w:spacing w:before="29" w:line="288" w:lineRule="auto"/>
              <w:rPr>
                <w:sz w:val="24"/>
              </w:rPr>
            </w:pPr>
            <w:r>
              <w:rPr>
                <w:rFonts w:hint="eastAsia"/>
                <w:sz w:val="24"/>
              </w:rPr>
              <w:t>注册登记机构</w:t>
            </w:r>
          </w:p>
        </w:tc>
        <w:tc>
          <w:tcPr>
            <w:tcW w:w="2976" w:type="dxa"/>
            <w:vAlign w:val="center"/>
          </w:tcPr>
          <w:p>
            <w:pPr>
              <w:spacing w:before="29" w:line="288" w:lineRule="auto"/>
              <w:jc w:val="center"/>
              <w:rPr>
                <w:sz w:val="24"/>
              </w:rPr>
            </w:pPr>
            <w:r>
              <w:rPr>
                <w:sz w:val="24"/>
              </w:rPr>
              <w:t>中国证券登记结算有限责任公司</w:t>
            </w:r>
          </w:p>
        </w:tc>
        <w:tc>
          <w:tcPr>
            <w:tcW w:w="2761" w:type="dxa"/>
            <w:vAlign w:val="center"/>
          </w:tcPr>
          <w:p>
            <w:pPr>
              <w:spacing w:before="29" w:line="288" w:lineRule="auto"/>
              <w:jc w:val="center"/>
              <w:rPr>
                <w:sz w:val="24"/>
              </w:rPr>
            </w:pPr>
            <w:r>
              <w:rPr>
                <w:sz w:val="24"/>
              </w:rPr>
              <w:t>北京市西城区太平桥大街17号</w:t>
            </w:r>
          </w:p>
        </w:tc>
      </w:tr>
    </w:tbl>
    <w:p>
      <w:pPr>
        <w:spacing w:before="29" w:line="288" w:lineRule="auto"/>
        <w:jc w:val="left"/>
        <w:rPr>
          <w:kern w:val="0"/>
          <w:sz w:val="24"/>
        </w:rPr>
      </w:pPr>
    </w:p>
    <w:p>
      <w:pPr>
        <w:pStyle w:val="2"/>
        <w:keepNext/>
        <w:keepLines/>
        <w:widowControl w:val="0"/>
        <w:spacing w:before="312" w:beforeLines="100" w:after="312" w:afterLines="100" w:line="288" w:lineRule="auto"/>
        <w:jc w:val="center"/>
        <w:rPr>
          <w:b/>
          <w:bCs/>
          <w:szCs w:val="24"/>
          <w:lang w:val="en-US"/>
        </w:rPr>
      </w:pPr>
      <w:bookmarkStart w:id="24" w:name="_Toc225498250"/>
      <w:bookmarkStart w:id="25" w:name="_Toc361324850"/>
      <w:bookmarkStart w:id="26" w:name="_Toc67596576"/>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4"/>
      <w:r>
        <w:rPr>
          <w:rFonts w:hint="eastAsia"/>
          <w:b/>
          <w:bCs/>
          <w:szCs w:val="24"/>
          <w:lang w:val="en-US"/>
        </w:rPr>
        <w:t>及利润分配情况</w:t>
      </w:r>
      <w:bookmarkEnd w:id="25"/>
      <w:bookmarkEnd w:id="26"/>
    </w:p>
    <w:p/>
    <w:p>
      <w:pPr>
        <w:pStyle w:val="3"/>
        <w:spacing w:before="29" w:after="0" w:line="288" w:lineRule="auto"/>
        <w:rPr>
          <w:rFonts w:ascii="Times New Roman" w:hAnsi="Times New Roman"/>
          <w:kern w:val="0"/>
          <w:szCs w:val="24"/>
        </w:rPr>
      </w:pPr>
      <w:bookmarkStart w:id="27" w:name="_Toc361324851"/>
      <w:bookmarkStart w:id="28" w:name="_Toc286996129"/>
      <w:bookmarkStart w:id="29" w:name="_Toc67596577"/>
      <w:r>
        <w:rPr>
          <w:rFonts w:ascii="Times New Roman" w:hAnsi="Times New Roman"/>
          <w:kern w:val="0"/>
          <w:szCs w:val="24"/>
        </w:rPr>
        <w:t xml:space="preserve">3.1 </w:t>
      </w:r>
      <w:r>
        <w:rPr>
          <w:rFonts w:hint="eastAsia" w:ascii="Times New Roman" w:hAnsi="Times New Roman"/>
          <w:kern w:val="0"/>
          <w:szCs w:val="24"/>
        </w:rPr>
        <w:t>主要会计数据和财务指标</w:t>
      </w:r>
      <w:bookmarkEnd w:id="27"/>
      <w:bookmarkEnd w:id="28"/>
      <w:bookmarkEnd w:id="29"/>
    </w:p>
    <w:p>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2268"/>
        <w:gridCol w:w="2409"/>
        <w:gridCol w:w="2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7" w:hRule="atLeast"/>
        </w:trPr>
        <w:tc>
          <w:tcPr>
            <w:tcW w:w="1203" w:type="pct"/>
            <w:vAlign w:val="center"/>
          </w:tcPr>
          <w:p>
            <w:pPr>
              <w:spacing w:before="29" w:line="288" w:lineRule="auto"/>
              <w:rPr>
                <w:b/>
                <w:szCs w:val="21"/>
              </w:rPr>
            </w:pPr>
            <w:r>
              <w:rPr>
                <w:b/>
                <w:szCs w:val="21"/>
              </w:rPr>
              <w:t xml:space="preserve">3.1.1 </w:t>
            </w:r>
            <w:r>
              <w:rPr>
                <w:rFonts w:hint="eastAsia"/>
                <w:b/>
                <w:szCs w:val="21"/>
              </w:rPr>
              <w:t>期间数据和指标</w:t>
            </w:r>
          </w:p>
        </w:tc>
        <w:tc>
          <w:tcPr>
            <w:tcW w:w="1221" w:type="pct"/>
            <w:vAlign w:val="center"/>
          </w:tcPr>
          <w:p>
            <w:pPr>
              <w:spacing w:before="29" w:line="288" w:lineRule="auto"/>
              <w:jc w:val="center"/>
              <w:rPr>
                <w:b/>
                <w:szCs w:val="21"/>
              </w:rPr>
            </w:pPr>
            <w:r>
              <w:rPr>
                <w:b/>
                <w:szCs w:val="21"/>
              </w:rPr>
              <w:t>2020年</w:t>
            </w:r>
          </w:p>
        </w:tc>
        <w:tc>
          <w:tcPr>
            <w:tcW w:w="1297" w:type="pct"/>
            <w:vAlign w:val="center"/>
          </w:tcPr>
          <w:p>
            <w:pPr>
              <w:spacing w:before="29" w:line="288" w:lineRule="auto"/>
              <w:jc w:val="center"/>
              <w:rPr>
                <w:b/>
                <w:szCs w:val="21"/>
              </w:rPr>
            </w:pPr>
            <w:r>
              <w:rPr>
                <w:b/>
                <w:szCs w:val="21"/>
              </w:rPr>
              <w:t>2019年</w:t>
            </w:r>
          </w:p>
        </w:tc>
        <w:tc>
          <w:tcPr>
            <w:tcW w:w="1278" w:type="pct"/>
            <w:vAlign w:val="center"/>
          </w:tcPr>
          <w:p>
            <w:pPr>
              <w:spacing w:before="29" w:line="288" w:lineRule="auto"/>
              <w:jc w:val="center"/>
              <w:rPr>
                <w:b/>
                <w:szCs w:val="21"/>
              </w:rPr>
            </w:pPr>
            <w:r>
              <w:rPr>
                <w:b/>
                <w:szCs w:val="21"/>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本期已实现收益</w:t>
            </w:r>
          </w:p>
        </w:tc>
        <w:tc>
          <w:tcPr>
            <w:tcW w:w="1221" w:type="pct"/>
            <w:vAlign w:val="center"/>
          </w:tcPr>
          <w:p>
            <w:pPr>
              <w:spacing w:before="29" w:line="288" w:lineRule="auto"/>
              <w:jc w:val="right"/>
              <w:rPr>
                <w:szCs w:val="21"/>
              </w:rPr>
            </w:pPr>
            <w:r>
              <w:rPr>
                <w:szCs w:val="21"/>
              </w:rPr>
              <w:t>2,318,432,554.50</w:t>
            </w:r>
          </w:p>
        </w:tc>
        <w:tc>
          <w:tcPr>
            <w:tcW w:w="1297" w:type="pct"/>
            <w:vAlign w:val="center"/>
          </w:tcPr>
          <w:p>
            <w:pPr>
              <w:spacing w:before="29" w:line="288" w:lineRule="auto"/>
              <w:jc w:val="right"/>
              <w:rPr>
                <w:szCs w:val="21"/>
              </w:rPr>
            </w:pPr>
            <w:r>
              <w:rPr>
                <w:szCs w:val="21"/>
              </w:rPr>
              <w:t>774,022,764.02</w:t>
            </w:r>
          </w:p>
        </w:tc>
        <w:tc>
          <w:tcPr>
            <w:tcW w:w="1278" w:type="pct"/>
            <w:vAlign w:val="center"/>
          </w:tcPr>
          <w:p>
            <w:pPr>
              <w:spacing w:before="29" w:line="288" w:lineRule="auto"/>
              <w:jc w:val="right"/>
              <w:rPr>
                <w:szCs w:val="21"/>
              </w:rPr>
            </w:pPr>
            <w:r>
              <w:rPr>
                <w:szCs w:val="21"/>
              </w:rPr>
              <w:t>-227,609,016.14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3" w:type="pct"/>
            <w:vAlign w:val="center"/>
          </w:tcPr>
          <w:p>
            <w:pPr>
              <w:spacing w:before="29" w:line="288" w:lineRule="auto"/>
              <w:rPr>
                <w:szCs w:val="21"/>
              </w:rPr>
            </w:pPr>
            <w:r>
              <w:rPr>
                <w:rFonts w:hint="eastAsia"/>
                <w:szCs w:val="21"/>
              </w:rPr>
              <w:t>本期利润</w:t>
            </w:r>
          </w:p>
        </w:tc>
        <w:tc>
          <w:tcPr>
            <w:tcW w:w="1221" w:type="pct"/>
            <w:vAlign w:val="center"/>
          </w:tcPr>
          <w:p>
            <w:pPr>
              <w:spacing w:before="29" w:line="288" w:lineRule="auto"/>
              <w:jc w:val="right"/>
              <w:rPr>
                <w:szCs w:val="21"/>
              </w:rPr>
            </w:pPr>
            <w:r>
              <w:rPr>
                <w:szCs w:val="21"/>
              </w:rPr>
              <w:t>3,980,935,083.30</w:t>
            </w:r>
          </w:p>
        </w:tc>
        <w:tc>
          <w:tcPr>
            <w:tcW w:w="1297" w:type="pct"/>
            <w:vAlign w:val="center"/>
          </w:tcPr>
          <w:p>
            <w:pPr>
              <w:spacing w:before="29" w:line="288" w:lineRule="auto"/>
              <w:jc w:val="right"/>
              <w:rPr>
                <w:szCs w:val="21"/>
              </w:rPr>
            </w:pPr>
            <w:r>
              <w:rPr>
                <w:szCs w:val="21"/>
              </w:rPr>
              <w:t>1,711,540,074.02</w:t>
            </w:r>
          </w:p>
        </w:tc>
        <w:tc>
          <w:tcPr>
            <w:tcW w:w="1278" w:type="pct"/>
            <w:vAlign w:val="center"/>
          </w:tcPr>
          <w:p>
            <w:pPr>
              <w:spacing w:before="29" w:line="288" w:lineRule="auto"/>
              <w:jc w:val="right"/>
              <w:rPr>
                <w:szCs w:val="21"/>
              </w:rPr>
            </w:pPr>
            <w:r>
              <w:rPr>
                <w:szCs w:val="21"/>
              </w:rPr>
              <w:t>-550,977,725.93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3" w:type="pct"/>
            <w:vAlign w:val="center"/>
          </w:tcPr>
          <w:p>
            <w:pPr>
              <w:spacing w:before="29" w:line="288" w:lineRule="auto"/>
              <w:rPr>
                <w:szCs w:val="21"/>
              </w:rPr>
            </w:pPr>
            <w:r>
              <w:rPr>
                <w:rFonts w:hint="eastAsia"/>
                <w:szCs w:val="21"/>
              </w:rPr>
              <w:t>加权平均基金份额本期利润</w:t>
            </w:r>
          </w:p>
        </w:tc>
        <w:tc>
          <w:tcPr>
            <w:tcW w:w="1221" w:type="pct"/>
            <w:vAlign w:val="center"/>
          </w:tcPr>
          <w:p>
            <w:pPr>
              <w:spacing w:before="29" w:line="288" w:lineRule="auto"/>
              <w:jc w:val="right"/>
              <w:rPr>
                <w:szCs w:val="21"/>
              </w:rPr>
            </w:pPr>
            <w:r>
              <w:rPr>
                <w:szCs w:val="21"/>
              </w:rPr>
              <w:t>1.4959</w:t>
            </w:r>
          </w:p>
        </w:tc>
        <w:tc>
          <w:tcPr>
            <w:tcW w:w="1297" w:type="pct"/>
            <w:vAlign w:val="center"/>
          </w:tcPr>
          <w:p>
            <w:pPr>
              <w:spacing w:before="29" w:line="288" w:lineRule="auto"/>
              <w:jc w:val="right"/>
              <w:rPr>
                <w:szCs w:val="21"/>
              </w:rPr>
            </w:pPr>
            <w:r>
              <w:rPr>
                <w:szCs w:val="21"/>
              </w:rPr>
              <w:t>1.0718</w:t>
            </w:r>
          </w:p>
        </w:tc>
        <w:tc>
          <w:tcPr>
            <w:tcW w:w="1278" w:type="pct"/>
            <w:vAlign w:val="center"/>
          </w:tcPr>
          <w:p>
            <w:pPr>
              <w:spacing w:before="29" w:line="288" w:lineRule="auto"/>
              <w:jc w:val="right"/>
              <w:rPr>
                <w:szCs w:val="21"/>
              </w:rPr>
            </w:pPr>
            <w:r>
              <w:rPr>
                <w:szCs w:val="21"/>
              </w:rPr>
              <w:t>-0.3915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本期加权平均净值利润率</w:t>
            </w:r>
          </w:p>
        </w:tc>
        <w:tc>
          <w:tcPr>
            <w:tcW w:w="1221" w:type="pct"/>
            <w:vAlign w:val="center"/>
          </w:tcPr>
          <w:p>
            <w:pPr>
              <w:spacing w:before="29" w:line="288" w:lineRule="auto"/>
              <w:jc w:val="right"/>
              <w:rPr>
                <w:szCs w:val="21"/>
              </w:rPr>
            </w:pPr>
            <w:r>
              <w:rPr>
                <w:szCs w:val="21"/>
              </w:rPr>
              <w:t>44.57%</w:t>
            </w:r>
          </w:p>
        </w:tc>
        <w:tc>
          <w:tcPr>
            <w:tcW w:w="1297" w:type="pct"/>
            <w:vAlign w:val="center"/>
          </w:tcPr>
          <w:p>
            <w:pPr>
              <w:spacing w:before="29" w:line="288" w:lineRule="auto"/>
              <w:jc w:val="right"/>
              <w:rPr>
                <w:szCs w:val="21"/>
              </w:rPr>
            </w:pPr>
            <w:r>
              <w:rPr>
                <w:szCs w:val="21"/>
              </w:rPr>
              <w:t>47.45%</w:t>
            </w:r>
          </w:p>
        </w:tc>
        <w:tc>
          <w:tcPr>
            <w:tcW w:w="1278" w:type="pct"/>
            <w:vAlign w:val="center"/>
          </w:tcPr>
          <w:p>
            <w:pPr>
              <w:spacing w:before="29" w:line="288" w:lineRule="auto"/>
              <w:jc w:val="right"/>
              <w:rPr>
                <w:szCs w:val="21"/>
              </w:rPr>
            </w:pPr>
            <w:r>
              <w:rPr>
                <w:szCs w:val="21"/>
              </w:rPr>
              <w:t>-20.27%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本期基金份额净值增长率</w:t>
            </w:r>
          </w:p>
        </w:tc>
        <w:tc>
          <w:tcPr>
            <w:tcW w:w="1221" w:type="pct"/>
            <w:vAlign w:val="center"/>
          </w:tcPr>
          <w:p>
            <w:pPr>
              <w:spacing w:before="29" w:line="288" w:lineRule="auto"/>
              <w:jc w:val="right"/>
              <w:rPr>
                <w:szCs w:val="21"/>
              </w:rPr>
            </w:pPr>
            <w:r>
              <w:rPr>
                <w:szCs w:val="21"/>
              </w:rPr>
              <w:t>55.98%</w:t>
            </w:r>
          </w:p>
        </w:tc>
        <w:tc>
          <w:tcPr>
            <w:tcW w:w="1297" w:type="pct"/>
            <w:vAlign w:val="center"/>
          </w:tcPr>
          <w:p>
            <w:pPr>
              <w:spacing w:before="29" w:line="288" w:lineRule="auto"/>
              <w:jc w:val="right"/>
              <w:rPr>
                <w:szCs w:val="21"/>
              </w:rPr>
            </w:pPr>
            <w:r>
              <w:rPr>
                <w:szCs w:val="21"/>
              </w:rPr>
              <w:t>58.20%</w:t>
            </w:r>
          </w:p>
        </w:tc>
        <w:tc>
          <w:tcPr>
            <w:tcW w:w="1278" w:type="pct"/>
            <w:vAlign w:val="center"/>
          </w:tcPr>
          <w:p>
            <w:pPr>
              <w:spacing w:before="29" w:line="288" w:lineRule="auto"/>
              <w:jc w:val="right"/>
              <w:rPr>
                <w:szCs w:val="21"/>
              </w:rPr>
            </w:pPr>
            <w:r>
              <w:rPr>
                <w:szCs w:val="21"/>
              </w:rPr>
              <w:t>-15.99%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rFonts w:asciiTheme="minorEastAsia" w:hAnsiTheme="minorEastAsia" w:eastAsiaTheme="minorEastAsia"/>
                <w:b/>
                <w:szCs w:val="21"/>
              </w:rPr>
            </w:pPr>
            <w:r>
              <w:rPr>
                <w:b/>
                <w:szCs w:val="21"/>
              </w:rPr>
              <w:t xml:space="preserve">3.1.2 </w:t>
            </w:r>
            <w:r>
              <w:rPr>
                <w:rFonts w:hint="eastAsia"/>
                <w:b/>
                <w:szCs w:val="21"/>
              </w:rPr>
              <w:t>期末数据和指标</w:t>
            </w:r>
          </w:p>
        </w:tc>
        <w:tc>
          <w:tcPr>
            <w:tcW w:w="1221" w:type="pct"/>
            <w:vAlign w:val="center"/>
          </w:tcPr>
          <w:p>
            <w:pPr>
              <w:spacing w:before="29" w:line="288" w:lineRule="auto"/>
              <w:jc w:val="center"/>
              <w:rPr>
                <w:b/>
                <w:szCs w:val="21"/>
              </w:rPr>
            </w:pPr>
            <w:r>
              <w:rPr>
                <w:b/>
                <w:szCs w:val="21"/>
              </w:rPr>
              <w:t>2020</w:t>
            </w:r>
            <w:r>
              <w:rPr>
                <w:rFonts w:hint="eastAsia"/>
                <w:b/>
                <w:szCs w:val="21"/>
              </w:rPr>
              <w:t>年末</w:t>
            </w:r>
          </w:p>
        </w:tc>
        <w:tc>
          <w:tcPr>
            <w:tcW w:w="1297" w:type="pct"/>
            <w:vAlign w:val="center"/>
          </w:tcPr>
          <w:p>
            <w:pPr>
              <w:spacing w:before="29" w:line="288" w:lineRule="auto"/>
              <w:jc w:val="center"/>
              <w:rPr>
                <w:b/>
                <w:szCs w:val="21"/>
              </w:rPr>
            </w:pPr>
            <w:r>
              <w:rPr>
                <w:b/>
                <w:szCs w:val="21"/>
              </w:rPr>
              <w:t>2019</w:t>
            </w:r>
            <w:r>
              <w:rPr>
                <w:rFonts w:hint="eastAsia"/>
                <w:b/>
                <w:szCs w:val="21"/>
              </w:rPr>
              <w:t>年末</w:t>
            </w:r>
          </w:p>
        </w:tc>
        <w:tc>
          <w:tcPr>
            <w:tcW w:w="1278" w:type="pct"/>
            <w:vAlign w:val="center"/>
          </w:tcPr>
          <w:p>
            <w:pPr>
              <w:spacing w:before="29" w:line="288" w:lineRule="auto"/>
              <w:jc w:val="center"/>
              <w:rPr>
                <w:b/>
                <w:szCs w:val="21"/>
              </w:rPr>
            </w:pPr>
            <w:r>
              <w:rPr>
                <w:b/>
                <w:szCs w:val="21"/>
              </w:rPr>
              <w:t>2018</w:t>
            </w:r>
            <w:r>
              <w:rPr>
                <w:rFonts w:hint="eastAsia"/>
                <w:b/>
                <w:szCs w:val="21"/>
              </w:rPr>
              <w:t>年末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期末可供分配利润</w:t>
            </w:r>
          </w:p>
        </w:tc>
        <w:tc>
          <w:tcPr>
            <w:tcW w:w="1221" w:type="pct"/>
            <w:vAlign w:val="center"/>
          </w:tcPr>
          <w:p>
            <w:pPr>
              <w:spacing w:before="29" w:line="288" w:lineRule="auto"/>
              <w:jc w:val="right"/>
              <w:rPr>
                <w:szCs w:val="21"/>
              </w:rPr>
            </w:pPr>
            <w:r>
              <w:rPr>
                <w:szCs w:val="21"/>
              </w:rPr>
              <w:t>5,071,009,998.32</w:t>
            </w:r>
          </w:p>
        </w:tc>
        <w:tc>
          <w:tcPr>
            <w:tcW w:w="1297" w:type="pct"/>
            <w:vAlign w:val="center"/>
          </w:tcPr>
          <w:p>
            <w:pPr>
              <w:spacing w:before="29" w:line="288" w:lineRule="auto"/>
              <w:jc w:val="right"/>
              <w:rPr>
                <w:szCs w:val="21"/>
              </w:rPr>
            </w:pPr>
            <w:r>
              <w:rPr>
                <w:szCs w:val="21"/>
              </w:rPr>
              <w:t>2,342,398,229.70</w:t>
            </w:r>
          </w:p>
        </w:tc>
        <w:tc>
          <w:tcPr>
            <w:tcW w:w="1278" w:type="pct"/>
            <w:vAlign w:val="center"/>
          </w:tcPr>
          <w:p>
            <w:pPr>
              <w:spacing w:before="29" w:line="288" w:lineRule="auto"/>
              <w:jc w:val="right"/>
              <w:rPr>
                <w:szCs w:val="21"/>
              </w:rPr>
            </w:pPr>
            <w:r>
              <w:rPr>
                <w:szCs w:val="21"/>
              </w:rPr>
              <w:t>634,111,070.94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3" w:type="pct"/>
            <w:vAlign w:val="center"/>
          </w:tcPr>
          <w:p>
            <w:pPr>
              <w:spacing w:before="29" w:line="288" w:lineRule="auto"/>
              <w:rPr>
                <w:szCs w:val="21"/>
              </w:rPr>
            </w:pPr>
            <w:r>
              <w:rPr>
                <w:rFonts w:hint="eastAsia"/>
                <w:szCs w:val="21"/>
              </w:rPr>
              <w:t>期末可供分配基金份额利润</w:t>
            </w:r>
          </w:p>
        </w:tc>
        <w:tc>
          <w:tcPr>
            <w:tcW w:w="1221" w:type="pct"/>
            <w:vAlign w:val="center"/>
          </w:tcPr>
          <w:p>
            <w:pPr>
              <w:spacing w:before="29" w:line="288" w:lineRule="auto"/>
              <w:jc w:val="right"/>
              <w:rPr>
                <w:szCs w:val="21"/>
              </w:rPr>
            </w:pPr>
            <w:r>
              <w:rPr>
                <w:szCs w:val="21"/>
              </w:rPr>
              <w:t>1.817</w:t>
            </w:r>
          </w:p>
        </w:tc>
        <w:tc>
          <w:tcPr>
            <w:tcW w:w="1297" w:type="pct"/>
            <w:vAlign w:val="center"/>
          </w:tcPr>
          <w:p>
            <w:pPr>
              <w:spacing w:before="29" w:line="288" w:lineRule="auto"/>
              <w:jc w:val="right"/>
              <w:rPr>
                <w:szCs w:val="21"/>
              </w:rPr>
            </w:pPr>
            <w:r>
              <w:rPr>
                <w:szCs w:val="21"/>
              </w:rPr>
              <w:t>0.932</w:t>
            </w:r>
          </w:p>
        </w:tc>
        <w:tc>
          <w:tcPr>
            <w:tcW w:w="1278" w:type="pct"/>
            <w:vAlign w:val="center"/>
          </w:tcPr>
          <w:p>
            <w:pPr>
              <w:spacing w:before="29" w:line="288" w:lineRule="auto"/>
              <w:jc w:val="right"/>
              <w:rPr>
                <w:szCs w:val="21"/>
              </w:rPr>
            </w:pPr>
            <w:r>
              <w:rPr>
                <w:szCs w:val="21"/>
              </w:rPr>
              <w:t>0.423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3" w:type="pct"/>
            <w:vAlign w:val="center"/>
          </w:tcPr>
          <w:p>
            <w:pPr>
              <w:spacing w:before="29" w:line="288" w:lineRule="auto"/>
              <w:rPr>
                <w:szCs w:val="21"/>
              </w:rPr>
            </w:pPr>
            <w:r>
              <w:rPr>
                <w:rFonts w:hint="eastAsia"/>
                <w:szCs w:val="21"/>
              </w:rPr>
              <w:t>期末基金资产净值</w:t>
            </w:r>
          </w:p>
        </w:tc>
        <w:tc>
          <w:tcPr>
            <w:tcW w:w="1221" w:type="pct"/>
            <w:vAlign w:val="center"/>
          </w:tcPr>
          <w:p>
            <w:pPr>
              <w:spacing w:before="29" w:line="288" w:lineRule="auto"/>
              <w:jc w:val="right"/>
              <w:rPr>
                <w:szCs w:val="21"/>
              </w:rPr>
            </w:pPr>
            <w:r>
              <w:rPr>
                <w:szCs w:val="21"/>
              </w:rPr>
              <w:t>11,799,392,835.37</w:t>
            </w:r>
          </w:p>
        </w:tc>
        <w:tc>
          <w:tcPr>
            <w:tcW w:w="1297" w:type="pct"/>
            <w:vAlign w:val="center"/>
          </w:tcPr>
          <w:p>
            <w:pPr>
              <w:spacing w:before="29" w:line="288" w:lineRule="auto"/>
              <w:jc w:val="right"/>
              <w:rPr>
                <w:szCs w:val="21"/>
              </w:rPr>
            </w:pPr>
            <w:r>
              <w:rPr>
                <w:szCs w:val="21"/>
              </w:rPr>
              <w:t>6,809,373,571.07</w:t>
            </w:r>
          </w:p>
        </w:tc>
        <w:tc>
          <w:tcPr>
            <w:tcW w:w="1278" w:type="pct"/>
            <w:vAlign w:val="center"/>
          </w:tcPr>
          <w:p>
            <w:pPr>
              <w:spacing w:before="29" w:line="288" w:lineRule="auto"/>
              <w:jc w:val="right"/>
              <w:rPr>
                <w:szCs w:val="21"/>
              </w:rPr>
            </w:pPr>
            <w:r>
              <w:rPr>
                <w:szCs w:val="21"/>
              </w:rPr>
              <w:t>2,565,428,091.90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期末基金份额净值</w:t>
            </w:r>
          </w:p>
        </w:tc>
        <w:tc>
          <w:tcPr>
            <w:tcW w:w="1221" w:type="pct"/>
            <w:vAlign w:val="center"/>
          </w:tcPr>
          <w:p>
            <w:pPr>
              <w:spacing w:before="29" w:line="288" w:lineRule="auto"/>
              <w:jc w:val="right"/>
              <w:rPr>
                <w:szCs w:val="21"/>
              </w:rPr>
            </w:pPr>
            <w:r>
              <w:rPr>
                <w:szCs w:val="21"/>
              </w:rPr>
              <w:t>4.227</w:t>
            </w:r>
          </w:p>
        </w:tc>
        <w:tc>
          <w:tcPr>
            <w:tcW w:w="1297" w:type="pct"/>
            <w:vAlign w:val="center"/>
          </w:tcPr>
          <w:p>
            <w:pPr>
              <w:spacing w:before="29" w:line="288" w:lineRule="auto"/>
              <w:jc w:val="right"/>
              <w:rPr>
                <w:szCs w:val="21"/>
              </w:rPr>
            </w:pPr>
            <w:r>
              <w:rPr>
                <w:szCs w:val="21"/>
              </w:rPr>
              <w:t>2.710</w:t>
            </w:r>
          </w:p>
        </w:tc>
        <w:tc>
          <w:tcPr>
            <w:tcW w:w="1278" w:type="pct"/>
            <w:vAlign w:val="center"/>
          </w:tcPr>
          <w:p>
            <w:pPr>
              <w:spacing w:before="29" w:line="288" w:lineRule="auto"/>
              <w:jc w:val="right"/>
              <w:rPr>
                <w:szCs w:val="21"/>
              </w:rPr>
            </w:pPr>
            <w:r>
              <w:rPr>
                <w:szCs w:val="21"/>
              </w:rPr>
              <w:t>1.713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rFonts w:asciiTheme="minorEastAsia" w:hAnsiTheme="minorEastAsia" w:eastAsiaTheme="minorEastAsia"/>
                <w:b/>
                <w:szCs w:val="21"/>
              </w:rPr>
            </w:pPr>
            <w:r>
              <w:rPr>
                <w:b/>
                <w:szCs w:val="21"/>
              </w:rPr>
              <w:t xml:space="preserve">3.1.3 </w:t>
            </w:r>
            <w:r>
              <w:rPr>
                <w:rFonts w:hint="eastAsia"/>
                <w:b/>
                <w:szCs w:val="21"/>
              </w:rPr>
              <w:t>累计期末指标</w:t>
            </w:r>
          </w:p>
        </w:tc>
        <w:tc>
          <w:tcPr>
            <w:tcW w:w="1221" w:type="pct"/>
            <w:vAlign w:val="center"/>
          </w:tcPr>
          <w:p>
            <w:pPr>
              <w:spacing w:before="29" w:line="288" w:lineRule="auto"/>
              <w:jc w:val="center"/>
              <w:rPr>
                <w:b/>
                <w:szCs w:val="21"/>
              </w:rPr>
            </w:pPr>
            <w:r>
              <w:rPr>
                <w:b/>
                <w:szCs w:val="21"/>
              </w:rPr>
              <w:t>2020</w:t>
            </w:r>
            <w:r>
              <w:rPr>
                <w:rFonts w:hint="eastAsia"/>
                <w:b/>
                <w:szCs w:val="21"/>
              </w:rPr>
              <w:t>年末</w:t>
            </w:r>
          </w:p>
        </w:tc>
        <w:tc>
          <w:tcPr>
            <w:tcW w:w="1297" w:type="pct"/>
            <w:vAlign w:val="center"/>
          </w:tcPr>
          <w:p>
            <w:pPr>
              <w:spacing w:before="29" w:line="288" w:lineRule="auto"/>
              <w:jc w:val="center"/>
              <w:rPr>
                <w:b/>
                <w:szCs w:val="21"/>
              </w:rPr>
            </w:pPr>
            <w:r>
              <w:rPr>
                <w:b/>
                <w:szCs w:val="21"/>
              </w:rPr>
              <w:t>2019</w:t>
            </w:r>
            <w:r>
              <w:rPr>
                <w:rFonts w:hint="eastAsia"/>
                <w:b/>
                <w:szCs w:val="21"/>
              </w:rPr>
              <w:t>年末</w:t>
            </w:r>
          </w:p>
        </w:tc>
        <w:tc>
          <w:tcPr>
            <w:tcW w:w="1278" w:type="pct"/>
            <w:vAlign w:val="center"/>
          </w:tcPr>
          <w:p>
            <w:pPr>
              <w:spacing w:before="29" w:line="288" w:lineRule="auto"/>
              <w:jc w:val="center"/>
              <w:rPr>
                <w:b/>
                <w:szCs w:val="21"/>
              </w:rPr>
            </w:pPr>
            <w:r>
              <w:rPr>
                <w:b/>
                <w:szCs w:val="21"/>
              </w:rPr>
              <w:t>2018</w:t>
            </w:r>
            <w:r>
              <w:rPr>
                <w:rFonts w:hint="eastAsia"/>
                <w:b/>
                <w:szCs w:val="21"/>
              </w:rPr>
              <w:t>年末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rFonts w:asciiTheme="minorEastAsia" w:hAnsiTheme="minorEastAsia" w:eastAsiaTheme="minorEastAsia"/>
                <w:szCs w:val="21"/>
              </w:rPr>
            </w:pPr>
            <w:r>
              <w:rPr>
                <w:rFonts w:hint="eastAsia"/>
                <w:szCs w:val="21"/>
              </w:rPr>
              <w:t>基金份额累计净值增长率</w:t>
            </w:r>
          </w:p>
        </w:tc>
        <w:tc>
          <w:tcPr>
            <w:tcW w:w="1221" w:type="pct"/>
            <w:vAlign w:val="center"/>
          </w:tcPr>
          <w:p>
            <w:pPr>
              <w:spacing w:before="29" w:line="288" w:lineRule="auto"/>
              <w:jc w:val="right"/>
              <w:rPr>
                <w:szCs w:val="21"/>
              </w:rPr>
            </w:pPr>
            <w:r>
              <w:rPr>
                <w:szCs w:val="21"/>
              </w:rPr>
              <w:t>411.78%</w:t>
            </w:r>
          </w:p>
        </w:tc>
        <w:tc>
          <w:tcPr>
            <w:tcW w:w="1297" w:type="pct"/>
            <w:vAlign w:val="center"/>
          </w:tcPr>
          <w:p>
            <w:pPr>
              <w:spacing w:before="29" w:line="288" w:lineRule="auto"/>
              <w:jc w:val="right"/>
              <w:rPr>
                <w:szCs w:val="21"/>
              </w:rPr>
            </w:pPr>
            <w:r>
              <w:rPr>
                <w:szCs w:val="21"/>
              </w:rPr>
              <w:t>228.11%</w:t>
            </w:r>
          </w:p>
        </w:tc>
        <w:tc>
          <w:tcPr>
            <w:tcW w:w="1278" w:type="pct"/>
            <w:vAlign w:val="center"/>
          </w:tcPr>
          <w:p>
            <w:pPr>
              <w:spacing w:before="29" w:line="288" w:lineRule="auto"/>
              <w:jc w:val="right"/>
              <w:rPr>
                <w:szCs w:val="21"/>
              </w:rPr>
            </w:pPr>
            <w:r>
              <w:rPr>
                <w:szCs w:val="21"/>
              </w:rPr>
              <w:t>107.40%</w:t>
            </w:r>
          </w:p>
        </w:tc>
      </w:tr>
    </w:tbl>
    <w:p>
      <w:pPr>
        <w:tabs>
          <w:tab w:val="left" w:pos="426"/>
        </w:tabs>
        <w:spacing w:before="29" w:line="288" w:lineRule="auto"/>
        <w:jc w:val="left"/>
        <w:rPr>
          <w:kern w:val="0"/>
          <w:sz w:val="24"/>
        </w:rPr>
      </w:pPr>
      <w:r>
        <w:rPr>
          <w:kern w:val="0"/>
          <w:sz w:val="24"/>
        </w:rPr>
        <w:t>注：1、本基金业绩指标不包括持有人认购或交易基金的各项费用，计入费用后的实际收益水平要低于所列数字；</w:t>
      </w:r>
    </w:p>
    <w:p>
      <w:pPr>
        <w:tabs>
          <w:tab w:val="left" w:pos="426"/>
        </w:tabs>
        <w:spacing w:before="29" w:line="288" w:lineRule="auto"/>
        <w:jc w:val="left"/>
        <w:rPr>
          <w:kern w:val="0"/>
          <w:sz w:val="24"/>
        </w:rPr>
      </w:pPr>
      <w:r>
        <w:rPr>
          <w:kern w:val="0"/>
          <w:sz w:val="24"/>
        </w:rPr>
        <w:t xml:space="preserve">    2、本期已实现收益指基金本期利息收入、投资收益、其他收入（不含公允价值变动收益）扣除相关费用后的余额，本期利润为本期已实现收益加上本期公允价值变动收益。</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30" w:name="_Toc225498252"/>
      <w:bookmarkStart w:id="31" w:name="_Toc361324852"/>
      <w:bookmarkStart w:id="32" w:name="_Toc67596578"/>
      <w:r>
        <w:rPr>
          <w:rFonts w:ascii="Times New Roman" w:hAnsi="Times New Roman"/>
          <w:kern w:val="0"/>
          <w:szCs w:val="24"/>
        </w:rPr>
        <w:t xml:space="preserve">3.2 </w:t>
      </w:r>
      <w:r>
        <w:rPr>
          <w:rFonts w:hint="eastAsia" w:ascii="Times New Roman" w:hAnsi="Times New Roman"/>
          <w:kern w:val="0"/>
          <w:szCs w:val="24"/>
        </w:rPr>
        <w:t>基金净值表现</w:t>
      </w:r>
      <w:bookmarkEnd w:id="30"/>
      <w:bookmarkEnd w:id="31"/>
      <w:bookmarkEnd w:id="32"/>
    </w:p>
    <w:p>
      <w:pPr>
        <w:pStyle w:val="3"/>
        <w:spacing w:before="29" w:after="0" w:line="288" w:lineRule="auto"/>
        <w:rPr>
          <w:rFonts w:ascii="Times New Roman" w:hAnsi="Times New Roman"/>
          <w:kern w:val="0"/>
          <w:szCs w:val="24"/>
        </w:rPr>
      </w:pPr>
      <w:bookmarkStart w:id="33" w:name="_Toc67596579"/>
      <w:r>
        <w:rPr>
          <w:rFonts w:ascii="Times New Roman" w:hAnsi="Times New Roman"/>
          <w:kern w:val="0"/>
          <w:szCs w:val="24"/>
        </w:rPr>
        <w:t xml:space="preserve">3.2.1 </w:t>
      </w:r>
      <w:r>
        <w:rPr>
          <w:rFonts w:hint="eastAsia" w:ascii="Times New Roman" w:hAnsi="Times New Roman"/>
          <w:kern w:val="0"/>
          <w:szCs w:val="24"/>
        </w:rPr>
        <w:t>基金份额净值增长率及其与同期业绩比较基准收益率的比较</w:t>
      </w:r>
      <w:bookmarkEnd w:id="33"/>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86"/>
        <w:gridCol w:w="1286"/>
        <w:gridCol w:w="1286"/>
        <w:gridCol w:w="1285"/>
        <w:gridCol w:w="1285"/>
        <w:gridCol w:w="1285"/>
        <w:gridCol w:w="12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spacing w:before="29" w:line="288" w:lineRule="auto"/>
              <w:jc w:val="center"/>
              <w:rPr>
                <w:color w:val="000000"/>
                <w:sz w:val="24"/>
              </w:rPr>
            </w:pPr>
            <w:r>
              <w:rPr>
                <w:rFonts w:hint="eastAsia"/>
                <w:color w:val="000000"/>
                <w:sz w:val="24"/>
              </w:rPr>
              <w:t>阶段</w:t>
            </w:r>
          </w:p>
        </w:tc>
        <w:tc>
          <w:tcPr>
            <w:tcW w:w="3459" w:type="dxa"/>
            <w:vAlign w:val="center"/>
          </w:tcPr>
          <w:p>
            <w:pPr>
              <w:spacing w:before="29" w:line="288" w:lineRule="auto"/>
              <w:jc w:val="center"/>
              <w:rPr>
                <w:color w:val="000000"/>
                <w:sz w:val="24"/>
              </w:rPr>
            </w:pPr>
            <w:r>
              <w:rPr>
                <w:rFonts w:hint="eastAsia"/>
                <w:color w:val="000000"/>
                <w:sz w:val="24"/>
              </w:rPr>
              <w:t>份额净值增长率①</w:t>
            </w:r>
          </w:p>
        </w:tc>
        <w:tc>
          <w:tcPr>
            <w:tcW w:w="3459" w:type="dxa"/>
            <w:vAlign w:val="center"/>
          </w:tcPr>
          <w:p>
            <w:pPr>
              <w:spacing w:before="29" w:line="288" w:lineRule="auto"/>
              <w:jc w:val="center"/>
              <w:rPr>
                <w:color w:val="000000"/>
                <w:sz w:val="24"/>
              </w:rPr>
            </w:pPr>
            <w:r>
              <w:rPr>
                <w:rFonts w:hint="eastAsia"/>
                <w:color w:val="000000"/>
                <w:sz w:val="24"/>
              </w:rPr>
              <w:t>份额净值增长率标准差②</w:t>
            </w:r>
          </w:p>
        </w:tc>
        <w:tc>
          <w:tcPr>
            <w:tcW w:w="3459" w:type="dxa"/>
            <w:vAlign w:val="center"/>
          </w:tcPr>
          <w:p>
            <w:pPr>
              <w:spacing w:before="29" w:line="288" w:lineRule="auto"/>
              <w:jc w:val="center"/>
              <w:rPr>
                <w:color w:val="000000"/>
                <w:sz w:val="24"/>
              </w:rPr>
            </w:pPr>
            <w:r>
              <w:rPr>
                <w:rFonts w:hint="eastAsia"/>
                <w:color w:val="000000"/>
                <w:sz w:val="24"/>
              </w:rPr>
              <w:t>业绩比较基准收益率③</w:t>
            </w:r>
          </w:p>
        </w:tc>
        <w:tc>
          <w:tcPr>
            <w:tcW w:w="3459" w:type="dxa"/>
            <w:vAlign w:val="center"/>
          </w:tcPr>
          <w:p>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pPr>
              <w:spacing w:before="29" w:line="288" w:lineRule="auto"/>
              <w:jc w:val="center"/>
              <w:rPr>
                <w:color w:val="000000"/>
                <w:sz w:val="24"/>
              </w:rPr>
            </w:pPr>
            <w:r>
              <w:rPr>
                <w:rFonts w:hint="eastAsia"/>
                <w:color w:val="000000"/>
                <w:sz w:val="24"/>
              </w:rPr>
              <w:t>①－③</w:t>
            </w:r>
          </w:p>
        </w:tc>
        <w:tc>
          <w:tcPr>
            <w:tcW w:w="3459" w:type="dxa"/>
            <w:vAlign w:val="center"/>
          </w:tcPr>
          <w:p>
            <w:pPr>
              <w:spacing w:before="29" w:line="288" w:lineRule="auto"/>
              <w:jc w:val="center"/>
              <w:rPr>
                <w:color w:val="000000"/>
                <w:sz w:val="24"/>
              </w:rPr>
            </w:pPr>
            <w:r>
              <w:rPr>
                <w:rFonts w:hint="eastAsia"/>
                <w:color w:val="000000"/>
                <w:sz w:val="24"/>
              </w:rPr>
              <w:t>②－④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过去三个月</w:t>
            </w:r>
          </w:p>
        </w:tc>
        <w:tc>
          <w:tcPr>
            <w:tcW w:w="1286" w:type="dxa"/>
            <w:vAlign w:val="center"/>
          </w:tcPr>
          <w:p>
            <w:pPr>
              <w:jc w:val="center"/>
            </w:pPr>
            <w:r>
              <w:rPr>
                <w:color w:val="000000"/>
                <w:sz w:val="24"/>
              </w:rPr>
              <w:t>12.12%</w:t>
            </w:r>
          </w:p>
        </w:tc>
        <w:tc>
          <w:tcPr>
            <w:tcW w:w="1286" w:type="dxa"/>
            <w:vAlign w:val="center"/>
          </w:tcPr>
          <w:p>
            <w:pPr>
              <w:jc w:val="center"/>
            </w:pPr>
            <w:r>
              <w:rPr>
                <w:color w:val="000000"/>
                <w:sz w:val="24"/>
              </w:rPr>
              <w:t>0.94%</w:t>
            </w:r>
          </w:p>
        </w:tc>
        <w:tc>
          <w:tcPr>
            <w:tcW w:w="1285" w:type="dxa"/>
            <w:vAlign w:val="center"/>
          </w:tcPr>
          <w:p>
            <w:pPr>
              <w:jc w:val="center"/>
            </w:pPr>
            <w:r>
              <w:rPr>
                <w:color w:val="000000"/>
                <w:sz w:val="24"/>
              </w:rPr>
              <w:t>12.12%</w:t>
            </w:r>
          </w:p>
        </w:tc>
        <w:tc>
          <w:tcPr>
            <w:tcW w:w="1285" w:type="dxa"/>
            <w:vAlign w:val="center"/>
          </w:tcPr>
          <w:p>
            <w:pPr>
              <w:jc w:val="center"/>
            </w:pPr>
            <w:r>
              <w:rPr>
                <w:color w:val="000000"/>
                <w:sz w:val="24"/>
              </w:rPr>
              <w:t>0.85%</w:t>
            </w:r>
          </w:p>
        </w:tc>
        <w:tc>
          <w:tcPr>
            <w:tcW w:w="1285" w:type="dxa"/>
            <w:vAlign w:val="center"/>
          </w:tcPr>
          <w:p>
            <w:pPr>
              <w:jc w:val="center"/>
            </w:pPr>
            <w:r>
              <w:rPr>
                <w:color w:val="000000"/>
                <w:sz w:val="24"/>
              </w:rPr>
              <w:t>0.00%</w:t>
            </w:r>
          </w:p>
        </w:tc>
        <w:tc>
          <w:tcPr>
            <w:tcW w:w="1285" w:type="dxa"/>
            <w:vAlign w:val="center"/>
          </w:tcPr>
          <w:p>
            <w:pPr>
              <w:jc w:val="center"/>
            </w:pPr>
            <w:r>
              <w:rPr>
                <w:color w:val="000000"/>
                <w:sz w:val="24"/>
              </w:rPr>
              <w:t>0.09%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过去六个月</w:t>
            </w:r>
          </w:p>
        </w:tc>
        <w:tc>
          <w:tcPr>
            <w:tcW w:w="1286" w:type="dxa"/>
            <w:vAlign w:val="center"/>
          </w:tcPr>
          <w:p>
            <w:pPr>
              <w:jc w:val="center"/>
            </w:pPr>
            <w:r>
              <w:rPr>
                <w:color w:val="000000"/>
                <w:sz w:val="24"/>
              </w:rPr>
              <w:t>30.38%</w:t>
            </w:r>
          </w:p>
        </w:tc>
        <w:tc>
          <w:tcPr>
            <w:tcW w:w="1286" w:type="dxa"/>
            <w:vAlign w:val="center"/>
          </w:tcPr>
          <w:p>
            <w:pPr>
              <w:jc w:val="center"/>
            </w:pPr>
            <w:r>
              <w:rPr>
                <w:color w:val="000000"/>
                <w:sz w:val="24"/>
              </w:rPr>
              <w:t>1.17%</w:t>
            </w:r>
          </w:p>
        </w:tc>
        <w:tc>
          <w:tcPr>
            <w:tcW w:w="1285" w:type="dxa"/>
            <w:vAlign w:val="center"/>
          </w:tcPr>
          <w:p>
            <w:pPr>
              <w:jc w:val="center"/>
            </w:pPr>
            <w:r>
              <w:rPr>
                <w:color w:val="000000"/>
                <w:sz w:val="24"/>
              </w:rPr>
              <w:t>20.54%</w:t>
            </w:r>
          </w:p>
        </w:tc>
        <w:tc>
          <w:tcPr>
            <w:tcW w:w="1285" w:type="dxa"/>
            <w:vAlign w:val="center"/>
          </w:tcPr>
          <w:p>
            <w:pPr>
              <w:jc w:val="center"/>
            </w:pPr>
            <w:r>
              <w:rPr>
                <w:color w:val="000000"/>
                <w:sz w:val="24"/>
              </w:rPr>
              <w:t>1.09%</w:t>
            </w:r>
          </w:p>
        </w:tc>
        <w:tc>
          <w:tcPr>
            <w:tcW w:w="1285" w:type="dxa"/>
            <w:vAlign w:val="center"/>
          </w:tcPr>
          <w:p>
            <w:pPr>
              <w:jc w:val="center"/>
            </w:pPr>
            <w:r>
              <w:rPr>
                <w:color w:val="000000"/>
                <w:sz w:val="24"/>
              </w:rPr>
              <w:t>9.84%</w:t>
            </w:r>
          </w:p>
        </w:tc>
        <w:tc>
          <w:tcPr>
            <w:tcW w:w="1285" w:type="dxa"/>
            <w:vAlign w:val="center"/>
          </w:tcPr>
          <w:p>
            <w:pPr>
              <w:jc w:val="center"/>
            </w:pPr>
            <w:r>
              <w:rPr>
                <w:color w:val="000000"/>
                <w:sz w:val="24"/>
              </w:rPr>
              <w:t>0.08%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过去一年</w:t>
            </w:r>
          </w:p>
        </w:tc>
        <w:tc>
          <w:tcPr>
            <w:tcW w:w="1286" w:type="dxa"/>
            <w:vAlign w:val="center"/>
          </w:tcPr>
          <w:p>
            <w:pPr>
              <w:jc w:val="center"/>
            </w:pPr>
            <w:r>
              <w:rPr>
                <w:color w:val="000000"/>
                <w:sz w:val="24"/>
              </w:rPr>
              <w:t>55.98%</w:t>
            </w:r>
          </w:p>
        </w:tc>
        <w:tc>
          <w:tcPr>
            <w:tcW w:w="1286" w:type="dxa"/>
            <w:vAlign w:val="center"/>
          </w:tcPr>
          <w:p>
            <w:pPr>
              <w:jc w:val="center"/>
            </w:pPr>
            <w:r>
              <w:rPr>
                <w:color w:val="000000"/>
                <w:sz w:val="24"/>
              </w:rPr>
              <w:t>1.28%</w:t>
            </w:r>
          </w:p>
        </w:tc>
        <w:tc>
          <w:tcPr>
            <w:tcW w:w="1285" w:type="dxa"/>
            <w:vAlign w:val="center"/>
          </w:tcPr>
          <w:p>
            <w:pPr>
              <w:jc w:val="center"/>
            </w:pPr>
            <w:r>
              <w:rPr>
                <w:color w:val="000000"/>
                <w:sz w:val="24"/>
              </w:rPr>
              <w:t>33.43%</w:t>
            </w:r>
          </w:p>
        </w:tc>
        <w:tc>
          <w:tcPr>
            <w:tcW w:w="1285" w:type="dxa"/>
            <w:vAlign w:val="center"/>
          </w:tcPr>
          <w:p>
            <w:pPr>
              <w:jc w:val="center"/>
            </w:pPr>
            <w:r>
              <w:rPr>
                <w:color w:val="000000"/>
                <w:sz w:val="24"/>
              </w:rPr>
              <w:t>1.15%</w:t>
            </w:r>
          </w:p>
        </w:tc>
        <w:tc>
          <w:tcPr>
            <w:tcW w:w="1285" w:type="dxa"/>
            <w:vAlign w:val="center"/>
          </w:tcPr>
          <w:p>
            <w:pPr>
              <w:jc w:val="center"/>
            </w:pPr>
            <w:r>
              <w:rPr>
                <w:color w:val="000000"/>
                <w:sz w:val="24"/>
              </w:rPr>
              <w:t>22.55%</w:t>
            </w:r>
          </w:p>
        </w:tc>
        <w:tc>
          <w:tcPr>
            <w:tcW w:w="1285" w:type="dxa"/>
            <w:vAlign w:val="center"/>
          </w:tcPr>
          <w:p>
            <w:pPr>
              <w:jc w:val="center"/>
            </w:pPr>
            <w:r>
              <w:rPr>
                <w:color w:val="000000"/>
                <w:sz w:val="24"/>
              </w:rPr>
              <w:t>0.13%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过去三年</w:t>
            </w:r>
          </w:p>
        </w:tc>
        <w:tc>
          <w:tcPr>
            <w:tcW w:w="1286" w:type="dxa"/>
            <w:vAlign w:val="center"/>
          </w:tcPr>
          <w:p>
            <w:pPr>
              <w:jc w:val="center"/>
            </w:pPr>
            <w:r>
              <w:rPr>
                <w:color w:val="000000"/>
                <w:sz w:val="24"/>
              </w:rPr>
              <w:t>107.31%</w:t>
            </w:r>
          </w:p>
        </w:tc>
        <w:tc>
          <w:tcPr>
            <w:tcW w:w="1286" w:type="dxa"/>
            <w:vAlign w:val="center"/>
          </w:tcPr>
          <w:p>
            <w:pPr>
              <w:jc w:val="center"/>
            </w:pPr>
            <w:r>
              <w:rPr>
                <w:color w:val="000000"/>
                <w:sz w:val="24"/>
              </w:rPr>
              <w:t>1.31%</w:t>
            </w:r>
          </w:p>
        </w:tc>
        <w:tc>
          <w:tcPr>
            <w:tcW w:w="1285" w:type="dxa"/>
            <w:vAlign w:val="center"/>
          </w:tcPr>
          <w:p>
            <w:pPr>
              <w:jc w:val="center"/>
            </w:pPr>
            <w:r>
              <w:rPr>
                <w:color w:val="000000"/>
                <w:sz w:val="24"/>
              </w:rPr>
              <w:t>39.09%</w:t>
            </w:r>
          </w:p>
        </w:tc>
        <w:tc>
          <w:tcPr>
            <w:tcW w:w="1285" w:type="dxa"/>
            <w:vAlign w:val="center"/>
          </w:tcPr>
          <w:p>
            <w:pPr>
              <w:jc w:val="center"/>
            </w:pPr>
            <w:r>
              <w:rPr>
                <w:color w:val="000000"/>
                <w:sz w:val="24"/>
              </w:rPr>
              <w:t>1.10%</w:t>
            </w:r>
          </w:p>
        </w:tc>
        <w:tc>
          <w:tcPr>
            <w:tcW w:w="1285" w:type="dxa"/>
            <w:vAlign w:val="center"/>
          </w:tcPr>
          <w:p>
            <w:pPr>
              <w:jc w:val="center"/>
            </w:pPr>
            <w:r>
              <w:rPr>
                <w:color w:val="000000"/>
                <w:sz w:val="24"/>
              </w:rPr>
              <w:t>68.22%</w:t>
            </w:r>
          </w:p>
        </w:tc>
        <w:tc>
          <w:tcPr>
            <w:tcW w:w="1285" w:type="dxa"/>
            <w:vAlign w:val="center"/>
          </w:tcPr>
          <w:p>
            <w:pPr>
              <w:jc w:val="center"/>
            </w:pPr>
            <w:r>
              <w:rPr>
                <w:color w:val="000000"/>
                <w:sz w:val="24"/>
              </w:rPr>
              <w:t>0.21%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过去五年</w:t>
            </w:r>
          </w:p>
        </w:tc>
        <w:tc>
          <w:tcPr>
            <w:tcW w:w="1286" w:type="dxa"/>
            <w:vAlign w:val="center"/>
          </w:tcPr>
          <w:p>
            <w:pPr>
              <w:jc w:val="center"/>
            </w:pPr>
            <w:r>
              <w:rPr>
                <w:color w:val="000000"/>
                <w:sz w:val="24"/>
              </w:rPr>
              <w:t>183.69%</w:t>
            </w:r>
          </w:p>
        </w:tc>
        <w:tc>
          <w:tcPr>
            <w:tcW w:w="1286" w:type="dxa"/>
            <w:vAlign w:val="center"/>
          </w:tcPr>
          <w:p>
            <w:pPr>
              <w:jc w:val="center"/>
            </w:pPr>
            <w:r>
              <w:rPr>
                <w:color w:val="000000"/>
                <w:sz w:val="24"/>
              </w:rPr>
              <w:t>1.30%</w:t>
            </w:r>
          </w:p>
        </w:tc>
        <w:tc>
          <w:tcPr>
            <w:tcW w:w="1285" w:type="dxa"/>
            <w:vAlign w:val="center"/>
          </w:tcPr>
          <w:p>
            <w:pPr>
              <w:jc w:val="center"/>
            </w:pPr>
            <w:r>
              <w:rPr>
                <w:color w:val="000000"/>
                <w:sz w:val="24"/>
              </w:rPr>
              <w:t>30.51%</w:t>
            </w:r>
          </w:p>
        </w:tc>
        <w:tc>
          <w:tcPr>
            <w:tcW w:w="1285" w:type="dxa"/>
            <w:vAlign w:val="center"/>
          </w:tcPr>
          <w:p>
            <w:pPr>
              <w:jc w:val="center"/>
            </w:pPr>
            <w:r>
              <w:rPr>
                <w:color w:val="000000"/>
                <w:sz w:val="24"/>
              </w:rPr>
              <w:t>1.05%</w:t>
            </w:r>
          </w:p>
        </w:tc>
        <w:tc>
          <w:tcPr>
            <w:tcW w:w="1285" w:type="dxa"/>
            <w:vAlign w:val="center"/>
          </w:tcPr>
          <w:p>
            <w:pPr>
              <w:jc w:val="center"/>
            </w:pPr>
            <w:r>
              <w:rPr>
                <w:color w:val="000000"/>
                <w:sz w:val="24"/>
              </w:rPr>
              <w:t>153.18%</w:t>
            </w:r>
          </w:p>
        </w:tc>
        <w:tc>
          <w:tcPr>
            <w:tcW w:w="1285" w:type="dxa"/>
            <w:vAlign w:val="center"/>
          </w:tcPr>
          <w:p>
            <w:pPr>
              <w:jc w:val="center"/>
            </w:pPr>
            <w:r>
              <w:rPr>
                <w:color w:val="000000"/>
                <w:sz w:val="24"/>
              </w:rPr>
              <w:t>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自基金合同生效至今</w:t>
            </w:r>
          </w:p>
        </w:tc>
        <w:tc>
          <w:tcPr>
            <w:tcW w:w="1286" w:type="dxa"/>
            <w:vAlign w:val="center"/>
          </w:tcPr>
          <w:p>
            <w:pPr>
              <w:jc w:val="center"/>
            </w:pPr>
            <w:r>
              <w:rPr>
                <w:color w:val="000000"/>
                <w:sz w:val="24"/>
              </w:rPr>
              <w:t>411.78%</w:t>
            </w:r>
          </w:p>
        </w:tc>
        <w:tc>
          <w:tcPr>
            <w:tcW w:w="1286" w:type="dxa"/>
            <w:vAlign w:val="center"/>
          </w:tcPr>
          <w:p>
            <w:pPr>
              <w:jc w:val="center"/>
            </w:pPr>
            <w:r>
              <w:rPr>
                <w:color w:val="000000"/>
                <w:sz w:val="24"/>
              </w:rPr>
              <w:t>1.55%</w:t>
            </w:r>
          </w:p>
        </w:tc>
        <w:tc>
          <w:tcPr>
            <w:tcW w:w="1285" w:type="dxa"/>
            <w:vAlign w:val="center"/>
          </w:tcPr>
          <w:p>
            <w:pPr>
              <w:jc w:val="center"/>
            </w:pPr>
            <w:r>
              <w:rPr>
                <w:color w:val="000000"/>
                <w:sz w:val="24"/>
              </w:rPr>
              <w:t>95.93%</w:t>
            </w:r>
          </w:p>
        </w:tc>
        <w:tc>
          <w:tcPr>
            <w:tcW w:w="1285" w:type="dxa"/>
            <w:vAlign w:val="center"/>
          </w:tcPr>
          <w:p>
            <w:pPr>
              <w:jc w:val="center"/>
            </w:pPr>
            <w:r>
              <w:rPr>
                <w:color w:val="000000"/>
                <w:sz w:val="24"/>
              </w:rPr>
              <w:t>1.21%</w:t>
            </w:r>
          </w:p>
        </w:tc>
        <w:tc>
          <w:tcPr>
            <w:tcW w:w="1285" w:type="dxa"/>
            <w:vAlign w:val="center"/>
          </w:tcPr>
          <w:p>
            <w:pPr>
              <w:jc w:val="center"/>
            </w:pPr>
            <w:r>
              <w:rPr>
                <w:color w:val="000000"/>
                <w:sz w:val="24"/>
              </w:rPr>
              <w:t>315.85%</w:t>
            </w:r>
          </w:p>
        </w:tc>
        <w:tc>
          <w:tcPr>
            <w:tcW w:w="1285" w:type="dxa"/>
            <w:vAlign w:val="center"/>
          </w:tcPr>
          <w:p>
            <w:pPr>
              <w:jc w:val="center"/>
            </w:pPr>
            <w:r>
              <w:rPr>
                <w:color w:val="000000"/>
                <w:sz w:val="24"/>
              </w:rPr>
              <w:t>0.34%</w:t>
            </w:r>
          </w:p>
        </w:tc>
      </w:tr>
    </w:tbl>
    <w:p>
      <w:pPr>
        <w:tabs>
          <w:tab w:val="left" w:pos="426"/>
        </w:tabs>
        <w:spacing w:before="29" w:line="288" w:lineRule="auto"/>
        <w:jc w:val="left"/>
        <w:rPr>
          <w:rFonts w:asciiTheme="minorEastAsia" w:hAnsiTheme="minorEastAsia" w:eastAsiaTheme="minorEastAsia"/>
          <w:szCs w:val="21"/>
        </w:rPr>
      </w:pPr>
      <w:r>
        <w:rPr>
          <w:kern w:val="0"/>
          <w:sz w:val="24"/>
        </w:rPr>
        <w:t>注：1、本基金业绩比较基准自2015年10月1日起，由“75%×富时中国A600成长指数+25%×中信标普全债指数”变更为“75%×富时中国A600成长指数+25%×中证综合债券指数”，3.2.2和3.2.3同。详情见本基金管理人于2015年9月28日发布的《交银施罗德基金管理有限公司关于旗下部分基金业绩比较基准变更并修改基金合同相关内容的公告》。</w:t>
      </w:r>
    </w:p>
    <w:p>
      <w:pPr>
        <w:tabs>
          <w:tab w:val="left" w:pos="426"/>
        </w:tabs>
        <w:spacing w:before="29" w:line="288" w:lineRule="auto"/>
        <w:jc w:val="left"/>
        <w:rPr>
          <w:rFonts w:asciiTheme="minorEastAsia" w:hAnsiTheme="minorEastAsia" w:eastAsiaTheme="minorEastAsia"/>
          <w:szCs w:val="21"/>
        </w:rPr>
      </w:pPr>
      <w:r>
        <w:rPr>
          <w:kern w:val="0"/>
          <w:sz w:val="24"/>
        </w:rPr>
        <w:t>2、本基金业绩比较基准每日进行再平衡过程。</w:t>
      </w:r>
      <w:r>
        <w:rPr>
          <w:rFonts w:hint="eastAsia"/>
          <w:kern w:val="0"/>
          <w:sz w:val="24"/>
        </w:rPr>
        <w:br w:type="textWrapping"/>
      </w:r>
    </w:p>
    <w:p>
      <w:pPr>
        <w:spacing w:before="29" w:line="288" w:lineRule="auto"/>
        <w:rPr>
          <w:b/>
          <w:bCs/>
          <w:color w:val="000000"/>
          <w:kern w:val="0"/>
          <w:sz w:val="24"/>
        </w:rPr>
      </w:pPr>
      <w:r>
        <w:rPr>
          <w:rFonts w:hint="eastAsia"/>
          <w:b/>
          <w:bCs/>
          <w:color w:val="000000"/>
          <w:kern w:val="0"/>
          <w:sz w:val="24"/>
        </w:rPr>
        <w:t xml:space="preserve">3.2.2 </w:t>
      </w:r>
      <w:r>
        <w:rPr>
          <w:b/>
          <w:bCs/>
          <w:color w:val="000000"/>
          <w:kern w:val="0"/>
          <w:sz w:val="24"/>
        </w:rPr>
        <w:t>自基金合同生效以来基金份额累计净值增长率变动及其与同期业绩比较基准收益率变动的比较</w:t>
      </w:r>
    </w:p>
    <w:p>
      <w:pPr>
        <w:spacing w:line="360" w:lineRule="auto"/>
        <w:jc w:val="center"/>
        <w:rPr>
          <w:rFonts w:asciiTheme="minorEastAsia" w:hAnsiTheme="minorEastAsia" w:eastAsiaTheme="minorEastAsia"/>
          <w:color w:val="000000"/>
          <w:szCs w:val="21"/>
        </w:rPr>
      </w:pPr>
      <w:r>
        <w:rPr>
          <w:rFonts w:asciiTheme="minorEastAsia" w:hAnsiTheme="minorEastAsia" w:eastAsiaTheme="minorEastAsia"/>
          <w:color w:val="000000"/>
          <w:szCs w:val="21"/>
        </w:rPr>
        <w:drawing>
          <wp:inline distT="0" distB="0" distL="0" distR="0">
            <wp:extent cx="5759450" cy="3372485"/>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bonnieliu\Desktop\走势图柱状图\走势图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pPr>
        <w:tabs>
          <w:tab w:val="left" w:pos="426"/>
        </w:tabs>
        <w:spacing w:before="29" w:line="288" w:lineRule="auto"/>
        <w:jc w:val="left"/>
        <w:rPr>
          <w:kern w:val="0"/>
          <w:sz w:val="24"/>
        </w:rPr>
      </w:pPr>
      <w:r>
        <w:rPr>
          <w:kern w:val="0"/>
          <w:sz w:val="24"/>
        </w:rPr>
        <w:t>注：本基金建仓期为自基金合同生效日起的6个月。截至建仓期结束，本基金各项资产配置比例符合基金合同及招募说明书有关投资比例的约定。</w:t>
      </w:r>
      <w:r>
        <w:rPr>
          <w:rFonts w:hint="eastAsia"/>
          <w:kern w:val="0"/>
          <w:sz w:val="24"/>
        </w:rPr>
        <w:br w:type="textWrapping"/>
      </w:r>
    </w:p>
    <w:p>
      <w:pPr>
        <w:spacing w:before="29" w:line="288" w:lineRule="auto"/>
        <w:rPr>
          <w:b/>
          <w:bCs/>
          <w:color w:val="000000"/>
          <w:kern w:val="0"/>
          <w:sz w:val="24"/>
        </w:rPr>
      </w:pPr>
      <w:r>
        <w:rPr>
          <w:b/>
          <w:bCs/>
          <w:color w:val="000000"/>
          <w:kern w:val="0"/>
          <w:sz w:val="24"/>
        </w:rPr>
        <w:t xml:space="preserve">3.2.3 </w:t>
      </w:r>
      <w:r>
        <w:rPr>
          <w:rFonts w:hint="eastAsia"/>
          <w:b/>
          <w:bCs/>
          <w:color w:val="000000"/>
          <w:kern w:val="0"/>
          <w:sz w:val="24"/>
        </w:rPr>
        <w:t>过去五年基金每年净值增长率及其与同期业绩比较基准收益率的比较</w:t>
      </w:r>
    </w:p>
    <w:p>
      <w:pPr>
        <w:spacing w:line="360" w:lineRule="auto"/>
        <w:jc w:val="center"/>
        <w:rPr>
          <w:rFonts w:ascii="宋体" w:hAnsi="宋体"/>
          <w:b/>
          <w:bCs/>
          <w:color w:val="000000"/>
          <w:szCs w:val="21"/>
          <w:vertAlign w:val="superscript"/>
        </w:rPr>
      </w:pPr>
      <w:r>
        <w:rPr>
          <w:rFonts w:ascii="宋体" w:hAnsi="宋体"/>
          <w:b/>
          <w:bCs/>
          <w:color w:val="000000"/>
          <w:szCs w:val="21"/>
          <w:vertAlign w:val="superscript"/>
        </w:rPr>
        <w:drawing>
          <wp:inline distT="0" distB="0" distL="0" distR="0">
            <wp:extent cx="5759450" cy="3372485"/>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bonnieliu\Desktop\走势图柱状图\柱状图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pPr>
        <w:spacing w:line="360" w:lineRule="auto"/>
        <w:ind w:firstLine="420"/>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34" w:name="_Toc361324853"/>
      <w:bookmarkStart w:id="35" w:name="_Toc249760033"/>
      <w:bookmarkStart w:id="36" w:name="_Toc67596580"/>
      <w:r>
        <w:rPr>
          <w:rFonts w:ascii="Times New Roman" w:hAnsi="Times New Roman"/>
          <w:kern w:val="0"/>
          <w:szCs w:val="24"/>
        </w:rPr>
        <w:t>3.3</w:t>
      </w:r>
      <w:r>
        <w:rPr>
          <w:rFonts w:hint="eastAsia" w:ascii="Times New Roman" w:hAnsi="Times New Roman"/>
          <w:kern w:val="0"/>
          <w:szCs w:val="24"/>
        </w:rPr>
        <w:t>过去三年基金的利润分配情况</w:t>
      </w:r>
      <w:bookmarkEnd w:id="34"/>
      <w:bookmarkEnd w:id="35"/>
      <w:bookmarkEnd w:id="36"/>
    </w:p>
    <w:p>
      <w:pPr>
        <w:pStyle w:val="4"/>
        <w:spacing w:line="360" w:lineRule="auto"/>
        <w:ind w:firstLine="480"/>
        <w:jc w:val="right"/>
        <w:rPr>
          <w:color w:val="000000"/>
          <w:kern w:val="0"/>
          <w:sz w:val="24"/>
        </w:rPr>
      </w:pPr>
      <w:r>
        <w:rPr>
          <w:rFonts w:hint="eastAsia"/>
          <w:color w:val="000000"/>
          <w:kern w:val="0"/>
          <w:sz w:val="24"/>
        </w:rPr>
        <w:t>单位：人民币元</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1378"/>
        <w:gridCol w:w="1839"/>
        <w:gridCol w:w="1950"/>
        <w:gridCol w:w="1894"/>
        <w:gridCol w:w="1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57"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年度</w:t>
            </w:r>
          </w:p>
        </w:tc>
        <w:tc>
          <w:tcPr>
            <w:tcW w:w="1378"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现金形式发放总额</w:t>
            </w:r>
          </w:p>
        </w:tc>
        <w:tc>
          <w:tcPr>
            <w:tcW w:w="1950"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再投资形式发放总额</w:t>
            </w:r>
          </w:p>
        </w:tc>
        <w:tc>
          <w:tcPr>
            <w:tcW w:w="1894" w:type="dxa"/>
            <w:vAlign w:val="center"/>
          </w:tcPr>
          <w:p>
            <w:pPr>
              <w:adjustRightInd w:val="0"/>
              <w:spacing w:before="29" w:line="288" w:lineRule="auto"/>
              <w:ind w:left="15"/>
              <w:jc w:val="center"/>
              <w:rPr>
                <w:color w:val="000000"/>
                <w:sz w:val="24"/>
              </w:rPr>
            </w:pPr>
            <w:r>
              <w:rPr>
                <w:rFonts w:hint="eastAsia"/>
                <w:color w:val="000000"/>
                <w:sz w:val="24"/>
              </w:rPr>
              <w:t>年度利润分配合计</w:t>
            </w:r>
          </w:p>
        </w:tc>
        <w:tc>
          <w:tcPr>
            <w:tcW w:w="1068" w:type="dxa"/>
            <w:vAlign w:val="center"/>
          </w:tcPr>
          <w:p>
            <w:pPr>
              <w:spacing w:line="360" w:lineRule="auto"/>
              <w:jc w:val="center"/>
              <w:rPr>
                <w:color w:val="000000"/>
                <w:sz w:val="24"/>
              </w:rPr>
            </w:pPr>
            <w:r>
              <w:rPr>
                <w:rFonts w:hint="eastAsia"/>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2020年</w:t>
            </w:r>
          </w:p>
        </w:tc>
        <w:tc>
          <w:tcPr>
            <w:tcW w:w="1378" w:type="dxa"/>
            <w:vAlign w:val="center"/>
          </w:tcPr>
          <w:p>
            <w:pPr>
              <w:jc w:val="right"/>
            </w:pPr>
            <w:r>
              <w:rPr>
                <w:color w:val="000000"/>
                <w:sz w:val="24"/>
              </w:rPr>
              <w:t>-</w:t>
            </w:r>
          </w:p>
        </w:tc>
        <w:tc>
          <w:tcPr>
            <w:tcW w:w="1839" w:type="dxa"/>
            <w:vAlign w:val="center"/>
          </w:tcPr>
          <w:p>
            <w:pPr>
              <w:jc w:val="right"/>
            </w:pPr>
            <w:r>
              <w:rPr>
                <w:color w:val="000000"/>
                <w:sz w:val="24"/>
              </w:rPr>
              <w:t>-</w:t>
            </w:r>
          </w:p>
        </w:tc>
        <w:tc>
          <w:tcPr>
            <w:tcW w:w="1950" w:type="dxa"/>
            <w:vAlign w:val="center"/>
          </w:tcPr>
          <w:p>
            <w:pPr>
              <w:jc w:val="right"/>
            </w:pPr>
            <w:r>
              <w:rPr>
                <w:color w:val="000000"/>
                <w:sz w:val="24"/>
              </w:rPr>
              <w:t>-</w:t>
            </w:r>
          </w:p>
        </w:tc>
        <w:tc>
          <w:tcPr>
            <w:tcW w:w="1894" w:type="dxa"/>
            <w:vAlign w:val="center"/>
          </w:tcPr>
          <w:p>
            <w:pPr>
              <w:jc w:val="right"/>
            </w:pPr>
            <w:r>
              <w:rPr>
                <w:color w:val="000000"/>
                <w:sz w:val="24"/>
              </w:rPr>
              <w:t>-</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2019年</w:t>
            </w:r>
          </w:p>
        </w:tc>
        <w:tc>
          <w:tcPr>
            <w:tcW w:w="1378" w:type="dxa"/>
            <w:vAlign w:val="center"/>
          </w:tcPr>
          <w:p>
            <w:pPr>
              <w:jc w:val="right"/>
            </w:pPr>
            <w:r>
              <w:rPr>
                <w:color w:val="000000"/>
                <w:sz w:val="24"/>
              </w:rPr>
              <w:t>-</w:t>
            </w:r>
          </w:p>
        </w:tc>
        <w:tc>
          <w:tcPr>
            <w:tcW w:w="1839" w:type="dxa"/>
            <w:vAlign w:val="center"/>
          </w:tcPr>
          <w:p>
            <w:pPr>
              <w:jc w:val="right"/>
            </w:pPr>
            <w:r>
              <w:rPr>
                <w:color w:val="000000"/>
                <w:sz w:val="24"/>
              </w:rPr>
              <w:t>-</w:t>
            </w:r>
          </w:p>
        </w:tc>
        <w:tc>
          <w:tcPr>
            <w:tcW w:w="1950" w:type="dxa"/>
            <w:vAlign w:val="center"/>
          </w:tcPr>
          <w:p>
            <w:pPr>
              <w:jc w:val="right"/>
            </w:pPr>
            <w:r>
              <w:rPr>
                <w:color w:val="000000"/>
                <w:sz w:val="24"/>
              </w:rPr>
              <w:t>-</w:t>
            </w:r>
          </w:p>
        </w:tc>
        <w:tc>
          <w:tcPr>
            <w:tcW w:w="1894" w:type="dxa"/>
            <w:vAlign w:val="center"/>
          </w:tcPr>
          <w:p>
            <w:pPr>
              <w:jc w:val="right"/>
            </w:pPr>
            <w:r>
              <w:rPr>
                <w:color w:val="000000"/>
                <w:sz w:val="24"/>
              </w:rPr>
              <w:t>-</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2018年</w:t>
            </w:r>
          </w:p>
        </w:tc>
        <w:tc>
          <w:tcPr>
            <w:tcW w:w="1378" w:type="dxa"/>
            <w:vAlign w:val="center"/>
          </w:tcPr>
          <w:p>
            <w:pPr>
              <w:jc w:val="right"/>
            </w:pPr>
            <w:r>
              <w:rPr>
                <w:color w:val="000000"/>
                <w:sz w:val="24"/>
              </w:rPr>
              <w:t>-</w:t>
            </w:r>
          </w:p>
        </w:tc>
        <w:tc>
          <w:tcPr>
            <w:tcW w:w="1839" w:type="dxa"/>
            <w:vAlign w:val="center"/>
          </w:tcPr>
          <w:p>
            <w:pPr>
              <w:jc w:val="right"/>
            </w:pPr>
            <w:r>
              <w:rPr>
                <w:color w:val="000000"/>
                <w:sz w:val="24"/>
              </w:rPr>
              <w:t>-</w:t>
            </w:r>
          </w:p>
        </w:tc>
        <w:tc>
          <w:tcPr>
            <w:tcW w:w="1950" w:type="dxa"/>
            <w:vAlign w:val="center"/>
          </w:tcPr>
          <w:p>
            <w:pPr>
              <w:jc w:val="right"/>
            </w:pPr>
            <w:r>
              <w:rPr>
                <w:color w:val="000000"/>
                <w:sz w:val="24"/>
              </w:rPr>
              <w:t>-</w:t>
            </w:r>
          </w:p>
        </w:tc>
        <w:tc>
          <w:tcPr>
            <w:tcW w:w="1894" w:type="dxa"/>
            <w:vAlign w:val="center"/>
          </w:tcPr>
          <w:p>
            <w:pPr>
              <w:jc w:val="right"/>
            </w:pPr>
            <w:r>
              <w:rPr>
                <w:color w:val="000000"/>
                <w:sz w:val="24"/>
              </w:rPr>
              <w:t>-</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spacing w:before="29" w:line="288" w:lineRule="auto"/>
              <w:jc w:val="center"/>
              <w:rPr>
                <w:rFonts w:asciiTheme="minorEastAsia" w:hAnsiTheme="minorEastAsia" w:eastAsiaTheme="minorEastAsia"/>
                <w:color w:val="000000"/>
                <w:szCs w:val="21"/>
              </w:rPr>
            </w:pPr>
            <w:r>
              <w:rPr>
                <w:rFonts w:hint="eastAsia"/>
                <w:sz w:val="24"/>
              </w:rPr>
              <w:t>合计</w:t>
            </w:r>
          </w:p>
        </w:tc>
        <w:tc>
          <w:tcPr>
            <w:tcW w:w="1378" w:type="dxa"/>
            <w:vAlign w:val="center"/>
          </w:tcPr>
          <w:p>
            <w:pPr>
              <w:spacing w:before="29" w:line="288" w:lineRule="auto"/>
              <w:jc w:val="right"/>
              <w:rPr>
                <w:sz w:val="24"/>
              </w:rPr>
            </w:pPr>
            <w:r>
              <w:rPr>
                <w:sz w:val="24"/>
              </w:rPr>
              <w:t>-</w:t>
            </w:r>
          </w:p>
        </w:tc>
        <w:tc>
          <w:tcPr>
            <w:tcW w:w="1839" w:type="dxa"/>
            <w:vAlign w:val="center"/>
          </w:tcPr>
          <w:p>
            <w:pPr>
              <w:spacing w:before="29" w:line="288" w:lineRule="auto"/>
              <w:jc w:val="right"/>
              <w:rPr>
                <w:sz w:val="24"/>
              </w:rPr>
            </w:pPr>
            <w:r>
              <w:rPr>
                <w:sz w:val="24"/>
              </w:rPr>
              <w:t>-</w:t>
            </w:r>
          </w:p>
        </w:tc>
        <w:tc>
          <w:tcPr>
            <w:tcW w:w="1950" w:type="dxa"/>
            <w:vAlign w:val="center"/>
          </w:tcPr>
          <w:p>
            <w:pPr>
              <w:spacing w:before="29" w:line="288" w:lineRule="auto"/>
              <w:jc w:val="right"/>
              <w:rPr>
                <w:sz w:val="24"/>
              </w:rPr>
            </w:pPr>
            <w:r>
              <w:rPr>
                <w:sz w:val="24"/>
              </w:rPr>
              <w:t>-</w:t>
            </w:r>
          </w:p>
        </w:tc>
        <w:tc>
          <w:tcPr>
            <w:tcW w:w="1894" w:type="dxa"/>
            <w:vAlign w:val="center"/>
          </w:tcPr>
          <w:p>
            <w:pPr>
              <w:spacing w:before="29" w:line="288" w:lineRule="auto"/>
              <w:jc w:val="right"/>
              <w:rPr>
                <w:sz w:val="24"/>
              </w:rPr>
            </w:pPr>
            <w:r>
              <w:rPr>
                <w:sz w:val="24"/>
              </w:rPr>
              <w:t>-</w:t>
            </w:r>
          </w:p>
        </w:tc>
        <w:tc>
          <w:tcPr>
            <w:tcW w:w="1068" w:type="dxa"/>
            <w:vAlign w:val="center"/>
          </w:tcPr>
          <w:p>
            <w:pPr>
              <w:spacing w:before="29" w:line="288" w:lineRule="auto"/>
              <w:rPr>
                <w:sz w:val="24"/>
              </w:rPr>
            </w:pPr>
            <w:r>
              <w:rPr>
                <w:sz w:val="24"/>
              </w:rPr>
              <w:t>-</w:t>
            </w:r>
          </w:p>
        </w:tc>
      </w:tr>
    </w:tbl>
    <w:p>
      <w:pPr>
        <w:spacing w:line="360" w:lineRule="auto"/>
        <w:jc w:val="left"/>
        <w:rPr>
          <w:rFonts w:asciiTheme="minorEastAsia" w:hAnsiTheme="minorEastAsia" w:eastAsiaTheme="minorEastAsia"/>
          <w:color w:val="000000"/>
          <w:szCs w:val="21"/>
        </w:rPr>
      </w:pPr>
    </w:p>
    <w:p>
      <w:pPr>
        <w:pStyle w:val="2"/>
        <w:keepNext/>
        <w:keepLines/>
        <w:widowControl w:val="0"/>
        <w:spacing w:before="312" w:beforeLines="100" w:after="312" w:afterLines="100" w:line="288" w:lineRule="auto"/>
        <w:jc w:val="center"/>
        <w:rPr>
          <w:b/>
          <w:bCs/>
          <w:szCs w:val="24"/>
          <w:lang w:val="en-US"/>
        </w:rPr>
      </w:pPr>
      <w:bookmarkStart w:id="37" w:name="_Toc225498254"/>
      <w:bookmarkStart w:id="38" w:name="_Toc67596581"/>
      <w:bookmarkStart w:id="39" w:name="_Toc361324854"/>
      <w:r>
        <w:rPr>
          <w:rFonts w:hint="eastAsia"/>
          <w:b/>
          <w:bCs/>
          <w:szCs w:val="24"/>
          <w:lang w:val="en-US"/>
        </w:rPr>
        <w:t>§</w:t>
      </w:r>
      <w:r>
        <w:rPr>
          <w:b/>
          <w:bCs/>
          <w:szCs w:val="24"/>
          <w:lang w:val="en-US"/>
        </w:rPr>
        <w:t xml:space="preserve">4  </w:t>
      </w:r>
      <w:r>
        <w:rPr>
          <w:rFonts w:hint="eastAsia"/>
          <w:b/>
          <w:bCs/>
          <w:szCs w:val="24"/>
          <w:lang w:val="en-US"/>
        </w:rPr>
        <w:t>管理人报告</w:t>
      </w:r>
      <w:bookmarkEnd w:id="37"/>
      <w:bookmarkEnd w:id="38"/>
      <w:bookmarkEnd w:id="39"/>
    </w:p>
    <w:p>
      <w:pPr>
        <w:spacing w:line="360" w:lineRule="auto"/>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40" w:name="_Toc67596582"/>
      <w:bookmarkStart w:id="41" w:name="_Toc361324855"/>
      <w:r>
        <w:rPr>
          <w:rFonts w:ascii="Times New Roman" w:hAnsi="Times New Roman"/>
          <w:kern w:val="0"/>
          <w:szCs w:val="24"/>
        </w:rPr>
        <w:t xml:space="preserve">4.1 </w:t>
      </w:r>
      <w:r>
        <w:rPr>
          <w:rFonts w:hint="eastAsia" w:ascii="Times New Roman" w:hAnsi="Times New Roman"/>
          <w:kern w:val="0"/>
          <w:szCs w:val="24"/>
        </w:rPr>
        <w:t>基金管理人及基金经理情况</w:t>
      </w:r>
      <w:bookmarkEnd w:id="40"/>
      <w:bookmarkEnd w:id="41"/>
    </w:p>
    <w:p>
      <w:pPr>
        <w:pStyle w:val="3"/>
        <w:spacing w:before="29" w:after="0" w:line="288" w:lineRule="auto"/>
        <w:rPr>
          <w:rFonts w:ascii="Times New Roman" w:hAnsi="Times New Roman"/>
          <w:kern w:val="0"/>
          <w:szCs w:val="24"/>
        </w:rPr>
      </w:pPr>
      <w:bookmarkStart w:id="42" w:name="_Toc67596583"/>
      <w:r>
        <w:rPr>
          <w:rFonts w:ascii="Times New Roman" w:hAnsi="Times New Roman"/>
          <w:kern w:val="0"/>
          <w:szCs w:val="24"/>
        </w:rPr>
        <w:t>4.1.1</w:t>
      </w:r>
      <w:r>
        <w:rPr>
          <w:rFonts w:hint="eastAsia" w:ascii="Times New Roman" w:hAnsi="Times New Roman"/>
          <w:kern w:val="0"/>
          <w:szCs w:val="24"/>
        </w:rPr>
        <w:t>基金管理人及其管理基金的经验</w:t>
      </w:r>
      <w:bookmarkEnd w:id="42"/>
    </w:p>
    <w:p>
      <w:pPr>
        <w:spacing w:before="29" w:line="288" w:lineRule="auto"/>
        <w:ind w:firstLine="480" w:firstLineChars="200"/>
        <w:rPr>
          <w:color w:val="000000"/>
          <w:sz w:val="24"/>
        </w:rPr>
      </w:pPr>
      <w:r>
        <w:rPr>
          <w:color w:val="000000"/>
          <w:sz w:val="24"/>
        </w:rPr>
        <w:t>交银施罗德基金管理有限公司是经中国证监会证监基金字[2005]128号文批准，由交通银行股份有限公司、施罗德投资管理有限公司、中国国际海运集装箱（集团）股份有限公司共同发起设立。公司成立于2005年8月4日，注册地在中国上海，注册资本金为2亿元人民币。其中，交通银行股份有限公司持有65%的股份，施罗德投资管理有限公司持有30%的股份，中国国际海运集装箱（集团）股份有限公司持有5%的股份。公司并下设交银施罗德资产管理（香港）有限公司和交银施罗德资产管理有限公司。</w:t>
      </w:r>
    </w:p>
    <w:p>
      <w:pPr>
        <w:spacing w:before="29" w:line="288" w:lineRule="auto"/>
        <w:ind w:firstLine="480" w:firstLineChars="200"/>
        <w:rPr>
          <w:color w:val="000000"/>
          <w:sz w:val="24"/>
        </w:rPr>
      </w:pPr>
      <w:r>
        <w:rPr>
          <w:color w:val="000000"/>
          <w:sz w:val="24"/>
        </w:rPr>
        <w:t>截至报告期末，公司管理了包括货币型、债券型、混合型和股票型在内的94只基金，其中股票型涵盖普通指数型、交易型开放式（ETF）、QDII等不同类型基金。</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43" w:name="_Toc67596584"/>
      <w:r>
        <w:rPr>
          <w:rFonts w:ascii="Times New Roman" w:hAnsi="Times New Roman"/>
          <w:kern w:val="0"/>
          <w:szCs w:val="24"/>
        </w:rPr>
        <w:t>4.1.2</w:t>
      </w:r>
      <w:r>
        <w:rPr>
          <w:rFonts w:hint="eastAsia" w:ascii="Times New Roman" w:hAnsi="Times New Roman"/>
          <w:kern w:val="0"/>
          <w:szCs w:val="24"/>
        </w:rPr>
        <w:t>基金经理（或基金经理小组）及基金经理助理的简介</w:t>
      </w:r>
      <w:bookmarkEnd w:id="43"/>
    </w:p>
    <w:tbl>
      <w:tblPr>
        <w:tblStyle w:val="31"/>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1416"/>
        <w:gridCol w:w="1238"/>
        <w:gridCol w:w="1276"/>
        <w:gridCol w:w="996"/>
        <w:gridCol w:w="3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dxa"/>
            <w:vMerge w:val="restart"/>
            <w:vAlign w:val="center"/>
          </w:tcPr>
          <w:p>
            <w:pPr>
              <w:spacing w:before="29" w:line="288" w:lineRule="auto"/>
              <w:jc w:val="center"/>
              <w:rPr>
                <w:color w:val="000000"/>
                <w:sz w:val="24"/>
              </w:rPr>
            </w:pPr>
            <w:r>
              <w:rPr>
                <w:rFonts w:hint="eastAsia"/>
                <w:color w:val="000000"/>
                <w:sz w:val="24"/>
              </w:rPr>
              <w:t>姓名</w:t>
            </w:r>
          </w:p>
        </w:tc>
        <w:tc>
          <w:tcPr>
            <w:tcW w:w="1416" w:type="dxa"/>
            <w:vMerge w:val="restart"/>
            <w:vAlign w:val="center"/>
          </w:tcPr>
          <w:p>
            <w:pPr>
              <w:spacing w:before="29" w:line="288" w:lineRule="auto"/>
              <w:jc w:val="center"/>
              <w:rPr>
                <w:color w:val="000000"/>
                <w:sz w:val="24"/>
              </w:rPr>
            </w:pPr>
            <w:r>
              <w:rPr>
                <w:rFonts w:hint="eastAsia"/>
                <w:color w:val="000000"/>
                <w:sz w:val="24"/>
              </w:rPr>
              <w:t>职务</w:t>
            </w:r>
          </w:p>
        </w:tc>
        <w:tc>
          <w:tcPr>
            <w:tcW w:w="2514" w:type="dxa"/>
            <w:gridSpan w:val="2"/>
          </w:tcPr>
          <w:p>
            <w:pPr>
              <w:spacing w:before="29" w:line="288" w:lineRule="auto"/>
              <w:jc w:val="center"/>
              <w:rPr>
                <w:color w:val="000000"/>
                <w:sz w:val="24"/>
              </w:rPr>
            </w:pPr>
            <w:r>
              <w:rPr>
                <w:rFonts w:hint="eastAsia"/>
                <w:color w:val="000000"/>
                <w:sz w:val="24"/>
              </w:rPr>
              <w:t>任本基金的基金经理（助理）期限</w:t>
            </w:r>
          </w:p>
        </w:tc>
        <w:tc>
          <w:tcPr>
            <w:tcW w:w="996" w:type="dxa"/>
            <w:vMerge w:val="restart"/>
            <w:vAlign w:val="center"/>
          </w:tcPr>
          <w:p>
            <w:pPr>
              <w:spacing w:before="29" w:line="288" w:lineRule="auto"/>
              <w:jc w:val="center"/>
              <w:rPr>
                <w:color w:val="000000"/>
                <w:sz w:val="24"/>
              </w:rPr>
            </w:pPr>
            <w:r>
              <w:rPr>
                <w:rFonts w:hint="eastAsia"/>
                <w:color w:val="000000"/>
                <w:sz w:val="24"/>
              </w:rPr>
              <w:t>证券从业年限</w:t>
            </w:r>
          </w:p>
        </w:tc>
        <w:tc>
          <w:tcPr>
            <w:tcW w:w="3040" w:type="dxa"/>
            <w:vMerge w:val="restart"/>
            <w:vAlign w:val="center"/>
          </w:tcPr>
          <w:p>
            <w:pPr>
              <w:spacing w:before="29" w:line="288" w:lineRule="auto"/>
              <w:jc w:val="center"/>
              <w:rPr>
                <w:color w:val="000000"/>
                <w:sz w:val="24"/>
              </w:rPr>
            </w:pPr>
            <w:r>
              <w:rPr>
                <w:rFonts w:hint="eastAsia"/>
                <w:color w:val="00000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dxa"/>
            <w:vMerge w:val="continue"/>
            <w:vAlign w:val="center"/>
          </w:tcPr>
          <w:p>
            <w:pPr>
              <w:widowControl/>
              <w:spacing w:line="360" w:lineRule="auto"/>
              <w:jc w:val="left"/>
              <w:rPr>
                <w:rFonts w:asciiTheme="minorEastAsia" w:hAnsiTheme="minorEastAsia" w:eastAsiaTheme="minorEastAsia"/>
                <w:color w:val="000000"/>
                <w:szCs w:val="21"/>
              </w:rPr>
            </w:pPr>
          </w:p>
        </w:tc>
        <w:tc>
          <w:tcPr>
            <w:tcW w:w="1416" w:type="dxa"/>
            <w:vMerge w:val="continue"/>
            <w:vAlign w:val="center"/>
          </w:tcPr>
          <w:p>
            <w:pPr>
              <w:widowControl/>
              <w:spacing w:line="360" w:lineRule="auto"/>
              <w:jc w:val="left"/>
              <w:rPr>
                <w:rFonts w:asciiTheme="minorEastAsia" w:hAnsiTheme="minorEastAsia" w:eastAsiaTheme="minorEastAsia"/>
                <w:color w:val="000000"/>
                <w:szCs w:val="21"/>
              </w:rPr>
            </w:pPr>
          </w:p>
        </w:tc>
        <w:tc>
          <w:tcPr>
            <w:tcW w:w="1238" w:type="dxa"/>
            <w:vAlign w:val="center"/>
          </w:tcPr>
          <w:p>
            <w:pPr>
              <w:spacing w:before="29" w:line="288" w:lineRule="auto"/>
              <w:jc w:val="center"/>
              <w:rPr>
                <w:color w:val="000000"/>
                <w:sz w:val="24"/>
              </w:rPr>
            </w:pPr>
            <w:r>
              <w:rPr>
                <w:rFonts w:hint="eastAsia"/>
                <w:color w:val="000000"/>
                <w:sz w:val="24"/>
              </w:rPr>
              <w:t>任职日期</w:t>
            </w:r>
          </w:p>
        </w:tc>
        <w:tc>
          <w:tcPr>
            <w:tcW w:w="1276" w:type="dxa"/>
            <w:vAlign w:val="center"/>
          </w:tcPr>
          <w:p>
            <w:pPr>
              <w:spacing w:before="29" w:line="288" w:lineRule="auto"/>
              <w:jc w:val="center"/>
              <w:rPr>
                <w:color w:val="000000"/>
                <w:sz w:val="24"/>
              </w:rPr>
            </w:pPr>
            <w:r>
              <w:rPr>
                <w:rFonts w:hint="eastAsia"/>
                <w:color w:val="000000"/>
                <w:sz w:val="24"/>
              </w:rPr>
              <w:t>离任日期</w:t>
            </w:r>
          </w:p>
        </w:tc>
        <w:tc>
          <w:tcPr>
            <w:tcW w:w="996" w:type="dxa"/>
            <w:vMerge w:val="continue"/>
            <w:vAlign w:val="center"/>
          </w:tcPr>
          <w:p>
            <w:pPr>
              <w:widowControl/>
              <w:spacing w:line="360" w:lineRule="auto"/>
              <w:jc w:val="left"/>
              <w:rPr>
                <w:rFonts w:asciiTheme="minorEastAsia" w:hAnsiTheme="minorEastAsia" w:eastAsiaTheme="minorEastAsia"/>
                <w:color w:val="000000"/>
                <w:szCs w:val="21"/>
              </w:rPr>
            </w:pPr>
          </w:p>
        </w:tc>
        <w:tc>
          <w:tcPr>
            <w:tcW w:w="3040" w:type="dxa"/>
            <w:vMerge w:val="continue"/>
            <w:vAlign w:val="center"/>
          </w:tcPr>
          <w:p>
            <w:pPr>
              <w:widowControl/>
              <w:spacing w:line="360" w:lineRule="auto"/>
              <w:jc w:val="left"/>
              <w:rPr>
                <w:rFonts w:asciiTheme="minorEastAsia" w:hAnsiTheme="minorEastAsia" w:eastAsiaTheme="min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dxa"/>
            <w:vAlign w:val="center"/>
          </w:tcPr>
          <w:p>
            <w:pPr>
              <w:jc w:val="center"/>
            </w:pPr>
            <w:r>
              <w:rPr>
                <w:color w:val="000000"/>
                <w:sz w:val="24"/>
              </w:rPr>
              <w:t>王崇</w:t>
            </w:r>
          </w:p>
        </w:tc>
        <w:tc>
          <w:tcPr>
            <w:tcW w:w="1416" w:type="dxa"/>
            <w:vAlign w:val="center"/>
          </w:tcPr>
          <w:p>
            <w:pPr>
              <w:jc w:val="center"/>
            </w:pPr>
            <w:r>
              <w:rPr>
                <w:color w:val="000000"/>
                <w:sz w:val="24"/>
              </w:rPr>
              <w:t>交银精选混合、交银新成长混合、交银瑞丰混合的基金经理，公司权益投资副总监</w:t>
            </w:r>
          </w:p>
        </w:tc>
        <w:tc>
          <w:tcPr>
            <w:tcW w:w="1238" w:type="dxa"/>
            <w:vAlign w:val="center"/>
          </w:tcPr>
          <w:p>
            <w:pPr>
              <w:jc w:val="center"/>
            </w:pPr>
            <w:r>
              <w:rPr>
                <w:color w:val="000000"/>
                <w:sz w:val="24"/>
              </w:rPr>
              <w:t>2014-10-22</w:t>
            </w:r>
          </w:p>
        </w:tc>
        <w:tc>
          <w:tcPr>
            <w:tcW w:w="1276" w:type="dxa"/>
            <w:vAlign w:val="center"/>
          </w:tcPr>
          <w:p>
            <w:pPr>
              <w:jc w:val="center"/>
            </w:pPr>
            <w:r>
              <w:rPr>
                <w:color w:val="000000"/>
                <w:sz w:val="24"/>
              </w:rPr>
              <w:t>-</w:t>
            </w:r>
          </w:p>
        </w:tc>
        <w:tc>
          <w:tcPr>
            <w:tcW w:w="996" w:type="dxa"/>
            <w:vAlign w:val="center"/>
          </w:tcPr>
          <w:p>
            <w:pPr>
              <w:jc w:val="center"/>
            </w:pPr>
            <w:r>
              <w:rPr>
                <w:color w:val="000000"/>
                <w:sz w:val="24"/>
              </w:rPr>
              <w:t>12年</w:t>
            </w:r>
          </w:p>
        </w:tc>
        <w:tc>
          <w:tcPr>
            <w:tcW w:w="3040" w:type="dxa"/>
            <w:vAlign w:val="center"/>
          </w:tcPr>
          <w:p>
            <w:r>
              <w:rPr>
                <w:color w:val="000000"/>
                <w:sz w:val="24"/>
              </w:rPr>
              <w:t>王崇先生，北京大学金融学博士。2008年加入交银施罗德基金管理有限公司，历任行业分析师、高级研究员。</w:t>
            </w:r>
          </w:p>
        </w:tc>
      </w:tr>
    </w:tbl>
    <w:p>
      <w:pPr>
        <w:tabs>
          <w:tab w:val="left" w:pos="426"/>
        </w:tabs>
        <w:spacing w:before="29" w:line="288" w:lineRule="auto"/>
        <w:jc w:val="left"/>
        <w:rPr>
          <w:rFonts w:asciiTheme="minorEastAsia" w:hAnsiTheme="minorEastAsia" w:eastAsiaTheme="minorEastAsia"/>
          <w:color w:val="000000"/>
          <w:szCs w:val="21"/>
        </w:rPr>
      </w:pPr>
      <w:r>
        <w:rPr>
          <w:kern w:val="0"/>
          <w:sz w:val="24"/>
        </w:rPr>
        <w:t>注：1、本表所列基金经理（助理）任职日期和离职日期均以基金合同生效日或公司作出决定并公告(如适用)之日为准；</w:t>
      </w:r>
    </w:p>
    <w:p>
      <w:pPr>
        <w:tabs>
          <w:tab w:val="left" w:pos="426"/>
        </w:tabs>
        <w:spacing w:before="29" w:line="288" w:lineRule="auto"/>
        <w:jc w:val="left"/>
        <w:rPr>
          <w:rFonts w:asciiTheme="minorEastAsia" w:hAnsiTheme="minorEastAsia" w:eastAsiaTheme="minorEastAsia"/>
          <w:color w:val="000000"/>
          <w:szCs w:val="21"/>
        </w:rPr>
      </w:pPr>
      <w:r>
        <w:rPr>
          <w:kern w:val="0"/>
          <w:sz w:val="24"/>
        </w:rPr>
        <w:t xml:space="preserve">2、本表所列基金经理（助理）证券从业年限中的“证券从业”的含义遵从中国证券业协会《证券业从业人员资格管理办法》的相关规定； </w:t>
      </w:r>
    </w:p>
    <w:p>
      <w:pPr>
        <w:tabs>
          <w:tab w:val="left" w:pos="426"/>
        </w:tabs>
        <w:spacing w:before="29" w:line="288" w:lineRule="auto"/>
        <w:jc w:val="left"/>
        <w:rPr>
          <w:rFonts w:asciiTheme="minorEastAsia" w:hAnsiTheme="minorEastAsia" w:eastAsiaTheme="minorEastAsia"/>
          <w:color w:val="000000"/>
          <w:szCs w:val="21"/>
        </w:rPr>
      </w:pPr>
      <w:r>
        <w:rPr>
          <w:kern w:val="0"/>
          <w:sz w:val="24"/>
        </w:rPr>
        <w:t>3、基金经理（或基金经理小组）期后变动（如有）敬请关注基金管理人发布的相关公告。</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44" w:name="_Toc361324856"/>
      <w:bookmarkStart w:id="45" w:name="_Toc67596585"/>
      <w:bookmarkStart w:id="46" w:name="_Toc225498256"/>
      <w:r>
        <w:rPr>
          <w:rFonts w:ascii="Times New Roman" w:hAnsi="Times New Roman"/>
          <w:kern w:val="0"/>
          <w:szCs w:val="24"/>
        </w:rPr>
        <w:t xml:space="preserve">4.2 </w:t>
      </w:r>
      <w:r>
        <w:rPr>
          <w:rFonts w:hint="eastAsia" w:ascii="Times New Roman" w:hAnsi="Times New Roman"/>
          <w:kern w:val="0"/>
          <w:szCs w:val="24"/>
        </w:rPr>
        <w:t>管理人对报告期内本基金运作遵规守信情况的说明</w:t>
      </w:r>
      <w:bookmarkEnd w:id="44"/>
      <w:bookmarkEnd w:id="45"/>
      <w:bookmarkEnd w:id="46"/>
    </w:p>
    <w:p>
      <w:pPr>
        <w:spacing w:before="29" w:line="288" w:lineRule="auto"/>
        <w:ind w:firstLine="480" w:firstLineChars="200"/>
        <w:rPr>
          <w:color w:val="000000"/>
          <w:sz w:val="24"/>
        </w:rPr>
      </w:pPr>
      <w:r>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47" w:name="_Toc361324857"/>
      <w:bookmarkStart w:id="48" w:name="_Toc67596586"/>
      <w:bookmarkStart w:id="49" w:name="_Toc225498257"/>
      <w:r>
        <w:rPr>
          <w:rFonts w:ascii="Times New Roman" w:hAnsi="Times New Roman"/>
          <w:kern w:val="0"/>
          <w:szCs w:val="24"/>
        </w:rPr>
        <w:t xml:space="preserve">4.3 </w:t>
      </w:r>
      <w:r>
        <w:rPr>
          <w:rFonts w:hint="eastAsia" w:ascii="Times New Roman" w:hAnsi="Times New Roman"/>
          <w:kern w:val="0"/>
          <w:szCs w:val="24"/>
        </w:rPr>
        <w:t>管理人对报告期内公平交易情况的专项说明</w:t>
      </w:r>
      <w:bookmarkEnd w:id="47"/>
      <w:bookmarkEnd w:id="48"/>
      <w:bookmarkEnd w:id="49"/>
    </w:p>
    <w:p>
      <w:pPr>
        <w:pStyle w:val="3"/>
        <w:spacing w:before="29" w:after="0" w:line="288" w:lineRule="auto"/>
        <w:rPr>
          <w:rFonts w:ascii="Times New Roman" w:hAnsi="Times New Roman"/>
          <w:kern w:val="0"/>
          <w:szCs w:val="24"/>
        </w:rPr>
      </w:pPr>
      <w:bookmarkStart w:id="50" w:name="_Toc67596587"/>
      <w:r>
        <w:rPr>
          <w:rFonts w:ascii="Times New Roman" w:hAnsi="Times New Roman"/>
          <w:kern w:val="0"/>
          <w:szCs w:val="24"/>
        </w:rPr>
        <w:t>4.3.1</w:t>
      </w:r>
      <w:r>
        <w:rPr>
          <w:rFonts w:hint="eastAsia" w:ascii="Times New Roman" w:hAnsi="Times New Roman"/>
          <w:kern w:val="0"/>
          <w:szCs w:val="24"/>
        </w:rPr>
        <w:t>公平交易制度和控制方法</w:t>
      </w:r>
      <w:bookmarkEnd w:id="50"/>
    </w:p>
    <w:p>
      <w:pPr>
        <w:spacing w:before="29" w:line="288" w:lineRule="auto"/>
        <w:ind w:firstLine="480" w:firstLineChars="20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pPr>
        <w:spacing w:before="29" w:line="288" w:lineRule="auto"/>
        <w:ind w:firstLine="480" w:firstLineChars="200"/>
        <w:rPr>
          <w:color w:val="000000"/>
          <w:sz w:val="24"/>
        </w:rPr>
      </w:pPr>
      <w:r>
        <w:rPr>
          <w:color w:val="000000"/>
          <w:sz w:val="24"/>
        </w:rPr>
        <w:t>（1）公司建立资源共享的投资研究信息平台，所有研究成果对所有投资组合公平开放，确保各投资组合在获得研究支持和实施投资决策方面享有公平的机会。</w:t>
      </w:r>
    </w:p>
    <w:p>
      <w:pPr>
        <w:spacing w:before="29" w:line="288" w:lineRule="auto"/>
        <w:ind w:firstLine="480" w:firstLineChars="200"/>
        <w:rPr>
          <w:color w:val="000000"/>
          <w:sz w:val="24"/>
        </w:rPr>
      </w:pPr>
      <w:r>
        <w:rPr>
          <w:color w:val="000000"/>
          <w:sz w:val="24"/>
        </w:rPr>
        <w:t>（2）公司将投资管理职能和交易执行职能相隔离，实行集中交易制度，建立了合理且可操作的公平交易分配机制，确保各投资组合享有公平的交易执行机会。对于交易所公开竞价交易，遵循“时间优先、价格优先、比例分配”的原则，全部通过交易系统进行比例分配；对于非集中竞价交易、以公司名义进行的场外交易，遵循“价格优先、比例分配”的原则按事前独立确定的投资方案对交易结果进行分配。</w:t>
      </w:r>
    </w:p>
    <w:p>
      <w:pPr>
        <w:spacing w:before="29" w:line="288" w:lineRule="auto"/>
        <w:ind w:firstLine="480" w:firstLineChars="200"/>
        <w:rPr>
          <w:color w:val="000000"/>
          <w:sz w:val="24"/>
        </w:rPr>
      </w:pPr>
      <w:r>
        <w:rPr>
          <w:color w:val="000000"/>
          <w:sz w:val="24"/>
        </w:rPr>
        <w:t>（3）公司建立了清晰的投资授权制度，明确各层级投资决策主体的职责和权限划分，组合投资经理充分发挥专业判断能力,不受他人干预,在授权范围内独立行使投资决策权，维护公平的投资管理环境，维护所管理投资组合的合法利益,保证各投资组合交易决策的客观性和独立性，防范不公平及异常交易的发生。</w:t>
      </w:r>
    </w:p>
    <w:p>
      <w:pPr>
        <w:spacing w:before="29" w:line="288" w:lineRule="auto"/>
        <w:ind w:firstLine="480" w:firstLineChars="200"/>
        <w:rPr>
          <w:color w:val="000000"/>
          <w:sz w:val="24"/>
        </w:rPr>
      </w:pPr>
      <w:r>
        <w:rPr>
          <w:color w:val="000000"/>
          <w:sz w:val="24"/>
        </w:rPr>
        <w:t>（4）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pPr>
        <w:spacing w:before="29" w:line="288" w:lineRule="auto"/>
        <w:ind w:firstLine="480" w:firstLineChars="200"/>
        <w:rPr>
          <w:color w:val="000000"/>
          <w:sz w:val="24"/>
        </w:rPr>
      </w:pPr>
      <w:r>
        <w:rPr>
          <w:color w:val="000000"/>
          <w:sz w:val="24"/>
        </w:rPr>
        <w:t>（5）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pPr>
        <w:spacing w:line="360" w:lineRule="auto"/>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51" w:name="_Toc67596588"/>
      <w:r>
        <w:rPr>
          <w:rFonts w:ascii="Times New Roman" w:hAnsi="Times New Roman"/>
          <w:kern w:val="0"/>
          <w:szCs w:val="24"/>
        </w:rPr>
        <w:t>4.3.2</w:t>
      </w:r>
      <w:r>
        <w:rPr>
          <w:rFonts w:hint="eastAsia" w:ascii="Times New Roman" w:hAnsi="Times New Roman"/>
          <w:kern w:val="0"/>
          <w:szCs w:val="24"/>
        </w:rPr>
        <w:t>公平交易制度的执行情况</w:t>
      </w:r>
      <w:bookmarkEnd w:id="51"/>
    </w:p>
    <w:p>
      <w:pPr>
        <w:spacing w:before="29" w:line="288" w:lineRule="auto"/>
        <w:ind w:firstLine="480" w:firstLineChars="200"/>
        <w:rPr>
          <w:rFonts w:asciiTheme="minorEastAsia" w:hAnsiTheme="minorEastAsia" w:eastAsia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pPr>
        <w:spacing w:before="29" w:line="288" w:lineRule="auto"/>
        <w:ind w:firstLine="480" w:firstLineChars="200"/>
        <w:rPr>
          <w:rFonts w:asciiTheme="minorEastAsia" w:hAnsiTheme="minorEastAsia" w:eastAsia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价格优先、时间优先”的原则，全部通过交易系统进行比例分配；对于非集中竞价交易、以公司名义进行的场外交易，遵循公平交易分配原则对交易结果进行分配。</w:t>
      </w:r>
    </w:p>
    <w:p>
      <w:pPr>
        <w:spacing w:before="29" w:line="288" w:lineRule="auto"/>
        <w:ind w:firstLine="480" w:firstLineChars="200"/>
        <w:rPr>
          <w:rFonts w:asciiTheme="minorEastAsia" w:hAnsiTheme="minorEastAsia" w:eastAsia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pPr>
        <w:spacing w:before="29" w:line="288" w:lineRule="auto"/>
        <w:ind w:firstLine="480" w:firstLineChars="200"/>
        <w:rPr>
          <w:rFonts w:asciiTheme="minorEastAsia" w:hAnsiTheme="minorEastAsia" w:eastAsiaTheme="minorEastAsia"/>
          <w:color w:val="000000"/>
          <w:szCs w:val="21"/>
        </w:rPr>
      </w:pPr>
      <w:r>
        <w:rPr>
          <w:color w:val="000000"/>
          <w:sz w:val="24"/>
        </w:rPr>
        <w:t>报告期内本公司严格执行公平交易制度，公平对待旗下各投资组合，未发现任何违反公平交易的行为。</w:t>
      </w:r>
    </w:p>
    <w:p>
      <w:pPr>
        <w:spacing w:line="360" w:lineRule="auto"/>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52" w:name="_Toc67596589"/>
      <w:r>
        <w:rPr>
          <w:rFonts w:ascii="Times New Roman" w:hAnsi="Times New Roman"/>
          <w:kern w:val="0"/>
          <w:szCs w:val="24"/>
        </w:rPr>
        <w:t>4.3.3</w:t>
      </w:r>
      <w:r>
        <w:rPr>
          <w:rFonts w:hint="eastAsia" w:ascii="Times New Roman" w:hAnsi="Times New Roman"/>
          <w:kern w:val="0"/>
          <w:szCs w:val="24"/>
        </w:rPr>
        <w:t>异常交易行为的专项说明</w:t>
      </w:r>
      <w:bookmarkEnd w:id="52"/>
    </w:p>
    <w:p>
      <w:pPr>
        <w:spacing w:before="29" w:line="288" w:lineRule="auto"/>
        <w:ind w:firstLine="480" w:firstLineChars="200"/>
        <w:rPr>
          <w:color w:val="000000"/>
          <w:sz w:val="24"/>
        </w:rPr>
      </w:pPr>
      <w:r>
        <w:rPr>
          <w:color w:val="000000"/>
          <w:sz w:val="24"/>
        </w:rPr>
        <w:t>本基金于本报告期内不存在异常交易行为。本报告期内，本公司管理的所有投资组合参与的交易所公开竞价同日反向交易成交较少的单边交易量没有超过该证券当日总成交量5%的情形，本基金与本公司管理的其他投资组合在不同时间窗下（如日内、3日内、5日内）同向交易的交易价差未出现异常。</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53" w:name="_Toc225498258"/>
      <w:bookmarkStart w:id="54" w:name="_Toc361324858"/>
      <w:bookmarkStart w:id="55" w:name="_Toc67596590"/>
      <w:r>
        <w:rPr>
          <w:rFonts w:ascii="Times New Roman" w:hAnsi="Times New Roman"/>
          <w:kern w:val="0"/>
          <w:szCs w:val="24"/>
        </w:rPr>
        <w:t xml:space="preserve">4.4 </w:t>
      </w:r>
      <w:r>
        <w:rPr>
          <w:rFonts w:hint="eastAsia" w:ascii="Times New Roman" w:hAnsi="Times New Roman"/>
          <w:kern w:val="0"/>
          <w:szCs w:val="24"/>
        </w:rPr>
        <w:t>管理人对报告期内基金的投资策略和业绩表现的说明</w:t>
      </w:r>
      <w:bookmarkEnd w:id="53"/>
      <w:bookmarkEnd w:id="54"/>
      <w:bookmarkEnd w:id="55"/>
    </w:p>
    <w:p>
      <w:pPr>
        <w:pStyle w:val="3"/>
        <w:spacing w:before="29" w:after="0" w:line="288" w:lineRule="auto"/>
        <w:rPr>
          <w:rFonts w:ascii="Times New Roman" w:hAnsi="Times New Roman"/>
          <w:kern w:val="0"/>
          <w:szCs w:val="24"/>
        </w:rPr>
      </w:pPr>
      <w:bookmarkStart w:id="56" w:name="_Toc67596591"/>
      <w:r>
        <w:rPr>
          <w:rFonts w:ascii="Times New Roman" w:hAnsi="Times New Roman"/>
          <w:kern w:val="0"/>
          <w:szCs w:val="24"/>
        </w:rPr>
        <w:t>4.4.1</w:t>
      </w:r>
      <w:r>
        <w:rPr>
          <w:rFonts w:hint="eastAsia" w:ascii="Times New Roman" w:hAnsi="Times New Roman"/>
          <w:kern w:val="0"/>
          <w:szCs w:val="24"/>
        </w:rPr>
        <w:t>报告期内基金投资策略和运作分析</w:t>
      </w:r>
      <w:bookmarkEnd w:id="56"/>
    </w:p>
    <w:p>
      <w:pPr>
        <w:spacing w:before="29" w:line="288" w:lineRule="auto"/>
        <w:ind w:firstLine="480" w:firstLineChars="200"/>
        <w:rPr>
          <w:color w:val="000000"/>
          <w:sz w:val="24"/>
        </w:rPr>
      </w:pPr>
      <w:r>
        <w:rPr>
          <w:color w:val="000000"/>
          <w:sz w:val="24"/>
        </w:rPr>
        <w:t xml:space="preserve">2020年国内经济年初经历疫情冲击后持续复苏，货币政策层面虽然中期开始转向，但总体延续稳健略宽松货币政策，同时监管层延续房住不炒政策，引导企业融资成本下行，鼓励科技创新。A股市场虽然在二月初和三月底受疫情影响短期大幅回调，但全年大部分时间都处于结构性牛市状态。从板块来看，大消费和新能源成为全年最强市场主线。在行业层面，新能源和新能源汽车，食品饮料、医药涨幅遥遥领先，大金融板块涨幅垫底。 </w:t>
      </w:r>
    </w:p>
    <w:p>
      <w:pPr>
        <w:spacing w:before="29" w:line="288" w:lineRule="auto"/>
        <w:ind w:firstLine="480" w:firstLineChars="200"/>
        <w:rPr>
          <w:color w:val="000000"/>
          <w:sz w:val="24"/>
        </w:rPr>
      </w:pPr>
      <w:r>
        <w:rPr>
          <w:color w:val="000000"/>
          <w:sz w:val="24"/>
        </w:rPr>
        <w:t>本基金全年保持中性略高仓位，坚持自下而上选择具备竞争力的细分子行业龙头公司，上半年逐渐减持医药器械和医药服务相关标的，加仓物流服务类相关标的。下半年逐渐减持房地产开发类龙头个股，加仓石油化工和计算机相关标的。全年来看本基金跑赢业绩比较基准。</w:t>
      </w:r>
    </w:p>
    <w:p>
      <w:pPr>
        <w:spacing w:line="360" w:lineRule="auto"/>
        <w:ind w:firstLine="420" w:firstLineChars="200"/>
        <w:rPr>
          <w:rFonts w:asciiTheme="minorEastAsia" w:hAnsiTheme="minorEastAsia" w:eastAsiaTheme="minorEastAsia"/>
          <w:kern w:val="0"/>
          <w:szCs w:val="21"/>
        </w:rPr>
      </w:pPr>
    </w:p>
    <w:p>
      <w:pPr>
        <w:pStyle w:val="3"/>
        <w:spacing w:before="29" w:after="0" w:line="288" w:lineRule="auto"/>
        <w:rPr>
          <w:rFonts w:ascii="Times New Roman" w:hAnsi="Times New Roman"/>
          <w:kern w:val="0"/>
          <w:szCs w:val="24"/>
        </w:rPr>
      </w:pPr>
      <w:bookmarkStart w:id="57" w:name="_Toc67596592"/>
      <w:r>
        <w:rPr>
          <w:rFonts w:ascii="Times New Roman" w:hAnsi="Times New Roman"/>
          <w:kern w:val="0"/>
          <w:szCs w:val="24"/>
        </w:rPr>
        <w:t>4.4.2</w:t>
      </w:r>
      <w:r>
        <w:rPr>
          <w:rFonts w:hint="eastAsia" w:ascii="Times New Roman" w:hAnsi="Times New Roman"/>
          <w:kern w:val="0"/>
          <w:szCs w:val="24"/>
        </w:rPr>
        <w:t>报告期内基金的业绩表现</w:t>
      </w:r>
      <w:bookmarkEnd w:id="57"/>
    </w:p>
    <w:p>
      <w:pPr>
        <w:spacing w:before="29" w:line="288" w:lineRule="auto"/>
        <w:ind w:firstLine="480" w:firstLineChars="200"/>
        <w:rPr>
          <w:color w:val="000000"/>
          <w:sz w:val="24"/>
        </w:rPr>
      </w:pPr>
      <w:r>
        <w:rPr>
          <w:color w:val="000000"/>
          <w:sz w:val="24"/>
        </w:rPr>
        <w:t>本基金（各类）份额净值及业绩表现请见“3.1主要会计数据和财务指标” 及“3.2.1基金份额净值增长率及其与同期业绩比较基准收益率的比较”部分披露。</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58" w:name="_Toc225498259"/>
      <w:bookmarkStart w:id="59" w:name="_Toc67596593"/>
      <w:bookmarkStart w:id="60" w:name="_Toc361324859"/>
      <w:r>
        <w:rPr>
          <w:rFonts w:ascii="Times New Roman" w:hAnsi="Times New Roman"/>
          <w:kern w:val="0"/>
          <w:szCs w:val="24"/>
        </w:rPr>
        <w:t xml:space="preserve">4.5 </w:t>
      </w:r>
      <w:r>
        <w:rPr>
          <w:rFonts w:hint="eastAsia" w:ascii="Times New Roman" w:hAnsi="Times New Roman"/>
          <w:kern w:val="0"/>
          <w:szCs w:val="24"/>
        </w:rPr>
        <w:t>管理人对宏观经济、证券市场及行业走势的简要展望</w:t>
      </w:r>
      <w:bookmarkEnd w:id="58"/>
      <w:bookmarkEnd w:id="59"/>
      <w:bookmarkEnd w:id="60"/>
    </w:p>
    <w:p>
      <w:pPr>
        <w:spacing w:before="29" w:line="288" w:lineRule="auto"/>
        <w:ind w:firstLine="480" w:firstLineChars="200"/>
        <w:rPr>
          <w:color w:val="000000"/>
          <w:sz w:val="24"/>
        </w:rPr>
      </w:pPr>
      <w:r>
        <w:rPr>
          <w:color w:val="000000"/>
          <w:sz w:val="24"/>
        </w:rPr>
        <w:t>展望2021年，我们维持谨慎乐观态度。我们观察到广谱层面的价格上涨（从工业大宗到农产品，从房价到服务），国内经济有走向过热的趋势，预计2021</w:t>
      </w:r>
      <w:r>
        <w:rPr>
          <w:rFonts w:hint="eastAsia"/>
          <w:color w:val="000000"/>
          <w:sz w:val="24"/>
        </w:rPr>
        <w:t>年</w:t>
      </w:r>
      <w:r>
        <w:rPr>
          <w:color w:val="000000"/>
          <w:sz w:val="24"/>
        </w:rPr>
        <w:t>货币政策继续转弯会对权益市场估值水平有所压制，2021年上市公司业绩较快增长尤其是超预期增长可能是投资收益的重要来源。其次，四季度部分具备增长逻辑的热门行业热门个股估值继续拉升。我们认为其中确实有个别公司是可能通过持续兑现业绩高增长来消化估值的，但大部分公司股票而言结果大概率有两种，一是证实其核心资产盈利稳定能力，但股价泡沫化后未来多年收益率平庸化，二是高增长被证伪后股价大幅下跌。</w:t>
      </w:r>
    </w:p>
    <w:p>
      <w:pPr>
        <w:spacing w:before="29" w:line="288" w:lineRule="auto"/>
        <w:ind w:firstLine="480" w:firstLineChars="200"/>
        <w:rPr>
          <w:color w:val="000000"/>
          <w:sz w:val="24"/>
        </w:rPr>
      </w:pPr>
      <w:r>
        <w:rPr>
          <w:color w:val="000000"/>
          <w:sz w:val="24"/>
        </w:rPr>
        <w:t>本基金后续投资布局上拟规避过高估值的热门公司股票，以及强周期成长行业给出成长股估值的周期股。考虑到</w:t>
      </w:r>
      <w:r>
        <w:rPr>
          <w:rFonts w:hint="eastAsia"/>
          <w:color w:val="000000"/>
          <w:sz w:val="24"/>
        </w:rPr>
        <w:t>2</w:t>
      </w:r>
      <w:r>
        <w:rPr>
          <w:color w:val="000000"/>
          <w:sz w:val="24"/>
        </w:rPr>
        <w:t>020年国内外经济复苏的力度可能超预期，伴随PPI回升，配置上本基金将略向中上游制造业以及顺周期成长倾斜，2021年我们将重点关注物流服务、大炼化、消费建材、餐饮供应链、军工半导体，软件互联网及企业级服务，具备提价能力的电子被动元器件，以及消费升级相关的产品和服务如高端白酒、家电、教育等，坚持行业分散，个股精选、逆向投资，控制回撤，努力为基金持有人带来稳健回报。</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61" w:name="_Toc361324860"/>
      <w:bookmarkStart w:id="62" w:name="_Toc247959456"/>
      <w:bookmarkStart w:id="63" w:name="_Toc245801806"/>
      <w:bookmarkStart w:id="64" w:name="_Toc67596594"/>
      <w:r>
        <w:rPr>
          <w:rFonts w:ascii="Times New Roman" w:hAnsi="Times New Roman"/>
          <w:kern w:val="0"/>
          <w:szCs w:val="24"/>
        </w:rPr>
        <w:t xml:space="preserve">4.6 </w:t>
      </w:r>
      <w:r>
        <w:rPr>
          <w:rFonts w:hint="eastAsia" w:ascii="Times New Roman" w:hAnsi="Times New Roman"/>
          <w:kern w:val="0"/>
          <w:szCs w:val="24"/>
        </w:rPr>
        <w:t>管理人内部有关本基金的监察稽核工作情况</w:t>
      </w:r>
      <w:bookmarkEnd w:id="61"/>
      <w:bookmarkEnd w:id="62"/>
      <w:bookmarkEnd w:id="63"/>
      <w:bookmarkEnd w:id="64"/>
    </w:p>
    <w:p>
      <w:pPr>
        <w:spacing w:before="29" w:line="288" w:lineRule="auto"/>
        <w:ind w:firstLine="480" w:firstLineChars="200"/>
        <w:rPr>
          <w:color w:val="000000"/>
          <w:sz w:val="24"/>
        </w:rPr>
      </w:pPr>
      <w:r>
        <w:rPr>
          <w:color w:val="000000"/>
          <w:sz w:val="24"/>
        </w:rPr>
        <w:t>2020年度，根据《证券投资基金法》等法律法规及有关要求，本基金管理人诚实守信、勤勉尽责，依法履行基金管理人职责，落实风险控制，强化合规管理职能，确保基金管理业务运作的安全、规范，保护基金投资人的合法权益。</w:t>
      </w:r>
    </w:p>
    <w:p>
      <w:pPr>
        <w:spacing w:before="29" w:line="288" w:lineRule="auto"/>
        <w:ind w:firstLine="480" w:firstLineChars="200"/>
        <w:rPr>
          <w:color w:val="000000"/>
          <w:sz w:val="24"/>
        </w:rPr>
      </w:pPr>
      <w:r>
        <w:rPr>
          <w:color w:val="000000"/>
          <w:sz w:val="24"/>
        </w:rPr>
        <w:t>本报告期内，本基金管理人为了确保公司业务的规范运作，主要做了以下工作：</w:t>
      </w:r>
    </w:p>
    <w:p>
      <w:pPr>
        <w:spacing w:before="29" w:line="288" w:lineRule="auto"/>
        <w:ind w:firstLine="480" w:firstLineChars="200"/>
        <w:rPr>
          <w:color w:val="000000"/>
          <w:sz w:val="24"/>
        </w:rPr>
      </w:pPr>
      <w:r>
        <w:rPr>
          <w:color w:val="000000"/>
          <w:sz w:val="24"/>
        </w:rPr>
        <w:t>（一）继续深化全面风险管理，提高风险控制有效性。</w:t>
      </w:r>
    </w:p>
    <w:p>
      <w:pPr>
        <w:spacing w:before="29" w:line="288" w:lineRule="auto"/>
        <w:ind w:firstLine="480" w:firstLineChars="20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pPr>
        <w:spacing w:before="29" w:line="288" w:lineRule="auto"/>
        <w:ind w:firstLine="480" w:firstLineChars="200"/>
        <w:rPr>
          <w:color w:val="000000"/>
          <w:sz w:val="24"/>
        </w:rPr>
      </w:pPr>
      <w:r>
        <w:rPr>
          <w:color w:val="000000"/>
          <w:sz w:val="24"/>
        </w:rPr>
        <w:t>（二）全面开展内部监督检查，强化公司内部控制。</w:t>
      </w:r>
    </w:p>
    <w:p>
      <w:pPr>
        <w:spacing w:before="29" w:line="288" w:lineRule="auto"/>
        <w:ind w:firstLine="480" w:firstLineChars="20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pPr>
        <w:spacing w:before="29" w:line="288" w:lineRule="auto"/>
        <w:ind w:firstLine="480" w:firstLineChars="200"/>
        <w:rPr>
          <w:color w:val="000000"/>
          <w:sz w:val="24"/>
        </w:rPr>
      </w:pPr>
      <w:r>
        <w:rPr>
          <w:color w:val="000000"/>
          <w:sz w:val="24"/>
        </w:rPr>
        <w:t>（三）着力打造完备的合规管理体系，促进合规文化建设取得新成果。</w:t>
      </w:r>
    </w:p>
    <w:p>
      <w:pPr>
        <w:spacing w:before="29" w:line="288" w:lineRule="auto"/>
        <w:ind w:firstLine="480" w:firstLineChars="20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pPr>
        <w:spacing w:before="29" w:line="288" w:lineRule="auto"/>
        <w:ind w:firstLine="480" w:firstLineChars="200"/>
        <w:rPr>
          <w:color w:val="000000"/>
          <w:sz w:val="24"/>
        </w:rPr>
      </w:pPr>
      <w:r>
        <w:rPr>
          <w:color w:val="000000"/>
          <w:sz w:val="24"/>
        </w:rPr>
        <w:t>（四）强化培训教育及重点领域合规提示，持续提高全员风险合规意识。</w:t>
      </w:r>
    </w:p>
    <w:p>
      <w:pPr>
        <w:spacing w:before="29" w:line="288" w:lineRule="auto"/>
        <w:ind w:firstLine="480" w:firstLineChars="200"/>
        <w:rPr>
          <w:color w:val="000000"/>
          <w:sz w:val="24"/>
        </w:rPr>
      </w:pPr>
      <w:r>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pPr>
        <w:autoSpaceDE w:val="0"/>
        <w:autoSpaceDN w:val="0"/>
        <w:adjustRightInd w:val="0"/>
        <w:spacing w:line="360" w:lineRule="auto"/>
        <w:ind w:firstLine="482"/>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65" w:name="_Toc247959457"/>
      <w:bookmarkStart w:id="66" w:name="_Toc67596595"/>
      <w:bookmarkStart w:id="67" w:name="_Toc361324861"/>
      <w:bookmarkStart w:id="68" w:name="_Toc225570083"/>
      <w:r>
        <w:rPr>
          <w:rFonts w:ascii="Times New Roman" w:hAnsi="Times New Roman"/>
          <w:kern w:val="0"/>
          <w:szCs w:val="24"/>
        </w:rPr>
        <w:t xml:space="preserve">4.7 </w:t>
      </w:r>
      <w:r>
        <w:rPr>
          <w:rFonts w:hint="eastAsia" w:ascii="Times New Roman" w:hAnsi="Times New Roman"/>
          <w:kern w:val="0"/>
          <w:szCs w:val="24"/>
        </w:rPr>
        <w:t>管理人对报告期内基金估值程序等事项的说明</w:t>
      </w:r>
      <w:bookmarkEnd w:id="65"/>
      <w:bookmarkEnd w:id="66"/>
      <w:bookmarkEnd w:id="67"/>
      <w:bookmarkEnd w:id="68"/>
    </w:p>
    <w:p>
      <w:pPr>
        <w:spacing w:before="29" w:line="288" w:lineRule="auto"/>
        <w:ind w:firstLine="480" w:firstLineChars="20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pPr>
        <w:spacing w:before="29" w:line="288" w:lineRule="auto"/>
        <w:ind w:firstLine="480" w:firstLineChars="20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pPr>
        <w:spacing w:before="29" w:line="288" w:lineRule="auto"/>
        <w:ind w:firstLine="480" w:firstLineChars="200"/>
        <w:rPr>
          <w:color w:val="000000"/>
          <w:sz w:val="24"/>
        </w:rPr>
      </w:pPr>
      <w:r>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pPr>
        <w:autoSpaceDE w:val="0"/>
        <w:autoSpaceDN w:val="0"/>
        <w:adjustRightInd w:val="0"/>
        <w:spacing w:line="360" w:lineRule="auto"/>
        <w:ind w:firstLine="482"/>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69" w:name="_Toc374374942"/>
      <w:bookmarkStart w:id="70" w:name="_Toc247959458"/>
      <w:bookmarkStart w:id="71" w:name="_Toc67596596"/>
      <w:bookmarkStart w:id="72" w:name="_Toc361324862"/>
      <w:bookmarkStart w:id="73" w:name="_Toc225570084"/>
      <w:r>
        <w:rPr>
          <w:rFonts w:ascii="Times New Roman" w:hAnsi="Times New Roman"/>
          <w:kern w:val="0"/>
          <w:szCs w:val="24"/>
        </w:rPr>
        <w:t>4.</w:t>
      </w:r>
      <w:r>
        <w:rPr>
          <w:rFonts w:hint="eastAsia" w:ascii="Times New Roman" w:hAnsi="Times New Roman"/>
          <w:kern w:val="0"/>
          <w:szCs w:val="24"/>
        </w:rPr>
        <w:t>8</w:t>
      </w:r>
      <w:r>
        <w:rPr>
          <w:rFonts w:ascii="Times New Roman" w:hAnsi="Times New Roman"/>
          <w:kern w:val="0"/>
          <w:szCs w:val="24"/>
        </w:rPr>
        <w:t>管理人对报告期内基金利润分配情况的说明</w:t>
      </w:r>
      <w:bookmarkEnd w:id="69"/>
      <w:bookmarkEnd w:id="70"/>
      <w:bookmarkEnd w:id="71"/>
      <w:bookmarkEnd w:id="72"/>
      <w:bookmarkEnd w:id="73"/>
    </w:p>
    <w:p>
      <w:pPr>
        <w:spacing w:before="29" w:line="288" w:lineRule="auto"/>
        <w:ind w:firstLine="480" w:firstLineChars="200"/>
        <w:rPr>
          <w:kern w:val="0"/>
          <w:sz w:val="24"/>
        </w:rPr>
      </w:pPr>
      <w:r>
        <w:rPr>
          <w:kern w:val="0"/>
          <w:sz w:val="24"/>
        </w:rPr>
        <w:t>本基金本报告期内未进行利润分配。</w:t>
      </w:r>
    </w:p>
    <w:p>
      <w:pPr>
        <w:spacing w:line="360" w:lineRule="auto"/>
        <w:ind w:firstLine="420" w:firstLineChars="200"/>
        <w:rPr>
          <w:rFonts w:eastAsiaTheme="minorEastAsia"/>
          <w:color w:val="000000"/>
          <w:szCs w:val="21"/>
        </w:rPr>
      </w:pPr>
    </w:p>
    <w:p>
      <w:pPr>
        <w:pStyle w:val="3"/>
        <w:spacing w:before="29" w:after="0" w:line="288" w:lineRule="auto"/>
        <w:rPr>
          <w:rFonts w:ascii="Times New Roman" w:hAnsi="Times New Roman"/>
          <w:kern w:val="0"/>
          <w:szCs w:val="24"/>
        </w:rPr>
      </w:pPr>
      <w:bookmarkStart w:id="74" w:name="_Toc67596597"/>
      <w:r>
        <w:rPr>
          <w:rFonts w:ascii="Times New Roman" w:hAnsi="Times New Roman"/>
          <w:kern w:val="0"/>
          <w:szCs w:val="24"/>
        </w:rPr>
        <w:t>4.9</w:t>
      </w:r>
      <w:r>
        <w:rPr>
          <w:rFonts w:hint="eastAsia" w:ascii="Times New Roman" w:hAnsi="Times New Roman"/>
          <w:kern w:val="0"/>
          <w:szCs w:val="24"/>
        </w:rPr>
        <w:t>报告期内管理人对本基金持有人数或基金资产净值预警情形的说明</w:t>
      </w:r>
      <w:bookmarkEnd w:id="74"/>
    </w:p>
    <w:p>
      <w:pPr>
        <w:spacing w:before="29" w:line="288" w:lineRule="auto"/>
        <w:ind w:firstLine="480" w:firstLineChars="200"/>
        <w:rPr>
          <w:kern w:val="0"/>
          <w:sz w:val="24"/>
        </w:rPr>
      </w:pPr>
      <w:r>
        <w:rPr>
          <w:kern w:val="0"/>
          <w:sz w:val="24"/>
        </w:rPr>
        <w:t xml:space="preserve">本基金本报告期内无需预警说明。 </w:t>
      </w:r>
    </w:p>
    <w:p>
      <w:pPr>
        <w:spacing w:line="360" w:lineRule="auto"/>
        <w:ind w:firstLine="420" w:firstLineChars="200"/>
        <w:rPr>
          <w:rFonts w:asciiTheme="minorEastAsia" w:hAnsiTheme="minorEastAsia" w:eastAsiaTheme="minorEastAsia"/>
          <w:color w:val="000000"/>
          <w:szCs w:val="21"/>
        </w:rPr>
      </w:pPr>
    </w:p>
    <w:p>
      <w:pPr>
        <w:pStyle w:val="2"/>
        <w:keepNext/>
        <w:keepLines/>
        <w:widowControl w:val="0"/>
        <w:spacing w:before="312" w:beforeLines="100" w:after="312" w:afterLines="100" w:line="288" w:lineRule="auto"/>
        <w:jc w:val="center"/>
        <w:rPr>
          <w:b/>
          <w:bCs/>
          <w:szCs w:val="24"/>
          <w:lang w:val="en-US"/>
        </w:rPr>
      </w:pPr>
      <w:bookmarkStart w:id="75" w:name="_Toc67596598"/>
      <w:bookmarkStart w:id="76" w:name="_Toc361324864"/>
      <w:bookmarkStart w:id="77" w:name="_Toc225498263"/>
      <w:r>
        <w:rPr>
          <w:rFonts w:hint="eastAsia"/>
          <w:b/>
          <w:bCs/>
          <w:szCs w:val="24"/>
          <w:lang w:val="en-US"/>
        </w:rPr>
        <w:t>§</w:t>
      </w:r>
      <w:r>
        <w:rPr>
          <w:b/>
          <w:bCs/>
          <w:szCs w:val="24"/>
          <w:lang w:val="en-US"/>
        </w:rPr>
        <w:t xml:space="preserve">5  </w:t>
      </w:r>
      <w:r>
        <w:rPr>
          <w:rFonts w:hint="eastAsia"/>
          <w:b/>
          <w:bCs/>
          <w:szCs w:val="24"/>
          <w:lang w:val="en-US"/>
        </w:rPr>
        <w:t>托管人报告</w:t>
      </w:r>
      <w:bookmarkEnd w:id="75"/>
      <w:bookmarkEnd w:id="76"/>
      <w:bookmarkEnd w:id="77"/>
    </w:p>
    <w:p/>
    <w:p>
      <w:pPr>
        <w:pStyle w:val="3"/>
        <w:spacing w:before="29" w:after="0" w:line="288" w:lineRule="auto"/>
        <w:rPr>
          <w:rFonts w:ascii="Times New Roman" w:hAnsi="Times New Roman"/>
          <w:kern w:val="0"/>
          <w:szCs w:val="24"/>
        </w:rPr>
      </w:pPr>
      <w:bookmarkStart w:id="78" w:name="_Toc225498264"/>
      <w:bookmarkStart w:id="79" w:name="_Toc67596599"/>
      <w:bookmarkStart w:id="80" w:name="_Toc361324865"/>
      <w:r>
        <w:rPr>
          <w:rFonts w:ascii="Times New Roman" w:hAnsi="Times New Roman"/>
          <w:kern w:val="0"/>
          <w:szCs w:val="24"/>
        </w:rPr>
        <w:t xml:space="preserve">5.1 </w:t>
      </w:r>
      <w:r>
        <w:rPr>
          <w:rFonts w:hint="eastAsia" w:ascii="Times New Roman" w:hAnsi="Times New Roman"/>
          <w:kern w:val="0"/>
          <w:szCs w:val="24"/>
        </w:rPr>
        <w:t>报告期内本基金托管人遵规守信情况声明</w:t>
      </w:r>
      <w:bookmarkEnd w:id="78"/>
      <w:bookmarkEnd w:id="79"/>
      <w:bookmarkEnd w:id="80"/>
    </w:p>
    <w:p>
      <w:pPr>
        <w:spacing w:before="29" w:line="288" w:lineRule="auto"/>
        <w:ind w:firstLine="480" w:firstLineChars="200"/>
        <w:rPr>
          <w:color w:val="000000"/>
          <w:sz w:val="24"/>
        </w:rPr>
      </w:pPr>
      <w:r>
        <w:rPr>
          <w:color w:val="000000"/>
          <w:sz w:val="24"/>
        </w:rPr>
        <w:t>招商银行具备完善的公司治理结构、内部稽核监控制度和风险控制制度，我行在履行托管职责中，严格遵守有关法律法规、托管协议的规定，尽职尽责地履行托管义务并安全保管托管资产。</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81" w:name="_Toc225498265"/>
      <w:bookmarkStart w:id="82" w:name="_Toc361324866"/>
      <w:bookmarkStart w:id="83" w:name="_Toc67596600"/>
      <w:r>
        <w:rPr>
          <w:rFonts w:ascii="Times New Roman" w:hAnsi="Times New Roman"/>
          <w:kern w:val="0"/>
          <w:szCs w:val="24"/>
        </w:rPr>
        <w:t xml:space="preserve">5.2 </w:t>
      </w:r>
      <w:r>
        <w:rPr>
          <w:rFonts w:hint="eastAsia" w:ascii="Times New Roman" w:hAnsi="Times New Roman"/>
          <w:kern w:val="0"/>
          <w:szCs w:val="24"/>
        </w:rPr>
        <w:t>托管人对报告期内本基金投资运作遵规守信、净值计算、利润分配等情况的</w:t>
      </w:r>
      <w:bookmarkEnd w:id="81"/>
      <w:r>
        <w:rPr>
          <w:rFonts w:hint="eastAsia" w:ascii="Times New Roman" w:hAnsi="Times New Roman"/>
          <w:kern w:val="0"/>
          <w:szCs w:val="24"/>
        </w:rPr>
        <w:t>说明</w:t>
      </w:r>
      <w:bookmarkEnd w:id="82"/>
      <w:bookmarkEnd w:id="83"/>
    </w:p>
    <w:p>
      <w:pPr>
        <w:spacing w:before="29" w:line="288" w:lineRule="auto"/>
        <w:ind w:firstLine="480" w:firstLineChars="200"/>
        <w:rPr>
          <w:color w:val="000000"/>
          <w:sz w:val="24"/>
        </w:rPr>
      </w:pPr>
      <w:r>
        <w:rPr>
          <w:color w:val="000000"/>
          <w:sz w:val="24"/>
        </w:rPr>
        <w:t>招商银行根据法律法规、托管协议约定的投资监督条款，对托管产品的投资行为进行监督，并根据监管要求履行报告义务。</w:t>
      </w:r>
    </w:p>
    <w:p>
      <w:pPr>
        <w:spacing w:before="29" w:line="288" w:lineRule="auto"/>
        <w:ind w:firstLine="480" w:firstLineChars="200"/>
        <w:rPr>
          <w:color w:val="000000"/>
          <w:sz w:val="24"/>
        </w:rPr>
      </w:pPr>
      <w:r>
        <w:rPr>
          <w:color w:val="000000"/>
          <w:sz w:val="24"/>
        </w:rPr>
        <w:t>招商银行按照托管协议约定的统一记账方法和会计处理原则，独立地设置、登录和保管本产品的全套账册，进行会计核算和资产估值并与管理人建立对账机制。</w:t>
      </w:r>
    </w:p>
    <w:p>
      <w:pPr>
        <w:spacing w:before="29" w:line="288" w:lineRule="auto"/>
        <w:ind w:firstLine="480" w:firstLineChars="200"/>
        <w:rPr>
          <w:color w:val="000000"/>
          <w:sz w:val="24"/>
        </w:rPr>
      </w:pPr>
      <w:r>
        <w:rPr>
          <w:color w:val="000000"/>
          <w:sz w:val="24"/>
        </w:rPr>
        <w:t>本年度报告中利润分配情况真实、准确。</w:t>
      </w:r>
    </w:p>
    <w:p>
      <w:pPr>
        <w:spacing w:before="29" w:line="288" w:lineRule="auto"/>
        <w:ind w:firstLine="480" w:firstLineChars="200"/>
        <w:rPr>
          <w:color w:val="000000"/>
          <w:sz w:val="24"/>
        </w:rPr>
      </w:pPr>
    </w:p>
    <w:p>
      <w:pPr>
        <w:pStyle w:val="3"/>
        <w:spacing w:before="29" w:after="0" w:line="288" w:lineRule="auto"/>
        <w:rPr>
          <w:rFonts w:ascii="Times New Roman" w:hAnsi="Times New Roman"/>
          <w:kern w:val="0"/>
          <w:szCs w:val="24"/>
        </w:rPr>
      </w:pPr>
      <w:bookmarkStart w:id="84" w:name="_Toc361324867"/>
      <w:bookmarkStart w:id="85" w:name="_Toc67596601"/>
      <w:bookmarkStart w:id="86" w:name="_Toc225498266"/>
      <w:r>
        <w:rPr>
          <w:rFonts w:ascii="Times New Roman" w:hAnsi="Times New Roman"/>
          <w:kern w:val="0"/>
          <w:szCs w:val="24"/>
        </w:rPr>
        <w:t xml:space="preserve">5.3 </w:t>
      </w:r>
      <w:r>
        <w:rPr>
          <w:rFonts w:hint="eastAsia" w:ascii="Times New Roman" w:hAnsi="Times New Roman"/>
          <w:kern w:val="0"/>
          <w:szCs w:val="24"/>
        </w:rPr>
        <w:t>托管人对本年度报告中财务信息等内容的真实、准确和完整发表意见</w:t>
      </w:r>
      <w:bookmarkEnd w:id="84"/>
      <w:bookmarkEnd w:id="85"/>
      <w:bookmarkEnd w:id="86"/>
    </w:p>
    <w:p>
      <w:pPr>
        <w:spacing w:before="29" w:line="288" w:lineRule="auto"/>
        <w:ind w:firstLine="480" w:firstLineChars="200"/>
        <w:rPr>
          <w:color w:val="000000"/>
          <w:sz w:val="24"/>
        </w:rPr>
      </w:pPr>
      <w:r>
        <w:rPr>
          <w:color w:val="000000"/>
          <w:sz w:val="24"/>
        </w:rPr>
        <w:t>本年度报告中财务指标、净值表现、财务会计报告、投资组合报告内容真实、准确，不存在虚假记载、误导性陈述或者重大遗漏。</w:t>
      </w:r>
    </w:p>
    <w:p>
      <w:pPr>
        <w:spacing w:before="29" w:line="288" w:lineRule="auto"/>
        <w:ind w:firstLine="480" w:firstLineChars="200"/>
        <w:rPr>
          <w:color w:val="000000"/>
          <w:sz w:val="24"/>
        </w:rPr>
      </w:pPr>
    </w:p>
    <w:p>
      <w:pPr>
        <w:pStyle w:val="2"/>
        <w:keepNext/>
        <w:keepLines/>
        <w:widowControl w:val="0"/>
        <w:adjustRightInd w:val="0"/>
        <w:snapToGrid w:val="0"/>
        <w:spacing w:before="312" w:beforeLines="100" w:after="312" w:afterLines="100" w:line="360" w:lineRule="auto"/>
        <w:jc w:val="center"/>
        <w:rPr>
          <w:rFonts w:eastAsiaTheme="minorEastAsia"/>
          <w:b/>
          <w:bCs/>
          <w:szCs w:val="24"/>
          <w:lang w:val="en-US"/>
        </w:rPr>
      </w:pPr>
      <w:bookmarkStart w:id="87" w:name="_Toc247959464"/>
      <w:bookmarkStart w:id="88" w:name="_Toc245801814"/>
      <w:bookmarkStart w:id="89" w:name="_Toc352255986"/>
      <w:bookmarkStart w:id="90" w:name="_Toc352331232"/>
      <w:bookmarkStart w:id="91" w:name="_Toc67596602"/>
      <w:bookmarkStart w:id="92" w:name="_Toc374459272"/>
      <w:bookmarkStart w:id="93" w:name="_Toc352256054"/>
      <w:bookmarkStart w:id="94" w:name="_Toc362424010"/>
      <w:bookmarkStart w:id="95" w:name="_Toc361324872"/>
      <w:r>
        <w:rPr>
          <w:rFonts w:eastAsiaTheme="minorEastAsia"/>
          <w:b/>
          <w:bCs/>
          <w:szCs w:val="24"/>
          <w:lang w:val="en-US"/>
        </w:rPr>
        <w:t>§6  审计报告</w:t>
      </w:r>
      <w:bookmarkEnd w:id="87"/>
      <w:bookmarkEnd w:id="88"/>
      <w:bookmarkEnd w:id="89"/>
      <w:bookmarkEnd w:id="90"/>
      <w:bookmarkEnd w:id="91"/>
      <w:bookmarkEnd w:id="92"/>
      <w:bookmarkEnd w:id="93"/>
      <w:bookmarkEnd w:id="94"/>
    </w:p>
    <w:p>
      <w:pPr>
        <w:widowControl/>
        <w:spacing w:line="288" w:lineRule="auto"/>
        <w:jc w:val="right"/>
        <w:rPr>
          <w:rFonts w:eastAsiaTheme="minorEastAsia"/>
          <w:sz w:val="24"/>
        </w:rPr>
      </w:pPr>
      <w:r>
        <w:rPr>
          <w:rFonts w:eastAsiaTheme="minorEastAsia"/>
          <w:kern w:val="0"/>
          <w:sz w:val="24"/>
        </w:rPr>
        <w:t>普华永道中天审字(2021)第24541号</w:t>
      </w:r>
    </w:p>
    <w:p>
      <w:pPr>
        <w:widowControl/>
        <w:spacing w:line="288" w:lineRule="auto"/>
        <w:jc w:val="left"/>
        <w:rPr>
          <w:rFonts w:eastAsiaTheme="minorEastAsia"/>
          <w:kern w:val="0"/>
          <w:sz w:val="24"/>
        </w:rPr>
      </w:pPr>
      <w:r>
        <w:rPr>
          <w:rFonts w:eastAsiaTheme="minorEastAsia"/>
          <w:kern w:val="0"/>
          <w:sz w:val="24"/>
        </w:rPr>
        <w:t>交银施罗德新成长混合型证券投资基金全体基金份额持有人</w:t>
      </w:r>
      <w:r>
        <w:rPr>
          <w:rFonts w:hint="eastAsia" w:eastAsiaTheme="minorEastAsia"/>
          <w:sz w:val="24"/>
        </w:rPr>
        <w:t>：</w:t>
      </w:r>
    </w:p>
    <w:p>
      <w:pPr>
        <w:pStyle w:val="3"/>
        <w:spacing w:before="156" w:beforeLines="50" w:after="0" w:line="288" w:lineRule="auto"/>
        <w:rPr>
          <w:rFonts w:ascii="Times New Roman" w:hAnsi="Times New Roman" w:eastAsiaTheme="minorEastAsia"/>
          <w:kern w:val="0"/>
          <w:szCs w:val="24"/>
        </w:rPr>
      </w:pPr>
      <w:bookmarkStart w:id="96" w:name="_Toc352331235"/>
      <w:bookmarkStart w:id="97" w:name="_Toc374459275"/>
      <w:bookmarkStart w:id="98" w:name="_Toc352256057"/>
      <w:bookmarkStart w:id="99" w:name="_Toc67596603"/>
      <w:bookmarkStart w:id="100" w:name="_Toc352255989"/>
      <w:bookmarkStart w:id="101" w:name="_Toc362424013"/>
      <w:bookmarkStart w:id="102" w:name="_Toc286996149"/>
      <w:bookmarkStart w:id="103" w:name="_Toc352256055"/>
      <w:bookmarkStart w:id="104" w:name="_Toc352331233"/>
      <w:bookmarkStart w:id="105" w:name="_Toc286996147"/>
      <w:bookmarkStart w:id="106" w:name="_Toc374459273"/>
      <w:bookmarkStart w:id="107" w:name="_Toc352255987"/>
      <w:bookmarkStart w:id="108" w:name="_Toc362424011"/>
      <w:r>
        <w:rPr>
          <w:rFonts w:ascii="Times New Roman" w:hAnsi="Times New Roman" w:eastAsiaTheme="minorEastAsia"/>
          <w:kern w:val="0"/>
          <w:szCs w:val="24"/>
        </w:rPr>
        <w:t xml:space="preserve">6.1 </w:t>
      </w:r>
      <w:r>
        <w:rPr>
          <w:rFonts w:hint="eastAsia" w:ascii="Times New Roman" w:hAnsi="Times New Roman" w:eastAsiaTheme="minorEastAsia"/>
          <w:kern w:val="0"/>
          <w:szCs w:val="24"/>
        </w:rPr>
        <w:t>审计意见</w:t>
      </w:r>
      <w:bookmarkEnd w:id="96"/>
      <w:bookmarkEnd w:id="97"/>
      <w:bookmarkEnd w:id="98"/>
      <w:bookmarkEnd w:id="99"/>
      <w:bookmarkEnd w:id="100"/>
      <w:bookmarkEnd w:id="101"/>
      <w:bookmarkEnd w:id="102"/>
    </w:p>
    <w:p>
      <w:pPr>
        <w:widowControl/>
        <w:spacing w:line="288" w:lineRule="auto"/>
        <w:ind w:firstLine="420"/>
        <w:rPr>
          <w:rFonts w:eastAsiaTheme="minorEastAsia"/>
          <w:kern w:val="0"/>
          <w:sz w:val="24"/>
        </w:rPr>
      </w:pPr>
      <w:r>
        <w:rPr>
          <w:rFonts w:eastAsiaTheme="minorEastAsia"/>
          <w:kern w:val="0"/>
          <w:sz w:val="24"/>
        </w:rPr>
        <w:t>(一)我们审计的内容</w:t>
      </w:r>
    </w:p>
    <w:p>
      <w:pPr>
        <w:widowControl/>
        <w:spacing w:line="288" w:lineRule="auto"/>
        <w:ind w:firstLine="420"/>
        <w:rPr>
          <w:rFonts w:eastAsiaTheme="minorEastAsia"/>
          <w:kern w:val="0"/>
          <w:sz w:val="24"/>
        </w:rPr>
      </w:pPr>
      <w:r>
        <w:rPr>
          <w:rFonts w:eastAsiaTheme="minorEastAsia"/>
          <w:kern w:val="0"/>
          <w:sz w:val="24"/>
        </w:rPr>
        <w:t>我们审计了交银施罗德新成长混合型证券投资基金(以下简称“交银新成长混合基金”)的财务报表，包括2020年12月31日的资产负债表，2020年度的利润表和所有者权益(基金净值)变动表以及财务报表附注。</w:t>
      </w:r>
    </w:p>
    <w:p>
      <w:pPr>
        <w:widowControl/>
        <w:spacing w:line="288" w:lineRule="auto"/>
        <w:ind w:firstLine="420"/>
        <w:rPr>
          <w:rFonts w:eastAsiaTheme="minorEastAsia"/>
          <w:kern w:val="0"/>
          <w:sz w:val="24"/>
        </w:rPr>
      </w:pPr>
      <w:r>
        <w:rPr>
          <w:rFonts w:eastAsiaTheme="minorEastAsia"/>
          <w:kern w:val="0"/>
          <w:sz w:val="24"/>
        </w:rPr>
        <w:t>(二)我们的意见</w:t>
      </w:r>
    </w:p>
    <w:p>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交银新成长混合基金2020年12月31日的财务状况以及2020年度的经营成果和基金净值变动情况。</w:t>
      </w:r>
    </w:p>
    <w:p>
      <w:pPr>
        <w:widowControl/>
        <w:spacing w:line="288" w:lineRule="auto"/>
        <w:ind w:firstLine="420"/>
        <w:rPr>
          <w:rFonts w:eastAsiaTheme="minorEastAsia"/>
          <w:kern w:val="0"/>
          <w:sz w:val="24"/>
        </w:rPr>
      </w:pPr>
    </w:p>
    <w:p>
      <w:pPr>
        <w:pStyle w:val="3"/>
        <w:spacing w:before="156" w:beforeLines="50" w:after="0" w:line="288" w:lineRule="auto"/>
        <w:rPr>
          <w:rFonts w:ascii="Times New Roman" w:hAnsi="Times New Roman" w:eastAsiaTheme="minorEastAsia"/>
          <w:kern w:val="0"/>
          <w:szCs w:val="24"/>
        </w:rPr>
      </w:pPr>
      <w:bookmarkStart w:id="109" w:name="_Toc67596604"/>
      <w:r>
        <w:rPr>
          <w:rFonts w:ascii="Times New Roman" w:hAnsi="Times New Roman" w:eastAsiaTheme="minorEastAsia"/>
          <w:kern w:val="0"/>
          <w:szCs w:val="24"/>
        </w:rPr>
        <w:t xml:space="preserve">6.2 </w:t>
      </w:r>
      <w:r>
        <w:rPr>
          <w:rFonts w:hint="eastAsia" w:ascii="Times New Roman" w:hAnsi="Times New Roman" w:eastAsiaTheme="minorEastAsia"/>
          <w:kern w:val="0"/>
          <w:szCs w:val="24"/>
        </w:rPr>
        <w:t>形成审计意见的基础</w:t>
      </w:r>
      <w:bookmarkEnd w:id="109"/>
    </w:p>
    <w:p>
      <w:pPr>
        <w:spacing w:line="288" w:lineRule="auto"/>
        <w:ind w:firstLine="480" w:firstLineChars="200"/>
        <w:rPr>
          <w:rFonts w:eastAsiaTheme="minorEastAsia"/>
          <w:sz w:val="24"/>
        </w:rPr>
      </w:pPr>
      <w:r>
        <w:rPr>
          <w:rFonts w:eastAsiaTheme="minorEastAsia"/>
          <w:sz w:val="24"/>
        </w:rPr>
        <w:t>我们按照中国注册会计师审计准则的规定执行了审计工作。审计报告的“注册会计师对财务报表审计的责任”部分进一步阐述了我们在这些准则下的责任。我们相信，我们获取的审计证据是充分、适当的，为发表审计意见提供了基础。</w:t>
      </w:r>
    </w:p>
    <w:p>
      <w:pPr>
        <w:spacing w:line="288" w:lineRule="auto"/>
        <w:ind w:firstLine="480" w:firstLineChars="200"/>
        <w:rPr>
          <w:rFonts w:eastAsiaTheme="minorEastAsia"/>
          <w:sz w:val="24"/>
        </w:rPr>
      </w:pPr>
      <w:r>
        <w:rPr>
          <w:rFonts w:eastAsiaTheme="minorEastAsia"/>
          <w:sz w:val="24"/>
        </w:rPr>
        <w:t>按照中国注册会计师职业道德守则，我们独立于交银新成长混合基金，并履行了职业道德方面的其他责任。</w:t>
      </w:r>
    </w:p>
    <w:p>
      <w:pPr>
        <w:spacing w:line="288" w:lineRule="auto"/>
        <w:ind w:firstLine="480" w:firstLineChars="200"/>
        <w:rPr>
          <w:rFonts w:eastAsiaTheme="minorEastAsia"/>
          <w:sz w:val="24"/>
        </w:rPr>
      </w:pPr>
    </w:p>
    <w:p>
      <w:pPr>
        <w:pStyle w:val="3"/>
        <w:spacing w:before="156" w:beforeLines="50" w:after="0" w:line="288" w:lineRule="auto"/>
        <w:rPr>
          <w:rFonts w:ascii="Times New Roman" w:hAnsi="Times New Roman" w:eastAsiaTheme="minorEastAsia"/>
          <w:kern w:val="0"/>
          <w:szCs w:val="24"/>
        </w:rPr>
      </w:pPr>
      <w:bookmarkStart w:id="110" w:name="_Toc67596605"/>
      <w:r>
        <w:rPr>
          <w:rFonts w:ascii="Times New Roman" w:hAnsi="Times New Roman" w:eastAsiaTheme="minorEastAsia"/>
          <w:kern w:val="0"/>
          <w:szCs w:val="24"/>
        </w:rPr>
        <w:t xml:space="preserve">6.3 </w:t>
      </w:r>
      <w:bookmarkEnd w:id="103"/>
      <w:bookmarkEnd w:id="104"/>
      <w:bookmarkEnd w:id="105"/>
      <w:bookmarkEnd w:id="106"/>
      <w:bookmarkEnd w:id="107"/>
      <w:bookmarkEnd w:id="108"/>
      <w:r>
        <w:rPr>
          <w:rFonts w:hint="eastAsia" w:ascii="Times New Roman" w:hAnsi="Times New Roman" w:eastAsiaTheme="minorEastAsia"/>
          <w:kern w:val="0"/>
          <w:szCs w:val="24"/>
        </w:rPr>
        <w:t>管理层和治理层对财务报表的责任</w:t>
      </w:r>
      <w:bookmarkEnd w:id="110"/>
    </w:p>
    <w:p>
      <w:pPr>
        <w:spacing w:line="288" w:lineRule="auto"/>
        <w:ind w:firstLine="480" w:firstLineChars="200"/>
        <w:rPr>
          <w:rFonts w:eastAsiaTheme="minorEastAsia"/>
          <w:sz w:val="24"/>
        </w:rPr>
      </w:pPr>
      <w:r>
        <w:rPr>
          <w:rFonts w:eastAsiaTheme="minorEastAsia"/>
          <w:sz w:val="24"/>
        </w:rPr>
        <w:t>交银新成长混合基金的基金管理人交银施罗德基金管理有限公司(以下简称“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pPr>
        <w:spacing w:line="288" w:lineRule="auto"/>
        <w:ind w:firstLine="480" w:firstLineChars="200"/>
        <w:rPr>
          <w:rFonts w:eastAsiaTheme="minorEastAsia"/>
          <w:sz w:val="24"/>
        </w:rPr>
      </w:pPr>
      <w:r>
        <w:rPr>
          <w:rFonts w:eastAsiaTheme="minorEastAsia"/>
          <w:sz w:val="24"/>
        </w:rPr>
        <w:t>在编制财务报表时，基金管理人管理层负责评估交银新成长混合基金的持续经营能力，披露与持续经营相关的事项(如适用)，并运用持续经营假设，除非基金管理人管理层计划清算交银新成长混合基金、终止运营或别无其他现实的选择。</w:t>
      </w:r>
    </w:p>
    <w:p>
      <w:pPr>
        <w:spacing w:line="288" w:lineRule="auto"/>
        <w:ind w:firstLine="480" w:firstLineChars="200"/>
        <w:rPr>
          <w:rFonts w:eastAsiaTheme="minorEastAsia"/>
          <w:sz w:val="24"/>
        </w:rPr>
      </w:pPr>
      <w:r>
        <w:rPr>
          <w:rFonts w:eastAsiaTheme="minorEastAsia"/>
          <w:sz w:val="24"/>
        </w:rPr>
        <w:t>基金管理人治理层负责监督交银新成长混合基金的财务报告过程。</w:t>
      </w:r>
    </w:p>
    <w:p>
      <w:pPr>
        <w:spacing w:line="288" w:lineRule="auto"/>
        <w:ind w:firstLine="480" w:firstLineChars="200"/>
        <w:rPr>
          <w:rFonts w:eastAsiaTheme="minorEastAsia"/>
          <w:sz w:val="24"/>
        </w:rPr>
      </w:pPr>
    </w:p>
    <w:p>
      <w:pPr>
        <w:pStyle w:val="3"/>
        <w:spacing w:before="156" w:beforeLines="50" w:after="0" w:line="288" w:lineRule="auto"/>
        <w:rPr>
          <w:rFonts w:ascii="Times New Roman" w:hAnsi="Times New Roman" w:eastAsiaTheme="minorEastAsia"/>
          <w:kern w:val="0"/>
          <w:szCs w:val="24"/>
        </w:rPr>
      </w:pPr>
      <w:bookmarkStart w:id="111" w:name="_Toc362424012"/>
      <w:bookmarkStart w:id="112" w:name="_Toc352255988"/>
      <w:bookmarkStart w:id="113" w:name="_Toc352256056"/>
      <w:bookmarkStart w:id="114" w:name="_Toc374459274"/>
      <w:bookmarkStart w:id="115" w:name="_Toc352331234"/>
      <w:bookmarkStart w:id="116" w:name="_Toc286996148"/>
      <w:bookmarkStart w:id="117" w:name="_Toc67596606"/>
      <w:r>
        <w:rPr>
          <w:rFonts w:ascii="Times New Roman" w:hAnsi="Times New Roman" w:eastAsiaTheme="minorEastAsia"/>
          <w:kern w:val="0"/>
          <w:szCs w:val="24"/>
        </w:rPr>
        <w:t xml:space="preserve">6.4 </w:t>
      </w:r>
      <w:bookmarkEnd w:id="111"/>
      <w:bookmarkEnd w:id="112"/>
      <w:bookmarkEnd w:id="113"/>
      <w:bookmarkEnd w:id="114"/>
      <w:bookmarkEnd w:id="115"/>
      <w:bookmarkEnd w:id="116"/>
      <w:r>
        <w:rPr>
          <w:rFonts w:hint="eastAsia" w:ascii="Times New Roman" w:hAnsi="Times New Roman" w:eastAsiaTheme="minorEastAsia"/>
          <w:kern w:val="0"/>
          <w:szCs w:val="24"/>
        </w:rPr>
        <w:t>注册会计师对财务报表审计的责任</w:t>
      </w:r>
      <w:bookmarkEnd w:id="117"/>
    </w:p>
    <w:p>
      <w:pPr>
        <w:spacing w:line="288" w:lineRule="auto"/>
        <w:ind w:firstLine="480" w:firstLineChars="20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pPr>
        <w:spacing w:line="288" w:lineRule="auto"/>
        <w:ind w:firstLine="480" w:firstLineChars="200"/>
        <w:rPr>
          <w:rFonts w:eastAsiaTheme="minorEastAsia"/>
          <w:sz w:val="24"/>
        </w:rPr>
      </w:pPr>
      <w:r>
        <w:rPr>
          <w:rFonts w:eastAsiaTheme="minorEastAsia"/>
          <w:sz w:val="24"/>
        </w:rPr>
        <w:t>在按照审计准则执行审计工作的过程中，我们运用职业判断，并保持职业怀疑。同时，我们也执行以下工作：</w:t>
      </w:r>
    </w:p>
    <w:p>
      <w:pPr>
        <w:spacing w:line="288" w:lineRule="auto"/>
        <w:ind w:firstLine="480" w:firstLineChars="200"/>
        <w:rPr>
          <w:rFonts w:eastAsiaTheme="minorEastAsia"/>
          <w:sz w:val="24"/>
        </w:rPr>
      </w:pPr>
      <w:r>
        <w:rPr>
          <w:rFonts w:eastAsiaTheme="minorEastAsia"/>
          <w:sz w:val="24"/>
        </w:rPr>
        <w:t>(一)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pPr>
        <w:spacing w:line="288" w:lineRule="auto"/>
        <w:ind w:firstLine="480" w:firstLineChars="200"/>
        <w:rPr>
          <w:rFonts w:eastAsiaTheme="minorEastAsia"/>
          <w:sz w:val="24"/>
        </w:rPr>
      </w:pPr>
      <w:r>
        <w:rPr>
          <w:rFonts w:eastAsiaTheme="minorEastAsia"/>
          <w:sz w:val="24"/>
        </w:rPr>
        <w:t>(二) 了解与审计相关的内部控制，以设计恰当的审计程序，但目的并非对内部控制的有效性发表意见。</w:t>
      </w:r>
    </w:p>
    <w:p>
      <w:pPr>
        <w:spacing w:line="288" w:lineRule="auto"/>
        <w:ind w:firstLine="480" w:firstLineChars="200"/>
        <w:rPr>
          <w:rFonts w:eastAsiaTheme="minorEastAsia"/>
          <w:sz w:val="24"/>
        </w:rPr>
      </w:pPr>
      <w:r>
        <w:rPr>
          <w:rFonts w:eastAsiaTheme="minorEastAsia"/>
          <w:sz w:val="24"/>
        </w:rPr>
        <w:t>(三) 评价基金管理人管理层选用会计政策的恰当性和作出会计估计及相关披露的合理性。</w:t>
      </w:r>
    </w:p>
    <w:p>
      <w:pPr>
        <w:spacing w:line="288" w:lineRule="auto"/>
        <w:ind w:firstLine="480" w:firstLineChars="200"/>
        <w:rPr>
          <w:rFonts w:eastAsiaTheme="minorEastAsia"/>
          <w:sz w:val="24"/>
        </w:rPr>
      </w:pPr>
      <w:r>
        <w:rPr>
          <w:rFonts w:eastAsiaTheme="minorEastAsia"/>
          <w:sz w:val="24"/>
        </w:rPr>
        <w:t>(四) 对基金管理人管理层使用持续经营假设的恰当性得出结论。同时，根据获取的审计证据，就可能导致对交银新成长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新成长混合基金不能持续经营。</w:t>
      </w:r>
    </w:p>
    <w:p>
      <w:pPr>
        <w:spacing w:line="288" w:lineRule="auto"/>
        <w:ind w:firstLine="480" w:firstLineChars="200"/>
        <w:rPr>
          <w:rFonts w:eastAsiaTheme="minorEastAsia"/>
          <w:sz w:val="24"/>
        </w:rPr>
      </w:pPr>
      <w:r>
        <w:rPr>
          <w:rFonts w:eastAsiaTheme="minorEastAsia"/>
          <w:sz w:val="24"/>
        </w:rPr>
        <w:t>(五) 评价财务报表的总体列报(包括披露)、结构和内容，并评价财务报表是否公允反映相关交易和事项。</w:t>
      </w:r>
    </w:p>
    <w:p>
      <w:pPr>
        <w:spacing w:line="288" w:lineRule="auto"/>
        <w:ind w:firstLine="480" w:firstLineChars="20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3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29"/>
        <w:gridCol w:w="26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629" w:type="dxa"/>
          </w:tcPr>
          <w:p>
            <w:pPr>
              <w:spacing w:line="360" w:lineRule="auto"/>
              <w:jc w:val="left"/>
              <w:rPr>
                <w:sz w:val="24"/>
              </w:rPr>
            </w:pPr>
            <w:r>
              <w:rPr>
                <w:sz w:val="24"/>
              </w:rPr>
              <w:t>普华永道中天会计师事务所（特殊普通合伙）</w:t>
            </w:r>
          </w:p>
        </w:tc>
        <w:tc>
          <w:tcPr>
            <w:tcW w:w="2657" w:type="dxa"/>
          </w:tcPr>
          <w:p>
            <w:pPr>
              <w:spacing w:line="360" w:lineRule="auto"/>
              <w:jc w:val="right"/>
              <w:rPr>
                <w:sz w:val="24"/>
              </w:rPr>
            </w:pPr>
            <w:r>
              <w:rPr>
                <w:rFonts w:hint="eastAsia"/>
                <w:sz w:val="24"/>
              </w:rPr>
              <w:t>中国注册会计师</w:t>
            </w:r>
          </w:p>
        </w:tc>
      </w:tr>
    </w:tbl>
    <w:p>
      <w:pPr>
        <w:spacing w:line="288" w:lineRule="auto"/>
        <w:jc w:val="right"/>
        <w:rPr>
          <w:rFonts w:eastAsiaTheme="minorEastAsia"/>
          <w:kern w:val="0"/>
          <w:sz w:val="24"/>
        </w:rPr>
      </w:pPr>
      <w:r>
        <w:rPr>
          <w:rFonts w:eastAsiaTheme="minorEastAsia"/>
          <w:kern w:val="0"/>
          <w:sz w:val="24"/>
        </w:rPr>
        <w:t xml:space="preserve">  童咏静  金诗涛</w:t>
      </w:r>
    </w:p>
    <w:p>
      <w:pPr>
        <w:widowControl/>
        <w:spacing w:line="288" w:lineRule="auto"/>
        <w:jc w:val="right"/>
        <w:rPr>
          <w:rFonts w:eastAsiaTheme="minorEastAsia"/>
          <w:sz w:val="24"/>
        </w:rPr>
      </w:pPr>
      <w:r>
        <w:rPr>
          <w:rFonts w:eastAsiaTheme="minorEastAsia"/>
          <w:kern w:val="0"/>
          <w:sz w:val="24"/>
        </w:rPr>
        <w:t>上海市湖滨路202号普华永道中心11楼</w:t>
      </w:r>
    </w:p>
    <w:p>
      <w:pPr>
        <w:widowControl/>
        <w:spacing w:line="288" w:lineRule="auto"/>
        <w:jc w:val="right"/>
        <w:rPr>
          <w:rFonts w:eastAsiaTheme="minorEastAsia"/>
          <w:sz w:val="24"/>
        </w:rPr>
      </w:pPr>
      <w:r>
        <w:rPr>
          <w:rFonts w:eastAsiaTheme="minorEastAsia"/>
          <w:kern w:val="0"/>
          <w:sz w:val="24"/>
        </w:rPr>
        <w:t>2021年3月26日</w:t>
      </w:r>
    </w:p>
    <w:p>
      <w:pPr>
        <w:widowControl/>
        <w:spacing w:line="288" w:lineRule="auto"/>
        <w:jc w:val="right"/>
        <w:rPr>
          <w:rFonts w:eastAsiaTheme="minorEastAsia"/>
          <w:sz w:val="24"/>
        </w:rPr>
      </w:pPr>
    </w:p>
    <w:p>
      <w:pPr>
        <w:pStyle w:val="2"/>
        <w:keepNext/>
        <w:keepLines/>
        <w:widowControl w:val="0"/>
        <w:spacing w:before="312" w:beforeLines="100" w:after="312" w:afterLines="100" w:line="288" w:lineRule="auto"/>
        <w:jc w:val="center"/>
        <w:rPr>
          <w:b/>
          <w:bCs/>
          <w:szCs w:val="24"/>
          <w:lang w:val="en-US"/>
        </w:rPr>
      </w:pPr>
      <w:bookmarkStart w:id="118" w:name="_Toc67596607"/>
      <w:r>
        <w:rPr>
          <w:rFonts w:hint="eastAsia"/>
          <w:b/>
          <w:bCs/>
          <w:szCs w:val="24"/>
          <w:lang w:val="en-US"/>
        </w:rPr>
        <w:t>§</w:t>
      </w:r>
      <w:r>
        <w:rPr>
          <w:b/>
          <w:bCs/>
          <w:szCs w:val="24"/>
          <w:lang w:val="en-US"/>
        </w:rPr>
        <w:t>7</w:t>
      </w:r>
      <w:r>
        <w:rPr>
          <w:rFonts w:hint="eastAsia"/>
          <w:b/>
          <w:bCs/>
          <w:szCs w:val="24"/>
          <w:lang w:val="en-US"/>
        </w:rPr>
        <w:t>年度财务报表</w:t>
      </w:r>
      <w:bookmarkEnd w:id="95"/>
      <w:bookmarkEnd w:id="118"/>
    </w:p>
    <w:p/>
    <w:p>
      <w:pPr>
        <w:pStyle w:val="3"/>
        <w:spacing w:before="29" w:after="0" w:line="288" w:lineRule="auto"/>
        <w:rPr>
          <w:rFonts w:ascii="Times New Roman" w:hAnsi="Times New Roman"/>
          <w:kern w:val="0"/>
          <w:szCs w:val="24"/>
        </w:rPr>
      </w:pPr>
      <w:bookmarkStart w:id="119" w:name="_Toc361324873"/>
      <w:bookmarkStart w:id="120" w:name="_Toc225498268"/>
      <w:bookmarkStart w:id="121" w:name="_Toc67596608"/>
      <w:r>
        <w:rPr>
          <w:rFonts w:ascii="Times New Roman" w:hAnsi="Times New Roman"/>
          <w:kern w:val="0"/>
          <w:szCs w:val="24"/>
        </w:rPr>
        <w:t xml:space="preserve">7.1 </w:t>
      </w:r>
      <w:r>
        <w:rPr>
          <w:rFonts w:hint="eastAsia" w:ascii="Times New Roman" w:hAnsi="Times New Roman"/>
          <w:kern w:val="0"/>
          <w:szCs w:val="24"/>
        </w:rPr>
        <w:t>资产负债表</w:t>
      </w:r>
      <w:bookmarkEnd w:id="119"/>
      <w:bookmarkEnd w:id="120"/>
      <w:bookmarkEnd w:id="121"/>
    </w:p>
    <w:p>
      <w:pPr>
        <w:spacing w:before="29" w:line="288" w:lineRule="auto"/>
        <w:rPr>
          <w:color w:val="000000"/>
          <w:sz w:val="24"/>
        </w:rPr>
      </w:pPr>
      <w:r>
        <w:rPr>
          <w:rFonts w:hint="eastAsia"/>
          <w:color w:val="000000"/>
          <w:sz w:val="24"/>
        </w:rPr>
        <w:t>会计主体：</w:t>
      </w:r>
      <w:r>
        <w:rPr>
          <w:color w:val="000000"/>
          <w:sz w:val="24"/>
        </w:rPr>
        <w:t>交银施罗德新成长混合型证券投资基金</w:t>
      </w:r>
    </w:p>
    <w:p>
      <w:pPr>
        <w:spacing w:before="29" w:line="288" w:lineRule="auto"/>
        <w:rPr>
          <w:color w:val="000000"/>
          <w:sz w:val="24"/>
        </w:rPr>
      </w:pPr>
      <w:r>
        <w:rPr>
          <w:rFonts w:hint="eastAsia"/>
          <w:color w:val="000000"/>
          <w:sz w:val="24"/>
        </w:rPr>
        <w:t>报告截止日：</w:t>
      </w:r>
      <w:r>
        <w:rPr>
          <w:color w:val="000000"/>
          <w:sz w:val="24"/>
        </w:rPr>
        <w:t>2020年12月31日</w:t>
      </w:r>
    </w:p>
    <w:p>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Style w:val="31"/>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80"/>
        <w:gridCol w:w="1080"/>
        <w:gridCol w:w="2520"/>
        <w:gridCol w:w="25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pStyle w:val="28"/>
              <w:spacing w:before="29" w:beforeAutospacing="0" w:line="288" w:lineRule="auto"/>
              <w:jc w:val="center"/>
              <w:rPr>
                <w:rFonts w:ascii="Times New Roman" w:hAnsi="Times New Roman"/>
                <w:b/>
                <w:color w:val="000000"/>
              </w:rPr>
            </w:pPr>
            <w:r>
              <w:rPr>
                <w:rFonts w:hint="eastAsia" w:ascii="Times New Roman" w:hAnsi="Times New Roman"/>
                <w:b/>
                <w:color w:val="000000"/>
              </w:rPr>
              <w:t>资产</w:t>
            </w:r>
          </w:p>
        </w:tc>
        <w:tc>
          <w:tcPr>
            <w:tcW w:w="1080" w:type="dxa"/>
            <w:vAlign w:val="center"/>
          </w:tcPr>
          <w:p>
            <w:pPr>
              <w:pStyle w:val="28"/>
              <w:spacing w:before="29" w:beforeAutospacing="0" w:line="288" w:lineRule="auto"/>
              <w:jc w:val="center"/>
              <w:rPr>
                <w:rFonts w:ascii="Times New Roman" w:hAnsi="Times New Roman"/>
                <w:b/>
                <w:color w:val="000000"/>
              </w:rPr>
            </w:pPr>
            <w:r>
              <w:rPr>
                <w:rFonts w:hint="eastAsia" w:ascii="Times New Roman" w:hAnsi="Times New Roman"/>
                <w:b/>
                <w:color w:val="000000"/>
              </w:rPr>
              <w:t>附注号</w:t>
            </w:r>
          </w:p>
        </w:tc>
        <w:tc>
          <w:tcPr>
            <w:tcW w:w="2520"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本期末</w:t>
            </w:r>
          </w:p>
          <w:p>
            <w:pPr>
              <w:pStyle w:val="28"/>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2020年12月31日</w:t>
            </w:r>
          </w:p>
        </w:tc>
        <w:tc>
          <w:tcPr>
            <w:tcW w:w="2520"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上年度末</w:t>
            </w:r>
          </w:p>
          <w:p>
            <w:pPr>
              <w:pStyle w:val="28"/>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资产：</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b/>
                <w:color w:val="000000"/>
                <w:sz w:val="24"/>
              </w:rPr>
            </w:pPr>
          </w:p>
        </w:tc>
        <w:tc>
          <w:tcPr>
            <w:tcW w:w="252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银行存款</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w:t>
            </w:r>
          </w:p>
        </w:tc>
        <w:tc>
          <w:tcPr>
            <w:tcW w:w="2520" w:type="dxa"/>
            <w:vAlign w:val="center"/>
          </w:tcPr>
          <w:p>
            <w:pPr>
              <w:spacing w:before="29" w:line="288" w:lineRule="auto"/>
              <w:jc w:val="right"/>
              <w:rPr>
                <w:color w:val="000000"/>
                <w:sz w:val="24"/>
              </w:rPr>
            </w:pPr>
            <w:r>
              <w:rPr>
                <w:color w:val="000000"/>
                <w:sz w:val="24"/>
              </w:rPr>
              <w:t>642,157,002.53</w:t>
            </w:r>
          </w:p>
        </w:tc>
        <w:tc>
          <w:tcPr>
            <w:tcW w:w="2520" w:type="dxa"/>
            <w:vAlign w:val="center"/>
          </w:tcPr>
          <w:p>
            <w:pPr>
              <w:spacing w:before="29" w:line="288" w:lineRule="auto"/>
              <w:jc w:val="right"/>
              <w:rPr>
                <w:color w:val="000000"/>
                <w:sz w:val="24"/>
              </w:rPr>
            </w:pPr>
            <w:r>
              <w:rPr>
                <w:color w:val="000000"/>
                <w:sz w:val="24"/>
              </w:rPr>
              <w:t>345,833,039.81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结算备付金</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9,198,262.65</w:t>
            </w:r>
          </w:p>
        </w:tc>
        <w:tc>
          <w:tcPr>
            <w:tcW w:w="2520" w:type="dxa"/>
            <w:vAlign w:val="center"/>
          </w:tcPr>
          <w:p>
            <w:pPr>
              <w:spacing w:before="29" w:line="288" w:lineRule="auto"/>
              <w:jc w:val="right"/>
              <w:rPr>
                <w:color w:val="000000"/>
                <w:sz w:val="24"/>
              </w:rPr>
            </w:pPr>
            <w:r>
              <w:rPr>
                <w:color w:val="000000"/>
                <w:sz w:val="24"/>
              </w:rPr>
              <w:t>22,091,505.56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存出保证金</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2,021,332.53</w:t>
            </w:r>
          </w:p>
        </w:tc>
        <w:tc>
          <w:tcPr>
            <w:tcW w:w="2520" w:type="dxa"/>
            <w:vAlign w:val="center"/>
          </w:tcPr>
          <w:p>
            <w:pPr>
              <w:spacing w:before="29" w:line="288" w:lineRule="auto"/>
              <w:jc w:val="right"/>
              <w:rPr>
                <w:color w:val="000000"/>
                <w:sz w:val="24"/>
              </w:rPr>
            </w:pPr>
            <w:r>
              <w:rPr>
                <w:color w:val="000000"/>
                <w:sz w:val="24"/>
              </w:rPr>
              <w:t>1,640,970.94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交易性金融资产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7.4.7.2</w:t>
            </w:r>
          </w:p>
        </w:tc>
        <w:tc>
          <w:tcPr>
            <w:tcW w:w="2520" w:type="dxa"/>
            <w:vAlign w:val="center"/>
          </w:tcPr>
          <w:p>
            <w:pPr>
              <w:spacing w:before="29" w:line="288" w:lineRule="auto"/>
              <w:jc w:val="right"/>
              <w:rPr>
                <w:color w:val="000000"/>
                <w:sz w:val="24"/>
              </w:rPr>
            </w:pPr>
            <w:r>
              <w:rPr>
                <w:color w:val="000000"/>
                <w:sz w:val="24"/>
              </w:rPr>
              <w:t>11,123,859,561.18</w:t>
            </w:r>
          </w:p>
        </w:tc>
        <w:tc>
          <w:tcPr>
            <w:tcW w:w="2520" w:type="dxa"/>
            <w:vAlign w:val="center"/>
          </w:tcPr>
          <w:p>
            <w:pPr>
              <w:spacing w:before="29" w:line="288" w:lineRule="auto"/>
              <w:jc w:val="right"/>
              <w:rPr>
                <w:color w:val="000000"/>
                <w:sz w:val="24"/>
              </w:rPr>
            </w:pPr>
            <w:r>
              <w:rPr>
                <w:color w:val="000000"/>
                <w:sz w:val="24"/>
              </w:rPr>
              <w:t>6,033,684,695.70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其中：股票投资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10,564,264,561.18</w:t>
            </w:r>
          </w:p>
        </w:tc>
        <w:tc>
          <w:tcPr>
            <w:tcW w:w="2520" w:type="dxa"/>
            <w:vAlign w:val="center"/>
          </w:tcPr>
          <w:p>
            <w:pPr>
              <w:spacing w:before="29" w:line="288" w:lineRule="auto"/>
              <w:jc w:val="right"/>
              <w:rPr>
                <w:color w:val="000000"/>
                <w:sz w:val="24"/>
              </w:rPr>
            </w:pPr>
            <w:r>
              <w:rPr>
                <w:color w:val="000000"/>
                <w:sz w:val="24"/>
              </w:rPr>
              <w:t>5,743,244,695.70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基金投资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债券投资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559,595,000.00</w:t>
            </w:r>
          </w:p>
        </w:tc>
        <w:tc>
          <w:tcPr>
            <w:tcW w:w="2520" w:type="dxa"/>
            <w:vAlign w:val="center"/>
          </w:tcPr>
          <w:p>
            <w:pPr>
              <w:spacing w:before="29" w:line="288" w:lineRule="auto"/>
              <w:jc w:val="right"/>
              <w:rPr>
                <w:color w:val="000000"/>
                <w:sz w:val="24"/>
              </w:rPr>
            </w:pPr>
            <w:r>
              <w:rPr>
                <w:color w:val="000000"/>
                <w:sz w:val="24"/>
              </w:rPr>
              <w:t>290,440,000.00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资产支持证券投资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贵金属投资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rFonts w:hint="eastAsia"/>
                <w:color w:val="000000"/>
                <w:sz w:val="24"/>
              </w:rPr>
              <w:t>-</w:t>
            </w:r>
          </w:p>
        </w:tc>
        <w:tc>
          <w:tcPr>
            <w:tcW w:w="2520" w:type="dxa"/>
            <w:vAlign w:val="center"/>
          </w:tcPr>
          <w:p>
            <w:pPr>
              <w:spacing w:before="29" w:line="288" w:lineRule="auto"/>
              <w:jc w:val="right"/>
              <w:rPr>
                <w:color w:val="000000"/>
                <w:sz w:val="24"/>
              </w:rPr>
            </w:pP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衍生金融资产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买入返售金融资产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7.4.7.4</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485,001,567.50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应收证券清算款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74,159,088.59</w:t>
            </w:r>
          </w:p>
        </w:tc>
        <w:tc>
          <w:tcPr>
            <w:tcW w:w="2520" w:type="dxa"/>
            <w:vAlign w:val="center"/>
          </w:tcPr>
          <w:p>
            <w:pPr>
              <w:spacing w:before="29" w:line="288" w:lineRule="auto"/>
              <w:jc w:val="right"/>
              <w:rPr>
                <w:color w:val="000000"/>
                <w:sz w:val="24"/>
              </w:rPr>
            </w:pPr>
            <w:r>
              <w:rPr>
                <w:color w:val="000000"/>
                <w:sz w:val="24"/>
              </w:rPr>
              <w:t>24,060,981.58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应收利息</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7.4.7.5</w:t>
            </w:r>
          </w:p>
        </w:tc>
        <w:tc>
          <w:tcPr>
            <w:tcW w:w="2520" w:type="dxa"/>
            <w:vAlign w:val="center"/>
          </w:tcPr>
          <w:p>
            <w:pPr>
              <w:spacing w:before="29" w:line="288" w:lineRule="auto"/>
              <w:jc w:val="right"/>
              <w:rPr>
                <w:color w:val="000000"/>
                <w:sz w:val="24"/>
              </w:rPr>
            </w:pPr>
            <w:r>
              <w:rPr>
                <w:color w:val="000000"/>
                <w:sz w:val="24"/>
              </w:rPr>
              <w:t>5,182,479.64</w:t>
            </w:r>
          </w:p>
        </w:tc>
        <w:tc>
          <w:tcPr>
            <w:tcW w:w="2520" w:type="dxa"/>
            <w:vAlign w:val="center"/>
          </w:tcPr>
          <w:p>
            <w:pPr>
              <w:spacing w:before="29" w:line="288" w:lineRule="auto"/>
              <w:jc w:val="right"/>
              <w:rPr>
                <w:color w:val="000000"/>
                <w:sz w:val="24"/>
              </w:rPr>
            </w:pPr>
            <w:r>
              <w:rPr>
                <w:color w:val="000000"/>
                <w:sz w:val="24"/>
              </w:rPr>
              <w:t>4,182,865.56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应收股利</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应收申购款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36,055,114.33</w:t>
            </w:r>
          </w:p>
        </w:tc>
        <w:tc>
          <w:tcPr>
            <w:tcW w:w="2520" w:type="dxa"/>
            <w:vAlign w:val="center"/>
          </w:tcPr>
          <w:p>
            <w:pPr>
              <w:spacing w:before="29" w:line="288" w:lineRule="auto"/>
              <w:jc w:val="right"/>
              <w:rPr>
                <w:color w:val="000000"/>
                <w:sz w:val="24"/>
              </w:rPr>
            </w:pPr>
            <w:r>
              <w:rPr>
                <w:color w:val="000000"/>
                <w:sz w:val="24"/>
              </w:rPr>
              <w:t>41,131,040.21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递延所得税资产</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其他资产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7.4.7.6</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资产总计</w:t>
            </w:r>
          </w:p>
        </w:tc>
        <w:tc>
          <w:tcPr>
            <w:tcW w:w="1080" w:type="dxa"/>
            <w:vAlign w:val="center"/>
          </w:tcPr>
          <w:p>
            <w:pPr>
              <w:widowControl/>
              <w:autoSpaceDE w:val="0"/>
              <w:autoSpaceDN w:val="0"/>
              <w:ind w:right="-15"/>
              <w:jc w:val="center"/>
              <w:textAlignment w:val="bottom"/>
              <w:rPr>
                <w:b/>
                <w:color w:val="000000"/>
                <w:sz w:val="24"/>
              </w:rPr>
            </w:pPr>
          </w:p>
        </w:tc>
        <w:tc>
          <w:tcPr>
            <w:tcW w:w="2520" w:type="dxa"/>
            <w:vAlign w:val="center"/>
          </w:tcPr>
          <w:p>
            <w:pPr>
              <w:spacing w:before="29" w:line="288" w:lineRule="auto"/>
              <w:jc w:val="right"/>
              <w:rPr>
                <w:b/>
                <w:color w:val="000000"/>
                <w:sz w:val="24"/>
              </w:rPr>
            </w:pPr>
            <w:r>
              <w:rPr>
                <w:b/>
                <w:color w:val="000000"/>
                <w:sz w:val="24"/>
              </w:rPr>
              <w:t>11,892,632,841.45</w:t>
            </w:r>
          </w:p>
        </w:tc>
        <w:tc>
          <w:tcPr>
            <w:tcW w:w="2520" w:type="dxa"/>
            <w:vAlign w:val="center"/>
          </w:tcPr>
          <w:p>
            <w:pPr>
              <w:spacing w:line="360" w:lineRule="auto"/>
              <w:jc w:val="right"/>
              <w:rPr>
                <w:b/>
                <w:color w:val="000000"/>
                <w:sz w:val="24"/>
              </w:rPr>
            </w:pPr>
            <w:r>
              <w:rPr>
                <w:b/>
                <w:color w:val="000000"/>
                <w:sz w:val="24"/>
              </w:rPr>
              <w:t>6,957,626,666.86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pStyle w:val="28"/>
              <w:spacing w:before="29" w:beforeAutospacing="0" w:line="288" w:lineRule="auto"/>
              <w:jc w:val="center"/>
              <w:rPr>
                <w:rFonts w:ascii="Times New Roman" w:hAnsi="Times New Roman"/>
                <w:b/>
                <w:color w:val="000000"/>
              </w:rPr>
            </w:pPr>
            <w:r>
              <w:rPr>
                <w:rFonts w:hint="eastAsia" w:ascii="Times New Roman" w:hAnsi="Times New Roman"/>
                <w:b/>
                <w:color w:val="000000"/>
              </w:rPr>
              <w:t>负债和所有者权益</w:t>
            </w:r>
          </w:p>
        </w:tc>
        <w:tc>
          <w:tcPr>
            <w:tcW w:w="1080" w:type="dxa"/>
            <w:vAlign w:val="center"/>
          </w:tcPr>
          <w:p>
            <w:pPr>
              <w:pStyle w:val="28"/>
              <w:spacing w:before="29" w:beforeAutospacing="0" w:line="288" w:lineRule="auto"/>
              <w:jc w:val="center"/>
              <w:rPr>
                <w:rFonts w:ascii="Times New Roman" w:hAnsi="Times New Roman"/>
                <w:b/>
                <w:color w:val="000000"/>
              </w:rPr>
            </w:pPr>
            <w:r>
              <w:rPr>
                <w:rFonts w:hint="eastAsia" w:ascii="Times New Roman" w:hAnsi="Times New Roman"/>
                <w:b/>
                <w:color w:val="000000"/>
              </w:rPr>
              <w:t>附注号</w:t>
            </w:r>
          </w:p>
        </w:tc>
        <w:tc>
          <w:tcPr>
            <w:tcW w:w="2520"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本期末</w:t>
            </w:r>
          </w:p>
          <w:p>
            <w:pPr>
              <w:pStyle w:val="28"/>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2020年12月31日</w:t>
            </w:r>
          </w:p>
        </w:tc>
        <w:tc>
          <w:tcPr>
            <w:tcW w:w="2520"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上年度末</w:t>
            </w:r>
          </w:p>
          <w:p>
            <w:pPr>
              <w:pStyle w:val="28"/>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负债：</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b/>
                <w:color w:val="000000"/>
                <w:sz w:val="24"/>
              </w:rPr>
            </w:pPr>
          </w:p>
        </w:tc>
        <w:tc>
          <w:tcPr>
            <w:tcW w:w="252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短期借款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交易性金融负债</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衍生金融负债</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卖出回购金融资产款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应付证券清算款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71,195,016.63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应付赎回款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69,490,568.38</w:t>
            </w:r>
          </w:p>
        </w:tc>
        <w:tc>
          <w:tcPr>
            <w:tcW w:w="2520" w:type="dxa"/>
            <w:vAlign w:val="center"/>
          </w:tcPr>
          <w:p>
            <w:pPr>
              <w:spacing w:before="29" w:line="288" w:lineRule="auto"/>
              <w:jc w:val="right"/>
              <w:rPr>
                <w:color w:val="000000"/>
                <w:sz w:val="24"/>
              </w:rPr>
            </w:pPr>
            <w:r>
              <w:rPr>
                <w:color w:val="000000"/>
                <w:sz w:val="24"/>
              </w:rPr>
              <w:t>61,187,051.44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应付管理人报酬</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14,195,492.64</w:t>
            </w:r>
          </w:p>
        </w:tc>
        <w:tc>
          <w:tcPr>
            <w:tcW w:w="2520" w:type="dxa"/>
            <w:vAlign w:val="center"/>
          </w:tcPr>
          <w:p>
            <w:pPr>
              <w:spacing w:before="29" w:line="288" w:lineRule="auto"/>
              <w:jc w:val="right"/>
              <w:rPr>
                <w:color w:val="000000"/>
                <w:sz w:val="24"/>
              </w:rPr>
            </w:pPr>
            <w:r>
              <w:rPr>
                <w:color w:val="000000"/>
                <w:sz w:val="24"/>
              </w:rPr>
              <w:t>8,257,695.47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应付托管费</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2,365,915.45</w:t>
            </w:r>
          </w:p>
        </w:tc>
        <w:tc>
          <w:tcPr>
            <w:tcW w:w="2520" w:type="dxa"/>
            <w:vAlign w:val="center"/>
          </w:tcPr>
          <w:p>
            <w:pPr>
              <w:spacing w:before="29" w:line="288" w:lineRule="auto"/>
              <w:jc w:val="right"/>
              <w:rPr>
                <w:color w:val="000000"/>
                <w:sz w:val="24"/>
              </w:rPr>
            </w:pPr>
            <w:r>
              <w:rPr>
                <w:color w:val="000000"/>
                <w:sz w:val="24"/>
              </w:rPr>
              <w:t>1,376,282.57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应付销售服务费</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应付交易费用</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7.4.7.7</w:t>
            </w:r>
          </w:p>
        </w:tc>
        <w:tc>
          <w:tcPr>
            <w:tcW w:w="2520" w:type="dxa"/>
            <w:vAlign w:val="center"/>
          </w:tcPr>
          <w:p>
            <w:pPr>
              <w:spacing w:before="29" w:line="288" w:lineRule="auto"/>
              <w:jc w:val="right"/>
              <w:rPr>
                <w:color w:val="000000"/>
                <w:sz w:val="24"/>
              </w:rPr>
            </w:pPr>
            <w:r>
              <w:rPr>
                <w:color w:val="000000"/>
                <w:sz w:val="24"/>
              </w:rPr>
              <w:t>6,783,363.54</w:t>
            </w:r>
          </w:p>
        </w:tc>
        <w:tc>
          <w:tcPr>
            <w:tcW w:w="2520" w:type="dxa"/>
            <w:vAlign w:val="center"/>
          </w:tcPr>
          <w:p>
            <w:pPr>
              <w:spacing w:before="29" w:line="288" w:lineRule="auto"/>
              <w:jc w:val="right"/>
              <w:rPr>
                <w:color w:val="000000"/>
                <w:sz w:val="24"/>
              </w:rPr>
            </w:pPr>
            <w:r>
              <w:rPr>
                <w:color w:val="000000"/>
                <w:sz w:val="24"/>
              </w:rPr>
              <w:t>5,938,415.58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应交税费</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5.17</w:t>
            </w:r>
          </w:p>
        </w:tc>
        <w:tc>
          <w:tcPr>
            <w:tcW w:w="2520" w:type="dxa"/>
            <w:vAlign w:val="center"/>
          </w:tcPr>
          <w:p>
            <w:pPr>
              <w:spacing w:before="29" w:line="288" w:lineRule="auto"/>
              <w:jc w:val="right"/>
              <w:rPr>
                <w:color w:val="000000"/>
                <w:sz w:val="24"/>
              </w:rPr>
            </w:pPr>
            <w:r>
              <w:rPr>
                <w:color w:val="000000"/>
                <w:sz w:val="24"/>
              </w:rPr>
              <w:t>2,930.37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应付利息</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应付利润</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递延所得税负债</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其他负债</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7.4.7.8</w:t>
            </w:r>
          </w:p>
        </w:tc>
        <w:tc>
          <w:tcPr>
            <w:tcW w:w="2520" w:type="dxa"/>
            <w:vAlign w:val="center"/>
          </w:tcPr>
          <w:p>
            <w:pPr>
              <w:spacing w:before="29" w:line="288" w:lineRule="auto"/>
              <w:jc w:val="right"/>
              <w:rPr>
                <w:color w:val="000000"/>
                <w:sz w:val="24"/>
              </w:rPr>
            </w:pPr>
            <w:r>
              <w:rPr>
                <w:color w:val="000000"/>
                <w:sz w:val="24"/>
              </w:rPr>
              <w:t>404,660.90</w:t>
            </w:r>
          </w:p>
        </w:tc>
        <w:tc>
          <w:tcPr>
            <w:tcW w:w="2520" w:type="dxa"/>
            <w:vAlign w:val="center"/>
          </w:tcPr>
          <w:p>
            <w:pPr>
              <w:spacing w:before="29" w:line="288" w:lineRule="auto"/>
              <w:jc w:val="right"/>
              <w:rPr>
                <w:color w:val="000000"/>
                <w:sz w:val="24"/>
              </w:rPr>
            </w:pPr>
            <w:r>
              <w:rPr>
                <w:color w:val="000000"/>
                <w:sz w:val="24"/>
              </w:rPr>
              <w:t>295,703.73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负债合计</w:t>
            </w:r>
          </w:p>
        </w:tc>
        <w:tc>
          <w:tcPr>
            <w:tcW w:w="1080" w:type="dxa"/>
            <w:vAlign w:val="center"/>
          </w:tcPr>
          <w:p>
            <w:pPr>
              <w:widowControl/>
              <w:autoSpaceDE w:val="0"/>
              <w:autoSpaceDN w:val="0"/>
              <w:ind w:right="-15"/>
              <w:jc w:val="center"/>
              <w:textAlignment w:val="bottom"/>
              <w:rPr>
                <w:b/>
                <w:color w:val="000000"/>
                <w:sz w:val="24"/>
              </w:rPr>
            </w:pPr>
          </w:p>
        </w:tc>
        <w:tc>
          <w:tcPr>
            <w:tcW w:w="2520" w:type="dxa"/>
            <w:vAlign w:val="center"/>
          </w:tcPr>
          <w:p>
            <w:pPr>
              <w:spacing w:before="29" w:line="288" w:lineRule="auto"/>
              <w:jc w:val="right"/>
              <w:rPr>
                <w:b/>
                <w:color w:val="000000"/>
                <w:sz w:val="24"/>
              </w:rPr>
            </w:pPr>
            <w:r>
              <w:rPr>
                <w:b/>
                <w:color w:val="000000"/>
                <w:sz w:val="24"/>
              </w:rPr>
              <w:t>93,240,006.08</w:t>
            </w:r>
          </w:p>
        </w:tc>
        <w:tc>
          <w:tcPr>
            <w:tcW w:w="2520" w:type="dxa"/>
            <w:vAlign w:val="center"/>
          </w:tcPr>
          <w:p>
            <w:pPr>
              <w:spacing w:before="29" w:line="288" w:lineRule="auto"/>
              <w:jc w:val="right"/>
              <w:rPr>
                <w:b/>
                <w:color w:val="000000"/>
                <w:sz w:val="24"/>
              </w:rPr>
            </w:pPr>
            <w:r>
              <w:rPr>
                <w:b/>
                <w:color w:val="000000"/>
                <w:sz w:val="24"/>
              </w:rPr>
              <w:t>148,253,095.79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所有者权益：</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b/>
                <w:color w:val="000000"/>
                <w:sz w:val="24"/>
              </w:rPr>
            </w:pPr>
          </w:p>
        </w:tc>
        <w:tc>
          <w:tcPr>
            <w:tcW w:w="252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实收基金</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7.4.7.9</w:t>
            </w:r>
          </w:p>
        </w:tc>
        <w:tc>
          <w:tcPr>
            <w:tcW w:w="2520" w:type="dxa"/>
            <w:vAlign w:val="center"/>
          </w:tcPr>
          <w:p>
            <w:pPr>
              <w:spacing w:before="29" w:line="288" w:lineRule="auto"/>
              <w:jc w:val="right"/>
              <w:rPr>
                <w:color w:val="000000"/>
                <w:sz w:val="24"/>
              </w:rPr>
            </w:pPr>
            <w:r>
              <w:rPr>
                <w:color w:val="000000"/>
                <w:sz w:val="24"/>
              </w:rPr>
              <w:t>2,791,616,270.87</w:t>
            </w:r>
          </w:p>
        </w:tc>
        <w:tc>
          <w:tcPr>
            <w:tcW w:w="2520" w:type="dxa"/>
            <w:vAlign w:val="center"/>
          </w:tcPr>
          <w:p>
            <w:pPr>
              <w:spacing w:before="29" w:line="288" w:lineRule="auto"/>
              <w:jc w:val="right"/>
              <w:rPr>
                <w:color w:val="000000"/>
                <w:sz w:val="24"/>
              </w:rPr>
            </w:pPr>
            <w:r>
              <w:rPr>
                <w:color w:val="000000"/>
                <w:sz w:val="24"/>
              </w:rPr>
              <w:t>2,512,440,995.91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未分配利润</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7.4.7.10</w:t>
            </w:r>
          </w:p>
        </w:tc>
        <w:tc>
          <w:tcPr>
            <w:tcW w:w="2520" w:type="dxa"/>
            <w:vAlign w:val="center"/>
          </w:tcPr>
          <w:p>
            <w:pPr>
              <w:spacing w:before="29" w:line="288" w:lineRule="auto"/>
              <w:jc w:val="right"/>
              <w:rPr>
                <w:color w:val="000000"/>
                <w:sz w:val="24"/>
              </w:rPr>
            </w:pPr>
            <w:r>
              <w:rPr>
                <w:color w:val="000000"/>
                <w:sz w:val="24"/>
              </w:rPr>
              <w:t>9,007,776,564.50</w:t>
            </w:r>
          </w:p>
        </w:tc>
        <w:tc>
          <w:tcPr>
            <w:tcW w:w="2520" w:type="dxa"/>
            <w:vAlign w:val="center"/>
          </w:tcPr>
          <w:p>
            <w:pPr>
              <w:spacing w:before="29" w:line="288" w:lineRule="auto"/>
              <w:jc w:val="right"/>
              <w:rPr>
                <w:color w:val="000000"/>
                <w:sz w:val="24"/>
              </w:rPr>
            </w:pPr>
            <w:r>
              <w:rPr>
                <w:color w:val="000000"/>
                <w:sz w:val="24"/>
              </w:rPr>
              <w:t>4,296,932,575.16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所有者权益合计</w:t>
            </w:r>
          </w:p>
        </w:tc>
        <w:tc>
          <w:tcPr>
            <w:tcW w:w="1080" w:type="dxa"/>
            <w:vAlign w:val="center"/>
          </w:tcPr>
          <w:p>
            <w:pPr>
              <w:widowControl/>
              <w:autoSpaceDE w:val="0"/>
              <w:autoSpaceDN w:val="0"/>
              <w:ind w:right="-15"/>
              <w:jc w:val="center"/>
              <w:textAlignment w:val="bottom"/>
              <w:rPr>
                <w:b/>
                <w:color w:val="000000"/>
                <w:sz w:val="24"/>
              </w:rPr>
            </w:pPr>
          </w:p>
        </w:tc>
        <w:tc>
          <w:tcPr>
            <w:tcW w:w="2520" w:type="dxa"/>
            <w:vAlign w:val="center"/>
          </w:tcPr>
          <w:p>
            <w:pPr>
              <w:spacing w:before="29" w:line="288" w:lineRule="auto"/>
              <w:jc w:val="right"/>
              <w:rPr>
                <w:b/>
                <w:color w:val="000000"/>
                <w:sz w:val="24"/>
              </w:rPr>
            </w:pPr>
            <w:r>
              <w:rPr>
                <w:b/>
                <w:color w:val="000000"/>
                <w:sz w:val="24"/>
              </w:rPr>
              <w:t>11,799,392,835.37</w:t>
            </w:r>
          </w:p>
        </w:tc>
        <w:tc>
          <w:tcPr>
            <w:tcW w:w="2520" w:type="dxa"/>
            <w:vAlign w:val="center"/>
          </w:tcPr>
          <w:p>
            <w:pPr>
              <w:spacing w:before="29" w:line="288" w:lineRule="auto"/>
              <w:jc w:val="right"/>
              <w:rPr>
                <w:b/>
                <w:color w:val="000000"/>
                <w:sz w:val="24"/>
              </w:rPr>
            </w:pPr>
            <w:r>
              <w:rPr>
                <w:b/>
                <w:color w:val="000000"/>
                <w:sz w:val="24"/>
              </w:rPr>
              <w:t>6,809,373,571.07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负债和所有者权益总计</w:t>
            </w:r>
          </w:p>
        </w:tc>
        <w:tc>
          <w:tcPr>
            <w:tcW w:w="1080" w:type="dxa"/>
            <w:vAlign w:val="center"/>
          </w:tcPr>
          <w:p>
            <w:pPr>
              <w:widowControl/>
              <w:autoSpaceDE w:val="0"/>
              <w:autoSpaceDN w:val="0"/>
              <w:ind w:right="-15"/>
              <w:jc w:val="center"/>
              <w:textAlignment w:val="bottom"/>
              <w:rPr>
                <w:b/>
                <w:color w:val="000000"/>
                <w:sz w:val="24"/>
              </w:rPr>
            </w:pPr>
          </w:p>
        </w:tc>
        <w:tc>
          <w:tcPr>
            <w:tcW w:w="2520" w:type="dxa"/>
            <w:vAlign w:val="center"/>
          </w:tcPr>
          <w:p>
            <w:pPr>
              <w:spacing w:before="29" w:line="288" w:lineRule="auto"/>
              <w:jc w:val="right"/>
              <w:rPr>
                <w:b/>
                <w:color w:val="000000"/>
                <w:sz w:val="24"/>
              </w:rPr>
            </w:pPr>
            <w:r>
              <w:rPr>
                <w:b/>
                <w:color w:val="000000"/>
                <w:sz w:val="24"/>
              </w:rPr>
              <w:t>11,892,632,841.45</w:t>
            </w:r>
          </w:p>
        </w:tc>
        <w:tc>
          <w:tcPr>
            <w:tcW w:w="2520" w:type="dxa"/>
            <w:vAlign w:val="center"/>
          </w:tcPr>
          <w:p>
            <w:pPr>
              <w:spacing w:before="29" w:line="288" w:lineRule="auto"/>
              <w:jc w:val="right"/>
              <w:rPr>
                <w:b/>
                <w:color w:val="000000"/>
                <w:sz w:val="24"/>
              </w:rPr>
            </w:pPr>
            <w:r>
              <w:rPr>
                <w:b/>
                <w:color w:val="000000"/>
                <w:sz w:val="24"/>
              </w:rPr>
              <w:t>6,957,626,666.86</w:t>
            </w:r>
          </w:p>
        </w:tc>
      </w:tr>
    </w:tbl>
    <w:p>
      <w:pPr>
        <w:tabs>
          <w:tab w:val="left" w:pos="426"/>
        </w:tabs>
        <w:spacing w:before="29" w:line="288" w:lineRule="auto"/>
        <w:jc w:val="left"/>
        <w:rPr>
          <w:kern w:val="0"/>
          <w:sz w:val="24"/>
        </w:rPr>
      </w:pPr>
      <w:r>
        <w:rPr>
          <w:kern w:val="0"/>
          <w:sz w:val="24"/>
        </w:rPr>
        <w:t>注：报告截止日2020年12月31日，基金份额净值4.227元，基金份额总额2,791,616,270.87份。</w:t>
      </w:r>
    </w:p>
    <w:p>
      <w:pPr>
        <w:spacing w:line="360" w:lineRule="auto"/>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122" w:name="_Toc225498269"/>
      <w:bookmarkStart w:id="123" w:name="_Toc361324874"/>
      <w:bookmarkStart w:id="124" w:name="_Toc67596609"/>
      <w:r>
        <w:rPr>
          <w:rFonts w:ascii="Times New Roman" w:hAnsi="Times New Roman"/>
          <w:kern w:val="0"/>
          <w:szCs w:val="24"/>
        </w:rPr>
        <w:t xml:space="preserve">7.2 </w:t>
      </w:r>
      <w:r>
        <w:rPr>
          <w:rFonts w:hint="eastAsia" w:ascii="Times New Roman" w:hAnsi="Times New Roman"/>
          <w:kern w:val="0"/>
          <w:szCs w:val="24"/>
        </w:rPr>
        <w:t>利润表</w:t>
      </w:r>
      <w:bookmarkEnd w:id="122"/>
      <w:bookmarkEnd w:id="123"/>
      <w:bookmarkEnd w:id="124"/>
    </w:p>
    <w:p>
      <w:pPr>
        <w:spacing w:before="29" w:line="288" w:lineRule="auto"/>
        <w:rPr>
          <w:color w:val="000000"/>
          <w:sz w:val="24"/>
        </w:rPr>
      </w:pPr>
      <w:r>
        <w:rPr>
          <w:rFonts w:hint="eastAsia"/>
          <w:color w:val="000000"/>
          <w:sz w:val="24"/>
        </w:rPr>
        <w:t>会计主体：</w:t>
      </w:r>
      <w:r>
        <w:rPr>
          <w:color w:val="000000"/>
          <w:sz w:val="24"/>
        </w:rPr>
        <w:t>交银施罗德新成长混合型证券投资基金</w:t>
      </w:r>
    </w:p>
    <w:p>
      <w:pPr>
        <w:spacing w:before="29" w:line="288" w:lineRule="auto"/>
        <w:rPr>
          <w:color w:val="000000"/>
          <w:sz w:val="24"/>
        </w:rPr>
      </w:pPr>
      <w:r>
        <w:rPr>
          <w:rFonts w:hint="eastAsia"/>
          <w:color w:val="000000"/>
          <w:sz w:val="24"/>
        </w:rPr>
        <w:t>本报告期：</w:t>
      </w:r>
      <w:r>
        <w:rPr>
          <w:color w:val="000000"/>
          <w:sz w:val="24"/>
        </w:rPr>
        <w:t>2020年1月1日</w:t>
      </w:r>
      <w:r>
        <w:rPr>
          <w:rFonts w:hint="eastAsia"/>
          <w:color w:val="000000"/>
          <w:sz w:val="24"/>
        </w:rPr>
        <w:t>至</w:t>
      </w:r>
      <w:r>
        <w:rPr>
          <w:color w:val="000000"/>
          <w:sz w:val="24"/>
        </w:rPr>
        <w:t>2020年12月31日</w:t>
      </w:r>
    </w:p>
    <w:p>
      <w:pPr>
        <w:autoSpaceDE w:val="0"/>
        <w:autoSpaceDN w:val="0"/>
        <w:adjustRightInd w:val="0"/>
        <w:spacing w:before="29" w:line="360" w:lineRule="auto"/>
        <w:ind w:left="15"/>
        <w:jc w:val="right"/>
        <w:rPr>
          <w:rFonts w:asciiTheme="minorEastAsia" w:hAnsiTheme="minorEastAsia" w:eastAsiaTheme="minorEastAsia"/>
          <w:color w:val="000000"/>
          <w:kern w:val="0"/>
          <w:szCs w:val="21"/>
        </w:rPr>
      </w:pPr>
      <w:r>
        <w:rPr>
          <w:rFonts w:hint="eastAsia" w:asciiTheme="minorEastAsia" w:hAnsiTheme="minorEastAsia" w:eastAsiaTheme="minorEastAsia"/>
          <w:color w:val="000000"/>
          <w:kern w:val="0"/>
          <w:szCs w:val="21"/>
        </w:rPr>
        <w:t>单位：人民币元</w:t>
      </w:r>
    </w:p>
    <w:tbl>
      <w:tblPr>
        <w:tblStyle w:val="31"/>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420"/>
        <w:gridCol w:w="1080"/>
        <w:gridCol w:w="2250"/>
        <w:gridCol w:w="22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jc w:val="center"/>
              <w:rPr>
                <w:b/>
                <w:color w:val="000000"/>
              </w:rPr>
            </w:pPr>
            <w:r>
              <w:rPr>
                <w:rFonts w:hint="eastAsia"/>
                <w:b/>
                <w:color w:val="000000"/>
              </w:rPr>
              <w:t>项目</w:t>
            </w:r>
          </w:p>
        </w:tc>
        <w:tc>
          <w:tcPr>
            <w:tcW w:w="1080" w:type="dxa"/>
            <w:vAlign w:val="center"/>
          </w:tcPr>
          <w:p>
            <w:pPr>
              <w:spacing w:before="29" w:line="288" w:lineRule="auto"/>
              <w:jc w:val="center"/>
              <w:rPr>
                <w:b/>
                <w:color w:val="000000"/>
              </w:rPr>
            </w:pPr>
            <w:r>
              <w:rPr>
                <w:rFonts w:hint="eastAsia"/>
                <w:b/>
                <w:color w:val="000000"/>
              </w:rPr>
              <w:t>附注号</w:t>
            </w:r>
          </w:p>
        </w:tc>
        <w:tc>
          <w:tcPr>
            <w:tcW w:w="2250" w:type="dxa"/>
            <w:vAlign w:val="center"/>
          </w:tcPr>
          <w:p>
            <w:pPr>
              <w:spacing w:before="29" w:line="288" w:lineRule="auto"/>
              <w:jc w:val="center"/>
              <w:rPr>
                <w:b/>
                <w:color w:val="000000"/>
              </w:rPr>
            </w:pPr>
            <w:r>
              <w:rPr>
                <w:rFonts w:hint="eastAsia"/>
                <w:b/>
                <w:color w:val="000000"/>
              </w:rPr>
              <w:t>本期</w:t>
            </w:r>
          </w:p>
          <w:p>
            <w:pPr>
              <w:spacing w:before="29" w:line="288" w:lineRule="auto"/>
              <w:jc w:val="center"/>
              <w:rPr>
                <w:b/>
                <w:color w:val="000000"/>
              </w:rPr>
            </w:pPr>
            <w:r>
              <w:rPr>
                <w:b/>
                <w:color w:val="000000"/>
              </w:rPr>
              <w:t>2020年1月1日</w:t>
            </w:r>
            <w:r>
              <w:rPr>
                <w:rFonts w:hint="eastAsia"/>
                <w:b/>
                <w:color w:val="000000"/>
              </w:rPr>
              <w:t>至</w:t>
            </w:r>
            <w:r>
              <w:rPr>
                <w:b/>
                <w:color w:val="000000"/>
              </w:rPr>
              <w:t>2020年12月31日</w:t>
            </w:r>
          </w:p>
        </w:tc>
        <w:tc>
          <w:tcPr>
            <w:tcW w:w="2250" w:type="dxa"/>
            <w:vAlign w:val="center"/>
          </w:tcPr>
          <w:p>
            <w:pPr>
              <w:spacing w:before="29" w:line="288" w:lineRule="auto"/>
              <w:jc w:val="center"/>
              <w:rPr>
                <w:b/>
                <w:color w:val="000000"/>
              </w:rPr>
            </w:pPr>
            <w:r>
              <w:rPr>
                <w:rFonts w:hint="eastAsia"/>
                <w:b/>
                <w:color w:val="000000"/>
              </w:rPr>
              <w:t>上年度可比期间</w:t>
            </w:r>
          </w:p>
          <w:p>
            <w:pPr>
              <w:spacing w:before="29" w:line="288" w:lineRule="auto"/>
              <w:jc w:val="center"/>
              <w:rPr>
                <w:b/>
                <w:color w:val="000000"/>
              </w:rPr>
            </w:pPr>
            <w:r>
              <w:rPr>
                <w:b/>
                <w:color w:val="000000"/>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一、收入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4,181,058,656.38</w:t>
            </w:r>
          </w:p>
        </w:tc>
        <w:tc>
          <w:tcPr>
            <w:tcW w:w="2250" w:type="dxa"/>
            <w:vAlign w:val="center"/>
          </w:tcPr>
          <w:p>
            <w:pPr>
              <w:spacing w:before="29" w:line="288" w:lineRule="auto"/>
              <w:jc w:val="right"/>
              <w:rPr>
                <w:b/>
                <w:color w:val="000000"/>
                <w:sz w:val="24"/>
              </w:rPr>
            </w:pPr>
            <w:r>
              <w:rPr>
                <w:b/>
                <w:color w:val="000000"/>
                <w:sz w:val="24"/>
              </w:rPr>
              <w:t>1,795,871,858.20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13,730,296.44</w:t>
            </w:r>
          </w:p>
        </w:tc>
        <w:tc>
          <w:tcPr>
            <w:tcW w:w="2250" w:type="dxa"/>
            <w:vAlign w:val="center"/>
          </w:tcPr>
          <w:p>
            <w:pPr>
              <w:spacing w:before="29" w:line="288" w:lineRule="auto"/>
              <w:jc w:val="right"/>
              <w:rPr>
                <w:color w:val="000000"/>
                <w:sz w:val="24"/>
              </w:rPr>
            </w:pPr>
            <w:r>
              <w:rPr>
                <w:color w:val="000000"/>
                <w:sz w:val="24"/>
              </w:rPr>
              <w:t>8,866,337.10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其中：存款利息收入</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7.4.7.11</w:t>
            </w:r>
          </w:p>
        </w:tc>
        <w:tc>
          <w:tcPr>
            <w:tcW w:w="2250" w:type="dxa"/>
            <w:vAlign w:val="center"/>
          </w:tcPr>
          <w:p>
            <w:pPr>
              <w:spacing w:before="29" w:line="288" w:lineRule="auto"/>
              <w:jc w:val="right"/>
              <w:rPr>
                <w:color w:val="000000"/>
                <w:sz w:val="24"/>
              </w:rPr>
            </w:pPr>
            <w:r>
              <w:rPr>
                <w:color w:val="000000"/>
                <w:sz w:val="24"/>
              </w:rPr>
              <w:t>4,437,704.13</w:t>
            </w:r>
          </w:p>
        </w:tc>
        <w:tc>
          <w:tcPr>
            <w:tcW w:w="2250" w:type="dxa"/>
            <w:vAlign w:val="center"/>
          </w:tcPr>
          <w:p>
            <w:pPr>
              <w:spacing w:before="29" w:line="288" w:lineRule="auto"/>
              <w:jc w:val="right"/>
              <w:rPr>
                <w:color w:val="000000"/>
                <w:sz w:val="24"/>
              </w:rPr>
            </w:pPr>
            <w:r>
              <w:rPr>
                <w:color w:val="000000"/>
                <w:sz w:val="24"/>
              </w:rPr>
              <w:t>4,092,791.75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债券利息收入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9,071,092.54</w:t>
            </w:r>
          </w:p>
        </w:tc>
        <w:tc>
          <w:tcPr>
            <w:tcW w:w="2250" w:type="dxa"/>
            <w:vAlign w:val="center"/>
          </w:tcPr>
          <w:p>
            <w:pPr>
              <w:spacing w:before="29" w:line="288" w:lineRule="auto"/>
              <w:jc w:val="right"/>
              <w:rPr>
                <w:color w:val="000000"/>
                <w:sz w:val="24"/>
              </w:rPr>
            </w:pPr>
            <w:r>
              <w:rPr>
                <w:color w:val="000000"/>
                <w:sz w:val="24"/>
              </w:rPr>
              <w:t>3,988,319.16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资产支持证券利息收入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买入返售金融资产收入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221,499.77</w:t>
            </w:r>
          </w:p>
        </w:tc>
        <w:tc>
          <w:tcPr>
            <w:tcW w:w="2250" w:type="dxa"/>
            <w:vAlign w:val="center"/>
          </w:tcPr>
          <w:p>
            <w:pPr>
              <w:spacing w:before="29" w:line="288" w:lineRule="auto"/>
              <w:jc w:val="right"/>
              <w:rPr>
                <w:color w:val="000000"/>
                <w:sz w:val="24"/>
              </w:rPr>
            </w:pPr>
            <w:r>
              <w:rPr>
                <w:color w:val="000000"/>
                <w:sz w:val="24"/>
              </w:rPr>
              <w:t>785,226.19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其他利息收入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2.</w:t>
            </w:r>
            <w:r>
              <w:rPr>
                <w:rFonts w:hint="eastAsia"/>
                <w:color w:val="000000"/>
                <w:sz w:val="24"/>
              </w:rPr>
              <w:t>投资收益（损失以</w:t>
            </w:r>
            <w:r>
              <w:rPr>
                <w:color w:val="000000"/>
              </w:rPr>
              <w:t>“-”</w:t>
            </w:r>
            <w:r>
              <w:rPr>
                <w:rFonts w:hint="eastAsia"/>
                <w:color w:val="000000"/>
                <w:sz w:val="24"/>
              </w:rPr>
              <w:t>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2,478,867,759.29</w:t>
            </w:r>
          </w:p>
        </w:tc>
        <w:tc>
          <w:tcPr>
            <w:tcW w:w="2250" w:type="dxa"/>
            <w:vAlign w:val="center"/>
          </w:tcPr>
          <w:p>
            <w:pPr>
              <w:spacing w:before="29" w:line="288" w:lineRule="auto"/>
              <w:jc w:val="right"/>
              <w:rPr>
                <w:color w:val="000000"/>
                <w:sz w:val="24"/>
              </w:rPr>
            </w:pPr>
            <w:r>
              <w:rPr>
                <w:color w:val="000000"/>
                <w:sz w:val="24"/>
              </w:rPr>
              <w:t>840,488,268.66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其中：股票投资收益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7.4.7.12</w:t>
            </w:r>
          </w:p>
        </w:tc>
        <w:tc>
          <w:tcPr>
            <w:tcW w:w="2250" w:type="dxa"/>
            <w:vAlign w:val="center"/>
          </w:tcPr>
          <w:p>
            <w:pPr>
              <w:spacing w:before="29" w:line="288" w:lineRule="auto"/>
              <w:jc w:val="right"/>
              <w:rPr>
                <w:color w:val="000000"/>
                <w:sz w:val="24"/>
              </w:rPr>
            </w:pPr>
            <w:r>
              <w:rPr>
                <w:color w:val="000000"/>
                <w:sz w:val="24"/>
              </w:rPr>
              <w:t>2,379,613,568.66</w:t>
            </w:r>
          </w:p>
        </w:tc>
        <w:tc>
          <w:tcPr>
            <w:tcW w:w="2250" w:type="dxa"/>
            <w:vAlign w:val="center"/>
          </w:tcPr>
          <w:p>
            <w:pPr>
              <w:spacing w:before="29" w:line="288" w:lineRule="auto"/>
              <w:jc w:val="right"/>
              <w:rPr>
                <w:color w:val="000000"/>
                <w:sz w:val="24"/>
              </w:rPr>
            </w:pPr>
            <w:r>
              <w:rPr>
                <w:color w:val="000000"/>
                <w:sz w:val="24"/>
              </w:rPr>
              <w:t>801,468,335.00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基金投资收益</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债券投资收益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7.4.7.13</w:t>
            </w:r>
          </w:p>
        </w:tc>
        <w:tc>
          <w:tcPr>
            <w:tcW w:w="2250" w:type="dxa"/>
            <w:vAlign w:val="center"/>
          </w:tcPr>
          <w:p>
            <w:pPr>
              <w:spacing w:before="29" w:line="288" w:lineRule="auto"/>
              <w:jc w:val="right"/>
              <w:rPr>
                <w:color w:val="000000"/>
                <w:sz w:val="24"/>
              </w:rPr>
            </w:pPr>
            <w:r>
              <w:rPr>
                <w:color w:val="000000"/>
                <w:sz w:val="24"/>
              </w:rPr>
              <w:t>8,436,257.91</w:t>
            </w:r>
          </w:p>
        </w:tc>
        <w:tc>
          <w:tcPr>
            <w:tcW w:w="2250" w:type="dxa"/>
            <w:vAlign w:val="center"/>
          </w:tcPr>
          <w:p>
            <w:pPr>
              <w:spacing w:before="29" w:line="288" w:lineRule="auto"/>
              <w:jc w:val="right"/>
              <w:rPr>
                <w:color w:val="000000"/>
                <w:sz w:val="24"/>
              </w:rPr>
            </w:pPr>
            <w:r>
              <w:rPr>
                <w:color w:val="000000"/>
                <w:sz w:val="24"/>
              </w:rPr>
              <w:t>3,208,277.89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资产支持证券投资收益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7.4.7.14</w:t>
            </w: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贵金属投资收益</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rFonts w:hint="eastAsia"/>
                <w:color w:val="000000"/>
                <w:sz w:val="24"/>
              </w:rPr>
              <w:t>-</w:t>
            </w:r>
          </w:p>
        </w:tc>
        <w:tc>
          <w:tcPr>
            <w:tcW w:w="2250" w:type="dxa"/>
            <w:vAlign w:val="center"/>
          </w:tcPr>
          <w:p>
            <w:pPr>
              <w:spacing w:before="29" w:line="288" w:lineRule="auto"/>
              <w:jc w:val="right"/>
              <w:rPr>
                <w:color w:val="000000"/>
                <w:sz w:val="24"/>
              </w:rPr>
            </w:pP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rFonts w:hint="eastAsia"/>
                <w:color w:val="000000"/>
                <w:sz w:val="24"/>
              </w:rPr>
              <w:t>衍生工具收益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7.4.7.15</w:t>
            </w: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股利收益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7.4.7.16</w:t>
            </w:r>
          </w:p>
        </w:tc>
        <w:tc>
          <w:tcPr>
            <w:tcW w:w="2250" w:type="dxa"/>
            <w:vAlign w:val="center"/>
          </w:tcPr>
          <w:p>
            <w:pPr>
              <w:spacing w:before="29" w:line="288" w:lineRule="auto"/>
              <w:jc w:val="right"/>
              <w:rPr>
                <w:color w:val="000000"/>
                <w:sz w:val="24"/>
              </w:rPr>
            </w:pPr>
            <w:r>
              <w:rPr>
                <w:color w:val="000000"/>
                <w:sz w:val="24"/>
              </w:rPr>
              <w:t>90,817,932.72</w:t>
            </w:r>
          </w:p>
        </w:tc>
        <w:tc>
          <w:tcPr>
            <w:tcW w:w="2250" w:type="dxa"/>
            <w:vAlign w:val="center"/>
          </w:tcPr>
          <w:p>
            <w:pPr>
              <w:spacing w:before="29" w:line="288" w:lineRule="auto"/>
              <w:jc w:val="right"/>
              <w:rPr>
                <w:color w:val="000000"/>
                <w:sz w:val="24"/>
              </w:rPr>
            </w:pPr>
            <w:r>
              <w:rPr>
                <w:color w:val="000000"/>
                <w:sz w:val="24"/>
              </w:rPr>
              <w:t>35,811,655.77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7.4.7.17</w:t>
            </w:r>
          </w:p>
        </w:tc>
        <w:tc>
          <w:tcPr>
            <w:tcW w:w="2250" w:type="dxa"/>
            <w:vAlign w:val="center"/>
          </w:tcPr>
          <w:p>
            <w:pPr>
              <w:spacing w:before="29" w:line="288" w:lineRule="auto"/>
              <w:jc w:val="right"/>
              <w:rPr>
                <w:color w:val="000000"/>
                <w:sz w:val="24"/>
              </w:rPr>
            </w:pPr>
            <w:r>
              <w:rPr>
                <w:color w:val="000000"/>
                <w:sz w:val="24"/>
              </w:rPr>
              <w:t>1,662,502,528.80</w:t>
            </w:r>
          </w:p>
        </w:tc>
        <w:tc>
          <w:tcPr>
            <w:tcW w:w="2250" w:type="dxa"/>
            <w:vAlign w:val="center"/>
          </w:tcPr>
          <w:p>
            <w:pPr>
              <w:spacing w:before="29" w:line="288" w:lineRule="auto"/>
              <w:jc w:val="right"/>
              <w:rPr>
                <w:color w:val="000000"/>
                <w:sz w:val="24"/>
              </w:rPr>
            </w:pPr>
            <w:r>
              <w:rPr>
                <w:color w:val="000000"/>
                <w:sz w:val="24"/>
              </w:rPr>
              <w:t>937,517,310.00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7.4.7.18</w:t>
            </w:r>
          </w:p>
        </w:tc>
        <w:tc>
          <w:tcPr>
            <w:tcW w:w="2250" w:type="dxa"/>
            <w:vAlign w:val="center"/>
          </w:tcPr>
          <w:p>
            <w:pPr>
              <w:spacing w:before="29" w:line="288" w:lineRule="auto"/>
              <w:jc w:val="right"/>
              <w:rPr>
                <w:color w:val="000000"/>
                <w:sz w:val="24"/>
              </w:rPr>
            </w:pPr>
            <w:r>
              <w:rPr>
                <w:color w:val="000000"/>
                <w:sz w:val="24"/>
              </w:rPr>
              <w:t>25,958,071.85</w:t>
            </w:r>
          </w:p>
        </w:tc>
        <w:tc>
          <w:tcPr>
            <w:tcW w:w="2250" w:type="dxa"/>
            <w:vAlign w:val="center"/>
          </w:tcPr>
          <w:p>
            <w:pPr>
              <w:spacing w:before="29" w:line="288" w:lineRule="auto"/>
              <w:jc w:val="right"/>
              <w:rPr>
                <w:color w:val="000000"/>
                <w:sz w:val="24"/>
              </w:rPr>
            </w:pPr>
            <w:r>
              <w:rPr>
                <w:color w:val="000000"/>
                <w:sz w:val="24"/>
              </w:rPr>
              <w:t>8,999,942.44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减：二、费用</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200,123,573.08</w:t>
            </w:r>
          </w:p>
        </w:tc>
        <w:tc>
          <w:tcPr>
            <w:tcW w:w="2250" w:type="dxa"/>
            <w:vAlign w:val="center"/>
          </w:tcPr>
          <w:p>
            <w:pPr>
              <w:spacing w:before="29" w:line="288" w:lineRule="auto"/>
              <w:jc w:val="right"/>
              <w:rPr>
                <w:b/>
                <w:color w:val="000000"/>
                <w:sz w:val="24"/>
              </w:rPr>
            </w:pPr>
            <w:r>
              <w:rPr>
                <w:b/>
                <w:color w:val="000000"/>
                <w:sz w:val="24"/>
              </w:rPr>
              <w:t>84,331,784.18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133,427,964.08</w:t>
            </w:r>
          </w:p>
        </w:tc>
        <w:tc>
          <w:tcPr>
            <w:tcW w:w="2250" w:type="dxa"/>
            <w:vAlign w:val="center"/>
          </w:tcPr>
          <w:p>
            <w:pPr>
              <w:spacing w:before="29" w:line="288" w:lineRule="auto"/>
              <w:jc w:val="right"/>
              <w:rPr>
                <w:color w:val="000000"/>
                <w:sz w:val="24"/>
              </w:rPr>
            </w:pPr>
            <w:r>
              <w:rPr>
                <w:color w:val="000000"/>
                <w:sz w:val="24"/>
              </w:rPr>
              <w:t>53,835,462.02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22,237,993.99</w:t>
            </w:r>
          </w:p>
        </w:tc>
        <w:tc>
          <w:tcPr>
            <w:tcW w:w="2250" w:type="dxa"/>
            <w:vAlign w:val="center"/>
          </w:tcPr>
          <w:p>
            <w:pPr>
              <w:spacing w:before="29" w:line="288" w:lineRule="auto"/>
              <w:jc w:val="right"/>
              <w:rPr>
                <w:color w:val="000000"/>
                <w:sz w:val="24"/>
              </w:rPr>
            </w:pPr>
            <w:r>
              <w:rPr>
                <w:color w:val="000000"/>
                <w:sz w:val="24"/>
              </w:rPr>
              <w:t>8,972,577.07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7.4.7.19</w:t>
            </w:r>
          </w:p>
        </w:tc>
        <w:tc>
          <w:tcPr>
            <w:tcW w:w="2250" w:type="dxa"/>
            <w:vAlign w:val="center"/>
          </w:tcPr>
          <w:p>
            <w:pPr>
              <w:spacing w:before="29" w:line="288" w:lineRule="auto"/>
              <w:jc w:val="right"/>
              <w:rPr>
                <w:color w:val="000000"/>
                <w:sz w:val="24"/>
              </w:rPr>
            </w:pPr>
            <w:r>
              <w:rPr>
                <w:color w:val="000000"/>
                <w:sz w:val="24"/>
              </w:rPr>
              <w:t>44,169,461.50</w:t>
            </w:r>
          </w:p>
        </w:tc>
        <w:tc>
          <w:tcPr>
            <w:tcW w:w="2250" w:type="dxa"/>
            <w:vAlign w:val="center"/>
          </w:tcPr>
          <w:p>
            <w:pPr>
              <w:spacing w:before="29" w:line="288" w:lineRule="auto"/>
              <w:jc w:val="right"/>
              <w:rPr>
                <w:color w:val="000000"/>
                <w:sz w:val="24"/>
              </w:rPr>
            </w:pPr>
            <w:r>
              <w:rPr>
                <w:color w:val="000000"/>
                <w:sz w:val="24"/>
              </w:rPr>
              <w:t>21,236,746.93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其中：卖出回购金融资产支出</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rPr>
                <w:rFonts w:eastAsiaTheme="minorEastAsia"/>
                <w:color w:val="000000"/>
                <w:sz w:val="24"/>
              </w:rPr>
            </w:pPr>
            <w:r>
              <w:rPr>
                <w:rFonts w:hint="eastAsia" w:eastAsiaTheme="minorEastAsia"/>
                <w:color w:val="000000"/>
                <w:sz w:val="24"/>
              </w:rPr>
              <w:t>6</w:t>
            </w:r>
            <w:r>
              <w:rPr>
                <w:rFonts w:eastAsiaTheme="minorEastAsia"/>
                <w:color w:val="000000"/>
                <w:sz w:val="24"/>
              </w:rPr>
              <w:t>．</w:t>
            </w:r>
            <w:r>
              <w:rPr>
                <w:rFonts w:hint="eastAsia" w:eastAsiaTheme="minorEastAsia"/>
                <w:color w:val="000000"/>
                <w:sz w:val="24"/>
              </w:rPr>
              <w:t>税金及附加</w:t>
            </w:r>
          </w:p>
        </w:tc>
        <w:tc>
          <w:tcPr>
            <w:tcW w:w="1080" w:type="dxa"/>
            <w:vAlign w:val="center"/>
          </w:tcPr>
          <w:p>
            <w:pPr>
              <w:pStyle w:val="28"/>
              <w:jc w:val="center"/>
              <w:rPr>
                <w:rFonts w:ascii="Times New Roman" w:hAnsi="Times New Roman" w:eastAsiaTheme="minorEastAsia"/>
                <w:color w:val="000000"/>
              </w:rPr>
            </w:pPr>
          </w:p>
        </w:tc>
        <w:tc>
          <w:tcPr>
            <w:tcW w:w="2250" w:type="dxa"/>
            <w:vAlign w:val="bottom"/>
          </w:tcPr>
          <w:p>
            <w:pPr>
              <w:jc w:val="right"/>
              <w:rPr>
                <w:rFonts w:eastAsiaTheme="minorEastAsia"/>
                <w:color w:val="000000"/>
                <w:sz w:val="24"/>
              </w:rPr>
            </w:pPr>
            <w:r>
              <w:rPr>
                <w:rFonts w:eastAsiaTheme="minorEastAsia"/>
                <w:color w:val="000000"/>
                <w:sz w:val="24"/>
              </w:rPr>
              <w:t>808.09</w:t>
            </w:r>
          </w:p>
        </w:tc>
        <w:tc>
          <w:tcPr>
            <w:tcW w:w="2250" w:type="dxa"/>
            <w:vAlign w:val="bottom"/>
          </w:tcPr>
          <w:p>
            <w:pPr>
              <w:jc w:val="right"/>
              <w:rPr>
                <w:rFonts w:eastAsiaTheme="minorEastAsia"/>
                <w:color w:val="000000"/>
                <w:sz w:val="24"/>
              </w:rPr>
            </w:pPr>
            <w:r>
              <w:rPr>
                <w:rFonts w:eastAsiaTheme="minorEastAsia"/>
                <w:color w:val="000000"/>
                <w:sz w:val="24"/>
              </w:rPr>
              <w:t>2,753.52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7．其他费用</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7.4.7.20</w:t>
            </w:r>
          </w:p>
        </w:tc>
        <w:tc>
          <w:tcPr>
            <w:tcW w:w="2250" w:type="dxa"/>
            <w:vAlign w:val="center"/>
          </w:tcPr>
          <w:p>
            <w:pPr>
              <w:spacing w:before="29" w:line="288" w:lineRule="auto"/>
              <w:jc w:val="right"/>
              <w:rPr>
                <w:color w:val="000000"/>
                <w:sz w:val="24"/>
              </w:rPr>
            </w:pPr>
            <w:r>
              <w:rPr>
                <w:color w:val="000000"/>
                <w:sz w:val="24"/>
              </w:rPr>
              <w:t>287,345.42</w:t>
            </w:r>
          </w:p>
        </w:tc>
        <w:tc>
          <w:tcPr>
            <w:tcW w:w="2250" w:type="dxa"/>
            <w:vAlign w:val="center"/>
          </w:tcPr>
          <w:p>
            <w:pPr>
              <w:spacing w:before="29" w:line="288" w:lineRule="auto"/>
              <w:jc w:val="right"/>
              <w:rPr>
                <w:color w:val="000000"/>
                <w:sz w:val="24"/>
              </w:rPr>
            </w:pPr>
            <w:r>
              <w:rPr>
                <w:color w:val="000000"/>
                <w:sz w:val="24"/>
              </w:rPr>
              <w:t>284,244.64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3,980,935,083.30</w:t>
            </w:r>
          </w:p>
        </w:tc>
        <w:tc>
          <w:tcPr>
            <w:tcW w:w="2250" w:type="dxa"/>
            <w:vAlign w:val="center"/>
          </w:tcPr>
          <w:p>
            <w:pPr>
              <w:spacing w:before="29" w:line="288" w:lineRule="auto"/>
              <w:jc w:val="right"/>
              <w:rPr>
                <w:b/>
                <w:color w:val="000000"/>
                <w:sz w:val="24"/>
              </w:rPr>
            </w:pPr>
            <w:r>
              <w:rPr>
                <w:b/>
                <w:color w:val="000000"/>
                <w:sz w:val="24"/>
              </w:rPr>
              <w:t>1,711,540,074.02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line="360" w:lineRule="auto"/>
              <w:rPr>
                <w:rFonts w:asciiTheme="minorEastAsia" w:hAnsiTheme="minorEastAsia" w:eastAsiaTheme="minorEastAsia"/>
                <w:b/>
                <w:color w:val="000000"/>
                <w:szCs w:val="21"/>
              </w:rPr>
            </w:pPr>
            <w:r>
              <w:rPr>
                <w:rFonts w:hint="eastAsia"/>
                <w:color w:val="000000"/>
                <w:sz w:val="24"/>
              </w:rPr>
              <w:t>减：所得税费用</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3,980,935,083.30</w:t>
            </w:r>
          </w:p>
        </w:tc>
        <w:tc>
          <w:tcPr>
            <w:tcW w:w="2250" w:type="dxa"/>
            <w:vAlign w:val="center"/>
          </w:tcPr>
          <w:p>
            <w:pPr>
              <w:spacing w:before="29" w:line="288" w:lineRule="auto"/>
              <w:jc w:val="right"/>
              <w:rPr>
                <w:b/>
                <w:color w:val="000000"/>
                <w:sz w:val="24"/>
              </w:rPr>
            </w:pPr>
            <w:r>
              <w:rPr>
                <w:b/>
                <w:color w:val="000000"/>
                <w:sz w:val="24"/>
              </w:rPr>
              <w:t>1,711,540,074.02</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25" w:name="_Toc361324875"/>
      <w:bookmarkStart w:id="126" w:name="_Toc225498270"/>
      <w:bookmarkStart w:id="127" w:name="_Toc67596610"/>
      <w:r>
        <w:rPr>
          <w:rFonts w:ascii="Times New Roman" w:hAnsi="Times New Roman"/>
          <w:kern w:val="0"/>
          <w:szCs w:val="24"/>
        </w:rPr>
        <w:t xml:space="preserve">7.3 </w:t>
      </w:r>
      <w:r>
        <w:rPr>
          <w:rFonts w:hint="eastAsia" w:ascii="Times New Roman" w:hAnsi="Times New Roman"/>
          <w:kern w:val="0"/>
          <w:szCs w:val="24"/>
        </w:rPr>
        <w:t>所有者权益（基金净值）变动表</w:t>
      </w:r>
      <w:bookmarkEnd w:id="125"/>
      <w:bookmarkEnd w:id="126"/>
      <w:bookmarkEnd w:id="127"/>
    </w:p>
    <w:p>
      <w:pPr>
        <w:spacing w:before="29" w:line="288" w:lineRule="auto"/>
        <w:rPr>
          <w:color w:val="000000"/>
          <w:sz w:val="24"/>
        </w:rPr>
      </w:pPr>
      <w:r>
        <w:rPr>
          <w:rFonts w:hint="eastAsia"/>
          <w:color w:val="000000"/>
          <w:sz w:val="24"/>
        </w:rPr>
        <w:t>会计主体：</w:t>
      </w:r>
      <w:r>
        <w:rPr>
          <w:color w:val="000000"/>
          <w:sz w:val="24"/>
        </w:rPr>
        <w:t>交银施罗德新成长混合型证券投资基金</w:t>
      </w:r>
    </w:p>
    <w:p>
      <w:pPr>
        <w:spacing w:before="29" w:line="288" w:lineRule="auto"/>
        <w:rPr>
          <w:color w:val="000000"/>
          <w:sz w:val="24"/>
        </w:rPr>
      </w:pPr>
      <w:r>
        <w:rPr>
          <w:rFonts w:hint="eastAsia"/>
          <w:color w:val="000000"/>
          <w:sz w:val="24"/>
        </w:rPr>
        <w:t>本报告期：</w:t>
      </w:r>
      <w:r>
        <w:rPr>
          <w:color w:val="000000"/>
          <w:sz w:val="24"/>
        </w:rPr>
        <w:t>2020年1月1日</w:t>
      </w:r>
      <w:r>
        <w:rPr>
          <w:rFonts w:hint="eastAsia"/>
          <w:color w:val="000000"/>
          <w:sz w:val="24"/>
        </w:rPr>
        <w:t>至</w:t>
      </w:r>
      <w:r>
        <w:rPr>
          <w:color w:val="000000"/>
          <w:sz w:val="24"/>
        </w:rPr>
        <w:t>2020年12月31日</w:t>
      </w:r>
    </w:p>
    <w:p>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Style w:val="31"/>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0"/>
        <w:gridCol w:w="2196"/>
        <w:gridCol w:w="2197"/>
        <w:gridCol w:w="21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Merge w:val="restart"/>
            <w:vAlign w:val="center"/>
          </w:tcPr>
          <w:p>
            <w:pPr>
              <w:spacing w:before="29" w:line="288" w:lineRule="auto"/>
              <w:jc w:val="center"/>
              <w:rPr>
                <w:b/>
                <w:color w:val="000000"/>
                <w:sz w:val="24"/>
              </w:rPr>
            </w:pPr>
            <w:r>
              <w:rPr>
                <w:rFonts w:hint="eastAsia"/>
                <w:b/>
                <w:color w:val="000000"/>
                <w:sz w:val="24"/>
              </w:rPr>
              <w:t>项目</w:t>
            </w:r>
          </w:p>
        </w:tc>
        <w:tc>
          <w:tcPr>
            <w:tcW w:w="6590" w:type="dxa"/>
            <w:gridSpan w:val="3"/>
            <w:vAlign w:val="center"/>
          </w:tcPr>
          <w:p>
            <w:pPr>
              <w:spacing w:before="29" w:line="288" w:lineRule="auto"/>
              <w:jc w:val="center"/>
              <w:rPr>
                <w:b/>
                <w:color w:val="000000"/>
                <w:sz w:val="24"/>
              </w:rPr>
            </w:pPr>
            <w:r>
              <w:rPr>
                <w:rFonts w:hint="eastAsia"/>
                <w:b/>
                <w:color w:val="000000"/>
                <w:sz w:val="24"/>
              </w:rPr>
              <w:t>本期</w:t>
            </w:r>
          </w:p>
          <w:p>
            <w:pPr>
              <w:pStyle w:val="28"/>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2020年1月1日</w:t>
            </w:r>
            <w:r>
              <w:rPr>
                <w:rFonts w:hint="eastAsia" w:ascii="Times New Roman" w:hAnsi="Times New Roman"/>
                <w:b/>
                <w:color w:val="000000"/>
                <w:kern w:val="2"/>
              </w:rPr>
              <w:t>至</w:t>
            </w:r>
            <w:r>
              <w:rPr>
                <w:rFonts w:ascii="Times New Roman" w:hAnsi="Times New Roman"/>
                <w:b/>
                <w:color w:val="000000"/>
                <w:kern w:val="2"/>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Merge w:val="continue"/>
            <w:vAlign w:val="center"/>
          </w:tcPr>
          <w:p>
            <w:pPr>
              <w:spacing w:before="29" w:line="288" w:lineRule="auto"/>
              <w:jc w:val="center"/>
              <w:rPr>
                <w:b/>
                <w:color w:val="000000"/>
                <w:sz w:val="24"/>
              </w:rPr>
            </w:pPr>
          </w:p>
        </w:tc>
        <w:tc>
          <w:tcPr>
            <w:tcW w:w="2196" w:type="dxa"/>
            <w:vAlign w:val="center"/>
          </w:tcPr>
          <w:p>
            <w:pPr>
              <w:spacing w:before="29" w:line="288" w:lineRule="auto"/>
              <w:jc w:val="center"/>
              <w:rPr>
                <w:b/>
                <w:color w:val="000000"/>
                <w:sz w:val="24"/>
              </w:rPr>
            </w:pPr>
            <w:r>
              <w:rPr>
                <w:rFonts w:hint="eastAsia"/>
                <w:b/>
                <w:color w:val="000000"/>
                <w:sz w:val="24"/>
              </w:rPr>
              <w:t>实收基金</w:t>
            </w:r>
          </w:p>
        </w:tc>
        <w:tc>
          <w:tcPr>
            <w:tcW w:w="2197" w:type="dxa"/>
            <w:vAlign w:val="center"/>
          </w:tcPr>
          <w:p>
            <w:pPr>
              <w:spacing w:before="29" w:line="288" w:lineRule="auto"/>
              <w:jc w:val="center"/>
              <w:rPr>
                <w:b/>
                <w:color w:val="000000"/>
                <w:sz w:val="24"/>
              </w:rPr>
            </w:pPr>
            <w:r>
              <w:rPr>
                <w:rFonts w:hint="eastAsia"/>
                <w:b/>
                <w:color w:val="000000"/>
                <w:sz w:val="24"/>
              </w:rPr>
              <w:t>未分配利润</w:t>
            </w:r>
          </w:p>
        </w:tc>
        <w:tc>
          <w:tcPr>
            <w:tcW w:w="2197" w:type="dxa"/>
            <w:vAlign w:val="center"/>
          </w:tcPr>
          <w:p>
            <w:pPr>
              <w:spacing w:before="29" w:line="288" w:lineRule="auto"/>
              <w:jc w:val="center"/>
              <w:rPr>
                <w:b/>
                <w:color w:val="000000"/>
                <w:sz w:val="24"/>
              </w:rPr>
            </w:pPr>
            <w:r>
              <w:rPr>
                <w:rFonts w:hint="eastAsia"/>
                <w:b/>
                <w:color w:val="000000"/>
                <w:sz w:val="24"/>
              </w:rPr>
              <w:t>所有者权益合计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一、期初所有者权益（基金净值）</w:t>
            </w:r>
          </w:p>
        </w:tc>
        <w:tc>
          <w:tcPr>
            <w:tcW w:w="2196" w:type="dxa"/>
            <w:vAlign w:val="center"/>
          </w:tcPr>
          <w:p>
            <w:pPr>
              <w:spacing w:before="29" w:line="288" w:lineRule="auto"/>
              <w:jc w:val="right"/>
              <w:rPr>
                <w:color w:val="000000"/>
                <w:sz w:val="24"/>
              </w:rPr>
            </w:pPr>
            <w:r>
              <w:rPr>
                <w:color w:val="000000"/>
                <w:sz w:val="24"/>
              </w:rPr>
              <w:t>2,512,440,995.91</w:t>
            </w:r>
          </w:p>
        </w:tc>
        <w:tc>
          <w:tcPr>
            <w:tcW w:w="2197" w:type="dxa"/>
            <w:vAlign w:val="center"/>
          </w:tcPr>
          <w:p>
            <w:pPr>
              <w:spacing w:before="29" w:line="288" w:lineRule="auto"/>
              <w:jc w:val="right"/>
              <w:rPr>
                <w:color w:val="000000"/>
                <w:sz w:val="24"/>
              </w:rPr>
            </w:pPr>
            <w:r>
              <w:rPr>
                <w:color w:val="000000"/>
                <w:sz w:val="24"/>
              </w:rPr>
              <w:t>4,296,932,575.16</w:t>
            </w:r>
          </w:p>
        </w:tc>
        <w:tc>
          <w:tcPr>
            <w:tcW w:w="2197" w:type="dxa"/>
            <w:vAlign w:val="center"/>
          </w:tcPr>
          <w:p>
            <w:pPr>
              <w:spacing w:before="29" w:line="288" w:lineRule="auto"/>
              <w:jc w:val="right"/>
              <w:rPr>
                <w:color w:val="000000"/>
                <w:sz w:val="24"/>
              </w:rPr>
            </w:pPr>
            <w:r>
              <w:rPr>
                <w:color w:val="000000"/>
                <w:sz w:val="24"/>
              </w:rPr>
              <w:t>6,809,373,571.07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3,980,935,083.30</w:t>
            </w:r>
          </w:p>
        </w:tc>
        <w:tc>
          <w:tcPr>
            <w:tcW w:w="2197" w:type="dxa"/>
            <w:vAlign w:val="center"/>
          </w:tcPr>
          <w:p>
            <w:pPr>
              <w:spacing w:before="29" w:line="288" w:lineRule="auto"/>
              <w:jc w:val="right"/>
              <w:rPr>
                <w:color w:val="000000"/>
                <w:sz w:val="24"/>
              </w:rPr>
            </w:pPr>
            <w:r>
              <w:rPr>
                <w:color w:val="000000"/>
                <w:sz w:val="24"/>
              </w:rPr>
              <w:t>3,980,935,083.30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279,175,274.96</w:t>
            </w:r>
          </w:p>
        </w:tc>
        <w:tc>
          <w:tcPr>
            <w:tcW w:w="2197" w:type="dxa"/>
            <w:vAlign w:val="center"/>
          </w:tcPr>
          <w:p>
            <w:pPr>
              <w:spacing w:before="29" w:line="288" w:lineRule="auto"/>
              <w:jc w:val="right"/>
              <w:rPr>
                <w:color w:val="000000"/>
                <w:sz w:val="24"/>
              </w:rPr>
            </w:pPr>
            <w:r>
              <w:rPr>
                <w:color w:val="000000"/>
                <w:sz w:val="24"/>
              </w:rPr>
              <w:t>729,908,906.04</w:t>
            </w:r>
          </w:p>
        </w:tc>
        <w:tc>
          <w:tcPr>
            <w:tcW w:w="2197" w:type="dxa"/>
            <w:vAlign w:val="center"/>
          </w:tcPr>
          <w:p>
            <w:pPr>
              <w:spacing w:before="29" w:line="288" w:lineRule="auto"/>
              <w:jc w:val="right"/>
              <w:rPr>
                <w:color w:val="000000"/>
                <w:sz w:val="24"/>
              </w:rPr>
            </w:pPr>
            <w:r>
              <w:rPr>
                <w:color w:val="000000"/>
                <w:sz w:val="24"/>
              </w:rPr>
              <w:t>1,009,084,181.00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pPr>
              <w:spacing w:before="29" w:line="288" w:lineRule="auto"/>
              <w:jc w:val="right"/>
              <w:rPr>
                <w:color w:val="000000"/>
                <w:sz w:val="24"/>
              </w:rPr>
            </w:pPr>
            <w:r>
              <w:rPr>
                <w:color w:val="000000"/>
                <w:sz w:val="24"/>
              </w:rPr>
              <w:t>2,948,915,318.11</w:t>
            </w:r>
          </w:p>
        </w:tc>
        <w:tc>
          <w:tcPr>
            <w:tcW w:w="2197" w:type="dxa"/>
            <w:vAlign w:val="center"/>
          </w:tcPr>
          <w:p>
            <w:pPr>
              <w:spacing w:before="29" w:line="288" w:lineRule="auto"/>
              <w:jc w:val="right"/>
              <w:rPr>
                <w:color w:val="000000"/>
                <w:sz w:val="24"/>
              </w:rPr>
            </w:pPr>
            <w:r>
              <w:rPr>
                <w:color w:val="000000"/>
                <w:sz w:val="24"/>
              </w:rPr>
              <w:t>6,908,377,664.15</w:t>
            </w:r>
          </w:p>
        </w:tc>
        <w:tc>
          <w:tcPr>
            <w:tcW w:w="2197" w:type="dxa"/>
            <w:vAlign w:val="center"/>
          </w:tcPr>
          <w:p>
            <w:pPr>
              <w:spacing w:before="29" w:line="288" w:lineRule="auto"/>
              <w:jc w:val="right"/>
              <w:rPr>
                <w:color w:val="000000"/>
                <w:sz w:val="24"/>
              </w:rPr>
            </w:pPr>
            <w:r>
              <w:rPr>
                <w:color w:val="000000"/>
                <w:sz w:val="24"/>
              </w:rPr>
              <w:t>9,857,292,982.26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pPr>
              <w:spacing w:before="29" w:line="288" w:lineRule="auto"/>
              <w:jc w:val="right"/>
              <w:rPr>
                <w:color w:val="000000"/>
                <w:sz w:val="24"/>
              </w:rPr>
            </w:pPr>
            <w:r>
              <w:rPr>
                <w:color w:val="000000"/>
                <w:sz w:val="24"/>
              </w:rPr>
              <w:t>-2,669,740,043.15</w:t>
            </w:r>
          </w:p>
        </w:tc>
        <w:tc>
          <w:tcPr>
            <w:tcW w:w="2197" w:type="dxa"/>
            <w:vAlign w:val="center"/>
          </w:tcPr>
          <w:p>
            <w:pPr>
              <w:spacing w:before="29" w:line="288" w:lineRule="auto"/>
              <w:jc w:val="right"/>
              <w:rPr>
                <w:color w:val="000000"/>
                <w:sz w:val="24"/>
              </w:rPr>
            </w:pPr>
            <w:r>
              <w:rPr>
                <w:color w:val="000000"/>
                <w:sz w:val="24"/>
              </w:rPr>
              <w:t>-6,178,468,758.11</w:t>
            </w:r>
          </w:p>
        </w:tc>
        <w:tc>
          <w:tcPr>
            <w:tcW w:w="2197" w:type="dxa"/>
            <w:vAlign w:val="center"/>
          </w:tcPr>
          <w:p>
            <w:pPr>
              <w:spacing w:before="29" w:line="288" w:lineRule="auto"/>
              <w:jc w:val="right"/>
              <w:rPr>
                <w:color w:val="000000"/>
                <w:sz w:val="24"/>
              </w:rPr>
            </w:pPr>
            <w:r>
              <w:rPr>
                <w:color w:val="000000"/>
                <w:sz w:val="24"/>
              </w:rPr>
              <w:t>-8,848,208,801.26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五、期末所有者权益（基金净值）</w:t>
            </w:r>
          </w:p>
        </w:tc>
        <w:tc>
          <w:tcPr>
            <w:tcW w:w="2196" w:type="dxa"/>
            <w:vAlign w:val="center"/>
          </w:tcPr>
          <w:p>
            <w:pPr>
              <w:spacing w:before="29" w:line="288" w:lineRule="auto"/>
              <w:jc w:val="right"/>
              <w:rPr>
                <w:color w:val="000000"/>
                <w:sz w:val="24"/>
              </w:rPr>
            </w:pPr>
            <w:r>
              <w:rPr>
                <w:color w:val="000000"/>
                <w:sz w:val="24"/>
              </w:rPr>
              <w:t>2,791,616,270.87</w:t>
            </w:r>
          </w:p>
        </w:tc>
        <w:tc>
          <w:tcPr>
            <w:tcW w:w="2197" w:type="dxa"/>
            <w:vAlign w:val="center"/>
          </w:tcPr>
          <w:p>
            <w:pPr>
              <w:spacing w:before="29" w:line="288" w:lineRule="auto"/>
              <w:jc w:val="right"/>
              <w:rPr>
                <w:color w:val="000000"/>
                <w:sz w:val="24"/>
              </w:rPr>
            </w:pPr>
            <w:r>
              <w:rPr>
                <w:color w:val="000000"/>
                <w:sz w:val="24"/>
              </w:rPr>
              <w:t>9,007,776,564.50</w:t>
            </w:r>
          </w:p>
        </w:tc>
        <w:tc>
          <w:tcPr>
            <w:tcW w:w="2197" w:type="dxa"/>
            <w:vAlign w:val="center"/>
          </w:tcPr>
          <w:p>
            <w:pPr>
              <w:spacing w:before="29" w:line="288" w:lineRule="auto"/>
              <w:jc w:val="right"/>
              <w:rPr>
                <w:color w:val="000000"/>
                <w:sz w:val="24"/>
              </w:rPr>
            </w:pPr>
            <w:r>
              <w:rPr>
                <w:color w:val="000000"/>
                <w:sz w:val="24"/>
              </w:rPr>
              <w:t>11,799,392,835.37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Merge w:val="restart"/>
            <w:vAlign w:val="center"/>
          </w:tcPr>
          <w:p>
            <w:pPr>
              <w:spacing w:before="29" w:line="288" w:lineRule="auto"/>
              <w:jc w:val="center"/>
              <w:rPr>
                <w:b/>
                <w:color w:val="000000"/>
                <w:sz w:val="24"/>
              </w:rPr>
            </w:pPr>
            <w:r>
              <w:rPr>
                <w:rFonts w:hint="eastAsia"/>
                <w:b/>
                <w:color w:val="000000"/>
                <w:sz w:val="24"/>
              </w:rPr>
              <w:t>项目</w:t>
            </w:r>
          </w:p>
        </w:tc>
        <w:tc>
          <w:tcPr>
            <w:tcW w:w="6590" w:type="dxa"/>
            <w:gridSpan w:val="3"/>
            <w:vAlign w:val="center"/>
          </w:tcPr>
          <w:p>
            <w:pPr>
              <w:spacing w:before="29" w:line="288" w:lineRule="auto"/>
              <w:jc w:val="center"/>
              <w:rPr>
                <w:b/>
                <w:color w:val="000000"/>
                <w:sz w:val="24"/>
              </w:rPr>
            </w:pPr>
            <w:r>
              <w:rPr>
                <w:rFonts w:hint="eastAsia"/>
                <w:b/>
                <w:color w:val="000000"/>
                <w:sz w:val="24"/>
              </w:rPr>
              <w:t>上年度可比期间</w:t>
            </w:r>
          </w:p>
          <w:p>
            <w:pPr>
              <w:pStyle w:val="28"/>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Merge w:val="continue"/>
            <w:vAlign w:val="center"/>
          </w:tcPr>
          <w:p>
            <w:pPr>
              <w:spacing w:before="29" w:line="288" w:lineRule="auto"/>
              <w:jc w:val="center"/>
              <w:rPr>
                <w:b/>
                <w:color w:val="000000"/>
                <w:sz w:val="24"/>
              </w:rPr>
            </w:pPr>
          </w:p>
        </w:tc>
        <w:tc>
          <w:tcPr>
            <w:tcW w:w="2196" w:type="dxa"/>
            <w:vAlign w:val="center"/>
          </w:tcPr>
          <w:p>
            <w:pPr>
              <w:spacing w:before="29" w:line="288" w:lineRule="auto"/>
              <w:jc w:val="center"/>
              <w:rPr>
                <w:b/>
                <w:color w:val="000000"/>
                <w:sz w:val="24"/>
              </w:rPr>
            </w:pPr>
            <w:r>
              <w:rPr>
                <w:rFonts w:hint="eastAsia"/>
                <w:b/>
                <w:color w:val="000000"/>
                <w:sz w:val="24"/>
              </w:rPr>
              <w:t>实收基金</w:t>
            </w:r>
          </w:p>
        </w:tc>
        <w:tc>
          <w:tcPr>
            <w:tcW w:w="2197" w:type="dxa"/>
          </w:tcPr>
          <w:p>
            <w:pPr>
              <w:spacing w:before="29" w:line="288" w:lineRule="auto"/>
              <w:jc w:val="center"/>
              <w:rPr>
                <w:b/>
                <w:color w:val="000000"/>
                <w:sz w:val="24"/>
              </w:rPr>
            </w:pPr>
            <w:r>
              <w:rPr>
                <w:rFonts w:hint="eastAsia"/>
                <w:b/>
                <w:color w:val="000000"/>
                <w:sz w:val="24"/>
              </w:rPr>
              <w:t>未分配利润</w:t>
            </w:r>
          </w:p>
        </w:tc>
        <w:tc>
          <w:tcPr>
            <w:tcW w:w="2197" w:type="dxa"/>
            <w:vAlign w:val="center"/>
          </w:tcPr>
          <w:p>
            <w:pPr>
              <w:spacing w:before="29" w:line="288" w:lineRule="auto"/>
              <w:jc w:val="center"/>
              <w:rPr>
                <w:b/>
                <w:color w:val="000000"/>
                <w:sz w:val="24"/>
              </w:rPr>
            </w:pPr>
            <w:r>
              <w:rPr>
                <w:rFonts w:hint="eastAsia"/>
                <w:b/>
                <w:color w:val="000000"/>
                <w:sz w:val="24"/>
              </w:rPr>
              <w:t>所有者权益合计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一、期初所有者权益（基金净值）</w:t>
            </w:r>
          </w:p>
        </w:tc>
        <w:tc>
          <w:tcPr>
            <w:tcW w:w="2196" w:type="dxa"/>
            <w:vAlign w:val="center"/>
          </w:tcPr>
          <w:p>
            <w:pPr>
              <w:spacing w:before="29" w:line="288" w:lineRule="auto"/>
              <w:jc w:val="right"/>
              <w:rPr>
                <w:color w:val="000000"/>
                <w:sz w:val="24"/>
              </w:rPr>
            </w:pPr>
            <w:r>
              <w:rPr>
                <w:color w:val="000000"/>
                <w:sz w:val="24"/>
              </w:rPr>
              <w:t>1,498,034,964.65</w:t>
            </w:r>
          </w:p>
        </w:tc>
        <w:tc>
          <w:tcPr>
            <w:tcW w:w="2197" w:type="dxa"/>
            <w:vAlign w:val="center"/>
          </w:tcPr>
          <w:p>
            <w:pPr>
              <w:spacing w:before="29" w:line="288" w:lineRule="auto"/>
              <w:jc w:val="right"/>
              <w:rPr>
                <w:color w:val="000000"/>
                <w:sz w:val="24"/>
              </w:rPr>
            </w:pPr>
            <w:r>
              <w:rPr>
                <w:color w:val="000000"/>
                <w:sz w:val="24"/>
              </w:rPr>
              <w:t>1,067,393,127.25</w:t>
            </w:r>
          </w:p>
        </w:tc>
        <w:tc>
          <w:tcPr>
            <w:tcW w:w="2197" w:type="dxa"/>
            <w:vAlign w:val="center"/>
          </w:tcPr>
          <w:p>
            <w:pPr>
              <w:spacing w:before="29" w:line="288" w:lineRule="auto"/>
              <w:jc w:val="right"/>
              <w:rPr>
                <w:color w:val="000000"/>
                <w:sz w:val="24"/>
              </w:rPr>
            </w:pPr>
            <w:r>
              <w:rPr>
                <w:color w:val="000000"/>
                <w:sz w:val="24"/>
              </w:rPr>
              <w:t>2,565,428,091.90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1,711,540,074.02</w:t>
            </w:r>
          </w:p>
        </w:tc>
        <w:tc>
          <w:tcPr>
            <w:tcW w:w="2197" w:type="dxa"/>
            <w:vAlign w:val="center"/>
          </w:tcPr>
          <w:p>
            <w:pPr>
              <w:spacing w:before="29" w:line="288" w:lineRule="auto"/>
              <w:jc w:val="right"/>
              <w:rPr>
                <w:color w:val="000000"/>
                <w:sz w:val="24"/>
              </w:rPr>
            </w:pPr>
            <w:r>
              <w:rPr>
                <w:color w:val="000000"/>
                <w:sz w:val="24"/>
              </w:rPr>
              <w:t>1,711,540,074.02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1,014,406,031.26</w:t>
            </w:r>
          </w:p>
        </w:tc>
        <w:tc>
          <w:tcPr>
            <w:tcW w:w="2197" w:type="dxa"/>
            <w:vAlign w:val="center"/>
          </w:tcPr>
          <w:p>
            <w:pPr>
              <w:spacing w:before="29" w:line="288" w:lineRule="auto"/>
              <w:jc w:val="right"/>
              <w:rPr>
                <w:color w:val="000000"/>
                <w:sz w:val="24"/>
              </w:rPr>
            </w:pPr>
            <w:r>
              <w:rPr>
                <w:color w:val="000000"/>
                <w:sz w:val="24"/>
              </w:rPr>
              <w:t>1,517,999,373.89</w:t>
            </w:r>
          </w:p>
        </w:tc>
        <w:tc>
          <w:tcPr>
            <w:tcW w:w="2197" w:type="dxa"/>
            <w:vAlign w:val="center"/>
          </w:tcPr>
          <w:p>
            <w:pPr>
              <w:spacing w:before="29" w:line="288" w:lineRule="auto"/>
              <w:jc w:val="right"/>
              <w:rPr>
                <w:color w:val="000000"/>
                <w:sz w:val="24"/>
              </w:rPr>
            </w:pPr>
            <w:r>
              <w:rPr>
                <w:color w:val="000000"/>
                <w:sz w:val="24"/>
              </w:rPr>
              <w:t>2,532,405,405.15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pPr>
              <w:spacing w:before="29" w:line="288" w:lineRule="auto"/>
              <w:jc w:val="right"/>
              <w:rPr>
                <w:color w:val="000000"/>
                <w:sz w:val="24"/>
              </w:rPr>
            </w:pPr>
            <w:r>
              <w:rPr>
                <w:color w:val="000000"/>
                <w:sz w:val="24"/>
              </w:rPr>
              <w:t>2,560,952,268.77</w:t>
            </w:r>
          </w:p>
        </w:tc>
        <w:tc>
          <w:tcPr>
            <w:tcW w:w="2197" w:type="dxa"/>
            <w:vAlign w:val="center"/>
          </w:tcPr>
          <w:p>
            <w:pPr>
              <w:spacing w:line="360" w:lineRule="auto"/>
              <w:jc w:val="right"/>
              <w:rPr>
                <w:color w:val="000000"/>
                <w:sz w:val="24"/>
              </w:rPr>
            </w:pPr>
            <w:r>
              <w:rPr>
                <w:color w:val="000000"/>
                <w:sz w:val="24"/>
              </w:rPr>
              <w:t>3,547,859,444.88</w:t>
            </w:r>
          </w:p>
        </w:tc>
        <w:tc>
          <w:tcPr>
            <w:tcW w:w="2197" w:type="dxa"/>
            <w:vAlign w:val="center"/>
          </w:tcPr>
          <w:p>
            <w:pPr>
              <w:spacing w:line="360" w:lineRule="auto"/>
              <w:jc w:val="right"/>
              <w:rPr>
                <w:color w:val="000000"/>
                <w:sz w:val="24"/>
              </w:rPr>
            </w:pPr>
            <w:r>
              <w:rPr>
                <w:color w:val="000000"/>
                <w:sz w:val="24"/>
              </w:rPr>
              <w:t>6,108,811,713.65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pPr>
              <w:spacing w:before="29" w:line="288" w:lineRule="auto"/>
              <w:jc w:val="right"/>
              <w:rPr>
                <w:color w:val="000000"/>
                <w:sz w:val="24"/>
              </w:rPr>
            </w:pPr>
            <w:r>
              <w:rPr>
                <w:color w:val="000000"/>
                <w:sz w:val="24"/>
              </w:rPr>
              <w:t>-1,546,546,237.51</w:t>
            </w:r>
          </w:p>
        </w:tc>
        <w:tc>
          <w:tcPr>
            <w:tcW w:w="2197" w:type="dxa"/>
            <w:vAlign w:val="center"/>
          </w:tcPr>
          <w:p>
            <w:pPr>
              <w:spacing w:before="29" w:line="288" w:lineRule="auto"/>
              <w:jc w:val="right"/>
              <w:rPr>
                <w:color w:val="000000"/>
                <w:sz w:val="24"/>
              </w:rPr>
            </w:pPr>
            <w:r>
              <w:rPr>
                <w:color w:val="000000"/>
                <w:sz w:val="24"/>
              </w:rPr>
              <w:t>-2,029,860,070.99</w:t>
            </w:r>
          </w:p>
        </w:tc>
        <w:tc>
          <w:tcPr>
            <w:tcW w:w="2197" w:type="dxa"/>
            <w:vAlign w:val="center"/>
          </w:tcPr>
          <w:p>
            <w:pPr>
              <w:spacing w:before="29" w:line="288" w:lineRule="auto"/>
              <w:jc w:val="right"/>
              <w:rPr>
                <w:color w:val="000000"/>
                <w:sz w:val="24"/>
              </w:rPr>
            </w:pPr>
            <w:r>
              <w:rPr>
                <w:color w:val="000000"/>
                <w:sz w:val="24"/>
              </w:rPr>
              <w:t>-3,576,406,308.50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五、期末所有者权益（基金净值）</w:t>
            </w:r>
          </w:p>
        </w:tc>
        <w:tc>
          <w:tcPr>
            <w:tcW w:w="2196" w:type="dxa"/>
            <w:vAlign w:val="center"/>
          </w:tcPr>
          <w:p>
            <w:pPr>
              <w:spacing w:before="29" w:line="288" w:lineRule="auto"/>
              <w:jc w:val="right"/>
              <w:rPr>
                <w:color w:val="000000"/>
                <w:sz w:val="24"/>
              </w:rPr>
            </w:pPr>
            <w:r>
              <w:rPr>
                <w:color w:val="000000"/>
                <w:sz w:val="24"/>
              </w:rPr>
              <w:t>2,512,440,995.91</w:t>
            </w:r>
          </w:p>
        </w:tc>
        <w:tc>
          <w:tcPr>
            <w:tcW w:w="2197" w:type="dxa"/>
            <w:vAlign w:val="center"/>
          </w:tcPr>
          <w:p>
            <w:pPr>
              <w:spacing w:before="29" w:line="288" w:lineRule="auto"/>
              <w:jc w:val="right"/>
              <w:rPr>
                <w:color w:val="000000"/>
                <w:sz w:val="24"/>
              </w:rPr>
            </w:pPr>
            <w:r>
              <w:rPr>
                <w:color w:val="000000"/>
                <w:sz w:val="24"/>
              </w:rPr>
              <w:t>4,296,932,575.16</w:t>
            </w:r>
          </w:p>
        </w:tc>
        <w:tc>
          <w:tcPr>
            <w:tcW w:w="2197" w:type="dxa"/>
            <w:vAlign w:val="center"/>
          </w:tcPr>
          <w:p>
            <w:pPr>
              <w:spacing w:before="29" w:line="288" w:lineRule="auto"/>
              <w:jc w:val="right"/>
              <w:rPr>
                <w:color w:val="000000"/>
                <w:sz w:val="24"/>
              </w:rPr>
            </w:pPr>
            <w:r>
              <w:rPr>
                <w:color w:val="000000"/>
                <w:sz w:val="24"/>
              </w:rPr>
              <w:t>6,809,373,571.07</w:t>
            </w:r>
          </w:p>
        </w:tc>
      </w:tr>
    </w:tbl>
    <w:p>
      <w:pPr>
        <w:spacing w:before="29" w:line="288" w:lineRule="auto"/>
        <w:rPr>
          <w:sz w:val="24"/>
        </w:rPr>
      </w:pPr>
      <w:r>
        <w:rPr>
          <w:rFonts w:hint="eastAsia"/>
          <w:sz w:val="24"/>
        </w:rPr>
        <w:t>报表附注为财务报表的组成部分。</w:t>
      </w:r>
    </w:p>
    <w:p>
      <w:pPr>
        <w:spacing w:before="29" w:line="288" w:lineRule="auto"/>
        <w:rPr>
          <w:sz w:val="24"/>
        </w:rPr>
      </w:pPr>
      <w:r>
        <w:rPr>
          <w:rFonts w:hint="eastAsia"/>
          <w:sz w:val="24"/>
        </w:rPr>
        <w:t>本报告页码（序号）从7.1至7.4，财务报表由下列负责人签署：</w:t>
      </w:r>
    </w:p>
    <w:p>
      <w:pPr>
        <w:spacing w:before="29" w:line="288" w:lineRule="auto"/>
        <w:rPr>
          <w:sz w:val="24"/>
        </w:rPr>
      </w:pPr>
      <w:r>
        <w:rPr>
          <w:rFonts w:hint="eastAsia"/>
          <w:sz w:val="24"/>
        </w:rPr>
        <w:t>基金管理人负责人：谢卫，主管会计工作负责人：夏华龙，会计机构负责人：单江</w:t>
      </w:r>
    </w:p>
    <w:p>
      <w:pPr>
        <w:spacing w:line="360" w:lineRule="auto"/>
        <w:ind w:firstLine="420" w:firstLineChars="200"/>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28" w:name="_Toc361324876"/>
      <w:bookmarkStart w:id="129" w:name="_Toc67596611"/>
      <w:bookmarkStart w:id="130" w:name="_Toc225498271"/>
      <w:r>
        <w:rPr>
          <w:rFonts w:ascii="Times New Roman" w:hAnsi="Times New Roman"/>
          <w:kern w:val="0"/>
          <w:szCs w:val="24"/>
        </w:rPr>
        <w:t xml:space="preserve">7.4 </w:t>
      </w:r>
      <w:r>
        <w:rPr>
          <w:rFonts w:hint="eastAsia" w:ascii="Times New Roman" w:hAnsi="Times New Roman"/>
          <w:kern w:val="0"/>
          <w:szCs w:val="24"/>
        </w:rPr>
        <w:t>报表附注</w:t>
      </w:r>
      <w:bookmarkEnd w:id="128"/>
      <w:bookmarkEnd w:id="129"/>
      <w:bookmarkEnd w:id="130"/>
    </w:p>
    <w:p>
      <w:pPr>
        <w:pStyle w:val="3"/>
        <w:spacing w:before="29" w:after="0" w:line="288" w:lineRule="auto"/>
        <w:rPr>
          <w:rFonts w:ascii="Times New Roman" w:hAnsi="Times New Roman"/>
          <w:kern w:val="0"/>
          <w:szCs w:val="24"/>
        </w:rPr>
      </w:pPr>
      <w:bookmarkStart w:id="131" w:name="_Toc67596612"/>
      <w:r>
        <w:rPr>
          <w:rFonts w:ascii="Times New Roman" w:hAnsi="Times New Roman"/>
          <w:kern w:val="0"/>
          <w:szCs w:val="24"/>
        </w:rPr>
        <w:t>7.4.1</w:t>
      </w:r>
      <w:r>
        <w:rPr>
          <w:rFonts w:hint="eastAsia" w:ascii="Times New Roman" w:hAnsi="Times New Roman"/>
          <w:kern w:val="0"/>
          <w:szCs w:val="24"/>
        </w:rPr>
        <w:t>基金基本情况</w:t>
      </w:r>
      <w:bookmarkEnd w:id="131"/>
    </w:p>
    <w:p>
      <w:pPr>
        <w:spacing w:before="29" w:line="288" w:lineRule="auto"/>
        <w:ind w:firstLine="480" w:firstLineChars="200"/>
        <w:rPr>
          <w:color w:val="000000"/>
          <w:sz w:val="24"/>
        </w:rPr>
      </w:pPr>
      <w:r>
        <w:rPr>
          <w:color w:val="000000"/>
          <w:sz w:val="24"/>
        </w:rPr>
        <w:t>交银施罗德新成长混合型证券投资基金(原名为交银施罗德新成长股票型证券投资基金，以下简称“本基金”)经中国证券监督管理委员会(以下简称“中国证监会”)证监许可[2014]277号文《关于核准交银施罗德新成长股票型证券投资基金募集的批复》核准，由交银施罗德基金管理有限公司依照《中华人民共和国证券投资基金法》和《交银施罗德新成长股票型证券投资基金基金合同》负责公开募集。本基金为契约型开放式，存续期限不定，首次设立募集不包括认购资金利息共募集人民币391,435,381.91元，业经普华永道中天会计师事务所(特殊普通合伙)普华永道中天验字(2014)第240号验资报告予以验证。经向中国证监会备案，《交银施罗德新成长股票型证券投资基金基金合同》于2014年5月9日正式生效，基金合同生效日的基金份额总额为391,615,340.98份基金份额，其中认购资金利息折合179,959.07份基金份额。本基金的基金管理人为交银施罗德基金管理有限公司，基金托管人为招商银行股份有限公司。</w:t>
      </w:r>
    </w:p>
    <w:p>
      <w:pPr>
        <w:spacing w:before="29" w:line="288" w:lineRule="auto"/>
        <w:ind w:firstLine="480" w:firstLineChars="200"/>
        <w:rPr>
          <w:color w:val="000000"/>
          <w:sz w:val="24"/>
        </w:rPr>
      </w:pPr>
      <w:r>
        <w:rPr>
          <w:color w:val="000000"/>
          <w:sz w:val="24"/>
        </w:rPr>
        <w:t>根据2014年中国证监会令第104号《公开募集证券投资基金运作管理办法》及基金管理人于2015年8月5日发布的《交银施罗德基金管理有限公司关于旗下部分基金变更基金类别及修改基金名称并相应修改基金合同和托管协议的公告》，交银施罗德新成长股票型证券投资基金自2015年8月8日起更名为交银施罗德新成长混合型证券投资基金。 根据《中华人民共和国证券投资基金法》和《交银施罗德新成长混合型证券投资基金基金合同》的有关规定，本基金的投资范围为具有良好流动性的金融工具，包括国内依法发行上市的股票(含中小板、创业板及其他经中国证监会核准上市的股票、存托凭证)、债券、中期票据、货币市场工具、权证、资产支持证券、股指期货以及法律法规或中国证监会允许基金投资的其他金融工具(但须符合中国证监会相关规定)。基金的投资组合比例为：股票资产(含存托凭证)占基金资产的60%-95%，其中投资于经过严格品质筛选、未来预期成长性良好的公司股票不低于非现金基金资产的80%；其余资产投资于债券、中期票据、货币市场工具、权证、资产支持证券、股指期货以及法律法规或中国证监会允许基金投资的其他证券品种；每个交易日日终在扣除股指期货合约需缴纳的交易保证金后，基金保留的现金或者投资于到期日在一年以内的政府债券的比例合计不低于基金资产净值的5%，其中现金不包括结算备付金，存出保证金和应收申购款等。自基金合同生效日至2015年9月30日，本基金的业绩比较基准为：75%×富时中国A600成长指数+25%×中信标普全债指数。根据本基金的基金管理人于2015年9月28日发布的《交银施罗德基金管理有限公司关于旗下部分基金业绩比较基准变更并修改基金合同相关内容的公告》，自2015年10月1日起，本基金的业绩比较基准变更为：本基金的业绩比较基准为75%×富时中国A600成长指数+25%×中证综合债券指数。</w:t>
      </w:r>
    </w:p>
    <w:p>
      <w:pPr>
        <w:spacing w:before="29" w:line="288" w:lineRule="auto"/>
        <w:ind w:firstLine="480" w:firstLineChars="200"/>
        <w:rPr>
          <w:color w:val="000000"/>
          <w:sz w:val="24"/>
        </w:rPr>
      </w:pPr>
      <w:r>
        <w:rPr>
          <w:color w:val="000000"/>
          <w:sz w:val="24"/>
        </w:rPr>
        <w:t>本财务报表由本基金的基金管理人交银施罗德基金管理有限公司于2021年3月26日批准报出。</w:t>
      </w:r>
    </w:p>
    <w:p>
      <w:pPr>
        <w:tabs>
          <w:tab w:val="left" w:pos="2265"/>
        </w:tabs>
        <w:spacing w:line="360" w:lineRule="auto"/>
        <w:ind w:firstLine="420" w:firstLineChars="200"/>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32" w:name="_Toc67596613"/>
      <w:r>
        <w:rPr>
          <w:rFonts w:ascii="Times New Roman" w:hAnsi="Times New Roman"/>
          <w:kern w:val="0"/>
          <w:szCs w:val="24"/>
        </w:rPr>
        <w:t>7.4.2</w:t>
      </w:r>
      <w:r>
        <w:rPr>
          <w:rFonts w:hint="eastAsia" w:ascii="Times New Roman" w:hAnsi="Times New Roman"/>
          <w:kern w:val="0"/>
          <w:szCs w:val="24"/>
        </w:rPr>
        <w:t>会计报表的编制基础</w:t>
      </w:r>
      <w:bookmarkEnd w:id="132"/>
    </w:p>
    <w:p>
      <w:pPr>
        <w:spacing w:before="29" w:line="288" w:lineRule="auto"/>
        <w:ind w:firstLine="480" w:firstLineChars="200"/>
        <w:rPr>
          <w:color w:val="000000"/>
          <w:sz w:val="24"/>
        </w:rPr>
      </w:pPr>
      <w:r>
        <w:rPr>
          <w:color w:val="000000"/>
          <w:sz w:val="24"/>
        </w:rPr>
        <w:t>本基金的财务报表按照财政部于2006年2月15日及以后期间颁布的《企业会计准则－基本准则》、各项具体会计准则及相关规定(以下合称“企业会计准则”)、中国证监会颁布的《证券投资基金信息披露XBRL模板第3号&lt;年度报告和中期报告&gt;》、中国证券投资基金业协会(以下简称“中国基金业协会”)颁布的《证券投资基金会计核算业务指引》、《交银施罗德新成长混合型证券投资基金基金合同》和在财务报表附注7.4.4所列示的中国证监会、中国基金业协会发布的有关规定及允许的基金行业实务操作编制。</w:t>
      </w:r>
    </w:p>
    <w:p>
      <w:pPr>
        <w:spacing w:before="29" w:line="288" w:lineRule="auto"/>
        <w:ind w:firstLine="480" w:firstLineChars="200"/>
        <w:rPr>
          <w:color w:val="000000"/>
          <w:sz w:val="24"/>
        </w:rPr>
      </w:pPr>
      <w:r>
        <w:rPr>
          <w:color w:val="000000"/>
          <w:sz w:val="24"/>
        </w:rPr>
        <w:t>本财务报表以持续经营为基础编制。</w:t>
      </w:r>
    </w:p>
    <w:p>
      <w:pPr>
        <w:spacing w:line="360" w:lineRule="auto"/>
        <w:ind w:firstLine="422" w:firstLineChars="200"/>
        <w:rPr>
          <w:rFonts w:asciiTheme="minorEastAsia" w:hAnsiTheme="minorEastAsia" w:eastAsiaTheme="minorEastAsia"/>
          <w:b/>
          <w:color w:val="000000"/>
          <w:szCs w:val="21"/>
        </w:rPr>
      </w:pPr>
    </w:p>
    <w:p>
      <w:pPr>
        <w:pStyle w:val="3"/>
        <w:spacing w:before="29" w:after="0" w:line="288" w:lineRule="auto"/>
        <w:rPr>
          <w:rFonts w:ascii="Times New Roman" w:hAnsi="Times New Roman"/>
          <w:kern w:val="0"/>
          <w:szCs w:val="24"/>
        </w:rPr>
      </w:pPr>
      <w:bookmarkStart w:id="133" w:name="_Toc67596614"/>
      <w:r>
        <w:rPr>
          <w:rFonts w:ascii="Times New Roman" w:hAnsi="Times New Roman"/>
          <w:kern w:val="0"/>
          <w:szCs w:val="24"/>
        </w:rPr>
        <w:t>7.4.3</w:t>
      </w:r>
      <w:r>
        <w:rPr>
          <w:rFonts w:hint="eastAsia" w:ascii="Times New Roman" w:hAnsi="Times New Roman"/>
          <w:kern w:val="0"/>
          <w:szCs w:val="24"/>
        </w:rPr>
        <w:t>遵循企业会计准则及其他有关规定的声明</w:t>
      </w:r>
      <w:bookmarkEnd w:id="133"/>
    </w:p>
    <w:p>
      <w:pPr>
        <w:spacing w:before="29" w:line="288" w:lineRule="auto"/>
        <w:ind w:firstLine="480" w:firstLineChars="200"/>
        <w:rPr>
          <w:color w:val="000000"/>
          <w:sz w:val="24"/>
        </w:rPr>
      </w:pPr>
      <w:r>
        <w:rPr>
          <w:color w:val="000000"/>
          <w:sz w:val="24"/>
        </w:rPr>
        <w:t>本基金2020年度财务报表符合企业会计准则的要求，真实、完整地反映了本基金2020年12月31日的财务状况以及2020年度的经营成果和基金净值变动情况等有关信息。</w:t>
      </w:r>
    </w:p>
    <w:p>
      <w:pPr>
        <w:spacing w:line="360" w:lineRule="auto"/>
        <w:ind w:firstLine="422" w:firstLineChars="200"/>
        <w:rPr>
          <w:rFonts w:asciiTheme="minorEastAsia" w:hAnsiTheme="minorEastAsia" w:eastAsiaTheme="minorEastAsia"/>
          <w:b/>
          <w:color w:val="000000"/>
          <w:szCs w:val="21"/>
        </w:rPr>
      </w:pPr>
    </w:p>
    <w:p>
      <w:pPr>
        <w:pStyle w:val="3"/>
        <w:spacing w:before="29" w:after="0" w:line="288" w:lineRule="auto"/>
        <w:rPr>
          <w:rFonts w:ascii="Times New Roman" w:hAnsi="Times New Roman"/>
          <w:kern w:val="0"/>
          <w:szCs w:val="24"/>
        </w:rPr>
      </w:pPr>
      <w:bookmarkStart w:id="134" w:name="_Toc67596615"/>
      <w:r>
        <w:rPr>
          <w:rFonts w:ascii="Times New Roman" w:hAnsi="Times New Roman"/>
          <w:kern w:val="0"/>
          <w:szCs w:val="24"/>
        </w:rPr>
        <w:t>7.4.4</w:t>
      </w:r>
      <w:r>
        <w:rPr>
          <w:rFonts w:hint="eastAsia" w:ascii="Times New Roman" w:hAnsi="Times New Roman"/>
          <w:kern w:val="0"/>
          <w:szCs w:val="24"/>
        </w:rPr>
        <w:t>重要会计政策和会计估计</w:t>
      </w:r>
      <w:bookmarkEnd w:id="134"/>
    </w:p>
    <w:p>
      <w:pPr>
        <w:pStyle w:val="3"/>
        <w:spacing w:before="29" w:after="0" w:line="288" w:lineRule="auto"/>
        <w:rPr>
          <w:rFonts w:ascii="Times New Roman" w:hAnsi="Times New Roman"/>
          <w:kern w:val="0"/>
          <w:szCs w:val="24"/>
        </w:rPr>
      </w:pPr>
      <w:bookmarkStart w:id="135" w:name="_Toc67596616"/>
      <w:r>
        <w:rPr>
          <w:rFonts w:ascii="Times New Roman" w:hAnsi="Times New Roman"/>
          <w:kern w:val="0"/>
          <w:szCs w:val="24"/>
        </w:rPr>
        <w:t>7.4.4.1</w:t>
      </w:r>
      <w:r>
        <w:rPr>
          <w:rFonts w:hint="eastAsia" w:ascii="Times New Roman" w:hAnsi="Times New Roman"/>
          <w:kern w:val="0"/>
          <w:szCs w:val="24"/>
        </w:rPr>
        <w:t>会计年度</w:t>
      </w:r>
      <w:bookmarkEnd w:id="135"/>
    </w:p>
    <w:p>
      <w:pPr>
        <w:spacing w:before="29" w:line="288" w:lineRule="auto"/>
        <w:ind w:firstLine="480" w:firstLineChars="200"/>
        <w:rPr>
          <w:color w:val="000000"/>
          <w:sz w:val="24"/>
        </w:rPr>
      </w:pPr>
      <w:r>
        <w:rPr>
          <w:color w:val="000000"/>
          <w:sz w:val="24"/>
        </w:rPr>
        <w:t>本基金会计年度为公历1月1日起至12月31日止。</w:t>
      </w:r>
    </w:p>
    <w:p>
      <w:pPr>
        <w:spacing w:line="360" w:lineRule="auto"/>
        <w:ind w:firstLine="422" w:firstLineChars="200"/>
        <w:rPr>
          <w:rFonts w:asciiTheme="minorEastAsia" w:hAnsiTheme="minorEastAsia" w:eastAsiaTheme="minorEastAsia"/>
          <w:b/>
          <w:color w:val="000000"/>
          <w:szCs w:val="21"/>
        </w:rPr>
      </w:pPr>
    </w:p>
    <w:p>
      <w:pPr>
        <w:pStyle w:val="3"/>
        <w:spacing w:before="29" w:after="0" w:line="288" w:lineRule="auto"/>
        <w:rPr>
          <w:rFonts w:ascii="Times New Roman" w:hAnsi="Times New Roman"/>
          <w:kern w:val="0"/>
          <w:szCs w:val="24"/>
        </w:rPr>
      </w:pPr>
      <w:bookmarkStart w:id="136" w:name="_Toc67596617"/>
      <w:r>
        <w:rPr>
          <w:rFonts w:ascii="Times New Roman" w:hAnsi="Times New Roman"/>
          <w:kern w:val="0"/>
          <w:szCs w:val="24"/>
        </w:rPr>
        <w:t xml:space="preserve">7.4.4.2 </w:t>
      </w:r>
      <w:r>
        <w:rPr>
          <w:rFonts w:hint="eastAsia" w:ascii="Times New Roman" w:hAnsi="Times New Roman"/>
          <w:kern w:val="0"/>
          <w:szCs w:val="24"/>
        </w:rPr>
        <w:t>记账本位币</w:t>
      </w:r>
      <w:bookmarkEnd w:id="136"/>
    </w:p>
    <w:p>
      <w:pPr>
        <w:spacing w:before="29" w:line="288" w:lineRule="auto"/>
        <w:ind w:firstLine="480" w:firstLineChars="200"/>
        <w:rPr>
          <w:color w:val="000000"/>
          <w:sz w:val="24"/>
        </w:rPr>
      </w:pPr>
      <w:r>
        <w:rPr>
          <w:color w:val="000000"/>
          <w:sz w:val="24"/>
        </w:rPr>
        <w:t>本基金的记账本位币为人民币。</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37" w:name="_Toc67596618"/>
      <w:r>
        <w:rPr>
          <w:rFonts w:ascii="Times New Roman" w:hAnsi="Times New Roman"/>
          <w:kern w:val="0"/>
          <w:szCs w:val="24"/>
        </w:rPr>
        <w:t xml:space="preserve">7.4.4.3 </w:t>
      </w:r>
      <w:r>
        <w:rPr>
          <w:rFonts w:hint="eastAsia" w:ascii="Times New Roman" w:hAnsi="Times New Roman"/>
          <w:kern w:val="0"/>
          <w:szCs w:val="24"/>
        </w:rPr>
        <w:t>金融资产和金融负债的分类</w:t>
      </w:r>
      <w:bookmarkEnd w:id="137"/>
    </w:p>
    <w:p>
      <w:pPr>
        <w:spacing w:before="29" w:line="288" w:lineRule="auto"/>
        <w:ind w:firstLine="480" w:firstLineChars="200"/>
        <w:rPr>
          <w:color w:val="000000"/>
          <w:sz w:val="24"/>
        </w:rPr>
      </w:pPr>
      <w:r>
        <w:rPr>
          <w:color w:val="000000"/>
          <w:sz w:val="24"/>
        </w:rPr>
        <w:t>(1) 金融资产的分类</w:t>
      </w:r>
    </w:p>
    <w:p>
      <w:pPr>
        <w:spacing w:before="29" w:line="288" w:lineRule="auto"/>
        <w:ind w:firstLine="480" w:firstLineChars="20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pPr>
        <w:spacing w:before="29" w:line="288" w:lineRule="auto"/>
        <w:ind w:firstLine="480" w:firstLineChars="20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pPr>
        <w:spacing w:before="29" w:line="288" w:lineRule="auto"/>
        <w:ind w:firstLine="480" w:firstLineChars="20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pPr>
        <w:spacing w:before="29" w:line="288" w:lineRule="auto"/>
        <w:ind w:firstLine="480" w:firstLineChars="200"/>
        <w:rPr>
          <w:color w:val="000000"/>
          <w:sz w:val="24"/>
        </w:rPr>
      </w:pPr>
      <w:r>
        <w:rPr>
          <w:color w:val="000000"/>
          <w:sz w:val="24"/>
        </w:rPr>
        <w:t>(2) 金融负债的分类</w:t>
      </w:r>
    </w:p>
    <w:p>
      <w:pPr>
        <w:spacing w:before="29" w:line="288" w:lineRule="auto"/>
        <w:ind w:firstLine="480" w:firstLineChars="200"/>
        <w:rPr>
          <w:color w:val="000000"/>
          <w:sz w:val="24"/>
        </w:rPr>
      </w:pPr>
      <w:r>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38" w:name="_Toc67596619"/>
      <w:r>
        <w:rPr>
          <w:rFonts w:ascii="Times New Roman" w:hAnsi="Times New Roman"/>
          <w:kern w:val="0"/>
          <w:szCs w:val="24"/>
        </w:rPr>
        <w:t xml:space="preserve">7.4.4.4 </w:t>
      </w:r>
      <w:r>
        <w:rPr>
          <w:rFonts w:hint="eastAsia" w:ascii="Times New Roman" w:hAnsi="Times New Roman"/>
          <w:kern w:val="0"/>
          <w:szCs w:val="24"/>
        </w:rPr>
        <w:t>金融资产和金融负债的初始确认、后续计量和终止确认</w:t>
      </w:r>
      <w:bookmarkEnd w:id="138"/>
    </w:p>
    <w:p>
      <w:pPr>
        <w:spacing w:before="29" w:line="288" w:lineRule="auto"/>
        <w:ind w:firstLine="480" w:firstLineChars="200"/>
        <w:rPr>
          <w:rFonts w:asciiTheme="minorEastAsia" w:hAnsiTheme="minorEastAsia" w:eastAsia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pPr>
        <w:spacing w:before="29" w:line="288" w:lineRule="auto"/>
        <w:ind w:firstLine="480" w:firstLineChars="200"/>
        <w:rPr>
          <w:rFonts w:asciiTheme="minorEastAsia" w:hAnsiTheme="minorEastAsia" w:eastAsia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pPr>
        <w:spacing w:before="29" w:line="288" w:lineRule="auto"/>
        <w:ind w:firstLine="480" w:firstLineChars="200"/>
        <w:rPr>
          <w:rFonts w:asciiTheme="minorEastAsia" w:hAnsiTheme="minorEastAsia" w:eastAsiaTheme="minorEastAsia"/>
          <w:color w:val="000000"/>
          <w:szCs w:val="21"/>
        </w:rPr>
      </w:pPr>
      <w:r>
        <w:rPr>
          <w:color w:val="000000"/>
          <w:sz w:val="24"/>
        </w:rPr>
        <w:t>金融资产满足下列条件之一的，予以终止确认：(1) 收取该金融资产现金流量的合同权利终止；(2) 该金融资产已转移，且本基金将金融资产所有权上几乎所有的风险和报酬转移给转入方；或者(3) 该金融资产已转移，虽然本基金既没有转移也没有保留金融资产所有权上几乎所有的风险和报酬，但是放弃了对该金融资产控制。</w:t>
      </w:r>
    </w:p>
    <w:p>
      <w:pPr>
        <w:spacing w:before="29" w:line="288" w:lineRule="auto"/>
        <w:ind w:firstLine="480" w:firstLineChars="200"/>
        <w:rPr>
          <w:rFonts w:asciiTheme="minorEastAsia" w:hAnsiTheme="minorEastAsia" w:eastAsiaTheme="minorEastAsia"/>
          <w:color w:val="000000"/>
          <w:szCs w:val="21"/>
        </w:rPr>
      </w:pPr>
      <w:r>
        <w:rPr>
          <w:color w:val="000000"/>
          <w:sz w:val="24"/>
        </w:rPr>
        <w:t>金融资产终止确认时，其账面价值与收到的对价的差额，计入当期损益。</w:t>
      </w:r>
    </w:p>
    <w:p>
      <w:pPr>
        <w:spacing w:before="29" w:line="288" w:lineRule="auto"/>
        <w:ind w:firstLine="480" w:firstLineChars="200"/>
        <w:rPr>
          <w:rFonts w:asciiTheme="minorEastAsia" w:hAnsiTheme="minorEastAsia" w:eastAsiaTheme="minorEastAsia"/>
          <w:color w:val="000000"/>
          <w:szCs w:val="21"/>
        </w:rPr>
      </w:pPr>
      <w:r>
        <w:rPr>
          <w:color w:val="000000"/>
          <w:sz w:val="24"/>
        </w:rPr>
        <w:t>当金融负债的现时义务全部或部分已经解除时，终止确认该金融负债或义务已解除的部分。终止确认部分的账面价值与支付的对价之间的差额，计入当期损益。</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39" w:name="_Toc67596620"/>
      <w:r>
        <w:rPr>
          <w:rFonts w:ascii="Times New Roman" w:hAnsi="Times New Roman"/>
          <w:kern w:val="0"/>
          <w:szCs w:val="24"/>
        </w:rPr>
        <w:t xml:space="preserve">7.4.4.5 </w:t>
      </w:r>
      <w:r>
        <w:rPr>
          <w:rFonts w:hint="eastAsia" w:ascii="Times New Roman" w:hAnsi="Times New Roman"/>
          <w:kern w:val="0"/>
          <w:szCs w:val="24"/>
        </w:rPr>
        <w:t>金融资产和金融负债的估值原则</w:t>
      </w:r>
      <w:bookmarkEnd w:id="139"/>
    </w:p>
    <w:p>
      <w:pPr>
        <w:spacing w:before="29" w:line="288" w:lineRule="auto"/>
        <w:ind w:firstLine="480" w:firstLineChars="200"/>
        <w:rPr>
          <w:color w:val="000000"/>
          <w:sz w:val="24"/>
        </w:rPr>
      </w:pPr>
      <w:r>
        <w:rPr>
          <w:color w:val="000000"/>
          <w:sz w:val="24"/>
        </w:rPr>
        <w:t>本基金持有的股票投资、债券投资、资产支持证券投资和衍生工具按如下原则确定公允价值并进行估值：</w:t>
      </w:r>
    </w:p>
    <w:p>
      <w:pPr>
        <w:spacing w:before="29" w:line="288" w:lineRule="auto"/>
        <w:ind w:firstLine="480" w:firstLineChars="200"/>
        <w:rPr>
          <w:color w:val="000000"/>
          <w:sz w:val="24"/>
        </w:rPr>
      </w:pPr>
      <w:r>
        <w:rPr>
          <w:color w:val="000000"/>
          <w:sz w:val="24"/>
        </w:rPr>
        <w:t>(1) 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pPr>
        <w:spacing w:before="29" w:line="288" w:lineRule="auto"/>
        <w:ind w:firstLine="480" w:firstLineChars="200"/>
        <w:rPr>
          <w:color w:val="000000"/>
          <w:sz w:val="24"/>
        </w:rPr>
      </w:pPr>
      <w:r>
        <w:rPr>
          <w:color w:val="000000"/>
          <w:sz w:val="24"/>
        </w:rPr>
        <w:t>(2) 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pPr>
        <w:spacing w:before="29" w:line="288" w:lineRule="auto"/>
        <w:ind w:firstLine="480" w:firstLineChars="200"/>
        <w:rPr>
          <w:color w:val="000000"/>
          <w:sz w:val="24"/>
        </w:rPr>
      </w:pPr>
      <w:r>
        <w:rPr>
          <w:color w:val="000000"/>
          <w:sz w:val="24"/>
        </w:rPr>
        <w:t>(3) 如经济环境发生重大变化或证券发行人发生影响金融工具价格的重大事件，应对估值进行调整并确定公允价值。</w:t>
      </w:r>
    </w:p>
    <w:p>
      <w:pPr>
        <w:autoSpaceDE w:val="0"/>
        <w:autoSpaceDN w:val="0"/>
        <w:adjustRightInd w:val="0"/>
        <w:spacing w:line="360" w:lineRule="auto"/>
        <w:jc w:val="left"/>
        <w:rPr>
          <w:rFonts w:asciiTheme="minorEastAsia" w:hAnsiTheme="minorEastAsia" w:eastAsiaTheme="minorEastAsia"/>
          <w:b/>
          <w:color w:val="000000"/>
          <w:kern w:val="0"/>
          <w:szCs w:val="21"/>
        </w:rPr>
      </w:pPr>
    </w:p>
    <w:p>
      <w:pPr>
        <w:pStyle w:val="3"/>
        <w:spacing w:before="29" w:after="0" w:line="288" w:lineRule="auto"/>
        <w:rPr>
          <w:rFonts w:ascii="Times New Roman" w:hAnsi="Times New Roman"/>
          <w:kern w:val="0"/>
          <w:szCs w:val="24"/>
        </w:rPr>
      </w:pPr>
      <w:bookmarkStart w:id="140" w:name="_Toc67596621"/>
      <w:r>
        <w:rPr>
          <w:rFonts w:ascii="Times New Roman" w:hAnsi="Times New Roman"/>
          <w:kern w:val="0"/>
          <w:szCs w:val="24"/>
        </w:rPr>
        <w:t xml:space="preserve">7.4.4.6 </w:t>
      </w:r>
      <w:r>
        <w:rPr>
          <w:rFonts w:hint="eastAsia" w:ascii="Times New Roman" w:hAnsi="Times New Roman"/>
          <w:kern w:val="0"/>
          <w:szCs w:val="24"/>
        </w:rPr>
        <w:t>金融资产和金融负债的抵销</w:t>
      </w:r>
      <w:bookmarkEnd w:id="140"/>
    </w:p>
    <w:p>
      <w:pPr>
        <w:spacing w:before="29" w:line="288" w:lineRule="auto"/>
        <w:ind w:firstLine="480" w:firstLineChars="200"/>
        <w:rPr>
          <w:color w:val="000000"/>
          <w:sz w:val="24"/>
        </w:rPr>
      </w:pPr>
      <w:r>
        <w:rPr>
          <w:color w:val="000000"/>
          <w:sz w:val="24"/>
        </w:rPr>
        <w:t>本基金持有的资产和承担的负债基本为金融资产和金融负债。当本基金1) 具有抵销已确认金额的法定权利且该种法定权利现在是可执行的；且2) 交易双方准备按净额结算时，金融资产与金融负债按抵销后的净额在资产负债表中列示。</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1" w:name="_Toc67596622"/>
      <w:r>
        <w:rPr>
          <w:rFonts w:ascii="Times New Roman" w:hAnsi="Times New Roman"/>
          <w:kern w:val="0"/>
          <w:szCs w:val="24"/>
        </w:rPr>
        <w:t xml:space="preserve">7.4.4.7 </w:t>
      </w:r>
      <w:r>
        <w:rPr>
          <w:rFonts w:hint="eastAsia" w:ascii="Times New Roman" w:hAnsi="Times New Roman"/>
          <w:kern w:val="0"/>
          <w:szCs w:val="24"/>
        </w:rPr>
        <w:t>实收基金</w:t>
      </w:r>
      <w:bookmarkEnd w:id="141"/>
    </w:p>
    <w:p>
      <w:pPr>
        <w:spacing w:before="29" w:line="288" w:lineRule="auto"/>
        <w:ind w:firstLine="480" w:firstLineChars="200"/>
        <w:rPr>
          <w:color w:val="000000"/>
          <w:sz w:val="24"/>
        </w:rPr>
      </w:pPr>
      <w:r>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2" w:name="_Toc67596623"/>
      <w:r>
        <w:rPr>
          <w:rFonts w:ascii="Times New Roman" w:hAnsi="Times New Roman"/>
          <w:kern w:val="0"/>
          <w:szCs w:val="24"/>
        </w:rPr>
        <w:t xml:space="preserve">7.4.4.8 </w:t>
      </w:r>
      <w:r>
        <w:rPr>
          <w:rFonts w:hint="eastAsia" w:ascii="Times New Roman" w:hAnsi="Times New Roman"/>
          <w:kern w:val="0"/>
          <w:szCs w:val="24"/>
        </w:rPr>
        <w:t>损益平准金</w:t>
      </w:r>
      <w:bookmarkEnd w:id="142"/>
    </w:p>
    <w:p>
      <w:pPr>
        <w:spacing w:before="29" w:line="288" w:lineRule="auto"/>
        <w:ind w:firstLine="480" w:firstLineChars="200"/>
        <w:rPr>
          <w:color w:val="000000"/>
          <w:sz w:val="24"/>
        </w:rPr>
      </w:pPr>
      <w:r>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累计亏损)。</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heme="minorEastAsia" w:hAnsiTheme="minorEastAsia" w:eastAsiaTheme="minorEastAsia"/>
          <w:b w:val="0"/>
          <w:color w:val="000000"/>
          <w:kern w:val="0"/>
          <w:szCs w:val="21"/>
        </w:rPr>
      </w:pPr>
      <w:bookmarkStart w:id="143" w:name="_Toc67596624"/>
      <w:r>
        <w:rPr>
          <w:rFonts w:ascii="Times New Roman" w:hAnsi="Times New Roman"/>
          <w:kern w:val="0"/>
          <w:szCs w:val="24"/>
        </w:rPr>
        <w:t xml:space="preserve">7.4.4.9 </w:t>
      </w:r>
      <w:r>
        <w:rPr>
          <w:rFonts w:hint="eastAsia" w:ascii="Times New Roman" w:hAnsi="Times New Roman"/>
          <w:kern w:val="0"/>
          <w:szCs w:val="24"/>
        </w:rPr>
        <w:t>收入</w:t>
      </w:r>
      <w:r>
        <w:rPr>
          <w:rFonts w:ascii="Times New Roman" w:hAnsi="Times New Roman"/>
          <w:kern w:val="0"/>
          <w:szCs w:val="24"/>
        </w:rPr>
        <w:t>/(</w:t>
      </w:r>
      <w:r>
        <w:rPr>
          <w:rFonts w:hint="eastAsia" w:ascii="Times New Roman" w:hAnsi="Times New Roman"/>
          <w:kern w:val="0"/>
          <w:szCs w:val="24"/>
        </w:rPr>
        <w:t>损失</w:t>
      </w:r>
      <w:r>
        <w:rPr>
          <w:rFonts w:ascii="Times New Roman" w:hAnsi="Times New Roman"/>
          <w:kern w:val="0"/>
          <w:szCs w:val="24"/>
        </w:rPr>
        <w:t>)</w:t>
      </w:r>
      <w:r>
        <w:rPr>
          <w:rFonts w:hint="eastAsia" w:ascii="Times New Roman" w:hAnsi="Times New Roman"/>
          <w:kern w:val="0"/>
          <w:szCs w:val="24"/>
        </w:rPr>
        <w:t>的确认和计量</w:t>
      </w:r>
      <w:bookmarkEnd w:id="143"/>
    </w:p>
    <w:p>
      <w:pPr>
        <w:spacing w:before="29" w:line="288" w:lineRule="auto"/>
        <w:ind w:firstLine="480" w:firstLineChars="20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pPr>
        <w:spacing w:before="29" w:line="288" w:lineRule="auto"/>
        <w:ind w:firstLine="480" w:firstLineChars="20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pPr>
        <w:spacing w:before="29" w:line="288" w:lineRule="auto"/>
        <w:ind w:firstLine="480" w:firstLineChars="200"/>
        <w:rPr>
          <w:color w:val="000000"/>
          <w:sz w:val="24"/>
        </w:rPr>
      </w:pPr>
      <w:r>
        <w:rPr>
          <w:color w:val="000000"/>
          <w:sz w:val="24"/>
        </w:rPr>
        <w:t>应收款项在持有期间确认的利息收入按实际利率法计算，实际利率法与直线法差异较小的则按直线法计算。</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4" w:name="_Toc67596625"/>
      <w:r>
        <w:rPr>
          <w:rFonts w:ascii="Times New Roman" w:hAnsi="Times New Roman"/>
          <w:kern w:val="0"/>
          <w:szCs w:val="24"/>
        </w:rPr>
        <w:t xml:space="preserve">7.4.4.10 </w:t>
      </w:r>
      <w:r>
        <w:rPr>
          <w:rFonts w:hint="eastAsia" w:ascii="Times New Roman" w:hAnsi="Times New Roman"/>
          <w:kern w:val="0"/>
          <w:szCs w:val="24"/>
        </w:rPr>
        <w:t>费用的确认和计量</w:t>
      </w:r>
      <w:bookmarkEnd w:id="144"/>
    </w:p>
    <w:p>
      <w:pPr>
        <w:spacing w:before="29" w:line="288" w:lineRule="auto"/>
        <w:ind w:firstLine="480" w:firstLineChars="200"/>
        <w:rPr>
          <w:color w:val="000000"/>
          <w:sz w:val="24"/>
        </w:rPr>
      </w:pPr>
      <w:r>
        <w:rPr>
          <w:color w:val="000000"/>
          <w:sz w:val="24"/>
        </w:rPr>
        <w:t>本基金的管理人报酬和托管费在费用涵盖期间按基金合同约定的费率和计算方法逐日确认。</w:t>
      </w:r>
    </w:p>
    <w:p>
      <w:pPr>
        <w:spacing w:before="29" w:line="288" w:lineRule="auto"/>
        <w:ind w:firstLine="480" w:firstLineChars="200"/>
        <w:rPr>
          <w:color w:val="000000"/>
          <w:sz w:val="24"/>
        </w:rPr>
      </w:pPr>
      <w:r>
        <w:rPr>
          <w:color w:val="000000"/>
          <w:sz w:val="24"/>
        </w:rPr>
        <w:t>其他金融负债在持有期间确认的利息支出按实际利率法计算，实际利率法与直线法差异较小的则按直线法计算。</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5" w:name="_Toc67596626"/>
      <w:r>
        <w:rPr>
          <w:rFonts w:ascii="Times New Roman" w:hAnsi="Times New Roman"/>
          <w:kern w:val="0"/>
          <w:szCs w:val="24"/>
        </w:rPr>
        <w:t xml:space="preserve">7.4.4.11 </w:t>
      </w:r>
      <w:r>
        <w:rPr>
          <w:rFonts w:hint="eastAsia" w:ascii="Times New Roman" w:hAnsi="Times New Roman"/>
          <w:kern w:val="0"/>
          <w:szCs w:val="24"/>
        </w:rPr>
        <w:t>基金的收益分配政策</w:t>
      </w:r>
      <w:bookmarkEnd w:id="145"/>
    </w:p>
    <w:p>
      <w:pPr>
        <w:spacing w:before="29" w:line="288" w:lineRule="auto"/>
        <w:ind w:firstLine="480" w:firstLineChars="20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pPr>
        <w:spacing w:before="29" w:line="288" w:lineRule="auto"/>
        <w:ind w:firstLine="480" w:firstLineChars="200"/>
        <w:rPr>
          <w:color w:val="000000"/>
          <w:sz w:val="24"/>
        </w:rPr>
      </w:pPr>
      <w:r>
        <w:rPr>
          <w:color w:val="000000"/>
          <w:sz w:val="24"/>
        </w:rPr>
        <w:t>经宣告的拟分配基金收益于分红除权日从所有者权益转出。</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6" w:name="_Toc67596627"/>
      <w:r>
        <w:rPr>
          <w:rFonts w:ascii="Times New Roman" w:hAnsi="Times New Roman"/>
          <w:kern w:val="0"/>
          <w:szCs w:val="24"/>
        </w:rPr>
        <w:t xml:space="preserve">7.4.4.12 </w:t>
      </w:r>
      <w:r>
        <w:rPr>
          <w:rFonts w:hint="eastAsia" w:ascii="Times New Roman" w:hAnsi="Times New Roman"/>
          <w:kern w:val="0"/>
          <w:szCs w:val="24"/>
        </w:rPr>
        <w:t>分部报告</w:t>
      </w:r>
      <w:bookmarkEnd w:id="146"/>
    </w:p>
    <w:p>
      <w:pPr>
        <w:spacing w:before="29" w:line="288" w:lineRule="auto"/>
        <w:ind w:firstLine="480" w:firstLineChars="20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本基金以内部组织结构、管理要求、内部报告制度为依据确定经营分部，以经营分部为基础确定报告分部并披露分部信息。经营分部是指本基金内同时满足下列条件的组成部分：(1) 该组成部分能够在日常活动中产生收入、发生费用；(2) 本基金的基金管理人能够定期评价该组成部分的经营成果，以决定向其配置资源、评价其业绩；(3) 本基金能够取得该组成部分的财务状况、经营成果和现金流量等有关会计信息。如果两个或多个经营分部具有相似的经济特征，并且满足一定条件的，则合并为一个经营分部。</w:t>
      </w:r>
    </w:p>
    <w:p>
      <w:pPr>
        <w:spacing w:before="29" w:line="288" w:lineRule="auto"/>
        <w:ind w:firstLine="480" w:firstLineChars="200"/>
        <w:rPr>
          <w:color w:val="000000"/>
          <w:sz w:val="24"/>
        </w:rPr>
      </w:pPr>
      <w:r>
        <w:rPr>
          <w:color w:val="000000"/>
          <w:sz w:val="24"/>
        </w:rPr>
        <w:t>本基金目前以一个单一的经营分部运作，不需要披露分部信息。</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7" w:name="_Toc67596628"/>
      <w:r>
        <w:rPr>
          <w:rFonts w:ascii="Times New Roman" w:hAnsi="Times New Roman"/>
          <w:kern w:val="0"/>
          <w:szCs w:val="24"/>
        </w:rPr>
        <w:t xml:space="preserve">7.4.4.13 </w:t>
      </w:r>
      <w:r>
        <w:rPr>
          <w:rFonts w:hint="eastAsia" w:ascii="Times New Roman" w:hAnsi="Times New Roman"/>
          <w:kern w:val="0"/>
          <w:szCs w:val="24"/>
        </w:rPr>
        <w:t>其他重要的会计政策和会计估计</w:t>
      </w:r>
      <w:bookmarkEnd w:id="147"/>
    </w:p>
    <w:p>
      <w:pPr>
        <w:spacing w:before="29" w:line="288" w:lineRule="auto"/>
        <w:ind w:firstLine="480" w:firstLineChars="20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pPr>
        <w:spacing w:before="29" w:line="288" w:lineRule="auto"/>
        <w:ind w:firstLine="480" w:firstLineChars="200"/>
        <w:rPr>
          <w:color w:val="000000"/>
          <w:sz w:val="24"/>
        </w:rPr>
      </w:pPr>
      <w:r>
        <w:rPr>
          <w:color w:val="000000"/>
          <w:sz w:val="24"/>
        </w:rPr>
        <w:t>(1) 对于证券交易所上市的股票和债券，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市盈率法、现金流量折现法等估值技术进行估值。</w:t>
      </w:r>
    </w:p>
    <w:p>
      <w:pPr>
        <w:spacing w:before="29" w:line="288" w:lineRule="auto"/>
        <w:ind w:firstLine="480" w:firstLineChars="200"/>
        <w:rPr>
          <w:color w:val="000000"/>
          <w:sz w:val="24"/>
        </w:rPr>
      </w:pPr>
      <w:r>
        <w:rPr>
          <w:color w:val="000000"/>
          <w:sz w:val="24"/>
        </w:rPr>
        <w:t>(2) 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pPr>
        <w:spacing w:before="29" w:line="288" w:lineRule="auto"/>
        <w:ind w:firstLine="480" w:firstLineChars="200"/>
        <w:rPr>
          <w:color w:val="000000"/>
          <w:sz w:val="24"/>
        </w:rPr>
      </w:pPr>
      <w:r>
        <w:rPr>
          <w:color w:val="000000"/>
          <w:sz w:val="24"/>
        </w:rPr>
        <w:t>(3) 对于在证券交易所上市或挂牌转让的固定收益品种(可转换债券、可交换债券和私募债券除外)及在银行间同业市场交易的固定收益品种，根据中国证监会公告[2017]13号《中国证监会关于证券投资基金估值业务的指导意见》及《中国证券投资基金业协会估值核算工作小组关于2015年1季度固定收益品种的估值处理标准》采用估值技术确定公允价值。本基金持有的证券交易所上市或挂牌转让的固定收益品种(可转换债券、可交换债券和私募债券除外)，按照中证指数有限公司所独立提供的估值结果确定公允价值。本基金持有的银行间同业市场固定收益品种按照中债金融估值中心有限公司所独立提供的估值结果确定公允价值。</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8" w:name="_Toc67596629"/>
      <w:r>
        <w:rPr>
          <w:rFonts w:ascii="Times New Roman" w:hAnsi="Times New Roman"/>
          <w:kern w:val="0"/>
          <w:szCs w:val="24"/>
        </w:rPr>
        <w:t>7.4.5</w:t>
      </w:r>
      <w:r>
        <w:rPr>
          <w:rFonts w:hint="eastAsia" w:ascii="Times New Roman" w:hAnsi="Times New Roman"/>
          <w:kern w:val="0"/>
          <w:szCs w:val="24"/>
        </w:rPr>
        <w:t>会计政策和会计估计变更以及差错更正的说明</w:t>
      </w:r>
      <w:bookmarkEnd w:id="148"/>
    </w:p>
    <w:p>
      <w:pPr>
        <w:pStyle w:val="3"/>
        <w:spacing w:before="29" w:after="0" w:line="288" w:lineRule="auto"/>
        <w:rPr>
          <w:rFonts w:ascii="Times New Roman" w:hAnsi="Times New Roman"/>
          <w:kern w:val="0"/>
          <w:szCs w:val="24"/>
        </w:rPr>
      </w:pPr>
      <w:bookmarkStart w:id="149" w:name="_Toc67596630"/>
      <w:r>
        <w:rPr>
          <w:rFonts w:ascii="Times New Roman" w:hAnsi="Times New Roman"/>
          <w:kern w:val="0"/>
          <w:szCs w:val="24"/>
        </w:rPr>
        <w:t xml:space="preserve">7.4.5.1 </w:t>
      </w:r>
      <w:r>
        <w:rPr>
          <w:rFonts w:hint="eastAsia" w:ascii="Times New Roman" w:hAnsi="Times New Roman"/>
          <w:kern w:val="0"/>
          <w:szCs w:val="24"/>
        </w:rPr>
        <w:t>会计政策变更的说明</w:t>
      </w:r>
      <w:bookmarkEnd w:id="149"/>
    </w:p>
    <w:p>
      <w:pPr>
        <w:spacing w:before="29" w:line="288" w:lineRule="auto"/>
        <w:ind w:firstLine="480" w:firstLineChars="200"/>
        <w:rPr>
          <w:color w:val="000000"/>
          <w:sz w:val="24"/>
        </w:rPr>
      </w:pPr>
      <w:r>
        <w:rPr>
          <w:color w:val="000000"/>
          <w:sz w:val="24"/>
        </w:rPr>
        <w:t>本基金本报告期未发生会计政策变更。</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50" w:name="_Toc67596631"/>
      <w:r>
        <w:rPr>
          <w:rFonts w:ascii="Times New Roman" w:hAnsi="Times New Roman"/>
          <w:kern w:val="0"/>
          <w:szCs w:val="24"/>
        </w:rPr>
        <w:t xml:space="preserve">7.4.5.2 </w:t>
      </w:r>
      <w:r>
        <w:rPr>
          <w:rFonts w:hint="eastAsia" w:ascii="Times New Roman" w:hAnsi="Times New Roman"/>
          <w:kern w:val="0"/>
          <w:szCs w:val="24"/>
        </w:rPr>
        <w:t>会计估计变更的说明</w:t>
      </w:r>
      <w:bookmarkEnd w:id="150"/>
    </w:p>
    <w:p>
      <w:pPr>
        <w:spacing w:before="29" w:line="288" w:lineRule="auto"/>
        <w:ind w:firstLine="480" w:firstLineChars="200"/>
        <w:rPr>
          <w:color w:val="000000"/>
          <w:sz w:val="24"/>
        </w:rPr>
      </w:pPr>
      <w:r>
        <w:rPr>
          <w:color w:val="000000"/>
          <w:sz w:val="24"/>
        </w:rPr>
        <w:t>本基金本报告期未发生会计估计变更。</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51" w:name="_Toc67596632"/>
      <w:r>
        <w:rPr>
          <w:rFonts w:ascii="Times New Roman" w:hAnsi="Times New Roman"/>
          <w:kern w:val="0"/>
          <w:szCs w:val="24"/>
        </w:rPr>
        <w:t xml:space="preserve">7.4.5.3 </w:t>
      </w:r>
      <w:r>
        <w:rPr>
          <w:rFonts w:hint="eastAsia" w:ascii="Times New Roman" w:hAnsi="Times New Roman"/>
          <w:kern w:val="0"/>
          <w:szCs w:val="24"/>
        </w:rPr>
        <w:t>差错更正的说明</w:t>
      </w:r>
      <w:bookmarkEnd w:id="151"/>
    </w:p>
    <w:p>
      <w:pPr>
        <w:spacing w:before="29" w:line="288" w:lineRule="auto"/>
        <w:ind w:firstLine="480" w:firstLineChars="200"/>
        <w:rPr>
          <w:color w:val="000000"/>
          <w:sz w:val="24"/>
        </w:rPr>
      </w:pPr>
      <w:r>
        <w:rPr>
          <w:color w:val="000000"/>
          <w:sz w:val="24"/>
        </w:rPr>
        <w:t>本基金在本报告期间无须说明的会计差错更正。</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52" w:name="_Toc67596633"/>
      <w:r>
        <w:rPr>
          <w:rFonts w:ascii="Times New Roman" w:hAnsi="Times New Roman"/>
          <w:kern w:val="0"/>
          <w:szCs w:val="24"/>
        </w:rPr>
        <w:t>7.4.6</w:t>
      </w:r>
      <w:r>
        <w:rPr>
          <w:rFonts w:hint="eastAsia" w:ascii="Times New Roman" w:hAnsi="Times New Roman"/>
          <w:kern w:val="0"/>
          <w:szCs w:val="24"/>
        </w:rPr>
        <w:t>税项</w:t>
      </w:r>
      <w:bookmarkEnd w:id="152"/>
    </w:p>
    <w:p>
      <w:pPr>
        <w:spacing w:before="29" w:line="288" w:lineRule="auto"/>
        <w:ind w:firstLine="480" w:firstLineChars="200"/>
        <w:rPr>
          <w:color w:val="000000"/>
          <w:sz w:val="24"/>
        </w:rPr>
      </w:pPr>
      <w:r>
        <w:rPr>
          <w:color w:val="000000"/>
          <w:sz w:val="24"/>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 房地产开发 教育辅助服务等增值税政策的通知》、财税[2017]2号《关于资管产品增值税政策有关问题的补充通知》、财税[2017]56号《关于资管产品增值税有关问题的通知》、财税[2017]90号《关于租入固定资产进项税额抵扣等增值税政策的通知》及其他相关财税法规和实务操作，主要税项列示如下：</w:t>
      </w:r>
    </w:p>
    <w:p>
      <w:pPr>
        <w:spacing w:before="29" w:line="288" w:lineRule="auto"/>
        <w:ind w:firstLine="480" w:firstLineChars="200"/>
        <w:rPr>
          <w:color w:val="000000"/>
          <w:sz w:val="24"/>
        </w:rPr>
      </w:pPr>
      <w:r>
        <w:rPr>
          <w:color w:val="000000"/>
          <w:sz w:val="24"/>
        </w:rPr>
        <w:t>(1) 资管产品运营过程中发生的增值税应税行为，以资管产品管理人为增值税纳税人。资管产品管理人运营资管产品过程中发生的增值税应税行为，暂适用简易计税方法，按照3%的征收率缴纳增值税。</w:t>
      </w:r>
    </w:p>
    <w:p>
      <w:pPr>
        <w:spacing w:before="29" w:line="288" w:lineRule="auto"/>
        <w:ind w:firstLine="480" w:firstLineChars="20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pPr>
        <w:spacing w:before="29" w:line="288" w:lineRule="auto"/>
        <w:ind w:firstLine="480" w:firstLineChars="200"/>
        <w:rPr>
          <w:color w:val="000000"/>
          <w:sz w:val="24"/>
        </w:rPr>
      </w:pPr>
      <w:r>
        <w:rPr>
          <w:color w:val="000000"/>
          <w:sz w:val="24"/>
        </w:rPr>
        <w:t>(2) 对基金从证券市场中取得的收入，包括买卖股票、债券的差价收入，股票的股息、红利收入，债券的利息收入及其他收入，暂不征收企业所得税。</w:t>
      </w:r>
    </w:p>
    <w:p>
      <w:pPr>
        <w:spacing w:before="29" w:line="288" w:lineRule="auto"/>
        <w:ind w:firstLine="480" w:firstLineChars="200"/>
        <w:rPr>
          <w:color w:val="000000"/>
          <w:sz w:val="24"/>
        </w:rPr>
      </w:pPr>
      <w:r>
        <w:rPr>
          <w:color w:val="000000"/>
          <w:sz w:val="24"/>
        </w:rPr>
        <w:t>(3) 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pPr>
        <w:spacing w:before="29" w:line="288" w:lineRule="auto"/>
        <w:ind w:firstLine="480" w:firstLineChars="200"/>
        <w:rPr>
          <w:color w:val="000000"/>
          <w:sz w:val="24"/>
        </w:rPr>
      </w:pPr>
      <w:r>
        <w:rPr>
          <w:color w:val="000000"/>
          <w:sz w:val="24"/>
        </w:rPr>
        <w:t>(4) 基金卖出股票按0.1%的税率缴纳股票交易印花税，买入股票不征收股票交易印花税。</w:t>
      </w:r>
    </w:p>
    <w:p>
      <w:pPr>
        <w:spacing w:before="29" w:line="288" w:lineRule="auto"/>
        <w:ind w:firstLine="480" w:firstLineChars="200"/>
        <w:rPr>
          <w:color w:val="000000"/>
          <w:sz w:val="24"/>
        </w:rPr>
      </w:pPr>
      <w:r>
        <w:rPr>
          <w:color w:val="000000"/>
          <w:sz w:val="24"/>
        </w:rPr>
        <w:t>(5) 本基金的城市维护建设税、教育费附加和地方教育附加等税费按照实际缴纳增值税额的适用比例计算缴纳。</w:t>
      </w:r>
    </w:p>
    <w:p>
      <w:pPr>
        <w:spacing w:line="360" w:lineRule="auto"/>
        <w:ind w:firstLine="420" w:firstLineChars="200"/>
        <w:rPr>
          <w:rFonts w:asciiTheme="minorEastAsia" w:hAnsiTheme="minorEastAsia" w:eastAsiaTheme="minorEastAsia"/>
          <w:bCs/>
          <w:color w:val="000000"/>
          <w:szCs w:val="21"/>
        </w:rPr>
      </w:pPr>
    </w:p>
    <w:p>
      <w:pPr>
        <w:spacing w:before="29" w:line="288" w:lineRule="auto"/>
        <w:rPr>
          <w:rFonts w:eastAsiaTheme="minorEastAsia"/>
          <w:b/>
          <w:sz w:val="24"/>
        </w:rPr>
      </w:pPr>
      <w:r>
        <w:rPr>
          <w:rFonts w:eastAsiaTheme="minorEastAsia"/>
          <w:b/>
          <w:sz w:val="24"/>
        </w:rPr>
        <w:t>7.4.7</w:t>
      </w:r>
      <w:r>
        <w:rPr>
          <w:rFonts w:hint="eastAsia" w:eastAsiaTheme="minorEastAsia"/>
          <w:b/>
          <w:sz w:val="24"/>
        </w:rPr>
        <w:t>重要财务报表项目的说明</w:t>
      </w:r>
    </w:p>
    <w:p>
      <w:pPr>
        <w:spacing w:before="29" w:line="288" w:lineRule="auto"/>
        <w:rPr>
          <w:rFonts w:eastAsiaTheme="minorEastAsia"/>
          <w:b/>
          <w:sz w:val="24"/>
        </w:rPr>
      </w:pPr>
      <w:r>
        <w:rPr>
          <w:rFonts w:eastAsiaTheme="minorEastAsia"/>
          <w:b/>
          <w:sz w:val="24"/>
        </w:rPr>
        <w:t>7.4.7.1</w:t>
      </w:r>
      <w:r>
        <w:rPr>
          <w:rFonts w:hint="eastAsia" w:eastAsiaTheme="minorEastAsia"/>
          <w:b/>
          <w:sz w:val="24"/>
        </w:rPr>
        <w:t>银行存款</w:t>
      </w:r>
    </w:p>
    <w:p>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34"/>
        <w:gridCol w:w="3157"/>
        <w:gridCol w:w="31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jc w:val="center"/>
        </w:trPr>
        <w:tc>
          <w:tcPr>
            <w:tcW w:w="2634" w:type="dxa"/>
            <w:tcMar>
              <w:top w:w="15" w:type="dxa"/>
              <w:left w:w="15" w:type="dxa"/>
              <w:bottom w:w="0" w:type="dxa"/>
              <w:right w:w="15" w:type="dxa"/>
            </w:tcMar>
            <w:vAlign w:val="center"/>
          </w:tcPr>
          <w:p>
            <w:pPr>
              <w:spacing w:line="360" w:lineRule="auto"/>
              <w:jc w:val="center"/>
              <w:rPr>
                <w:rFonts w:eastAsiaTheme="minorEastAsia"/>
                <w:sz w:val="24"/>
              </w:rPr>
            </w:pPr>
            <w:r>
              <w:rPr>
                <w:rFonts w:eastAsiaTheme="minorEastAsia"/>
                <w:kern w:val="0"/>
                <w:sz w:val="24"/>
              </w:rPr>
              <w:t>项目</w:t>
            </w:r>
          </w:p>
        </w:tc>
        <w:tc>
          <w:tcPr>
            <w:tcW w:w="3157" w:type="dxa"/>
            <w:tcMar>
              <w:top w:w="15" w:type="dxa"/>
              <w:left w:w="15" w:type="dxa"/>
              <w:bottom w:w="0" w:type="dxa"/>
              <w:right w:w="15" w:type="dxa"/>
            </w:tcMar>
          </w:tcPr>
          <w:p>
            <w:pPr>
              <w:spacing w:line="360" w:lineRule="auto"/>
              <w:jc w:val="center"/>
              <w:rPr>
                <w:rFonts w:eastAsiaTheme="minorEastAsia"/>
                <w:kern w:val="0"/>
                <w:sz w:val="24"/>
              </w:rPr>
            </w:pPr>
            <w:r>
              <w:rPr>
                <w:rFonts w:eastAsiaTheme="minorEastAsia"/>
                <w:kern w:val="0"/>
                <w:sz w:val="24"/>
              </w:rPr>
              <w:t>本期末</w:t>
            </w:r>
          </w:p>
          <w:p>
            <w:pPr>
              <w:spacing w:line="360" w:lineRule="auto"/>
              <w:jc w:val="center"/>
              <w:rPr>
                <w:rFonts w:eastAsiaTheme="minorEastAsia"/>
                <w:sz w:val="24"/>
              </w:rPr>
            </w:pPr>
            <w:r>
              <w:rPr>
                <w:rFonts w:eastAsiaTheme="minorEastAsia"/>
                <w:sz w:val="24"/>
              </w:rPr>
              <w:t>2020年12月31日</w:t>
            </w:r>
          </w:p>
        </w:tc>
        <w:tc>
          <w:tcPr>
            <w:tcW w:w="3158" w:type="dxa"/>
            <w:tcMar>
              <w:top w:w="15" w:type="dxa"/>
              <w:left w:w="15" w:type="dxa"/>
              <w:bottom w:w="0" w:type="dxa"/>
              <w:right w:w="15" w:type="dxa"/>
            </w:tcMar>
          </w:tcPr>
          <w:p>
            <w:pPr>
              <w:spacing w:line="360" w:lineRule="auto"/>
              <w:jc w:val="center"/>
              <w:rPr>
                <w:rFonts w:eastAsiaTheme="minorEastAsia"/>
                <w:kern w:val="0"/>
                <w:sz w:val="24"/>
              </w:rPr>
            </w:pPr>
            <w:r>
              <w:rPr>
                <w:rFonts w:eastAsiaTheme="minorEastAsia"/>
                <w:kern w:val="0"/>
                <w:sz w:val="24"/>
              </w:rPr>
              <w:t>上年度末</w:t>
            </w:r>
          </w:p>
          <w:p>
            <w:pPr>
              <w:spacing w:line="360" w:lineRule="auto"/>
              <w:jc w:val="center"/>
              <w:rPr>
                <w:rFonts w:eastAsiaTheme="minorEastAsia"/>
                <w:kern w:val="0"/>
                <w:sz w:val="24"/>
              </w:rPr>
            </w:pPr>
            <w:r>
              <w:rPr>
                <w:rFonts w:eastAsiaTheme="minorEastAsia"/>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kern w:val="0"/>
                <w:sz w:val="24"/>
              </w:rPr>
            </w:pPr>
            <w:r>
              <w:rPr>
                <w:rFonts w:eastAsiaTheme="minorEastAsia"/>
                <w:kern w:val="0"/>
                <w:sz w:val="24"/>
              </w:rPr>
              <w:t>活期存款</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642,157,002.53</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345,833,039.81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kern w:val="0"/>
                <w:sz w:val="24"/>
              </w:rPr>
            </w:pPr>
            <w:r>
              <w:rPr>
                <w:rFonts w:eastAsiaTheme="minorEastAsia"/>
                <w:kern w:val="0"/>
                <w:sz w:val="24"/>
              </w:rPr>
              <w:t>定期存款</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rPr>
                <w:rFonts w:ascii="宋体" w:hAnsi="宋体"/>
                <w:color w:val="000000" w:themeColor="text1"/>
                <w:kern w:val="0"/>
                <w:sz w:val="24"/>
              </w:rPr>
            </w:pPr>
            <w:r>
              <w:rPr>
                <w:rFonts w:hint="eastAsia" w:ascii="宋体" w:hAnsi="宋体"/>
                <w:color w:val="000000" w:themeColor="text1"/>
                <w:kern w:val="0"/>
                <w:sz w:val="24"/>
              </w:rPr>
              <w:t>其中：存款期限1个月以内</w:t>
            </w:r>
          </w:p>
        </w:tc>
        <w:tc>
          <w:tcPr>
            <w:tcW w:w="3157"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kern w:val="0"/>
                <w:sz w:val="24"/>
              </w:rPr>
              <w:t>-</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color w:val="000000" w:themeColor="text1"/>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ind w:firstLine="720" w:firstLineChars="300"/>
              <w:rPr>
                <w:rFonts w:ascii="宋体" w:hAnsi="宋体"/>
                <w:color w:val="000000" w:themeColor="text1"/>
                <w:kern w:val="0"/>
                <w:sz w:val="24"/>
              </w:rPr>
            </w:pPr>
            <w:r>
              <w:rPr>
                <w:rFonts w:hint="eastAsia" w:ascii="宋体" w:hAnsi="宋体"/>
                <w:color w:val="000000" w:themeColor="text1"/>
                <w:kern w:val="0"/>
                <w:sz w:val="24"/>
              </w:rPr>
              <w:t>存款期限1-3个月</w:t>
            </w:r>
          </w:p>
        </w:tc>
        <w:tc>
          <w:tcPr>
            <w:tcW w:w="3157"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pPr>
              <w:spacing w:line="360" w:lineRule="auto"/>
              <w:jc w:val="right"/>
              <w:rPr>
                <w:rFonts w:eastAsiaTheme="minorEastAsia"/>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ind w:firstLine="720" w:firstLineChars="300"/>
              <w:rPr>
                <w:rFonts w:ascii="宋体" w:hAnsi="宋体"/>
                <w:color w:val="000000" w:themeColor="text1"/>
                <w:kern w:val="0"/>
                <w:sz w:val="24"/>
              </w:rPr>
            </w:pPr>
            <w:r>
              <w:rPr>
                <w:rFonts w:hint="eastAsia" w:ascii="宋体" w:hAnsi="宋体"/>
                <w:color w:val="000000" w:themeColor="text1"/>
                <w:kern w:val="0"/>
                <w:sz w:val="24"/>
              </w:rPr>
              <w:t>存款期限3个月以上</w:t>
            </w:r>
          </w:p>
        </w:tc>
        <w:tc>
          <w:tcPr>
            <w:tcW w:w="3157"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color w:val="000000"/>
                <w:kern w:val="0"/>
                <w:sz w:val="24"/>
              </w:rPr>
            </w:pPr>
            <w:r>
              <w:rPr>
                <w:rFonts w:eastAsiaTheme="minorEastAsia"/>
                <w:kern w:val="0"/>
                <w:sz w:val="24"/>
              </w:rPr>
              <w:t>其他存款</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color w:val="000000"/>
                <w:kern w:val="0"/>
                <w:sz w:val="24"/>
              </w:rPr>
            </w:pPr>
            <w:r>
              <w:rPr>
                <w:rFonts w:eastAsiaTheme="minorEastAsia"/>
                <w:kern w:val="0"/>
                <w:sz w:val="24"/>
              </w:rPr>
              <w:t>合计</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642,157,002.53</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345,833,039.81</w:t>
            </w:r>
          </w:p>
        </w:tc>
      </w:tr>
    </w:tbl>
    <w:p>
      <w:pPr>
        <w:spacing w:line="360" w:lineRule="auto"/>
        <w:rPr>
          <w:rFonts w:asciiTheme="minorEastAsia" w:hAnsiTheme="minorEastAsia" w:eastAsiaTheme="minorEastAsia"/>
          <w:bCs/>
          <w:color w:val="000000"/>
          <w:szCs w:val="21"/>
        </w:rPr>
      </w:pPr>
      <w:r>
        <w:rPr>
          <w:rFonts w:asciiTheme="minorEastAsia" w:hAnsiTheme="minorEastAsia" w:eastAsiaTheme="minorEastAsia"/>
          <w:bCs/>
          <w:color w:val="000000"/>
          <w:szCs w:val="21"/>
        </w:rPr>
        <w:tab/>
      </w:r>
    </w:p>
    <w:p>
      <w:pPr>
        <w:pStyle w:val="3"/>
        <w:spacing w:before="29" w:after="0" w:line="288" w:lineRule="auto"/>
        <w:rPr>
          <w:rFonts w:ascii="Times New Roman" w:hAnsi="Times New Roman"/>
          <w:kern w:val="0"/>
          <w:szCs w:val="24"/>
        </w:rPr>
      </w:pPr>
      <w:bookmarkStart w:id="153" w:name="_Toc67596634"/>
      <w:r>
        <w:rPr>
          <w:rFonts w:ascii="Times New Roman" w:hAnsi="Times New Roman"/>
          <w:kern w:val="0"/>
          <w:szCs w:val="24"/>
        </w:rPr>
        <w:t>7.4.7.2</w:t>
      </w:r>
      <w:r>
        <w:rPr>
          <w:rFonts w:hint="eastAsia" w:ascii="Times New Roman" w:hAnsi="Times New Roman"/>
          <w:kern w:val="0"/>
          <w:szCs w:val="24"/>
        </w:rPr>
        <w:t>交易性金融资产</w:t>
      </w:r>
      <w:bookmarkEnd w:id="153"/>
    </w:p>
    <w:p>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1440"/>
        <w:gridCol w:w="2339"/>
        <w:gridCol w:w="2339"/>
        <w:gridCol w:w="23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2268" w:type="dxa"/>
            <w:gridSpan w:val="2"/>
            <w:vMerge w:val="restart"/>
            <w:vAlign w:val="center"/>
          </w:tcPr>
          <w:p>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pPr>
              <w:spacing w:before="29" w:line="288" w:lineRule="auto"/>
              <w:jc w:val="center"/>
              <w:rPr>
                <w:color w:val="000000"/>
                <w:kern w:val="0"/>
                <w:sz w:val="24"/>
              </w:rPr>
            </w:pPr>
            <w:r>
              <w:rPr>
                <w:rFonts w:hint="eastAsia"/>
                <w:color w:val="000000"/>
                <w:kern w:val="0"/>
                <w:sz w:val="24"/>
              </w:rPr>
              <w:t>本期末</w:t>
            </w:r>
          </w:p>
          <w:p>
            <w:pPr>
              <w:spacing w:before="29" w:line="288" w:lineRule="auto"/>
              <w:jc w:val="center"/>
              <w:rPr>
                <w:color w:val="000000"/>
                <w:kern w:val="0"/>
                <w:sz w:val="24"/>
              </w:rPr>
            </w:pPr>
            <w:r>
              <w:rPr>
                <w:color w:val="000000"/>
                <w:kern w:val="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Merge w:val="continue"/>
            <w:vAlign w:val="center"/>
          </w:tcPr>
          <w:p>
            <w:pPr>
              <w:spacing w:before="29" w:line="288" w:lineRule="auto"/>
              <w:jc w:val="center"/>
              <w:rPr>
                <w:color w:val="000000"/>
                <w:kern w:val="0"/>
                <w:sz w:val="24"/>
              </w:rPr>
            </w:pPr>
          </w:p>
        </w:tc>
        <w:tc>
          <w:tcPr>
            <w:tcW w:w="2339" w:type="dxa"/>
            <w:vAlign w:val="center"/>
          </w:tcPr>
          <w:p>
            <w:pPr>
              <w:spacing w:before="29" w:line="288" w:lineRule="auto"/>
              <w:jc w:val="center"/>
              <w:rPr>
                <w:color w:val="000000"/>
                <w:kern w:val="0"/>
                <w:sz w:val="24"/>
              </w:rPr>
            </w:pPr>
            <w:r>
              <w:rPr>
                <w:rFonts w:hint="eastAsia"/>
                <w:color w:val="000000"/>
                <w:kern w:val="0"/>
                <w:sz w:val="24"/>
              </w:rPr>
              <w:t>成本</w:t>
            </w:r>
          </w:p>
        </w:tc>
        <w:tc>
          <w:tcPr>
            <w:tcW w:w="2339" w:type="dxa"/>
            <w:vAlign w:val="center"/>
          </w:tcPr>
          <w:p>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pPr>
              <w:spacing w:before="29" w:line="288" w:lineRule="auto"/>
              <w:jc w:val="center"/>
              <w:rPr>
                <w:color w:val="000000"/>
                <w:kern w:val="0"/>
                <w:sz w:val="24"/>
              </w:rPr>
            </w:pPr>
            <w:r>
              <w:rPr>
                <w:rFonts w:hint="eastAsia"/>
                <w:color w:val="000000"/>
                <w:kern w:val="0"/>
                <w:sz w:val="24"/>
              </w:rPr>
              <w:t>公允价值变动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股票</w:t>
            </w:r>
          </w:p>
        </w:tc>
        <w:tc>
          <w:tcPr>
            <w:tcW w:w="2339" w:type="dxa"/>
            <w:vAlign w:val="center"/>
          </w:tcPr>
          <w:p>
            <w:pPr>
              <w:spacing w:before="29" w:line="288" w:lineRule="auto"/>
              <w:jc w:val="right"/>
              <w:rPr>
                <w:kern w:val="0"/>
                <w:sz w:val="24"/>
              </w:rPr>
            </w:pPr>
            <w:r>
              <w:rPr>
                <w:kern w:val="0"/>
                <w:sz w:val="24"/>
              </w:rPr>
              <w:t>8,175,412,958.15</w:t>
            </w:r>
          </w:p>
        </w:tc>
        <w:tc>
          <w:tcPr>
            <w:tcW w:w="2339" w:type="dxa"/>
            <w:vAlign w:val="center"/>
          </w:tcPr>
          <w:p>
            <w:pPr>
              <w:spacing w:before="29" w:line="288" w:lineRule="auto"/>
              <w:jc w:val="right"/>
              <w:rPr>
                <w:kern w:val="0"/>
                <w:sz w:val="24"/>
              </w:rPr>
            </w:pPr>
            <w:r>
              <w:rPr>
                <w:kern w:val="0"/>
                <w:sz w:val="24"/>
              </w:rPr>
              <w:t>10,564,264,561.18</w:t>
            </w:r>
          </w:p>
        </w:tc>
        <w:tc>
          <w:tcPr>
            <w:tcW w:w="2340" w:type="dxa"/>
            <w:vAlign w:val="center"/>
          </w:tcPr>
          <w:p>
            <w:pPr>
              <w:spacing w:before="29" w:line="288" w:lineRule="auto"/>
              <w:jc w:val="right"/>
              <w:rPr>
                <w:kern w:val="0"/>
                <w:sz w:val="24"/>
              </w:rPr>
            </w:pPr>
            <w:r>
              <w:rPr>
                <w:kern w:val="0"/>
                <w:sz w:val="24"/>
              </w:rPr>
              <w:t>2,388,851,603.03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贵金属投资-金交所黄金合约</w:t>
            </w:r>
          </w:p>
        </w:tc>
        <w:tc>
          <w:tcPr>
            <w:tcW w:w="2339" w:type="dxa"/>
            <w:vAlign w:val="center"/>
          </w:tcPr>
          <w:p>
            <w:pPr>
              <w:spacing w:before="29" w:line="288" w:lineRule="auto"/>
              <w:jc w:val="right"/>
              <w:rPr>
                <w:kern w:val="0"/>
                <w:sz w:val="24"/>
              </w:rPr>
            </w:pPr>
            <w:r>
              <w:rPr>
                <w:rFonts w:hint="eastAsia"/>
                <w:kern w:val="0"/>
                <w:sz w:val="24"/>
              </w:rPr>
              <w:t>-</w:t>
            </w:r>
          </w:p>
        </w:tc>
        <w:tc>
          <w:tcPr>
            <w:tcW w:w="2339" w:type="dxa"/>
            <w:vAlign w:val="center"/>
          </w:tcPr>
          <w:p>
            <w:pPr>
              <w:spacing w:before="29" w:line="288" w:lineRule="auto"/>
              <w:jc w:val="right"/>
              <w:rPr>
                <w:kern w:val="0"/>
                <w:sz w:val="24"/>
              </w:rPr>
            </w:pPr>
            <w:r>
              <w:rPr>
                <w:rFonts w:hint="eastAsia"/>
                <w:kern w:val="0"/>
                <w:sz w:val="24"/>
              </w:rPr>
              <w:t>-</w:t>
            </w:r>
          </w:p>
        </w:tc>
        <w:tc>
          <w:tcPr>
            <w:tcW w:w="2340" w:type="dxa"/>
            <w:vAlign w:val="center"/>
          </w:tcPr>
          <w:p>
            <w:pPr>
              <w:spacing w:before="29" w:line="288" w:lineRule="auto"/>
              <w:jc w:val="right"/>
              <w:rPr>
                <w:kern w:val="0"/>
                <w:sz w:val="24"/>
              </w:rPr>
            </w:pPr>
            <w:r>
              <w:rPr>
                <w:rFonts w:hint="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828" w:type="dxa"/>
            <w:vMerge w:val="restart"/>
            <w:vAlign w:val="center"/>
          </w:tcPr>
          <w:p>
            <w:pPr>
              <w:widowControl/>
              <w:spacing w:before="29" w:line="288" w:lineRule="auto"/>
              <w:rPr>
                <w:color w:val="000000"/>
                <w:kern w:val="0"/>
                <w:sz w:val="24"/>
              </w:rPr>
            </w:pPr>
            <w:r>
              <w:rPr>
                <w:rFonts w:hint="eastAsia"/>
                <w:color w:val="000000"/>
                <w:kern w:val="0"/>
                <w:sz w:val="24"/>
              </w:rPr>
              <w:t>债券</w:t>
            </w:r>
          </w:p>
        </w:tc>
        <w:tc>
          <w:tcPr>
            <w:tcW w:w="1440" w:type="dxa"/>
            <w:vAlign w:val="center"/>
          </w:tcPr>
          <w:p>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line="360" w:lineRule="auto"/>
              <w:jc w:val="left"/>
              <w:rPr>
                <w:rFonts w:asciiTheme="minorEastAsia" w:hAnsiTheme="minorEastAsia" w:eastAsiaTheme="minorEastAsia"/>
                <w:color w:val="000000"/>
                <w:kern w:val="0"/>
                <w:szCs w:val="21"/>
              </w:rPr>
            </w:pPr>
          </w:p>
        </w:tc>
        <w:tc>
          <w:tcPr>
            <w:tcW w:w="1440" w:type="dxa"/>
            <w:vAlign w:val="center"/>
          </w:tcPr>
          <w:p>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pPr>
              <w:spacing w:before="29" w:line="288" w:lineRule="auto"/>
              <w:jc w:val="right"/>
              <w:rPr>
                <w:kern w:val="0"/>
                <w:sz w:val="24"/>
              </w:rPr>
            </w:pPr>
            <w:r>
              <w:rPr>
                <w:kern w:val="0"/>
                <w:sz w:val="24"/>
              </w:rPr>
              <w:t>558,862,802.61</w:t>
            </w:r>
          </w:p>
        </w:tc>
        <w:tc>
          <w:tcPr>
            <w:tcW w:w="2339" w:type="dxa"/>
            <w:vAlign w:val="center"/>
          </w:tcPr>
          <w:p>
            <w:pPr>
              <w:spacing w:before="29" w:line="288" w:lineRule="auto"/>
              <w:jc w:val="right"/>
              <w:rPr>
                <w:kern w:val="0"/>
                <w:sz w:val="24"/>
              </w:rPr>
            </w:pPr>
            <w:r>
              <w:rPr>
                <w:kern w:val="0"/>
                <w:sz w:val="24"/>
              </w:rPr>
              <w:t>559,595,000.00</w:t>
            </w:r>
          </w:p>
        </w:tc>
        <w:tc>
          <w:tcPr>
            <w:tcW w:w="2340" w:type="dxa"/>
            <w:vAlign w:val="center"/>
          </w:tcPr>
          <w:p>
            <w:pPr>
              <w:spacing w:before="29" w:line="288" w:lineRule="auto"/>
              <w:jc w:val="right"/>
              <w:rPr>
                <w:kern w:val="0"/>
                <w:sz w:val="24"/>
              </w:rPr>
            </w:pPr>
            <w:r>
              <w:rPr>
                <w:kern w:val="0"/>
                <w:sz w:val="24"/>
              </w:rPr>
              <w:t>732,197.39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color w:val="000000"/>
                <w:kern w:val="0"/>
                <w:sz w:val="24"/>
              </w:rPr>
            </w:pPr>
          </w:p>
        </w:tc>
        <w:tc>
          <w:tcPr>
            <w:tcW w:w="1440" w:type="dxa"/>
            <w:vAlign w:val="center"/>
          </w:tcPr>
          <w:p>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kern w:val="0"/>
                <w:sz w:val="24"/>
              </w:rPr>
            </w:pPr>
            <w:r>
              <w:rPr>
                <w:kern w:val="0"/>
                <w:sz w:val="24"/>
              </w:rPr>
              <w:t>558,862,802.61</w:t>
            </w:r>
          </w:p>
        </w:tc>
        <w:tc>
          <w:tcPr>
            <w:tcW w:w="2339" w:type="dxa"/>
            <w:vAlign w:val="center"/>
          </w:tcPr>
          <w:p>
            <w:pPr>
              <w:spacing w:before="29" w:line="288" w:lineRule="auto"/>
              <w:jc w:val="right"/>
              <w:rPr>
                <w:kern w:val="0"/>
                <w:sz w:val="24"/>
              </w:rPr>
            </w:pPr>
            <w:r>
              <w:rPr>
                <w:kern w:val="0"/>
                <w:sz w:val="24"/>
              </w:rPr>
              <w:t>559,595,000.00</w:t>
            </w:r>
          </w:p>
        </w:tc>
        <w:tc>
          <w:tcPr>
            <w:tcW w:w="2340" w:type="dxa"/>
            <w:vAlign w:val="center"/>
          </w:tcPr>
          <w:p>
            <w:pPr>
              <w:spacing w:before="29" w:line="288" w:lineRule="auto"/>
              <w:jc w:val="right"/>
              <w:rPr>
                <w:kern w:val="0"/>
                <w:sz w:val="24"/>
              </w:rPr>
            </w:pPr>
            <w:r>
              <w:rPr>
                <w:kern w:val="0"/>
                <w:sz w:val="24"/>
              </w:rPr>
              <w:t>732,197.39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基金</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其他</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kern w:val="0"/>
                <w:sz w:val="24"/>
              </w:rPr>
            </w:pPr>
            <w:r>
              <w:rPr>
                <w:kern w:val="0"/>
                <w:sz w:val="24"/>
              </w:rPr>
              <w:t>8,734,275,760.76</w:t>
            </w:r>
          </w:p>
        </w:tc>
        <w:tc>
          <w:tcPr>
            <w:tcW w:w="2339" w:type="dxa"/>
            <w:vAlign w:val="center"/>
          </w:tcPr>
          <w:p>
            <w:pPr>
              <w:spacing w:before="29" w:line="288" w:lineRule="auto"/>
              <w:jc w:val="right"/>
              <w:rPr>
                <w:kern w:val="0"/>
                <w:sz w:val="24"/>
              </w:rPr>
            </w:pPr>
            <w:r>
              <w:rPr>
                <w:kern w:val="0"/>
                <w:sz w:val="24"/>
              </w:rPr>
              <w:t>11,123,859,561.18</w:t>
            </w:r>
          </w:p>
        </w:tc>
        <w:tc>
          <w:tcPr>
            <w:tcW w:w="2340" w:type="dxa"/>
            <w:vAlign w:val="center"/>
          </w:tcPr>
          <w:p>
            <w:pPr>
              <w:spacing w:before="29" w:line="288" w:lineRule="auto"/>
              <w:jc w:val="right"/>
              <w:rPr>
                <w:kern w:val="0"/>
                <w:sz w:val="24"/>
              </w:rPr>
            </w:pPr>
            <w:r>
              <w:rPr>
                <w:kern w:val="0"/>
                <w:sz w:val="24"/>
              </w:rPr>
              <w:t>2,389,583,800.42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2268" w:type="dxa"/>
            <w:gridSpan w:val="2"/>
            <w:vMerge w:val="restart"/>
            <w:vAlign w:val="center"/>
          </w:tcPr>
          <w:p>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pPr>
              <w:spacing w:before="29" w:line="288" w:lineRule="auto"/>
              <w:jc w:val="center"/>
              <w:rPr>
                <w:color w:val="000000"/>
                <w:kern w:val="0"/>
                <w:sz w:val="24"/>
              </w:rPr>
            </w:pPr>
            <w:r>
              <w:rPr>
                <w:rFonts w:hint="eastAsia"/>
                <w:color w:val="000000"/>
                <w:kern w:val="0"/>
                <w:sz w:val="24"/>
              </w:rPr>
              <w:t>上年度末</w:t>
            </w:r>
          </w:p>
          <w:p>
            <w:pPr>
              <w:spacing w:before="29" w:line="288" w:lineRule="auto"/>
              <w:jc w:val="center"/>
              <w:rPr>
                <w:color w:val="000000"/>
                <w:kern w:val="0"/>
                <w:sz w:val="24"/>
              </w:rPr>
            </w:pPr>
            <w:r>
              <w:rPr>
                <w:color w:val="000000"/>
                <w:kern w:val="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Merge w:val="continue"/>
            <w:vAlign w:val="center"/>
          </w:tcPr>
          <w:p>
            <w:pPr>
              <w:spacing w:before="29" w:line="288" w:lineRule="auto"/>
              <w:jc w:val="center"/>
              <w:rPr>
                <w:color w:val="000000"/>
                <w:kern w:val="0"/>
                <w:sz w:val="24"/>
              </w:rPr>
            </w:pPr>
          </w:p>
        </w:tc>
        <w:tc>
          <w:tcPr>
            <w:tcW w:w="2339" w:type="dxa"/>
            <w:vAlign w:val="center"/>
          </w:tcPr>
          <w:p>
            <w:pPr>
              <w:spacing w:before="29" w:line="288" w:lineRule="auto"/>
              <w:jc w:val="center"/>
              <w:rPr>
                <w:color w:val="000000"/>
                <w:kern w:val="0"/>
                <w:sz w:val="24"/>
              </w:rPr>
            </w:pPr>
            <w:r>
              <w:rPr>
                <w:rFonts w:hint="eastAsia"/>
                <w:color w:val="000000"/>
                <w:kern w:val="0"/>
                <w:sz w:val="24"/>
              </w:rPr>
              <w:t>成本</w:t>
            </w:r>
          </w:p>
        </w:tc>
        <w:tc>
          <w:tcPr>
            <w:tcW w:w="2339" w:type="dxa"/>
            <w:vAlign w:val="center"/>
          </w:tcPr>
          <w:p>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pPr>
              <w:spacing w:before="29" w:line="288" w:lineRule="auto"/>
              <w:jc w:val="center"/>
              <w:rPr>
                <w:color w:val="000000"/>
                <w:kern w:val="0"/>
                <w:sz w:val="24"/>
              </w:rPr>
            </w:pPr>
            <w:r>
              <w:rPr>
                <w:rFonts w:hint="eastAsia"/>
                <w:color w:val="000000"/>
                <w:kern w:val="0"/>
                <w:sz w:val="24"/>
              </w:rPr>
              <w:t>公允价值变动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股票</w:t>
            </w:r>
          </w:p>
        </w:tc>
        <w:tc>
          <w:tcPr>
            <w:tcW w:w="2339" w:type="dxa"/>
            <w:vAlign w:val="center"/>
          </w:tcPr>
          <w:p>
            <w:pPr>
              <w:spacing w:before="29" w:line="288" w:lineRule="auto"/>
              <w:jc w:val="right"/>
              <w:rPr>
                <w:kern w:val="0"/>
                <w:sz w:val="24"/>
              </w:rPr>
            </w:pPr>
            <w:r>
              <w:rPr>
                <w:kern w:val="0"/>
                <w:sz w:val="24"/>
              </w:rPr>
              <w:t>5,016,828,413.70</w:t>
            </w:r>
          </w:p>
        </w:tc>
        <w:tc>
          <w:tcPr>
            <w:tcW w:w="2339" w:type="dxa"/>
            <w:vAlign w:val="center"/>
          </w:tcPr>
          <w:p>
            <w:pPr>
              <w:spacing w:before="29" w:line="288" w:lineRule="auto"/>
              <w:jc w:val="right"/>
              <w:rPr>
                <w:kern w:val="0"/>
                <w:sz w:val="24"/>
              </w:rPr>
            </w:pPr>
            <w:r>
              <w:rPr>
                <w:kern w:val="0"/>
                <w:sz w:val="24"/>
              </w:rPr>
              <w:t>5,743,244,695.70</w:t>
            </w:r>
          </w:p>
        </w:tc>
        <w:tc>
          <w:tcPr>
            <w:tcW w:w="2340" w:type="dxa"/>
            <w:vAlign w:val="center"/>
          </w:tcPr>
          <w:p>
            <w:pPr>
              <w:spacing w:before="29" w:line="288" w:lineRule="auto"/>
              <w:jc w:val="right"/>
              <w:rPr>
                <w:kern w:val="0"/>
                <w:sz w:val="24"/>
              </w:rPr>
            </w:pPr>
            <w:r>
              <w:rPr>
                <w:kern w:val="0"/>
                <w:sz w:val="24"/>
              </w:rPr>
              <w:t>726,416,282.00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贵金属投资-金交所黄金合约</w:t>
            </w:r>
          </w:p>
        </w:tc>
        <w:tc>
          <w:tcPr>
            <w:tcW w:w="2339" w:type="dxa"/>
            <w:vAlign w:val="center"/>
          </w:tcPr>
          <w:p>
            <w:pPr>
              <w:spacing w:before="29" w:line="288" w:lineRule="auto"/>
              <w:jc w:val="right"/>
              <w:rPr>
                <w:kern w:val="0"/>
                <w:sz w:val="24"/>
              </w:rPr>
            </w:pPr>
            <w:r>
              <w:rPr>
                <w:rFonts w:hint="eastAsia"/>
                <w:kern w:val="0"/>
                <w:sz w:val="24"/>
              </w:rPr>
              <w:t>-</w:t>
            </w:r>
          </w:p>
        </w:tc>
        <w:tc>
          <w:tcPr>
            <w:tcW w:w="2339" w:type="dxa"/>
            <w:vAlign w:val="center"/>
          </w:tcPr>
          <w:p>
            <w:pPr>
              <w:spacing w:before="29" w:line="288" w:lineRule="auto"/>
              <w:jc w:val="right"/>
              <w:rPr>
                <w:kern w:val="0"/>
                <w:sz w:val="24"/>
              </w:rPr>
            </w:pPr>
            <w:r>
              <w:rPr>
                <w:rFonts w:hint="eastAsia"/>
                <w:kern w:val="0"/>
                <w:sz w:val="24"/>
              </w:rPr>
              <w:t>-</w:t>
            </w:r>
          </w:p>
        </w:tc>
        <w:tc>
          <w:tcPr>
            <w:tcW w:w="2340" w:type="dxa"/>
            <w:vAlign w:val="center"/>
          </w:tcPr>
          <w:p>
            <w:pPr>
              <w:spacing w:before="29" w:line="288" w:lineRule="auto"/>
              <w:jc w:val="right"/>
              <w:rPr>
                <w:kern w:val="0"/>
                <w:sz w:val="24"/>
              </w:rPr>
            </w:pPr>
            <w:r>
              <w:rPr>
                <w:rFonts w:hint="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828" w:type="dxa"/>
            <w:vMerge w:val="restart"/>
            <w:vAlign w:val="center"/>
          </w:tcPr>
          <w:p>
            <w:pPr>
              <w:widowControl/>
              <w:spacing w:before="29" w:line="288" w:lineRule="auto"/>
              <w:rPr>
                <w:color w:val="000000"/>
                <w:kern w:val="0"/>
                <w:sz w:val="24"/>
              </w:rPr>
            </w:pPr>
            <w:r>
              <w:rPr>
                <w:rFonts w:hint="eastAsia"/>
                <w:color w:val="000000"/>
                <w:kern w:val="0"/>
                <w:sz w:val="24"/>
              </w:rPr>
              <w:t>债券</w:t>
            </w:r>
          </w:p>
        </w:tc>
        <w:tc>
          <w:tcPr>
            <w:tcW w:w="1440" w:type="dxa"/>
            <w:vAlign w:val="center"/>
          </w:tcPr>
          <w:p>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color w:val="000000"/>
                <w:kern w:val="0"/>
                <w:sz w:val="24"/>
              </w:rPr>
            </w:pPr>
          </w:p>
        </w:tc>
        <w:tc>
          <w:tcPr>
            <w:tcW w:w="1440" w:type="dxa"/>
            <w:vAlign w:val="center"/>
          </w:tcPr>
          <w:p>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pPr>
              <w:spacing w:before="29" w:line="288" w:lineRule="auto"/>
              <w:jc w:val="right"/>
              <w:rPr>
                <w:kern w:val="0"/>
                <w:sz w:val="24"/>
              </w:rPr>
            </w:pPr>
            <w:r>
              <w:rPr>
                <w:kern w:val="0"/>
                <w:sz w:val="24"/>
              </w:rPr>
              <w:t>289,775,010.38</w:t>
            </w:r>
          </w:p>
        </w:tc>
        <w:tc>
          <w:tcPr>
            <w:tcW w:w="2339" w:type="dxa"/>
            <w:vAlign w:val="center"/>
          </w:tcPr>
          <w:p>
            <w:pPr>
              <w:spacing w:before="29" w:line="288" w:lineRule="auto"/>
              <w:jc w:val="right"/>
              <w:rPr>
                <w:kern w:val="0"/>
                <w:sz w:val="24"/>
              </w:rPr>
            </w:pPr>
            <w:r>
              <w:rPr>
                <w:kern w:val="0"/>
                <w:sz w:val="24"/>
              </w:rPr>
              <w:t>290,440,000.00</w:t>
            </w:r>
          </w:p>
        </w:tc>
        <w:tc>
          <w:tcPr>
            <w:tcW w:w="2340" w:type="dxa"/>
            <w:vAlign w:val="center"/>
          </w:tcPr>
          <w:p>
            <w:pPr>
              <w:spacing w:before="29" w:line="288" w:lineRule="auto"/>
              <w:jc w:val="right"/>
              <w:rPr>
                <w:kern w:val="0"/>
                <w:sz w:val="24"/>
              </w:rPr>
            </w:pPr>
            <w:r>
              <w:rPr>
                <w:kern w:val="0"/>
                <w:sz w:val="24"/>
              </w:rPr>
              <w:t>664,989.62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color w:val="000000"/>
                <w:kern w:val="0"/>
                <w:sz w:val="24"/>
              </w:rPr>
            </w:pPr>
          </w:p>
        </w:tc>
        <w:tc>
          <w:tcPr>
            <w:tcW w:w="1440" w:type="dxa"/>
            <w:vAlign w:val="center"/>
          </w:tcPr>
          <w:p>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kern w:val="0"/>
                <w:sz w:val="24"/>
              </w:rPr>
            </w:pPr>
            <w:r>
              <w:rPr>
                <w:kern w:val="0"/>
                <w:sz w:val="24"/>
              </w:rPr>
              <w:t>289,775,010.38</w:t>
            </w:r>
          </w:p>
        </w:tc>
        <w:tc>
          <w:tcPr>
            <w:tcW w:w="2339" w:type="dxa"/>
            <w:vAlign w:val="center"/>
          </w:tcPr>
          <w:p>
            <w:pPr>
              <w:spacing w:before="29" w:line="288" w:lineRule="auto"/>
              <w:jc w:val="right"/>
              <w:rPr>
                <w:kern w:val="0"/>
                <w:sz w:val="24"/>
              </w:rPr>
            </w:pPr>
            <w:r>
              <w:rPr>
                <w:kern w:val="0"/>
                <w:sz w:val="24"/>
              </w:rPr>
              <w:t>290,440,000.00</w:t>
            </w:r>
          </w:p>
        </w:tc>
        <w:tc>
          <w:tcPr>
            <w:tcW w:w="2340" w:type="dxa"/>
            <w:vAlign w:val="center"/>
          </w:tcPr>
          <w:p>
            <w:pPr>
              <w:spacing w:before="29" w:line="288" w:lineRule="auto"/>
              <w:jc w:val="right"/>
              <w:rPr>
                <w:kern w:val="0"/>
                <w:sz w:val="24"/>
              </w:rPr>
            </w:pPr>
            <w:r>
              <w:rPr>
                <w:kern w:val="0"/>
                <w:sz w:val="24"/>
              </w:rPr>
              <w:t>664,989.62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基金</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其他</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kern w:val="0"/>
                <w:sz w:val="24"/>
              </w:rPr>
            </w:pPr>
            <w:r>
              <w:rPr>
                <w:kern w:val="0"/>
                <w:sz w:val="24"/>
              </w:rPr>
              <w:t>5,306,603,424.08</w:t>
            </w:r>
          </w:p>
        </w:tc>
        <w:tc>
          <w:tcPr>
            <w:tcW w:w="2339" w:type="dxa"/>
            <w:vAlign w:val="center"/>
          </w:tcPr>
          <w:p>
            <w:pPr>
              <w:spacing w:before="29" w:line="288" w:lineRule="auto"/>
              <w:jc w:val="right"/>
              <w:rPr>
                <w:kern w:val="0"/>
                <w:sz w:val="24"/>
              </w:rPr>
            </w:pPr>
            <w:r>
              <w:rPr>
                <w:kern w:val="0"/>
                <w:sz w:val="24"/>
              </w:rPr>
              <w:t>6,033,684,695.70</w:t>
            </w:r>
          </w:p>
        </w:tc>
        <w:tc>
          <w:tcPr>
            <w:tcW w:w="2340" w:type="dxa"/>
            <w:vAlign w:val="center"/>
          </w:tcPr>
          <w:p>
            <w:pPr>
              <w:spacing w:before="29" w:line="288" w:lineRule="auto"/>
              <w:jc w:val="right"/>
              <w:rPr>
                <w:kern w:val="0"/>
                <w:sz w:val="24"/>
              </w:rPr>
            </w:pPr>
            <w:r>
              <w:rPr>
                <w:kern w:val="0"/>
                <w:sz w:val="24"/>
              </w:rPr>
              <w:t>727,081,271.62</w:t>
            </w:r>
          </w:p>
        </w:tc>
      </w:tr>
    </w:tbl>
    <w:p>
      <w:pPr>
        <w:adjustRightInd w:val="0"/>
        <w:snapToGrid w:val="0"/>
        <w:spacing w:line="360" w:lineRule="auto"/>
        <w:jc w:val="left"/>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54" w:name="_Toc67596635"/>
      <w:r>
        <w:rPr>
          <w:rFonts w:ascii="Times New Roman" w:hAnsi="Times New Roman"/>
          <w:kern w:val="0"/>
          <w:szCs w:val="24"/>
        </w:rPr>
        <w:t>7.4.7.3</w:t>
      </w:r>
      <w:r>
        <w:rPr>
          <w:rFonts w:hint="eastAsia" w:ascii="Times New Roman" w:hAnsi="Times New Roman"/>
          <w:kern w:val="0"/>
          <w:szCs w:val="24"/>
        </w:rPr>
        <w:t>衍生金融资产</w:t>
      </w:r>
      <w:r>
        <w:rPr>
          <w:rFonts w:ascii="Times New Roman" w:hAnsi="Times New Roman"/>
          <w:kern w:val="0"/>
          <w:szCs w:val="24"/>
        </w:rPr>
        <w:t>/</w:t>
      </w:r>
      <w:r>
        <w:rPr>
          <w:rFonts w:hint="eastAsia" w:ascii="Times New Roman" w:hAnsi="Times New Roman"/>
          <w:kern w:val="0"/>
          <w:szCs w:val="24"/>
        </w:rPr>
        <w:t>负债</w:t>
      </w:r>
      <w:bookmarkEnd w:id="154"/>
    </w:p>
    <w:p>
      <w:pPr>
        <w:tabs>
          <w:tab w:val="left" w:pos="426"/>
        </w:tabs>
        <w:spacing w:before="29" w:line="288" w:lineRule="auto"/>
        <w:jc w:val="left"/>
        <w:rPr>
          <w:kern w:val="0"/>
          <w:sz w:val="24"/>
        </w:rPr>
      </w:pPr>
      <w:r>
        <w:rPr>
          <w:kern w:val="0"/>
          <w:sz w:val="24"/>
        </w:rPr>
        <w:t>本基金本报告期末及上年度末未持有衍生金融工具。</w:t>
      </w:r>
    </w:p>
    <w:p>
      <w:pPr>
        <w:adjustRightInd w:val="0"/>
        <w:snapToGrid w:val="0"/>
        <w:spacing w:line="360" w:lineRule="auto"/>
        <w:jc w:val="left"/>
        <w:rPr>
          <w:rFonts w:asciiTheme="minorEastAsia" w:hAnsiTheme="minorEastAsia" w:eastAsiaTheme="minorEastAsia"/>
          <w:bCs/>
          <w:color w:val="000000"/>
          <w:szCs w:val="21"/>
        </w:rPr>
      </w:pPr>
    </w:p>
    <w:p>
      <w:pPr>
        <w:spacing w:before="29" w:line="288" w:lineRule="auto"/>
        <w:rPr>
          <w:rFonts w:eastAsiaTheme="minorEastAsia"/>
          <w:b/>
          <w:sz w:val="24"/>
        </w:rPr>
      </w:pPr>
      <w:r>
        <w:rPr>
          <w:rFonts w:eastAsiaTheme="minorEastAsia"/>
          <w:b/>
          <w:sz w:val="24"/>
        </w:rPr>
        <w:t>7.4.7.4</w:t>
      </w:r>
      <w:r>
        <w:rPr>
          <w:rFonts w:hint="eastAsia" w:eastAsiaTheme="minorEastAsia"/>
          <w:b/>
          <w:sz w:val="24"/>
        </w:rPr>
        <w:t>买入返售金融资产</w:t>
      </w:r>
    </w:p>
    <w:p>
      <w:pPr>
        <w:spacing w:before="29" w:line="288" w:lineRule="auto"/>
        <w:rPr>
          <w:rFonts w:eastAsiaTheme="minorEastAsia"/>
          <w:b/>
          <w:sz w:val="24"/>
        </w:rPr>
      </w:pPr>
      <w:r>
        <w:rPr>
          <w:rFonts w:eastAsiaTheme="minorEastAsia"/>
          <w:b/>
          <w:sz w:val="24"/>
        </w:rPr>
        <w:t>7.4.7.4.1</w:t>
      </w:r>
      <w:r>
        <w:rPr>
          <w:rFonts w:hint="eastAsia" w:eastAsiaTheme="minorEastAsia"/>
          <w:b/>
          <w:sz w:val="24"/>
        </w:rPr>
        <w:t>各项买入返售金融资产期末余额</w:t>
      </w:r>
    </w:p>
    <w:p>
      <w:pPr>
        <w:autoSpaceDE w:val="0"/>
        <w:autoSpaceDN w:val="0"/>
        <w:adjustRightInd w:val="0"/>
        <w:spacing w:before="29" w:line="360" w:lineRule="auto"/>
        <w:ind w:left="15"/>
        <w:jc w:val="right"/>
        <w:rPr>
          <w:rFonts w:eastAsiaTheme="minorEastAsia"/>
          <w:color w:val="000000"/>
          <w:sz w:val="24"/>
        </w:rPr>
      </w:pPr>
      <w:r>
        <w:rPr>
          <w:rFonts w:eastAsiaTheme="minorEastAsia"/>
          <w:color w:val="000000"/>
          <w:sz w:val="24"/>
        </w:rPr>
        <w:t>单位：人民币元</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81"/>
        <w:gridCol w:w="3260"/>
        <w:gridCol w:w="33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jc w:val="center"/>
        </w:trPr>
        <w:tc>
          <w:tcPr>
            <w:tcW w:w="2381" w:type="dxa"/>
            <w:vMerge w:val="restart"/>
            <w:vAlign w:val="center"/>
          </w:tcPr>
          <w:p>
            <w:pPr>
              <w:spacing w:line="360" w:lineRule="auto"/>
              <w:jc w:val="center"/>
              <w:rPr>
                <w:rFonts w:eastAsiaTheme="minorEastAsia"/>
                <w:sz w:val="24"/>
              </w:rPr>
            </w:pPr>
            <w:r>
              <w:rPr>
                <w:rFonts w:eastAsiaTheme="minorEastAsia"/>
                <w:sz w:val="24"/>
              </w:rPr>
              <w:t>项目</w:t>
            </w:r>
          </w:p>
        </w:tc>
        <w:tc>
          <w:tcPr>
            <w:tcW w:w="6631" w:type="dxa"/>
            <w:gridSpan w:val="2"/>
          </w:tcPr>
          <w:p>
            <w:pPr>
              <w:spacing w:line="360" w:lineRule="auto"/>
              <w:jc w:val="center"/>
              <w:rPr>
                <w:rFonts w:eastAsiaTheme="minorEastAsia"/>
                <w:kern w:val="0"/>
                <w:sz w:val="24"/>
              </w:rPr>
            </w:pPr>
            <w:r>
              <w:rPr>
                <w:rFonts w:eastAsiaTheme="minorEastAsia"/>
                <w:kern w:val="0"/>
                <w:sz w:val="24"/>
              </w:rPr>
              <w:t>本期末</w:t>
            </w:r>
          </w:p>
          <w:p>
            <w:pPr>
              <w:spacing w:line="360" w:lineRule="auto"/>
              <w:jc w:val="center"/>
              <w:rPr>
                <w:rFonts w:eastAsiaTheme="minorEastAsia"/>
                <w:sz w:val="24"/>
              </w:rPr>
            </w:pPr>
            <w:r>
              <w:rPr>
                <w:rFonts w:eastAsiaTheme="minorEastAsia"/>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jc w:val="center"/>
        </w:trPr>
        <w:tc>
          <w:tcPr>
            <w:tcW w:w="2381" w:type="dxa"/>
            <w:vMerge w:val="continue"/>
            <w:vAlign w:val="center"/>
          </w:tcPr>
          <w:p>
            <w:pPr>
              <w:widowControl/>
              <w:spacing w:line="360" w:lineRule="auto"/>
              <w:jc w:val="left"/>
              <w:rPr>
                <w:rFonts w:eastAsiaTheme="minorEastAsia"/>
                <w:sz w:val="24"/>
              </w:rPr>
            </w:pPr>
          </w:p>
        </w:tc>
        <w:tc>
          <w:tcPr>
            <w:tcW w:w="3260" w:type="dxa"/>
          </w:tcPr>
          <w:p>
            <w:pPr>
              <w:spacing w:line="360" w:lineRule="auto"/>
              <w:jc w:val="center"/>
              <w:rPr>
                <w:rFonts w:eastAsiaTheme="minorEastAsia"/>
                <w:sz w:val="24"/>
              </w:rPr>
            </w:pPr>
            <w:r>
              <w:rPr>
                <w:rFonts w:eastAsiaTheme="minorEastAsia"/>
                <w:sz w:val="24"/>
              </w:rPr>
              <w:t>账面余额</w:t>
            </w:r>
          </w:p>
        </w:tc>
        <w:tc>
          <w:tcPr>
            <w:tcW w:w="3371" w:type="dxa"/>
          </w:tcPr>
          <w:p>
            <w:pPr>
              <w:spacing w:line="360" w:lineRule="auto"/>
              <w:jc w:val="center"/>
              <w:rPr>
                <w:rFonts w:eastAsiaTheme="minorEastAsia"/>
                <w:sz w:val="24"/>
              </w:rPr>
            </w:pPr>
            <w:r>
              <w:rPr>
                <w:rFonts w:eastAsiaTheme="minorEastAsia"/>
                <w:sz w:val="24"/>
              </w:rPr>
              <w:t>其中</w:t>
            </w:r>
            <w:r>
              <w:rPr>
                <w:rFonts w:hint="eastAsia"/>
                <w:sz w:val="24"/>
              </w:rPr>
              <w:t>：</w:t>
            </w:r>
            <w:r>
              <w:rPr>
                <w:rFonts w:eastAsiaTheme="minorEastAsia"/>
                <w:sz w:val="24"/>
              </w:rPr>
              <w:t>买断式逆回购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jc w:val="center"/>
        </w:trPr>
        <w:tc>
          <w:tcPr>
            <w:tcW w:w="2381" w:type="dxa"/>
            <w:vAlign w:val="bottom"/>
          </w:tcPr>
          <w:p>
            <w:pPr>
              <w:rPr>
                <w:rFonts w:ascii="宋体" w:hAnsi="宋体"/>
                <w:sz w:val="24"/>
              </w:rPr>
            </w:pPr>
            <w:r>
              <w:rPr>
                <w:rFonts w:ascii="宋体" w:hAnsi="宋体"/>
                <w:sz w:val="24"/>
              </w:rPr>
              <w:t>交易所市场</w:t>
            </w:r>
          </w:p>
        </w:tc>
        <w:tc>
          <w:tcPr>
            <w:tcW w:w="3260" w:type="dxa"/>
          </w:tcPr>
          <w:p>
            <w:pPr>
              <w:jc w:val="right"/>
              <w:rPr>
                <w:rFonts w:eastAsiaTheme="minorEastAsia"/>
                <w:sz w:val="24"/>
              </w:rPr>
            </w:pPr>
            <w:r>
              <w:rPr>
                <w:rFonts w:eastAsiaTheme="minorEastAsia"/>
                <w:sz w:val="24"/>
              </w:rPr>
              <w:t>-</w:t>
            </w:r>
          </w:p>
        </w:tc>
        <w:tc>
          <w:tcPr>
            <w:tcW w:w="3371" w:type="dxa"/>
          </w:tcPr>
          <w:p>
            <w:pPr>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57" w:hRule="atLeast"/>
          <w:jc w:val="center"/>
        </w:trPr>
        <w:tc>
          <w:tcPr>
            <w:tcW w:w="2381" w:type="dxa"/>
            <w:vAlign w:val="bottom"/>
          </w:tcPr>
          <w:p>
            <w:pPr>
              <w:rPr>
                <w:rFonts w:ascii="宋体" w:hAnsi="宋体"/>
                <w:sz w:val="24"/>
              </w:rPr>
            </w:pPr>
            <w:r>
              <w:rPr>
                <w:rFonts w:ascii="宋体" w:hAnsi="宋体"/>
                <w:sz w:val="24"/>
              </w:rPr>
              <w:t>银行间市场</w:t>
            </w:r>
          </w:p>
        </w:tc>
        <w:tc>
          <w:tcPr>
            <w:tcW w:w="3260" w:type="dxa"/>
          </w:tcPr>
          <w:p>
            <w:pPr>
              <w:jc w:val="right"/>
              <w:rPr>
                <w:rFonts w:eastAsiaTheme="minorEastAsia"/>
                <w:sz w:val="24"/>
              </w:rPr>
            </w:pPr>
            <w:r>
              <w:rPr>
                <w:rFonts w:eastAsiaTheme="minorEastAsia"/>
                <w:sz w:val="24"/>
              </w:rPr>
              <w:t>-</w:t>
            </w:r>
          </w:p>
        </w:tc>
        <w:tc>
          <w:tcPr>
            <w:tcW w:w="3371" w:type="dxa"/>
          </w:tcPr>
          <w:p>
            <w:pPr>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jc w:val="center"/>
        </w:trPr>
        <w:tc>
          <w:tcPr>
            <w:tcW w:w="2381" w:type="dxa"/>
            <w:vAlign w:val="bottom"/>
          </w:tcPr>
          <w:p>
            <w:pPr>
              <w:spacing w:line="360" w:lineRule="auto"/>
              <w:jc w:val="left"/>
              <w:rPr>
                <w:rFonts w:eastAsiaTheme="minorEastAsia"/>
                <w:sz w:val="24"/>
              </w:rPr>
            </w:pPr>
            <w:r>
              <w:rPr>
                <w:rFonts w:eastAsiaTheme="minorEastAsia"/>
                <w:sz w:val="24"/>
              </w:rPr>
              <w:t>合计</w:t>
            </w:r>
          </w:p>
        </w:tc>
        <w:tc>
          <w:tcPr>
            <w:tcW w:w="3260" w:type="dxa"/>
            <w:vAlign w:val="center"/>
          </w:tcPr>
          <w:p>
            <w:pPr>
              <w:spacing w:line="360" w:lineRule="auto"/>
              <w:jc w:val="right"/>
              <w:rPr>
                <w:rFonts w:eastAsiaTheme="minorEastAsia"/>
                <w:sz w:val="24"/>
              </w:rPr>
            </w:pPr>
            <w:r>
              <w:rPr>
                <w:rFonts w:eastAsiaTheme="minorEastAsia"/>
                <w:sz w:val="24"/>
              </w:rPr>
              <w:t>-</w:t>
            </w:r>
          </w:p>
        </w:tc>
        <w:tc>
          <w:tcPr>
            <w:tcW w:w="3371" w:type="dxa"/>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jc w:val="center"/>
        </w:trPr>
        <w:tc>
          <w:tcPr>
            <w:tcW w:w="2381" w:type="dxa"/>
            <w:vMerge w:val="restart"/>
            <w:vAlign w:val="center"/>
          </w:tcPr>
          <w:p>
            <w:pPr>
              <w:spacing w:line="360" w:lineRule="auto"/>
              <w:jc w:val="center"/>
              <w:rPr>
                <w:rFonts w:eastAsiaTheme="minorEastAsia"/>
                <w:sz w:val="24"/>
              </w:rPr>
            </w:pPr>
            <w:r>
              <w:rPr>
                <w:rFonts w:eastAsiaTheme="minorEastAsia"/>
                <w:sz w:val="24"/>
              </w:rPr>
              <w:t>项目</w:t>
            </w:r>
          </w:p>
        </w:tc>
        <w:tc>
          <w:tcPr>
            <w:tcW w:w="6631" w:type="dxa"/>
            <w:gridSpan w:val="2"/>
          </w:tcPr>
          <w:p>
            <w:pPr>
              <w:spacing w:line="360" w:lineRule="auto"/>
              <w:jc w:val="center"/>
              <w:rPr>
                <w:rFonts w:eastAsiaTheme="minorEastAsia"/>
                <w:color w:val="000000"/>
                <w:kern w:val="0"/>
                <w:sz w:val="24"/>
              </w:rPr>
            </w:pPr>
            <w:r>
              <w:rPr>
                <w:rFonts w:eastAsiaTheme="minorEastAsia"/>
                <w:color w:val="000000"/>
                <w:kern w:val="0"/>
                <w:sz w:val="24"/>
              </w:rPr>
              <w:t>上年度末</w:t>
            </w:r>
          </w:p>
          <w:p>
            <w:pPr>
              <w:spacing w:line="360" w:lineRule="auto"/>
              <w:jc w:val="center"/>
              <w:rPr>
                <w:rFonts w:eastAsiaTheme="minorEastAsia"/>
                <w:sz w:val="24"/>
              </w:rPr>
            </w:pPr>
            <w:r>
              <w:rPr>
                <w:rFonts w:eastAsiaTheme="minorEastAsia"/>
                <w:color w:val="000000"/>
                <w:kern w:val="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jc w:val="center"/>
        </w:trPr>
        <w:tc>
          <w:tcPr>
            <w:tcW w:w="2381" w:type="dxa"/>
            <w:vMerge w:val="continue"/>
            <w:vAlign w:val="center"/>
          </w:tcPr>
          <w:p>
            <w:pPr>
              <w:widowControl/>
              <w:spacing w:line="360" w:lineRule="auto"/>
              <w:jc w:val="left"/>
              <w:rPr>
                <w:rFonts w:eastAsiaTheme="minorEastAsia"/>
                <w:sz w:val="24"/>
              </w:rPr>
            </w:pPr>
          </w:p>
        </w:tc>
        <w:tc>
          <w:tcPr>
            <w:tcW w:w="3260" w:type="dxa"/>
          </w:tcPr>
          <w:p>
            <w:pPr>
              <w:spacing w:line="360" w:lineRule="auto"/>
              <w:jc w:val="center"/>
              <w:rPr>
                <w:rFonts w:eastAsiaTheme="minorEastAsia"/>
                <w:sz w:val="24"/>
              </w:rPr>
            </w:pPr>
            <w:r>
              <w:rPr>
                <w:rFonts w:eastAsiaTheme="minorEastAsia"/>
                <w:sz w:val="24"/>
              </w:rPr>
              <w:t>账面余额</w:t>
            </w:r>
          </w:p>
        </w:tc>
        <w:tc>
          <w:tcPr>
            <w:tcW w:w="3371" w:type="dxa"/>
          </w:tcPr>
          <w:p>
            <w:pPr>
              <w:spacing w:line="360" w:lineRule="auto"/>
              <w:jc w:val="center"/>
              <w:rPr>
                <w:rFonts w:eastAsiaTheme="minorEastAsia"/>
                <w:sz w:val="24"/>
              </w:rPr>
            </w:pPr>
            <w:r>
              <w:rPr>
                <w:rFonts w:eastAsiaTheme="minorEastAsia"/>
                <w:sz w:val="24"/>
              </w:rPr>
              <w:t>其中</w:t>
            </w:r>
            <w:r>
              <w:rPr>
                <w:rFonts w:hint="eastAsia"/>
                <w:sz w:val="24"/>
              </w:rPr>
              <w:t>：</w:t>
            </w:r>
            <w:r>
              <w:rPr>
                <w:rFonts w:eastAsiaTheme="minorEastAsia"/>
                <w:sz w:val="24"/>
              </w:rPr>
              <w:t>买断式逆回购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jc w:val="center"/>
        </w:trPr>
        <w:tc>
          <w:tcPr>
            <w:tcW w:w="2381" w:type="dxa"/>
            <w:vAlign w:val="bottom"/>
          </w:tcPr>
          <w:p>
            <w:pPr>
              <w:rPr>
                <w:rFonts w:ascii="宋体" w:hAnsi="宋体"/>
                <w:sz w:val="24"/>
              </w:rPr>
            </w:pPr>
            <w:r>
              <w:rPr>
                <w:rFonts w:ascii="宋体" w:hAnsi="宋体"/>
                <w:sz w:val="24"/>
              </w:rPr>
              <w:t>交易所市场</w:t>
            </w:r>
          </w:p>
        </w:tc>
        <w:tc>
          <w:tcPr>
            <w:tcW w:w="3260" w:type="dxa"/>
          </w:tcPr>
          <w:p>
            <w:pPr>
              <w:jc w:val="right"/>
              <w:rPr>
                <w:rFonts w:eastAsiaTheme="minorEastAsia"/>
                <w:sz w:val="24"/>
              </w:rPr>
            </w:pPr>
            <w:r>
              <w:rPr>
                <w:rFonts w:eastAsiaTheme="minorEastAsia"/>
                <w:sz w:val="24"/>
              </w:rPr>
              <w:t>-</w:t>
            </w:r>
          </w:p>
        </w:tc>
        <w:tc>
          <w:tcPr>
            <w:tcW w:w="3371" w:type="dxa"/>
          </w:tcPr>
          <w:p>
            <w:pPr>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jc w:val="center"/>
        </w:trPr>
        <w:tc>
          <w:tcPr>
            <w:tcW w:w="2381" w:type="dxa"/>
            <w:vAlign w:val="bottom"/>
          </w:tcPr>
          <w:p>
            <w:pPr>
              <w:rPr>
                <w:rFonts w:ascii="宋体" w:hAnsi="宋体"/>
                <w:sz w:val="24"/>
              </w:rPr>
            </w:pPr>
            <w:r>
              <w:rPr>
                <w:rFonts w:ascii="宋体" w:hAnsi="宋体"/>
                <w:sz w:val="24"/>
              </w:rPr>
              <w:t>银行间市场</w:t>
            </w:r>
          </w:p>
        </w:tc>
        <w:tc>
          <w:tcPr>
            <w:tcW w:w="3260" w:type="dxa"/>
          </w:tcPr>
          <w:p>
            <w:pPr>
              <w:jc w:val="right"/>
              <w:rPr>
                <w:rFonts w:eastAsiaTheme="minorEastAsia"/>
                <w:sz w:val="24"/>
              </w:rPr>
            </w:pPr>
            <w:r>
              <w:rPr>
                <w:rFonts w:eastAsiaTheme="minorEastAsia"/>
                <w:sz w:val="24"/>
              </w:rPr>
              <w:t>485,001,567.50</w:t>
            </w:r>
          </w:p>
        </w:tc>
        <w:tc>
          <w:tcPr>
            <w:tcW w:w="3371" w:type="dxa"/>
          </w:tcPr>
          <w:p>
            <w:pPr>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jc w:val="center"/>
        </w:trPr>
        <w:tc>
          <w:tcPr>
            <w:tcW w:w="2381" w:type="dxa"/>
            <w:vAlign w:val="bottom"/>
          </w:tcPr>
          <w:p>
            <w:pPr>
              <w:spacing w:line="360" w:lineRule="auto"/>
              <w:jc w:val="left"/>
              <w:rPr>
                <w:rFonts w:eastAsiaTheme="minorEastAsia"/>
                <w:sz w:val="24"/>
              </w:rPr>
            </w:pPr>
            <w:r>
              <w:rPr>
                <w:rFonts w:eastAsiaTheme="minorEastAsia"/>
                <w:sz w:val="24"/>
              </w:rPr>
              <w:t>合计</w:t>
            </w:r>
          </w:p>
        </w:tc>
        <w:tc>
          <w:tcPr>
            <w:tcW w:w="3260" w:type="dxa"/>
            <w:vAlign w:val="center"/>
          </w:tcPr>
          <w:p>
            <w:pPr>
              <w:spacing w:line="360" w:lineRule="auto"/>
              <w:jc w:val="right"/>
              <w:rPr>
                <w:rFonts w:eastAsiaTheme="minorEastAsia"/>
                <w:sz w:val="24"/>
              </w:rPr>
            </w:pPr>
            <w:r>
              <w:rPr>
                <w:rFonts w:eastAsiaTheme="minorEastAsia"/>
                <w:sz w:val="24"/>
              </w:rPr>
              <w:t>485,001,567.50</w:t>
            </w:r>
          </w:p>
        </w:tc>
        <w:tc>
          <w:tcPr>
            <w:tcW w:w="3371" w:type="dxa"/>
            <w:vAlign w:val="center"/>
          </w:tcPr>
          <w:p>
            <w:pPr>
              <w:spacing w:line="360" w:lineRule="auto"/>
              <w:jc w:val="right"/>
              <w:rPr>
                <w:rFonts w:eastAsiaTheme="minorEastAsia"/>
                <w:sz w:val="24"/>
              </w:rPr>
            </w:pPr>
            <w:r>
              <w:rPr>
                <w:rFonts w:eastAsiaTheme="minorEastAsia"/>
                <w:sz w:val="24"/>
              </w:rPr>
              <w:t>-</w:t>
            </w:r>
          </w:p>
        </w:tc>
      </w:tr>
    </w:tbl>
    <w:p>
      <w:pPr>
        <w:adjustRightInd w:val="0"/>
        <w:snapToGrid w:val="0"/>
        <w:spacing w:line="360" w:lineRule="auto"/>
        <w:jc w:val="left"/>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55" w:name="_Toc67596636"/>
      <w:r>
        <w:rPr>
          <w:rFonts w:ascii="Times New Roman" w:hAnsi="Times New Roman"/>
          <w:kern w:val="0"/>
          <w:szCs w:val="24"/>
        </w:rPr>
        <w:t>7.4.7.4.2</w:t>
      </w:r>
      <w:r>
        <w:rPr>
          <w:rFonts w:hint="eastAsia" w:ascii="Times New Roman" w:hAnsi="Times New Roman"/>
          <w:kern w:val="0"/>
          <w:szCs w:val="24"/>
        </w:rPr>
        <w:t>期末买断式逆回购交易中取得的债券</w:t>
      </w:r>
      <w:bookmarkEnd w:id="155"/>
    </w:p>
    <w:p>
      <w:pPr>
        <w:tabs>
          <w:tab w:val="left" w:pos="426"/>
        </w:tabs>
        <w:spacing w:before="29" w:line="288" w:lineRule="auto"/>
        <w:jc w:val="left"/>
        <w:rPr>
          <w:kern w:val="0"/>
          <w:sz w:val="24"/>
        </w:rPr>
      </w:pPr>
      <w:r>
        <w:rPr>
          <w:kern w:val="0"/>
          <w:sz w:val="24"/>
        </w:rPr>
        <w:t>本基金本报告期末及上年度末未持有从买断式逆回购交易中取得的债券。</w:t>
      </w:r>
    </w:p>
    <w:p>
      <w:pPr>
        <w:spacing w:line="360" w:lineRule="auto"/>
        <w:rPr>
          <w:rFonts w:asciiTheme="minorEastAsia" w:hAnsiTheme="minorEastAsia" w:eastAsiaTheme="minorEastAsia"/>
          <w:color w:val="000000"/>
          <w:szCs w:val="21"/>
        </w:rPr>
      </w:pPr>
    </w:p>
    <w:p>
      <w:pPr>
        <w:spacing w:before="29" w:line="288" w:lineRule="auto"/>
        <w:rPr>
          <w:rFonts w:eastAsiaTheme="minorEastAsia"/>
          <w:b/>
          <w:sz w:val="24"/>
        </w:rPr>
      </w:pPr>
      <w:r>
        <w:rPr>
          <w:rFonts w:eastAsiaTheme="minorEastAsia"/>
          <w:b/>
          <w:sz w:val="24"/>
        </w:rPr>
        <w:t>7.4.7.5</w:t>
      </w:r>
      <w:r>
        <w:rPr>
          <w:rFonts w:hint="eastAsia" w:eastAsiaTheme="minorEastAsia"/>
          <w:b/>
          <w:sz w:val="24"/>
        </w:rPr>
        <w:t>应收利息</w:t>
      </w:r>
    </w:p>
    <w:p>
      <w:pPr>
        <w:spacing w:line="360" w:lineRule="auto"/>
        <w:jc w:val="right"/>
        <w:rPr>
          <w:rFonts w:eastAsiaTheme="minorEastAsia"/>
          <w:color w:val="000000"/>
          <w:sz w:val="24"/>
        </w:rPr>
      </w:pPr>
      <w:r>
        <w:rPr>
          <w:rFonts w:eastAsiaTheme="minorEastAsia"/>
          <w:color w:val="000000"/>
          <w:sz w:val="24"/>
        </w:rPr>
        <w:t>单位：人民币元</w:t>
      </w:r>
    </w:p>
    <w:tbl>
      <w:tblPr>
        <w:tblStyle w:val="31"/>
        <w:tblW w:w="9015"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51"/>
        <w:gridCol w:w="3258"/>
        <w:gridCol w:w="34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351" w:type="dxa"/>
            <w:vAlign w:val="center"/>
          </w:tcPr>
          <w:p>
            <w:pPr>
              <w:spacing w:line="360" w:lineRule="auto"/>
              <w:jc w:val="center"/>
              <w:rPr>
                <w:rFonts w:eastAsiaTheme="minorEastAsia"/>
                <w:sz w:val="24"/>
              </w:rPr>
            </w:pPr>
            <w:r>
              <w:rPr>
                <w:rFonts w:eastAsiaTheme="minorEastAsia"/>
                <w:sz w:val="24"/>
              </w:rPr>
              <w:t>项目</w:t>
            </w:r>
          </w:p>
        </w:tc>
        <w:tc>
          <w:tcPr>
            <w:tcW w:w="3258" w:type="dxa"/>
            <w:vAlign w:val="bottom"/>
          </w:tcPr>
          <w:p>
            <w:pPr>
              <w:spacing w:line="360" w:lineRule="auto"/>
              <w:jc w:val="center"/>
              <w:rPr>
                <w:rFonts w:eastAsiaTheme="minorEastAsia"/>
                <w:kern w:val="0"/>
                <w:sz w:val="24"/>
              </w:rPr>
            </w:pPr>
            <w:r>
              <w:rPr>
                <w:rFonts w:eastAsiaTheme="minorEastAsia"/>
                <w:kern w:val="0"/>
                <w:sz w:val="24"/>
              </w:rPr>
              <w:t>本期末</w:t>
            </w:r>
          </w:p>
          <w:p>
            <w:pPr>
              <w:spacing w:line="360" w:lineRule="auto"/>
              <w:jc w:val="center"/>
              <w:rPr>
                <w:rFonts w:eastAsiaTheme="minorEastAsia"/>
                <w:sz w:val="24"/>
              </w:rPr>
            </w:pPr>
            <w:r>
              <w:rPr>
                <w:rFonts w:eastAsiaTheme="minorEastAsia"/>
                <w:sz w:val="24"/>
              </w:rPr>
              <w:t>2020年12月31日</w:t>
            </w:r>
          </w:p>
        </w:tc>
        <w:tc>
          <w:tcPr>
            <w:tcW w:w="3406" w:type="dxa"/>
          </w:tcPr>
          <w:p>
            <w:pPr>
              <w:spacing w:line="360" w:lineRule="auto"/>
              <w:jc w:val="center"/>
              <w:rPr>
                <w:rFonts w:eastAsiaTheme="minorEastAsia"/>
                <w:kern w:val="0"/>
                <w:sz w:val="24"/>
              </w:rPr>
            </w:pPr>
            <w:r>
              <w:rPr>
                <w:rFonts w:eastAsiaTheme="minorEastAsia"/>
                <w:kern w:val="0"/>
                <w:sz w:val="24"/>
              </w:rPr>
              <w:t>上年度末</w:t>
            </w:r>
          </w:p>
          <w:p>
            <w:pPr>
              <w:spacing w:line="360" w:lineRule="auto"/>
              <w:jc w:val="center"/>
              <w:rPr>
                <w:rFonts w:eastAsiaTheme="minorEastAsia"/>
                <w:sz w:val="24"/>
              </w:rPr>
            </w:pPr>
            <w:r>
              <w:rPr>
                <w:rFonts w:eastAsiaTheme="minorEastAsia"/>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2351" w:type="dxa"/>
            <w:vAlign w:val="center"/>
          </w:tcPr>
          <w:p>
            <w:pPr>
              <w:spacing w:line="360" w:lineRule="auto"/>
              <w:rPr>
                <w:rFonts w:eastAsiaTheme="minorEastAsia"/>
                <w:sz w:val="24"/>
              </w:rPr>
            </w:pPr>
            <w:r>
              <w:rPr>
                <w:rFonts w:eastAsiaTheme="minorEastAsia"/>
                <w:sz w:val="24"/>
              </w:rPr>
              <w:t>应收活期存款利息</w:t>
            </w:r>
          </w:p>
        </w:tc>
        <w:tc>
          <w:tcPr>
            <w:tcW w:w="3258" w:type="dxa"/>
            <w:vAlign w:val="center"/>
          </w:tcPr>
          <w:p>
            <w:pPr>
              <w:spacing w:line="360" w:lineRule="auto"/>
              <w:jc w:val="right"/>
              <w:rPr>
                <w:rFonts w:eastAsiaTheme="minorEastAsia"/>
                <w:sz w:val="24"/>
              </w:rPr>
            </w:pPr>
            <w:r>
              <w:rPr>
                <w:rFonts w:eastAsiaTheme="minorEastAsia"/>
                <w:sz w:val="24"/>
              </w:rPr>
              <w:t>59,600.04</w:t>
            </w:r>
          </w:p>
        </w:tc>
        <w:tc>
          <w:tcPr>
            <w:tcW w:w="3406" w:type="dxa"/>
            <w:noWrap/>
            <w:vAlign w:val="center"/>
          </w:tcPr>
          <w:p>
            <w:pPr>
              <w:spacing w:line="360" w:lineRule="auto"/>
              <w:jc w:val="right"/>
              <w:rPr>
                <w:rFonts w:eastAsiaTheme="minorEastAsia"/>
                <w:sz w:val="24"/>
              </w:rPr>
            </w:pPr>
            <w:r>
              <w:rPr>
                <w:rFonts w:eastAsiaTheme="minorEastAsia"/>
                <w:sz w:val="24"/>
              </w:rPr>
              <w:t>188,937.15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应收定期存款利息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应收其他存款利息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应收结算备付金利息</w:t>
            </w:r>
          </w:p>
        </w:tc>
        <w:tc>
          <w:tcPr>
            <w:tcW w:w="3258" w:type="dxa"/>
            <w:vAlign w:val="center"/>
          </w:tcPr>
          <w:p>
            <w:pPr>
              <w:spacing w:line="360" w:lineRule="auto"/>
              <w:jc w:val="right"/>
              <w:rPr>
                <w:rFonts w:eastAsiaTheme="minorEastAsia"/>
                <w:sz w:val="24"/>
              </w:rPr>
            </w:pPr>
            <w:r>
              <w:rPr>
                <w:rFonts w:eastAsiaTheme="minorEastAsia"/>
                <w:sz w:val="24"/>
              </w:rPr>
              <w:t>4,553.12</w:t>
            </w:r>
          </w:p>
        </w:tc>
        <w:tc>
          <w:tcPr>
            <w:tcW w:w="3406" w:type="dxa"/>
            <w:noWrap/>
            <w:vAlign w:val="center"/>
          </w:tcPr>
          <w:p>
            <w:pPr>
              <w:spacing w:line="360" w:lineRule="auto"/>
              <w:jc w:val="right"/>
              <w:rPr>
                <w:rFonts w:eastAsiaTheme="minorEastAsia"/>
                <w:sz w:val="24"/>
              </w:rPr>
            </w:pPr>
            <w:r>
              <w:rPr>
                <w:rFonts w:eastAsiaTheme="minorEastAsia"/>
                <w:sz w:val="24"/>
              </w:rPr>
              <w:t>10,935.32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351" w:type="dxa"/>
            <w:vAlign w:val="center"/>
          </w:tcPr>
          <w:p>
            <w:pPr>
              <w:spacing w:line="360" w:lineRule="auto"/>
              <w:rPr>
                <w:rFonts w:eastAsiaTheme="minorEastAsia"/>
                <w:sz w:val="24"/>
              </w:rPr>
            </w:pPr>
            <w:r>
              <w:rPr>
                <w:rFonts w:eastAsiaTheme="minorEastAsia"/>
                <w:sz w:val="24"/>
              </w:rPr>
              <w:t>应收债券利息</w:t>
            </w:r>
          </w:p>
        </w:tc>
        <w:tc>
          <w:tcPr>
            <w:tcW w:w="3258" w:type="dxa"/>
            <w:vAlign w:val="center"/>
          </w:tcPr>
          <w:p>
            <w:pPr>
              <w:spacing w:line="360" w:lineRule="auto"/>
              <w:jc w:val="right"/>
              <w:rPr>
                <w:rFonts w:eastAsiaTheme="minorEastAsia"/>
                <w:sz w:val="24"/>
              </w:rPr>
            </w:pPr>
            <w:r>
              <w:rPr>
                <w:rFonts w:eastAsiaTheme="minorEastAsia"/>
                <w:sz w:val="24"/>
              </w:rPr>
              <w:t>5,117,250.16</w:t>
            </w:r>
          </w:p>
        </w:tc>
        <w:tc>
          <w:tcPr>
            <w:tcW w:w="3406" w:type="dxa"/>
            <w:noWrap/>
            <w:vAlign w:val="center"/>
          </w:tcPr>
          <w:p>
            <w:pPr>
              <w:spacing w:line="360" w:lineRule="auto"/>
              <w:jc w:val="right"/>
              <w:rPr>
                <w:rFonts w:eastAsiaTheme="minorEastAsia"/>
                <w:sz w:val="24"/>
              </w:rPr>
            </w:pPr>
            <w:r>
              <w:rPr>
                <w:rFonts w:eastAsiaTheme="minorEastAsia"/>
                <w:sz w:val="24"/>
              </w:rPr>
              <w:t>3,946,308.74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2351" w:type="dxa"/>
            <w:vAlign w:val="bottom"/>
          </w:tcPr>
          <w:p>
            <w:pPr>
              <w:spacing w:line="360" w:lineRule="auto"/>
              <w:rPr>
                <w:rFonts w:eastAsiaTheme="minorEastAsia"/>
                <w:sz w:val="24"/>
              </w:rPr>
            </w:pPr>
            <w:r>
              <w:rPr>
                <w:rFonts w:hint="eastAsia" w:eastAsiaTheme="minorEastAsia"/>
                <w:sz w:val="24"/>
              </w:rPr>
              <w:t>应收资产支持证券利息</w:t>
            </w:r>
          </w:p>
        </w:tc>
        <w:tc>
          <w:tcPr>
            <w:tcW w:w="3258" w:type="dxa"/>
          </w:tcPr>
          <w:p>
            <w:pPr>
              <w:spacing w:line="360" w:lineRule="auto"/>
              <w:jc w:val="right"/>
              <w:rPr>
                <w:rFonts w:eastAsiaTheme="minorEastAsia"/>
                <w:sz w:val="24"/>
              </w:rPr>
            </w:pPr>
            <w:r>
              <w:rPr>
                <w:rFonts w:eastAsiaTheme="minorEastAsia"/>
                <w:sz w:val="24"/>
              </w:rPr>
              <w:t>-</w:t>
            </w:r>
          </w:p>
        </w:tc>
        <w:tc>
          <w:tcPr>
            <w:tcW w:w="3406" w:type="dxa"/>
            <w:noWrap/>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2351" w:type="dxa"/>
            <w:vAlign w:val="center"/>
          </w:tcPr>
          <w:p>
            <w:pPr>
              <w:spacing w:line="360" w:lineRule="auto"/>
              <w:rPr>
                <w:rFonts w:eastAsiaTheme="minorEastAsia"/>
                <w:sz w:val="24"/>
              </w:rPr>
            </w:pPr>
            <w:r>
              <w:rPr>
                <w:rFonts w:eastAsiaTheme="minorEastAsia"/>
                <w:sz w:val="24"/>
              </w:rPr>
              <w:t>应收买入返售证券利息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35,757.35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应收申购款利息</w:t>
            </w:r>
          </w:p>
        </w:tc>
        <w:tc>
          <w:tcPr>
            <w:tcW w:w="3258" w:type="dxa"/>
            <w:vAlign w:val="center"/>
          </w:tcPr>
          <w:p>
            <w:pPr>
              <w:spacing w:line="360" w:lineRule="auto"/>
              <w:jc w:val="right"/>
              <w:rPr>
                <w:rFonts w:eastAsiaTheme="minorEastAsia"/>
                <w:sz w:val="24"/>
              </w:rPr>
            </w:pPr>
            <w:r>
              <w:rPr>
                <w:rFonts w:eastAsiaTheme="minorEastAsia"/>
                <w:sz w:val="24"/>
              </w:rPr>
              <w:t>75.76</w:t>
            </w:r>
          </w:p>
        </w:tc>
        <w:tc>
          <w:tcPr>
            <w:tcW w:w="3406" w:type="dxa"/>
            <w:noWrap/>
            <w:vAlign w:val="center"/>
          </w:tcPr>
          <w:p>
            <w:pPr>
              <w:spacing w:line="360" w:lineRule="auto"/>
              <w:jc w:val="right"/>
              <w:rPr>
                <w:rFonts w:eastAsiaTheme="minorEastAsia"/>
                <w:sz w:val="24"/>
              </w:rPr>
            </w:pPr>
            <w:r>
              <w:rPr>
                <w:rFonts w:eastAsiaTheme="minorEastAsia"/>
                <w:sz w:val="24"/>
              </w:rPr>
              <w:t>114.76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应收黄金合约拆借孳息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其他</w:t>
            </w:r>
          </w:p>
        </w:tc>
        <w:tc>
          <w:tcPr>
            <w:tcW w:w="3258" w:type="dxa"/>
            <w:vAlign w:val="center"/>
          </w:tcPr>
          <w:p>
            <w:pPr>
              <w:spacing w:line="360" w:lineRule="auto"/>
              <w:jc w:val="right"/>
              <w:rPr>
                <w:rFonts w:eastAsiaTheme="minorEastAsia"/>
                <w:sz w:val="24"/>
              </w:rPr>
            </w:pPr>
            <w:r>
              <w:rPr>
                <w:rFonts w:eastAsiaTheme="minorEastAsia"/>
                <w:sz w:val="24"/>
              </w:rPr>
              <w:t>1,000.56</w:t>
            </w:r>
          </w:p>
        </w:tc>
        <w:tc>
          <w:tcPr>
            <w:tcW w:w="3406" w:type="dxa"/>
            <w:noWrap/>
            <w:vAlign w:val="center"/>
          </w:tcPr>
          <w:p>
            <w:pPr>
              <w:spacing w:line="360" w:lineRule="auto"/>
              <w:jc w:val="right"/>
              <w:rPr>
                <w:rFonts w:eastAsiaTheme="minorEastAsia"/>
                <w:sz w:val="24"/>
              </w:rPr>
            </w:pPr>
            <w:r>
              <w:rPr>
                <w:rFonts w:eastAsiaTheme="minorEastAsia"/>
                <w:sz w:val="24"/>
              </w:rPr>
              <w:t>812.24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30" w:hRule="atLeast"/>
        </w:trPr>
        <w:tc>
          <w:tcPr>
            <w:tcW w:w="2351" w:type="dxa"/>
            <w:vAlign w:val="center"/>
          </w:tcPr>
          <w:p>
            <w:pPr>
              <w:spacing w:line="360" w:lineRule="auto"/>
              <w:jc w:val="center"/>
              <w:rPr>
                <w:rFonts w:eastAsiaTheme="minorEastAsia"/>
                <w:sz w:val="24"/>
              </w:rPr>
            </w:pPr>
            <w:r>
              <w:rPr>
                <w:rFonts w:eastAsiaTheme="minorEastAsia"/>
                <w:sz w:val="24"/>
              </w:rPr>
              <w:t>合计</w:t>
            </w:r>
          </w:p>
        </w:tc>
        <w:tc>
          <w:tcPr>
            <w:tcW w:w="3258" w:type="dxa"/>
            <w:vAlign w:val="center"/>
          </w:tcPr>
          <w:p>
            <w:pPr>
              <w:spacing w:line="360" w:lineRule="auto"/>
              <w:jc w:val="right"/>
              <w:rPr>
                <w:rFonts w:eastAsiaTheme="minorEastAsia"/>
                <w:sz w:val="24"/>
              </w:rPr>
            </w:pPr>
            <w:r>
              <w:rPr>
                <w:rFonts w:eastAsiaTheme="minorEastAsia"/>
                <w:sz w:val="24"/>
              </w:rPr>
              <w:t>5,182,479.64</w:t>
            </w:r>
          </w:p>
        </w:tc>
        <w:tc>
          <w:tcPr>
            <w:tcW w:w="3406" w:type="dxa"/>
            <w:noWrap/>
            <w:vAlign w:val="center"/>
          </w:tcPr>
          <w:p>
            <w:pPr>
              <w:spacing w:line="360" w:lineRule="auto"/>
              <w:jc w:val="right"/>
              <w:rPr>
                <w:rFonts w:eastAsiaTheme="minorEastAsia"/>
                <w:sz w:val="24"/>
              </w:rPr>
            </w:pPr>
            <w:r>
              <w:rPr>
                <w:rFonts w:eastAsiaTheme="minorEastAsia"/>
                <w:sz w:val="24"/>
              </w:rPr>
              <w:t>4,182,865.56</w:t>
            </w:r>
          </w:p>
        </w:tc>
      </w:tr>
    </w:tbl>
    <w:p>
      <w:pPr>
        <w:spacing w:line="360" w:lineRule="auto"/>
        <w:rPr>
          <w:rFonts w:asciiTheme="minorEastAsia" w:hAnsiTheme="minorEastAsia" w:eastAsiaTheme="minorEastAsia"/>
          <w:color w:val="000000"/>
          <w:szCs w:val="21"/>
        </w:rPr>
      </w:pPr>
    </w:p>
    <w:p>
      <w:pPr>
        <w:spacing w:before="312" w:beforeLines="100"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pPr>
        <w:tabs>
          <w:tab w:val="left" w:pos="426"/>
        </w:tabs>
        <w:spacing w:line="360" w:lineRule="auto"/>
        <w:jc w:val="left"/>
        <w:rPr>
          <w:rFonts w:eastAsiaTheme="minorEastAsia"/>
          <w:color w:val="000000" w:themeColor="text1"/>
          <w:kern w:val="0"/>
          <w:sz w:val="24"/>
        </w:rPr>
      </w:pPr>
      <w:r>
        <w:rPr>
          <w:rFonts w:hint="eastAsia" w:eastAsiaTheme="minorEastAsia"/>
          <w:color w:val="000000" w:themeColor="text1"/>
          <w:kern w:val="0"/>
          <w:sz w:val="24"/>
        </w:rPr>
        <w:t>本基金本报告期末及上年度末未持有其他资产。</w:t>
      </w:r>
    </w:p>
    <w:p>
      <w:pPr>
        <w:tabs>
          <w:tab w:val="left" w:pos="426"/>
        </w:tabs>
        <w:spacing w:line="360" w:lineRule="auto"/>
        <w:jc w:val="left"/>
        <w:rPr>
          <w:rFonts w:eastAsiaTheme="minorEastAsia"/>
          <w:color w:val="000000" w:themeColor="text1"/>
          <w:kern w:val="0"/>
          <w:sz w:val="24"/>
        </w:rPr>
      </w:pPr>
    </w:p>
    <w:p>
      <w:pPr>
        <w:pStyle w:val="3"/>
        <w:spacing w:before="29" w:after="0" w:line="288" w:lineRule="auto"/>
        <w:rPr>
          <w:rFonts w:ascii="Times New Roman" w:hAnsi="Times New Roman"/>
          <w:kern w:val="0"/>
          <w:szCs w:val="24"/>
        </w:rPr>
      </w:pPr>
      <w:bookmarkStart w:id="156" w:name="_Toc67596637"/>
      <w:r>
        <w:rPr>
          <w:rFonts w:ascii="Times New Roman" w:hAnsi="Times New Roman"/>
          <w:kern w:val="0"/>
          <w:szCs w:val="24"/>
        </w:rPr>
        <w:t>7.4.7.7</w:t>
      </w:r>
      <w:r>
        <w:rPr>
          <w:rFonts w:hint="eastAsia" w:ascii="Times New Roman" w:hAnsi="Times New Roman"/>
          <w:kern w:val="0"/>
          <w:szCs w:val="24"/>
        </w:rPr>
        <w:t>应付交易费用</w:t>
      </w:r>
      <w:bookmarkEnd w:id="156"/>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65"/>
        <w:gridCol w:w="3150"/>
        <w:gridCol w:w="3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765" w:type="dxa"/>
            <w:vAlign w:val="center"/>
          </w:tcPr>
          <w:p>
            <w:pPr>
              <w:spacing w:before="29" w:line="288" w:lineRule="auto"/>
              <w:jc w:val="center"/>
              <w:rPr>
                <w:color w:val="000000"/>
                <w:kern w:val="0"/>
                <w:sz w:val="24"/>
              </w:rPr>
            </w:pPr>
            <w:r>
              <w:rPr>
                <w:rFonts w:hint="eastAsia"/>
                <w:color w:val="000000"/>
                <w:kern w:val="0"/>
                <w:sz w:val="24"/>
              </w:rPr>
              <w:t>项目</w:t>
            </w:r>
          </w:p>
        </w:tc>
        <w:tc>
          <w:tcPr>
            <w:tcW w:w="3150" w:type="dxa"/>
            <w:vAlign w:val="center"/>
          </w:tcPr>
          <w:p>
            <w:pPr>
              <w:spacing w:before="29" w:line="288" w:lineRule="auto"/>
              <w:jc w:val="center"/>
              <w:rPr>
                <w:color w:val="000000"/>
                <w:kern w:val="0"/>
                <w:sz w:val="24"/>
              </w:rPr>
            </w:pPr>
            <w:r>
              <w:rPr>
                <w:rFonts w:hint="eastAsia"/>
                <w:color w:val="000000"/>
                <w:kern w:val="0"/>
                <w:sz w:val="24"/>
              </w:rPr>
              <w:t>本期末</w:t>
            </w:r>
          </w:p>
          <w:p>
            <w:pPr>
              <w:spacing w:before="29" w:line="288" w:lineRule="auto"/>
              <w:jc w:val="center"/>
              <w:rPr>
                <w:color w:val="000000"/>
                <w:kern w:val="0"/>
                <w:sz w:val="24"/>
              </w:rPr>
            </w:pPr>
            <w:r>
              <w:rPr>
                <w:color w:val="000000"/>
                <w:kern w:val="0"/>
                <w:sz w:val="24"/>
              </w:rPr>
              <w:t>2020年12月31日</w:t>
            </w:r>
          </w:p>
        </w:tc>
        <w:tc>
          <w:tcPr>
            <w:tcW w:w="3150" w:type="dxa"/>
            <w:vAlign w:val="center"/>
          </w:tcPr>
          <w:p>
            <w:pPr>
              <w:spacing w:before="29" w:line="288" w:lineRule="auto"/>
              <w:jc w:val="center"/>
              <w:rPr>
                <w:color w:val="000000"/>
                <w:kern w:val="0"/>
                <w:sz w:val="24"/>
              </w:rPr>
            </w:pPr>
            <w:r>
              <w:rPr>
                <w:rFonts w:hint="eastAsia"/>
                <w:color w:val="000000"/>
                <w:kern w:val="0"/>
                <w:sz w:val="24"/>
              </w:rPr>
              <w:t>上年度末</w:t>
            </w:r>
          </w:p>
          <w:p>
            <w:pPr>
              <w:spacing w:before="29" w:line="288" w:lineRule="auto"/>
              <w:jc w:val="center"/>
              <w:rPr>
                <w:color w:val="000000"/>
                <w:kern w:val="0"/>
                <w:sz w:val="24"/>
              </w:rPr>
            </w:pPr>
            <w:r>
              <w:rPr>
                <w:color w:val="000000"/>
                <w:kern w:val="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 w:hRule="atLeast"/>
        </w:trPr>
        <w:tc>
          <w:tcPr>
            <w:tcW w:w="2765" w:type="dxa"/>
            <w:vAlign w:val="center"/>
          </w:tcPr>
          <w:p>
            <w:pPr>
              <w:widowControl/>
              <w:spacing w:before="29" w:line="288" w:lineRule="auto"/>
              <w:rPr>
                <w:color w:val="000000"/>
                <w:kern w:val="0"/>
                <w:sz w:val="24"/>
              </w:rPr>
            </w:pPr>
            <w:r>
              <w:rPr>
                <w:rFonts w:hint="eastAsia"/>
                <w:color w:val="000000"/>
                <w:kern w:val="0"/>
                <w:sz w:val="24"/>
              </w:rPr>
              <w:t>交易所市场应付交易费用</w:t>
            </w:r>
          </w:p>
        </w:tc>
        <w:tc>
          <w:tcPr>
            <w:tcW w:w="3150" w:type="dxa"/>
            <w:vAlign w:val="center"/>
          </w:tcPr>
          <w:p>
            <w:pPr>
              <w:spacing w:before="29" w:line="288" w:lineRule="auto"/>
              <w:jc w:val="right"/>
              <w:rPr>
                <w:kern w:val="0"/>
                <w:sz w:val="24"/>
              </w:rPr>
            </w:pPr>
            <w:r>
              <w:rPr>
                <w:kern w:val="0"/>
                <w:sz w:val="24"/>
              </w:rPr>
              <w:t>6,782,424.54</w:t>
            </w:r>
          </w:p>
        </w:tc>
        <w:tc>
          <w:tcPr>
            <w:tcW w:w="3150" w:type="dxa"/>
            <w:vAlign w:val="center"/>
          </w:tcPr>
          <w:p>
            <w:pPr>
              <w:spacing w:before="29" w:line="288" w:lineRule="auto"/>
              <w:jc w:val="right"/>
              <w:rPr>
                <w:kern w:val="0"/>
                <w:sz w:val="24"/>
              </w:rPr>
            </w:pPr>
            <w:r>
              <w:rPr>
                <w:kern w:val="0"/>
                <w:sz w:val="24"/>
              </w:rPr>
              <w:t>5,933,140.73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2765" w:type="dxa"/>
            <w:vAlign w:val="center"/>
          </w:tcPr>
          <w:p>
            <w:pPr>
              <w:widowControl/>
              <w:spacing w:before="29" w:line="288" w:lineRule="auto"/>
              <w:rPr>
                <w:color w:val="000000"/>
                <w:kern w:val="0"/>
                <w:sz w:val="24"/>
              </w:rPr>
            </w:pPr>
            <w:r>
              <w:rPr>
                <w:rFonts w:hint="eastAsia"/>
                <w:color w:val="000000"/>
                <w:kern w:val="0"/>
                <w:sz w:val="24"/>
              </w:rPr>
              <w:t>银行间市场应付交易费用</w:t>
            </w:r>
          </w:p>
        </w:tc>
        <w:tc>
          <w:tcPr>
            <w:tcW w:w="3150" w:type="dxa"/>
            <w:vAlign w:val="center"/>
          </w:tcPr>
          <w:p>
            <w:pPr>
              <w:spacing w:before="29" w:line="288" w:lineRule="auto"/>
              <w:jc w:val="right"/>
              <w:rPr>
                <w:kern w:val="0"/>
                <w:sz w:val="24"/>
              </w:rPr>
            </w:pPr>
            <w:r>
              <w:rPr>
                <w:kern w:val="0"/>
                <w:sz w:val="24"/>
              </w:rPr>
              <w:t>939.00</w:t>
            </w:r>
          </w:p>
        </w:tc>
        <w:tc>
          <w:tcPr>
            <w:tcW w:w="3150" w:type="dxa"/>
            <w:vAlign w:val="center"/>
          </w:tcPr>
          <w:p>
            <w:pPr>
              <w:spacing w:before="29" w:line="288" w:lineRule="auto"/>
              <w:jc w:val="right"/>
              <w:rPr>
                <w:kern w:val="0"/>
                <w:sz w:val="24"/>
              </w:rPr>
            </w:pPr>
            <w:r>
              <w:rPr>
                <w:kern w:val="0"/>
                <w:sz w:val="24"/>
              </w:rPr>
              <w:t>5,274.85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765" w:type="dxa"/>
            <w:vAlign w:val="center"/>
          </w:tcPr>
          <w:p>
            <w:pPr>
              <w:widowControl/>
              <w:spacing w:before="29" w:line="288" w:lineRule="auto"/>
              <w:rPr>
                <w:rFonts w:ascii="宋体" w:hAnsi="宋体"/>
                <w:szCs w:val="21"/>
              </w:rPr>
            </w:pPr>
            <w:r>
              <w:rPr>
                <w:rFonts w:hint="eastAsia"/>
                <w:color w:val="000000"/>
                <w:kern w:val="0"/>
                <w:sz w:val="24"/>
              </w:rPr>
              <w:t>合计</w:t>
            </w:r>
          </w:p>
        </w:tc>
        <w:tc>
          <w:tcPr>
            <w:tcW w:w="3150" w:type="dxa"/>
            <w:vAlign w:val="center"/>
          </w:tcPr>
          <w:p>
            <w:pPr>
              <w:spacing w:before="29" w:line="288" w:lineRule="auto"/>
              <w:jc w:val="right"/>
              <w:rPr>
                <w:kern w:val="0"/>
                <w:sz w:val="24"/>
              </w:rPr>
            </w:pPr>
            <w:r>
              <w:rPr>
                <w:kern w:val="0"/>
                <w:sz w:val="24"/>
              </w:rPr>
              <w:t>6,783,363.54</w:t>
            </w:r>
          </w:p>
        </w:tc>
        <w:tc>
          <w:tcPr>
            <w:tcW w:w="3150" w:type="dxa"/>
            <w:vAlign w:val="center"/>
          </w:tcPr>
          <w:p>
            <w:pPr>
              <w:spacing w:before="29" w:line="288" w:lineRule="auto"/>
              <w:jc w:val="right"/>
              <w:rPr>
                <w:kern w:val="0"/>
                <w:sz w:val="24"/>
              </w:rPr>
            </w:pPr>
            <w:r>
              <w:rPr>
                <w:kern w:val="0"/>
                <w:sz w:val="24"/>
              </w:rPr>
              <w:t>5,938,415.58</w:t>
            </w:r>
          </w:p>
        </w:tc>
      </w:tr>
    </w:tbl>
    <w:p>
      <w:pPr>
        <w:spacing w:line="360" w:lineRule="auto"/>
        <w:rPr>
          <w:rFonts w:asciiTheme="minorEastAsia" w:hAnsiTheme="minorEastAsia" w:eastAsiaTheme="minorEastAsia"/>
          <w:b/>
          <w:bCs/>
          <w:color w:val="000000"/>
          <w:szCs w:val="21"/>
        </w:rPr>
      </w:pPr>
    </w:p>
    <w:p>
      <w:pPr>
        <w:pStyle w:val="3"/>
        <w:spacing w:before="29" w:after="0" w:line="288" w:lineRule="auto"/>
        <w:rPr>
          <w:rFonts w:ascii="Times New Roman" w:hAnsi="Times New Roman"/>
          <w:kern w:val="0"/>
          <w:szCs w:val="24"/>
        </w:rPr>
      </w:pPr>
      <w:bookmarkStart w:id="157" w:name="_Toc67596638"/>
      <w:r>
        <w:rPr>
          <w:rFonts w:ascii="Times New Roman" w:hAnsi="Times New Roman"/>
          <w:kern w:val="0"/>
          <w:szCs w:val="24"/>
        </w:rPr>
        <w:t>7.4.7.8</w:t>
      </w:r>
      <w:r>
        <w:rPr>
          <w:rFonts w:hint="eastAsia" w:ascii="Times New Roman" w:hAnsi="Times New Roman"/>
          <w:kern w:val="0"/>
          <w:szCs w:val="24"/>
        </w:rPr>
        <w:t>其他负债</w:t>
      </w:r>
      <w:bookmarkEnd w:id="157"/>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15"/>
        <w:gridCol w:w="3150"/>
        <w:gridCol w:w="3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715" w:type="dxa"/>
            <w:vAlign w:val="center"/>
          </w:tcPr>
          <w:p>
            <w:pPr>
              <w:spacing w:before="29" w:line="288" w:lineRule="auto"/>
              <w:jc w:val="center"/>
              <w:rPr>
                <w:color w:val="000000"/>
                <w:kern w:val="0"/>
                <w:sz w:val="24"/>
              </w:rPr>
            </w:pPr>
            <w:r>
              <w:rPr>
                <w:rFonts w:hint="eastAsia"/>
                <w:color w:val="000000"/>
                <w:kern w:val="0"/>
                <w:sz w:val="24"/>
              </w:rPr>
              <w:t>项目</w:t>
            </w:r>
          </w:p>
        </w:tc>
        <w:tc>
          <w:tcPr>
            <w:tcW w:w="3150" w:type="dxa"/>
            <w:vAlign w:val="center"/>
          </w:tcPr>
          <w:p>
            <w:pPr>
              <w:spacing w:before="29" w:line="288" w:lineRule="auto"/>
              <w:jc w:val="center"/>
              <w:rPr>
                <w:color w:val="000000"/>
                <w:kern w:val="0"/>
                <w:sz w:val="24"/>
              </w:rPr>
            </w:pPr>
            <w:r>
              <w:rPr>
                <w:rFonts w:hint="eastAsia"/>
                <w:color w:val="000000"/>
                <w:kern w:val="0"/>
                <w:sz w:val="24"/>
              </w:rPr>
              <w:t>本期末</w:t>
            </w:r>
          </w:p>
          <w:p>
            <w:pPr>
              <w:spacing w:before="29" w:line="288" w:lineRule="auto"/>
              <w:jc w:val="center"/>
              <w:rPr>
                <w:color w:val="000000"/>
                <w:kern w:val="0"/>
                <w:sz w:val="24"/>
              </w:rPr>
            </w:pPr>
            <w:r>
              <w:rPr>
                <w:color w:val="000000"/>
                <w:kern w:val="0"/>
                <w:sz w:val="24"/>
              </w:rPr>
              <w:t>2020年12月31日</w:t>
            </w:r>
          </w:p>
        </w:tc>
        <w:tc>
          <w:tcPr>
            <w:tcW w:w="3150" w:type="dxa"/>
            <w:vAlign w:val="center"/>
          </w:tcPr>
          <w:p>
            <w:pPr>
              <w:spacing w:before="29" w:line="288" w:lineRule="auto"/>
              <w:jc w:val="center"/>
              <w:rPr>
                <w:color w:val="000000"/>
                <w:kern w:val="0"/>
                <w:sz w:val="24"/>
              </w:rPr>
            </w:pPr>
            <w:r>
              <w:rPr>
                <w:rFonts w:hint="eastAsia"/>
                <w:color w:val="000000"/>
                <w:kern w:val="0"/>
                <w:sz w:val="24"/>
              </w:rPr>
              <w:t>上年度末</w:t>
            </w:r>
          </w:p>
          <w:p>
            <w:pPr>
              <w:spacing w:before="29" w:line="288" w:lineRule="auto"/>
              <w:jc w:val="center"/>
              <w:rPr>
                <w:color w:val="000000"/>
                <w:kern w:val="0"/>
                <w:sz w:val="24"/>
              </w:rPr>
            </w:pPr>
            <w:r>
              <w:rPr>
                <w:color w:val="000000"/>
                <w:kern w:val="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widowControl/>
              <w:spacing w:before="29" w:line="288" w:lineRule="auto"/>
              <w:rPr>
                <w:color w:val="000000"/>
                <w:kern w:val="0"/>
                <w:sz w:val="24"/>
              </w:rPr>
            </w:pPr>
            <w:r>
              <w:rPr>
                <w:rFonts w:hint="eastAsia"/>
                <w:color w:val="000000"/>
                <w:kern w:val="0"/>
                <w:sz w:val="24"/>
              </w:rPr>
              <w:t>应付券商交易单元保证金</w:t>
            </w:r>
          </w:p>
        </w:tc>
        <w:tc>
          <w:tcPr>
            <w:tcW w:w="3150" w:type="dxa"/>
            <w:vAlign w:val="center"/>
          </w:tcPr>
          <w:p>
            <w:pPr>
              <w:spacing w:before="29" w:line="288" w:lineRule="auto"/>
              <w:jc w:val="right"/>
              <w:rPr>
                <w:kern w:val="0"/>
                <w:sz w:val="24"/>
              </w:rPr>
            </w:pPr>
            <w:r>
              <w:rPr>
                <w:kern w:val="0"/>
                <w:sz w:val="24"/>
              </w:rPr>
              <w:t>-</w:t>
            </w:r>
          </w:p>
        </w:tc>
        <w:tc>
          <w:tcPr>
            <w:tcW w:w="315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widowControl/>
              <w:spacing w:before="29" w:line="288" w:lineRule="auto"/>
              <w:rPr>
                <w:color w:val="000000"/>
                <w:kern w:val="0"/>
                <w:sz w:val="24"/>
              </w:rPr>
            </w:pPr>
            <w:r>
              <w:rPr>
                <w:rFonts w:hint="eastAsia"/>
                <w:color w:val="000000"/>
                <w:kern w:val="0"/>
                <w:sz w:val="24"/>
              </w:rPr>
              <w:t>应付赎回费</w:t>
            </w:r>
          </w:p>
        </w:tc>
        <w:tc>
          <w:tcPr>
            <w:tcW w:w="3150" w:type="dxa"/>
            <w:vAlign w:val="center"/>
          </w:tcPr>
          <w:p>
            <w:pPr>
              <w:spacing w:before="29" w:line="288" w:lineRule="auto"/>
              <w:jc w:val="right"/>
              <w:rPr>
                <w:kern w:val="0"/>
                <w:sz w:val="24"/>
              </w:rPr>
            </w:pPr>
            <w:r>
              <w:rPr>
                <w:kern w:val="0"/>
                <w:sz w:val="24"/>
              </w:rPr>
              <w:t>155,987.82</w:t>
            </w:r>
          </w:p>
        </w:tc>
        <w:tc>
          <w:tcPr>
            <w:tcW w:w="3150" w:type="dxa"/>
            <w:vAlign w:val="center"/>
          </w:tcPr>
          <w:p>
            <w:pPr>
              <w:spacing w:before="29" w:line="288" w:lineRule="auto"/>
              <w:jc w:val="right"/>
              <w:rPr>
                <w:kern w:val="0"/>
                <w:sz w:val="24"/>
              </w:rPr>
            </w:pPr>
            <w:r>
              <w:rPr>
                <w:kern w:val="0"/>
                <w:sz w:val="24"/>
              </w:rPr>
              <w:t>52,040.57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预提信息披露费</w:t>
            </w:r>
          </w:p>
        </w:tc>
        <w:tc>
          <w:tcPr>
            <w:tcW w:w="3150" w:type="dxa"/>
            <w:vAlign w:val="center"/>
          </w:tcPr>
          <w:p>
            <w:pPr>
              <w:jc w:val="right"/>
            </w:pPr>
            <w:r>
              <w:rPr>
                <w:kern w:val="0"/>
                <w:sz w:val="24"/>
              </w:rPr>
              <w:t>120,000.00</w:t>
            </w:r>
          </w:p>
        </w:tc>
        <w:tc>
          <w:tcPr>
            <w:tcW w:w="3150" w:type="dxa"/>
            <w:vAlign w:val="center"/>
          </w:tcPr>
          <w:p>
            <w:pPr>
              <w:jc w:val="right"/>
            </w:pPr>
            <w:r>
              <w:rPr>
                <w:kern w:val="0"/>
                <w:sz w:val="24"/>
              </w:rPr>
              <w:t>120,000.00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预提审计费</w:t>
            </w:r>
          </w:p>
        </w:tc>
        <w:tc>
          <w:tcPr>
            <w:tcW w:w="3150" w:type="dxa"/>
            <w:vAlign w:val="center"/>
          </w:tcPr>
          <w:p>
            <w:pPr>
              <w:jc w:val="right"/>
            </w:pPr>
            <w:r>
              <w:rPr>
                <w:kern w:val="0"/>
                <w:sz w:val="24"/>
              </w:rPr>
              <w:t>110,000.00</w:t>
            </w:r>
          </w:p>
        </w:tc>
        <w:tc>
          <w:tcPr>
            <w:tcW w:w="3150" w:type="dxa"/>
            <w:vAlign w:val="center"/>
          </w:tcPr>
          <w:p>
            <w:pPr>
              <w:jc w:val="right"/>
            </w:pPr>
            <w:r>
              <w:rPr>
                <w:kern w:val="0"/>
                <w:sz w:val="24"/>
              </w:rPr>
              <w:t>110,000.00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预提账户维护费</w:t>
            </w:r>
          </w:p>
        </w:tc>
        <w:tc>
          <w:tcPr>
            <w:tcW w:w="3150" w:type="dxa"/>
            <w:vAlign w:val="center"/>
          </w:tcPr>
          <w:p>
            <w:pPr>
              <w:jc w:val="right"/>
            </w:pPr>
            <w:r>
              <w:rPr>
                <w:kern w:val="0"/>
                <w:sz w:val="24"/>
              </w:rPr>
              <w:t>9,300.00</w:t>
            </w:r>
          </w:p>
        </w:tc>
        <w:tc>
          <w:tcPr>
            <w:tcW w:w="3150" w:type="dxa"/>
            <w:vAlign w:val="center"/>
          </w:tcPr>
          <w:p>
            <w:pPr>
              <w:jc w:val="right"/>
            </w:pPr>
            <w:r>
              <w:rPr>
                <w:kern w:val="0"/>
                <w:sz w:val="24"/>
              </w:rPr>
              <w:t>9,300.00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应付后端申购费</w:t>
            </w:r>
          </w:p>
        </w:tc>
        <w:tc>
          <w:tcPr>
            <w:tcW w:w="3150" w:type="dxa"/>
            <w:vAlign w:val="center"/>
          </w:tcPr>
          <w:p>
            <w:pPr>
              <w:jc w:val="right"/>
            </w:pPr>
            <w:r>
              <w:rPr>
                <w:kern w:val="0"/>
                <w:sz w:val="24"/>
              </w:rPr>
              <w:t>9,096.53</w:t>
            </w:r>
          </w:p>
        </w:tc>
        <w:tc>
          <w:tcPr>
            <w:tcW w:w="3150" w:type="dxa"/>
            <w:vAlign w:val="center"/>
          </w:tcPr>
          <w:p>
            <w:pPr>
              <w:jc w:val="right"/>
            </w:pPr>
            <w:r>
              <w:rPr>
                <w:kern w:val="0"/>
                <w:sz w:val="24"/>
              </w:rPr>
              <w:t>4,357.33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应付转出费</w:t>
            </w:r>
          </w:p>
        </w:tc>
        <w:tc>
          <w:tcPr>
            <w:tcW w:w="3150" w:type="dxa"/>
            <w:vAlign w:val="center"/>
          </w:tcPr>
          <w:p>
            <w:pPr>
              <w:jc w:val="right"/>
            </w:pPr>
            <w:r>
              <w:rPr>
                <w:kern w:val="0"/>
                <w:sz w:val="24"/>
              </w:rPr>
              <w:t>276.55</w:t>
            </w:r>
          </w:p>
        </w:tc>
        <w:tc>
          <w:tcPr>
            <w:tcW w:w="3150" w:type="dxa"/>
            <w:vAlign w:val="center"/>
          </w:tcPr>
          <w:p>
            <w:pPr>
              <w:jc w:val="right"/>
            </w:pPr>
            <w:r>
              <w:rPr>
                <w:kern w:val="0"/>
                <w:sz w:val="24"/>
              </w:rPr>
              <w:t>5.83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widowControl/>
              <w:spacing w:before="29" w:line="288" w:lineRule="auto"/>
              <w:rPr>
                <w:rFonts w:ascii="宋体" w:hAnsi="宋体"/>
                <w:szCs w:val="21"/>
              </w:rPr>
            </w:pPr>
            <w:r>
              <w:rPr>
                <w:rFonts w:hint="eastAsia"/>
                <w:color w:val="000000"/>
                <w:kern w:val="0"/>
                <w:sz w:val="24"/>
              </w:rPr>
              <w:t>合计</w:t>
            </w:r>
          </w:p>
        </w:tc>
        <w:tc>
          <w:tcPr>
            <w:tcW w:w="3150" w:type="dxa"/>
            <w:vAlign w:val="bottom"/>
          </w:tcPr>
          <w:p>
            <w:pPr>
              <w:spacing w:before="29" w:line="288" w:lineRule="auto"/>
              <w:jc w:val="right"/>
              <w:rPr>
                <w:kern w:val="0"/>
                <w:sz w:val="24"/>
              </w:rPr>
            </w:pPr>
            <w:r>
              <w:rPr>
                <w:kern w:val="0"/>
                <w:sz w:val="24"/>
              </w:rPr>
              <w:t>404,660.90</w:t>
            </w:r>
          </w:p>
        </w:tc>
        <w:tc>
          <w:tcPr>
            <w:tcW w:w="3150" w:type="dxa"/>
            <w:vAlign w:val="bottom"/>
          </w:tcPr>
          <w:p>
            <w:pPr>
              <w:spacing w:before="29" w:line="288" w:lineRule="auto"/>
              <w:jc w:val="right"/>
              <w:rPr>
                <w:kern w:val="0"/>
                <w:sz w:val="24"/>
              </w:rPr>
            </w:pPr>
            <w:r>
              <w:rPr>
                <w:kern w:val="0"/>
                <w:sz w:val="24"/>
              </w:rPr>
              <w:t>295,703.73</w:t>
            </w:r>
          </w:p>
        </w:tc>
      </w:tr>
    </w:tbl>
    <w:p>
      <w:pPr>
        <w:spacing w:line="360" w:lineRule="auto"/>
        <w:rPr>
          <w:rFonts w:asciiTheme="minorEastAsia" w:hAnsiTheme="minorEastAsia" w:eastAsiaTheme="minorEastAsia"/>
          <w:b/>
          <w:bCs/>
          <w:color w:val="000000"/>
          <w:szCs w:val="21"/>
        </w:rPr>
      </w:pPr>
    </w:p>
    <w:p>
      <w:pPr>
        <w:pStyle w:val="3"/>
        <w:spacing w:before="29" w:after="0" w:line="288" w:lineRule="auto"/>
        <w:rPr>
          <w:rFonts w:ascii="Times New Roman" w:hAnsi="Times New Roman"/>
          <w:kern w:val="0"/>
          <w:szCs w:val="24"/>
        </w:rPr>
      </w:pPr>
      <w:bookmarkStart w:id="158" w:name="_Toc67596639"/>
      <w:r>
        <w:rPr>
          <w:rFonts w:ascii="Times New Roman" w:hAnsi="Times New Roman"/>
          <w:kern w:val="0"/>
          <w:szCs w:val="24"/>
        </w:rPr>
        <w:t>7.4.7.9</w:t>
      </w:r>
      <w:r>
        <w:rPr>
          <w:rFonts w:hint="eastAsia" w:ascii="Times New Roman" w:hAnsi="Times New Roman"/>
          <w:kern w:val="0"/>
          <w:szCs w:val="24"/>
        </w:rPr>
        <w:t>实收基金</w:t>
      </w:r>
      <w:bookmarkEnd w:id="158"/>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9356"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19"/>
        <w:gridCol w:w="2873"/>
        <w:gridCol w:w="33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restart"/>
            <w:vAlign w:val="center"/>
          </w:tcPr>
          <w:p>
            <w:pPr>
              <w:spacing w:before="29" w:line="288" w:lineRule="auto"/>
              <w:jc w:val="center"/>
              <w:rPr>
                <w:color w:val="000000"/>
                <w:kern w:val="0"/>
                <w:sz w:val="24"/>
              </w:rPr>
            </w:pPr>
            <w:r>
              <w:rPr>
                <w:rFonts w:hint="eastAsia"/>
                <w:color w:val="000000"/>
                <w:kern w:val="0"/>
                <w:sz w:val="24"/>
              </w:rPr>
              <w:t>项目</w:t>
            </w:r>
          </w:p>
        </w:tc>
        <w:tc>
          <w:tcPr>
            <w:tcW w:w="6237" w:type="dxa"/>
            <w:gridSpan w:val="2"/>
            <w:vAlign w:val="center"/>
          </w:tcPr>
          <w:p>
            <w:pPr>
              <w:spacing w:before="29" w:line="288" w:lineRule="auto"/>
              <w:jc w:val="center"/>
              <w:rPr>
                <w:color w:val="000000"/>
                <w:kern w:val="0"/>
                <w:sz w:val="24"/>
              </w:rPr>
            </w:pPr>
            <w:r>
              <w:rPr>
                <w:rFonts w:hint="eastAsia"/>
                <w:color w:val="000000"/>
                <w:kern w:val="0"/>
                <w:sz w:val="24"/>
              </w:rPr>
              <w:t>本期</w:t>
            </w:r>
          </w:p>
          <w:p>
            <w:pPr>
              <w:spacing w:before="29" w:line="288" w:lineRule="auto"/>
              <w:jc w:val="center"/>
              <w:rPr>
                <w:color w:val="000000"/>
                <w:kern w:val="0"/>
                <w:sz w:val="24"/>
              </w:rPr>
            </w:pPr>
            <w:r>
              <w:rPr>
                <w:color w:val="000000"/>
                <w:kern w:val="0"/>
                <w:sz w:val="24"/>
              </w:rPr>
              <w:t>2020年1月1日</w:t>
            </w:r>
            <w:r>
              <w:rPr>
                <w:rFonts w:hint="eastAsia"/>
                <w:color w:val="000000"/>
                <w:kern w:val="0"/>
                <w:sz w:val="24"/>
              </w:rPr>
              <w:t>至</w:t>
            </w:r>
            <w:r>
              <w:rPr>
                <w:color w:val="000000"/>
                <w:kern w:val="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continue"/>
            <w:vAlign w:val="center"/>
          </w:tcPr>
          <w:p>
            <w:pPr>
              <w:spacing w:before="29" w:line="288" w:lineRule="auto"/>
              <w:jc w:val="center"/>
              <w:rPr>
                <w:color w:val="000000"/>
                <w:kern w:val="0"/>
                <w:sz w:val="24"/>
              </w:rPr>
            </w:pPr>
          </w:p>
        </w:tc>
        <w:tc>
          <w:tcPr>
            <w:tcW w:w="2873" w:type="dxa"/>
            <w:vAlign w:val="center"/>
          </w:tcPr>
          <w:p>
            <w:pPr>
              <w:spacing w:before="29" w:line="288" w:lineRule="auto"/>
              <w:jc w:val="center"/>
              <w:rPr>
                <w:color w:val="000000"/>
                <w:kern w:val="0"/>
                <w:sz w:val="24"/>
              </w:rPr>
            </w:pPr>
            <w:r>
              <w:rPr>
                <w:rFonts w:hint="eastAsia"/>
                <w:color w:val="000000"/>
                <w:kern w:val="0"/>
                <w:sz w:val="24"/>
              </w:rPr>
              <w:t>基金份额（份）</w:t>
            </w:r>
          </w:p>
        </w:tc>
        <w:tc>
          <w:tcPr>
            <w:tcW w:w="3364" w:type="dxa"/>
            <w:vAlign w:val="center"/>
          </w:tcPr>
          <w:p>
            <w:pPr>
              <w:spacing w:before="29" w:line="288" w:lineRule="auto"/>
              <w:jc w:val="center"/>
              <w:rPr>
                <w:color w:val="000000"/>
                <w:kern w:val="0"/>
                <w:sz w:val="24"/>
              </w:rPr>
            </w:pPr>
            <w:r>
              <w:rPr>
                <w:rFonts w:hint="eastAsia"/>
                <w:color w:val="000000"/>
                <w:kern w:val="0"/>
                <w:sz w:val="24"/>
              </w:rPr>
              <w:t>账面金额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rPr>
                <w:rFonts w:asciiTheme="minorEastAsia" w:hAnsiTheme="minorEastAsia" w:eastAsiaTheme="minorEastAsia"/>
                <w:color w:val="000000"/>
                <w:szCs w:val="21"/>
              </w:rPr>
            </w:pPr>
            <w:r>
              <w:rPr>
                <w:color w:val="000000"/>
                <w:sz w:val="24"/>
              </w:rPr>
              <w:t>上年度末</w:t>
            </w:r>
          </w:p>
        </w:tc>
        <w:tc>
          <w:tcPr>
            <w:tcW w:w="2873" w:type="dxa"/>
            <w:vAlign w:val="center"/>
          </w:tcPr>
          <w:p>
            <w:pPr>
              <w:spacing w:before="29" w:line="288" w:lineRule="auto"/>
              <w:jc w:val="right"/>
              <w:rPr>
                <w:kern w:val="0"/>
                <w:sz w:val="24"/>
              </w:rPr>
            </w:pPr>
            <w:r>
              <w:rPr>
                <w:kern w:val="0"/>
                <w:sz w:val="24"/>
              </w:rPr>
              <w:t>2,512,440,995.91</w:t>
            </w:r>
          </w:p>
        </w:tc>
        <w:tc>
          <w:tcPr>
            <w:tcW w:w="3364" w:type="dxa"/>
            <w:vAlign w:val="center"/>
          </w:tcPr>
          <w:p>
            <w:pPr>
              <w:spacing w:before="29" w:line="288" w:lineRule="auto"/>
              <w:jc w:val="right"/>
              <w:rPr>
                <w:kern w:val="0"/>
                <w:sz w:val="24"/>
              </w:rPr>
            </w:pPr>
            <w:r>
              <w:rPr>
                <w:kern w:val="0"/>
                <w:sz w:val="24"/>
              </w:rPr>
              <w:t>2,512,440,995.91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widowControl/>
              <w:spacing w:before="29" w:line="288" w:lineRule="auto"/>
              <w:rPr>
                <w:color w:val="000000"/>
                <w:kern w:val="0"/>
                <w:sz w:val="24"/>
              </w:rPr>
            </w:pPr>
            <w:r>
              <w:rPr>
                <w:rFonts w:hint="eastAsia"/>
                <w:color w:val="000000"/>
                <w:kern w:val="0"/>
                <w:sz w:val="24"/>
              </w:rPr>
              <w:t>本期申购</w:t>
            </w:r>
          </w:p>
        </w:tc>
        <w:tc>
          <w:tcPr>
            <w:tcW w:w="2873" w:type="dxa"/>
            <w:vAlign w:val="center"/>
          </w:tcPr>
          <w:p>
            <w:pPr>
              <w:spacing w:before="29" w:line="288" w:lineRule="auto"/>
              <w:jc w:val="right"/>
              <w:rPr>
                <w:kern w:val="0"/>
                <w:sz w:val="24"/>
              </w:rPr>
            </w:pPr>
            <w:r>
              <w:rPr>
                <w:kern w:val="0"/>
                <w:sz w:val="24"/>
              </w:rPr>
              <w:t>2,948,915,318.11</w:t>
            </w:r>
          </w:p>
        </w:tc>
        <w:tc>
          <w:tcPr>
            <w:tcW w:w="3364" w:type="dxa"/>
            <w:vAlign w:val="center"/>
          </w:tcPr>
          <w:p>
            <w:pPr>
              <w:spacing w:before="29" w:line="288" w:lineRule="auto"/>
              <w:jc w:val="right"/>
              <w:rPr>
                <w:kern w:val="0"/>
                <w:sz w:val="24"/>
              </w:rPr>
            </w:pPr>
            <w:r>
              <w:rPr>
                <w:kern w:val="0"/>
                <w:sz w:val="24"/>
              </w:rPr>
              <w:t>2,948,915,318.11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widowControl/>
              <w:spacing w:before="29" w:line="288" w:lineRule="auto"/>
              <w:rPr>
                <w:color w:val="000000"/>
                <w:kern w:val="0"/>
                <w:sz w:val="24"/>
              </w:rPr>
            </w:pPr>
            <w:r>
              <w:rPr>
                <w:rFonts w:hint="eastAsia"/>
                <w:color w:val="000000"/>
                <w:kern w:val="0"/>
                <w:sz w:val="24"/>
              </w:rPr>
              <w:t>本期赎回（以</w:t>
            </w:r>
            <w:r>
              <w:rPr>
                <w:sz w:val="24"/>
              </w:rPr>
              <w:t>“-”</w:t>
            </w:r>
            <w:r>
              <w:rPr>
                <w:rFonts w:hint="eastAsia"/>
                <w:color w:val="000000"/>
                <w:kern w:val="0"/>
                <w:sz w:val="24"/>
              </w:rPr>
              <w:t>号填列）</w:t>
            </w:r>
          </w:p>
        </w:tc>
        <w:tc>
          <w:tcPr>
            <w:tcW w:w="2873" w:type="dxa"/>
            <w:vAlign w:val="center"/>
          </w:tcPr>
          <w:p>
            <w:pPr>
              <w:spacing w:before="29" w:line="288" w:lineRule="auto"/>
              <w:jc w:val="right"/>
              <w:rPr>
                <w:kern w:val="0"/>
                <w:sz w:val="24"/>
              </w:rPr>
            </w:pPr>
            <w:r>
              <w:rPr>
                <w:kern w:val="0"/>
                <w:sz w:val="24"/>
              </w:rPr>
              <w:t>-2,669,740,043.15</w:t>
            </w:r>
          </w:p>
        </w:tc>
        <w:tc>
          <w:tcPr>
            <w:tcW w:w="3364" w:type="dxa"/>
            <w:vAlign w:val="center"/>
          </w:tcPr>
          <w:p>
            <w:pPr>
              <w:spacing w:before="29" w:line="288" w:lineRule="auto"/>
              <w:jc w:val="right"/>
              <w:rPr>
                <w:kern w:val="0"/>
                <w:sz w:val="24"/>
              </w:rPr>
            </w:pPr>
            <w:r>
              <w:rPr>
                <w:kern w:val="0"/>
                <w:sz w:val="24"/>
              </w:rPr>
              <w:t>-2,669,740,043.15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widowControl/>
              <w:spacing w:before="29" w:line="288" w:lineRule="auto"/>
              <w:rPr>
                <w:rFonts w:asciiTheme="minorEastAsia" w:hAnsiTheme="minorEastAsia" w:eastAsiaTheme="minorEastAsia"/>
                <w:color w:val="000000"/>
                <w:szCs w:val="21"/>
              </w:rPr>
            </w:pPr>
            <w:r>
              <w:rPr>
                <w:rFonts w:hint="eastAsia"/>
                <w:color w:val="000000"/>
                <w:kern w:val="0"/>
                <w:sz w:val="24"/>
              </w:rPr>
              <w:t>本期末</w:t>
            </w:r>
          </w:p>
        </w:tc>
        <w:tc>
          <w:tcPr>
            <w:tcW w:w="2873" w:type="dxa"/>
            <w:vAlign w:val="center"/>
          </w:tcPr>
          <w:p>
            <w:pPr>
              <w:spacing w:before="29" w:line="288" w:lineRule="auto"/>
              <w:jc w:val="right"/>
              <w:rPr>
                <w:kern w:val="0"/>
                <w:sz w:val="24"/>
              </w:rPr>
            </w:pPr>
            <w:r>
              <w:rPr>
                <w:kern w:val="0"/>
                <w:sz w:val="24"/>
              </w:rPr>
              <w:t>2,791,616,270.87</w:t>
            </w:r>
          </w:p>
        </w:tc>
        <w:tc>
          <w:tcPr>
            <w:tcW w:w="3364" w:type="dxa"/>
            <w:vAlign w:val="center"/>
          </w:tcPr>
          <w:p>
            <w:pPr>
              <w:spacing w:before="29" w:line="288" w:lineRule="auto"/>
              <w:jc w:val="right"/>
              <w:rPr>
                <w:kern w:val="0"/>
                <w:sz w:val="24"/>
              </w:rPr>
            </w:pPr>
            <w:r>
              <w:rPr>
                <w:kern w:val="0"/>
                <w:sz w:val="24"/>
              </w:rPr>
              <w:t>2,791,616,270.87</w:t>
            </w:r>
          </w:p>
        </w:tc>
      </w:tr>
    </w:tbl>
    <w:p>
      <w:pPr>
        <w:tabs>
          <w:tab w:val="left" w:pos="426"/>
        </w:tabs>
        <w:spacing w:before="29" w:line="288" w:lineRule="auto"/>
        <w:jc w:val="left"/>
        <w:rPr>
          <w:kern w:val="0"/>
          <w:sz w:val="24"/>
        </w:rPr>
      </w:pPr>
      <w:r>
        <w:rPr>
          <w:kern w:val="0"/>
          <w:sz w:val="24"/>
        </w:rPr>
        <w:t>注：1、如果本报告期间发生转换入、红利再投业务，则总申购份额中包含该业务。</w:t>
      </w:r>
    </w:p>
    <w:p>
      <w:pPr>
        <w:tabs>
          <w:tab w:val="left" w:pos="426"/>
        </w:tabs>
        <w:spacing w:before="29" w:line="288" w:lineRule="auto"/>
        <w:ind w:firstLine="480" w:firstLineChars="200"/>
        <w:jc w:val="left"/>
        <w:rPr>
          <w:kern w:val="0"/>
          <w:sz w:val="24"/>
        </w:rPr>
      </w:pPr>
      <w:r>
        <w:rPr>
          <w:kern w:val="0"/>
          <w:sz w:val="24"/>
        </w:rPr>
        <w:t>2、如果本报告期间发生转换出业务，则总赎回份额中包含该业务。</w:t>
      </w:r>
    </w:p>
    <w:p>
      <w:pPr>
        <w:pStyle w:val="3"/>
        <w:spacing w:before="29" w:after="0" w:line="288" w:lineRule="auto"/>
        <w:rPr>
          <w:rFonts w:ascii="Times New Roman" w:hAnsi="Times New Roman"/>
          <w:kern w:val="0"/>
          <w:szCs w:val="24"/>
        </w:rPr>
      </w:pPr>
    </w:p>
    <w:p>
      <w:pPr>
        <w:pStyle w:val="3"/>
        <w:spacing w:before="29" w:after="0" w:line="288" w:lineRule="auto"/>
        <w:rPr>
          <w:rFonts w:ascii="Times New Roman" w:hAnsi="Times New Roman"/>
          <w:kern w:val="0"/>
          <w:szCs w:val="24"/>
        </w:rPr>
      </w:pPr>
      <w:bookmarkStart w:id="159" w:name="_Toc67596640"/>
      <w:r>
        <w:rPr>
          <w:rFonts w:ascii="Times New Roman" w:hAnsi="Times New Roman"/>
          <w:kern w:val="0"/>
          <w:szCs w:val="24"/>
        </w:rPr>
        <w:t>7.4.7.10</w:t>
      </w:r>
      <w:r>
        <w:rPr>
          <w:rFonts w:hint="eastAsia" w:ascii="Times New Roman" w:hAnsi="Times New Roman"/>
          <w:kern w:val="0"/>
          <w:szCs w:val="24"/>
        </w:rPr>
        <w:t>未分配利润</w:t>
      </w:r>
      <w:bookmarkEnd w:id="159"/>
    </w:p>
    <w:p>
      <w:pPr>
        <w:adjustRightInd w:val="0"/>
        <w:snapToGrid w:val="0"/>
        <w:spacing w:line="360" w:lineRule="auto"/>
        <w:jc w:val="right"/>
        <w:rPr>
          <w:color w:val="000000"/>
          <w:sz w:val="24"/>
        </w:rPr>
      </w:pPr>
      <w:r>
        <w:rPr>
          <w:rFonts w:hint="eastAsia"/>
          <w:color w:val="000000"/>
          <w:sz w:val="24"/>
        </w:rPr>
        <w:t>单位：人民币元</w:t>
      </w:r>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98"/>
        <w:gridCol w:w="2122"/>
        <w:gridCol w:w="2126"/>
        <w:gridCol w:w="20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spacing w:before="29" w:line="288" w:lineRule="auto"/>
              <w:jc w:val="center"/>
              <w:rPr>
                <w:color w:val="000000"/>
                <w:kern w:val="0"/>
                <w:sz w:val="24"/>
              </w:rPr>
            </w:pPr>
            <w:r>
              <w:rPr>
                <w:rFonts w:hint="eastAsia"/>
                <w:color w:val="000000"/>
                <w:kern w:val="0"/>
                <w:sz w:val="24"/>
              </w:rPr>
              <w:t>项目</w:t>
            </w:r>
          </w:p>
        </w:tc>
        <w:tc>
          <w:tcPr>
            <w:tcW w:w="2122" w:type="dxa"/>
            <w:vAlign w:val="center"/>
          </w:tcPr>
          <w:p>
            <w:pPr>
              <w:spacing w:before="29" w:line="288" w:lineRule="auto"/>
              <w:jc w:val="center"/>
              <w:rPr>
                <w:color w:val="000000"/>
                <w:kern w:val="0"/>
                <w:sz w:val="24"/>
              </w:rPr>
            </w:pPr>
            <w:r>
              <w:rPr>
                <w:rFonts w:hint="eastAsia"/>
                <w:color w:val="000000"/>
                <w:kern w:val="0"/>
                <w:sz w:val="24"/>
              </w:rPr>
              <w:t>已实现部分</w:t>
            </w:r>
          </w:p>
        </w:tc>
        <w:tc>
          <w:tcPr>
            <w:tcW w:w="2126" w:type="dxa"/>
            <w:vAlign w:val="center"/>
          </w:tcPr>
          <w:p>
            <w:pPr>
              <w:spacing w:before="29" w:line="288" w:lineRule="auto"/>
              <w:jc w:val="center"/>
              <w:rPr>
                <w:color w:val="000000"/>
                <w:kern w:val="0"/>
                <w:sz w:val="24"/>
              </w:rPr>
            </w:pPr>
            <w:r>
              <w:rPr>
                <w:rFonts w:hint="eastAsia"/>
                <w:color w:val="000000"/>
                <w:kern w:val="0"/>
                <w:sz w:val="24"/>
              </w:rPr>
              <w:t>未实现部分</w:t>
            </w:r>
          </w:p>
        </w:tc>
        <w:tc>
          <w:tcPr>
            <w:tcW w:w="2052" w:type="dxa"/>
            <w:vAlign w:val="center"/>
          </w:tcPr>
          <w:p>
            <w:pPr>
              <w:spacing w:before="29" w:line="288" w:lineRule="auto"/>
              <w:jc w:val="center"/>
              <w:rPr>
                <w:color w:val="000000"/>
                <w:kern w:val="0"/>
                <w:sz w:val="24"/>
              </w:rPr>
            </w:pPr>
            <w:r>
              <w:rPr>
                <w:rFonts w:hint="eastAsia"/>
                <w:color w:val="000000"/>
                <w:kern w:val="0"/>
                <w:sz w:val="24"/>
              </w:rPr>
              <w:t>未分配利润合计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color w:val="000000"/>
                <w:kern w:val="0"/>
                <w:sz w:val="24"/>
              </w:rPr>
              <w:t>上年度末</w:t>
            </w:r>
          </w:p>
        </w:tc>
        <w:tc>
          <w:tcPr>
            <w:tcW w:w="2122" w:type="dxa"/>
            <w:vAlign w:val="center"/>
          </w:tcPr>
          <w:p>
            <w:pPr>
              <w:spacing w:before="29" w:line="288" w:lineRule="auto"/>
              <w:jc w:val="right"/>
              <w:rPr>
                <w:kern w:val="0"/>
                <w:sz w:val="24"/>
              </w:rPr>
            </w:pPr>
            <w:r>
              <w:rPr>
                <w:kern w:val="0"/>
                <w:sz w:val="24"/>
              </w:rPr>
              <w:t>2,342,398,229.70</w:t>
            </w:r>
          </w:p>
        </w:tc>
        <w:tc>
          <w:tcPr>
            <w:tcW w:w="2126" w:type="dxa"/>
            <w:vAlign w:val="center"/>
          </w:tcPr>
          <w:p>
            <w:pPr>
              <w:spacing w:before="29" w:line="288" w:lineRule="auto"/>
              <w:jc w:val="right"/>
              <w:rPr>
                <w:kern w:val="0"/>
                <w:sz w:val="24"/>
              </w:rPr>
            </w:pPr>
            <w:r>
              <w:rPr>
                <w:kern w:val="0"/>
                <w:sz w:val="24"/>
              </w:rPr>
              <w:t>1,954,534,345.46</w:t>
            </w:r>
          </w:p>
        </w:tc>
        <w:tc>
          <w:tcPr>
            <w:tcW w:w="2052" w:type="dxa"/>
            <w:vAlign w:val="center"/>
          </w:tcPr>
          <w:p>
            <w:pPr>
              <w:spacing w:before="29" w:line="288" w:lineRule="auto"/>
              <w:jc w:val="right"/>
              <w:rPr>
                <w:kern w:val="0"/>
                <w:sz w:val="24"/>
              </w:rPr>
            </w:pPr>
            <w:r>
              <w:rPr>
                <w:kern w:val="0"/>
                <w:sz w:val="24"/>
              </w:rPr>
              <w:t>4,296,932,575.16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本期利润</w:t>
            </w:r>
          </w:p>
        </w:tc>
        <w:tc>
          <w:tcPr>
            <w:tcW w:w="2122" w:type="dxa"/>
            <w:vAlign w:val="center"/>
          </w:tcPr>
          <w:p>
            <w:pPr>
              <w:spacing w:before="29" w:line="288" w:lineRule="auto"/>
              <w:jc w:val="right"/>
              <w:rPr>
                <w:kern w:val="0"/>
                <w:sz w:val="24"/>
              </w:rPr>
            </w:pPr>
            <w:r>
              <w:rPr>
                <w:kern w:val="0"/>
                <w:sz w:val="24"/>
              </w:rPr>
              <w:t>2,318,432,554.50</w:t>
            </w:r>
          </w:p>
        </w:tc>
        <w:tc>
          <w:tcPr>
            <w:tcW w:w="2126" w:type="dxa"/>
            <w:vAlign w:val="center"/>
          </w:tcPr>
          <w:p>
            <w:pPr>
              <w:spacing w:before="29" w:line="288" w:lineRule="auto"/>
              <w:jc w:val="right"/>
              <w:rPr>
                <w:kern w:val="0"/>
                <w:sz w:val="24"/>
              </w:rPr>
            </w:pPr>
            <w:r>
              <w:rPr>
                <w:kern w:val="0"/>
                <w:sz w:val="24"/>
              </w:rPr>
              <w:t>1,662,502,528.80</w:t>
            </w:r>
          </w:p>
        </w:tc>
        <w:tc>
          <w:tcPr>
            <w:tcW w:w="2052" w:type="dxa"/>
            <w:vAlign w:val="center"/>
          </w:tcPr>
          <w:p>
            <w:pPr>
              <w:spacing w:before="29" w:line="288" w:lineRule="auto"/>
              <w:jc w:val="right"/>
              <w:rPr>
                <w:kern w:val="0"/>
                <w:sz w:val="24"/>
              </w:rPr>
            </w:pPr>
            <w:r>
              <w:rPr>
                <w:kern w:val="0"/>
                <w:sz w:val="24"/>
              </w:rPr>
              <w:t>3,980,935,083.30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698" w:type="dxa"/>
            <w:vAlign w:val="center"/>
          </w:tcPr>
          <w:p>
            <w:pPr>
              <w:widowControl/>
              <w:spacing w:before="29" w:line="288" w:lineRule="auto"/>
              <w:rPr>
                <w:color w:val="000000"/>
                <w:kern w:val="0"/>
                <w:sz w:val="24"/>
              </w:rPr>
            </w:pPr>
            <w:r>
              <w:rPr>
                <w:rFonts w:hint="eastAsia"/>
                <w:color w:val="000000"/>
                <w:kern w:val="0"/>
                <w:sz w:val="24"/>
              </w:rPr>
              <w:t>本期基金份额交易产生的变动数</w:t>
            </w:r>
          </w:p>
        </w:tc>
        <w:tc>
          <w:tcPr>
            <w:tcW w:w="2122" w:type="dxa"/>
            <w:vAlign w:val="center"/>
          </w:tcPr>
          <w:p>
            <w:pPr>
              <w:spacing w:before="29" w:line="288" w:lineRule="auto"/>
              <w:jc w:val="right"/>
              <w:rPr>
                <w:kern w:val="0"/>
                <w:sz w:val="24"/>
              </w:rPr>
            </w:pPr>
            <w:r>
              <w:rPr>
                <w:kern w:val="0"/>
                <w:sz w:val="24"/>
              </w:rPr>
              <w:t>410,179,214.12</w:t>
            </w:r>
          </w:p>
        </w:tc>
        <w:tc>
          <w:tcPr>
            <w:tcW w:w="2126" w:type="dxa"/>
            <w:vAlign w:val="center"/>
          </w:tcPr>
          <w:p>
            <w:pPr>
              <w:spacing w:before="29" w:line="288" w:lineRule="auto"/>
              <w:jc w:val="right"/>
              <w:rPr>
                <w:kern w:val="0"/>
                <w:sz w:val="24"/>
              </w:rPr>
            </w:pPr>
            <w:r>
              <w:rPr>
                <w:kern w:val="0"/>
                <w:sz w:val="24"/>
              </w:rPr>
              <w:t>319,729,691.92</w:t>
            </w:r>
          </w:p>
        </w:tc>
        <w:tc>
          <w:tcPr>
            <w:tcW w:w="2052" w:type="dxa"/>
            <w:vAlign w:val="center"/>
          </w:tcPr>
          <w:p>
            <w:pPr>
              <w:spacing w:before="29" w:line="288" w:lineRule="auto"/>
              <w:jc w:val="right"/>
              <w:rPr>
                <w:kern w:val="0"/>
                <w:sz w:val="24"/>
              </w:rPr>
            </w:pPr>
            <w:r>
              <w:rPr>
                <w:kern w:val="0"/>
                <w:sz w:val="24"/>
              </w:rPr>
              <w:t>729,908,906.04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其中：基金申购款</w:t>
            </w:r>
          </w:p>
        </w:tc>
        <w:tc>
          <w:tcPr>
            <w:tcW w:w="2122" w:type="dxa"/>
            <w:vAlign w:val="center"/>
          </w:tcPr>
          <w:p>
            <w:pPr>
              <w:spacing w:before="29" w:line="288" w:lineRule="auto"/>
              <w:jc w:val="right"/>
              <w:rPr>
                <w:kern w:val="0"/>
                <w:sz w:val="24"/>
              </w:rPr>
            </w:pPr>
            <w:r>
              <w:rPr>
                <w:kern w:val="0"/>
                <w:sz w:val="24"/>
              </w:rPr>
              <w:t>3,822,894,848.68</w:t>
            </w:r>
          </w:p>
        </w:tc>
        <w:tc>
          <w:tcPr>
            <w:tcW w:w="2126" w:type="dxa"/>
            <w:vAlign w:val="center"/>
          </w:tcPr>
          <w:p>
            <w:pPr>
              <w:spacing w:before="29" w:line="288" w:lineRule="auto"/>
              <w:jc w:val="right"/>
              <w:rPr>
                <w:kern w:val="0"/>
                <w:sz w:val="24"/>
              </w:rPr>
            </w:pPr>
            <w:r>
              <w:rPr>
                <w:kern w:val="0"/>
                <w:sz w:val="24"/>
              </w:rPr>
              <w:t>3,085,482,815.47</w:t>
            </w:r>
          </w:p>
        </w:tc>
        <w:tc>
          <w:tcPr>
            <w:tcW w:w="2052" w:type="dxa"/>
            <w:vAlign w:val="center"/>
          </w:tcPr>
          <w:p>
            <w:pPr>
              <w:spacing w:before="29" w:line="288" w:lineRule="auto"/>
              <w:jc w:val="right"/>
              <w:rPr>
                <w:kern w:val="0"/>
                <w:sz w:val="24"/>
              </w:rPr>
            </w:pPr>
            <w:r>
              <w:rPr>
                <w:kern w:val="0"/>
                <w:sz w:val="24"/>
              </w:rPr>
              <w:t>6,908,377,664.15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ind w:firstLine="720" w:firstLineChars="300"/>
              <w:rPr>
                <w:color w:val="000000"/>
                <w:kern w:val="0"/>
                <w:sz w:val="24"/>
              </w:rPr>
            </w:pPr>
            <w:r>
              <w:rPr>
                <w:rFonts w:hint="eastAsia"/>
                <w:color w:val="000000"/>
                <w:kern w:val="0"/>
                <w:sz w:val="24"/>
              </w:rPr>
              <w:t>基金赎回款</w:t>
            </w:r>
          </w:p>
        </w:tc>
        <w:tc>
          <w:tcPr>
            <w:tcW w:w="2122" w:type="dxa"/>
            <w:vAlign w:val="center"/>
          </w:tcPr>
          <w:p>
            <w:pPr>
              <w:spacing w:before="29" w:line="288" w:lineRule="auto"/>
              <w:jc w:val="right"/>
              <w:rPr>
                <w:kern w:val="0"/>
                <w:sz w:val="24"/>
              </w:rPr>
            </w:pPr>
            <w:r>
              <w:rPr>
                <w:kern w:val="0"/>
                <w:sz w:val="24"/>
              </w:rPr>
              <w:t>-3,412,715,634.56</w:t>
            </w:r>
          </w:p>
        </w:tc>
        <w:tc>
          <w:tcPr>
            <w:tcW w:w="2126" w:type="dxa"/>
            <w:vAlign w:val="center"/>
          </w:tcPr>
          <w:p>
            <w:pPr>
              <w:spacing w:before="29" w:line="288" w:lineRule="auto"/>
              <w:jc w:val="right"/>
              <w:rPr>
                <w:kern w:val="0"/>
                <w:sz w:val="24"/>
              </w:rPr>
            </w:pPr>
            <w:r>
              <w:rPr>
                <w:kern w:val="0"/>
                <w:sz w:val="24"/>
              </w:rPr>
              <w:t>-2,765,753,123.55</w:t>
            </w:r>
          </w:p>
        </w:tc>
        <w:tc>
          <w:tcPr>
            <w:tcW w:w="2052" w:type="dxa"/>
            <w:vAlign w:val="center"/>
          </w:tcPr>
          <w:p>
            <w:pPr>
              <w:spacing w:before="29" w:line="288" w:lineRule="auto"/>
              <w:jc w:val="right"/>
              <w:rPr>
                <w:kern w:val="0"/>
                <w:sz w:val="24"/>
              </w:rPr>
            </w:pPr>
            <w:r>
              <w:rPr>
                <w:kern w:val="0"/>
                <w:sz w:val="24"/>
              </w:rPr>
              <w:t>-6,178,468,758.11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本期已分配利润</w:t>
            </w:r>
          </w:p>
        </w:tc>
        <w:tc>
          <w:tcPr>
            <w:tcW w:w="2122" w:type="dxa"/>
            <w:vAlign w:val="center"/>
          </w:tcPr>
          <w:p>
            <w:pPr>
              <w:spacing w:before="29" w:line="288" w:lineRule="auto"/>
              <w:jc w:val="right"/>
              <w:rPr>
                <w:kern w:val="0"/>
                <w:sz w:val="24"/>
              </w:rPr>
            </w:pPr>
            <w:r>
              <w:rPr>
                <w:kern w:val="0"/>
                <w:sz w:val="24"/>
              </w:rPr>
              <w:t>-</w:t>
            </w:r>
          </w:p>
        </w:tc>
        <w:tc>
          <w:tcPr>
            <w:tcW w:w="2126" w:type="dxa"/>
            <w:vAlign w:val="center"/>
          </w:tcPr>
          <w:p>
            <w:pPr>
              <w:spacing w:before="29" w:line="288" w:lineRule="auto"/>
              <w:jc w:val="right"/>
              <w:rPr>
                <w:kern w:val="0"/>
                <w:sz w:val="24"/>
              </w:rPr>
            </w:pPr>
            <w:r>
              <w:rPr>
                <w:kern w:val="0"/>
                <w:sz w:val="24"/>
              </w:rPr>
              <w:t>-</w:t>
            </w:r>
          </w:p>
        </w:tc>
        <w:tc>
          <w:tcPr>
            <w:tcW w:w="2052"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本期末</w:t>
            </w:r>
          </w:p>
        </w:tc>
        <w:tc>
          <w:tcPr>
            <w:tcW w:w="2122" w:type="dxa"/>
            <w:vAlign w:val="center"/>
          </w:tcPr>
          <w:p>
            <w:pPr>
              <w:spacing w:before="29" w:line="288" w:lineRule="auto"/>
              <w:jc w:val="right"/>
              <w:rPr>
                <w:kern w:val="0"/>
                <w:sz w:val="24"/>
              </w:rPr>
            </w:pPr>
            <w:r>
              <w:rPr>
                <w:kern w:val="0"/>
                <w:sz w:val="24"/>
              </w:rPr>
              <w:t>5,071,009,998.32</w:t>
            </w:r>
          </w:p>
        </w:tc>
        <w:tc>
          <w:tcPr>
            <w:tcW w:w="2126" w:type="dxa"/>
            <w:vAlign w:val="center"/>
          </w:tcPr>
          <w:p>
            <w:pPr>
              <w:spacing w:before="29" w:line="288" w:lineRule="auto"/>
              <w:jc w:val="right"/>
              <w:rPr>
                <w:kern w:val="0"/>
                <w:sz w:val="24"/>
              </w:rPr>
            </w:pPr>
            <w:r>
              <w:rPr>
                <w:kern w:val="0"/>
                <w:sz w:val="24"/>
              </w:rPr>
              <w:t>3,936,766,566.18</w:t>
            </w:r>
          </w:p>
        </w:tc>
        <w:tc>
          <w:tcPr>
            <w:tcW w:w="2052" w:type="dxa"/>
            <w:vAlign w:val="center"/>
          </w:tcPr>
          <w:p>
            <w:pPr>
              <w:spacing w:before="29" w:line="288" w:lineRule="auto"/>
              <w:jc w:val="right"/>
              <w:rPr>
                <w:kern w:val="0"/>
                <w:sz w:val="24"/>
              </w:rPr>
            </w:pPr>
            <w:r>
              <w:rPr>
                <w:kern w:val="0"/>
                <w:sz w:val="24"/>
              </w:rPr>
              <w:t>9,007,776,564.50</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60" w:name="_Toc67596641"/>
      <w:r>
        <w:rPr>
          <w:rFonts w:ascii="Times New Roman" w:hAnsi="Times New Roman"/>
          <w:kern w:val="0"/>
          <w:szCs w:val="24"/>
        </w:rPr>
        <w:t>7.4.7.11</w:t>
      </w:r>
      <w:r>
        <w:rPr>
          <w:rFonts w:hint="eastAsia" w:ascii="Times New Roman" w:hAnsi="Times New Roman"/>
          <w:kern w:val="0"/>
          <w:szCs w:val="24"/>
        </w:rPr>
        <w:t>存款利息收入</w:t>
      </w:r>
      <w:bookmarkEnd w:id="160"/>
    </w:p>
    <w:p>
      <w:pPr>
        <w:adjustRightInd w:val="0"/>
        <w:snapToGrid w:val="0"/>
        <w:spacing w:line="360" w:lineRule="auto"/>
        <w:jc w:val="right"/>
        <w:rPr>
          <w:color w:val="000000"/>
          <w:sz w:val="24"/>
        </w:rPr>
      </w:pPr>
      <w:r>
        <w:rPr>
          <w:rFonts w:hint="eastAsia"/>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12"/>
        <w:gridCol w:w="3208"/>
        <w:gridCol w:w="28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autoSpaceDE w:val="0"/>
              <w:autoSpaceDN w:val="0"/>
              <w:spacing w:line="360" w:lineRule="auto"/>
              <w:ind w:right="-15"/>
              <w:jc w:val="center"/>
              <w:textAlignment w:val="bottom"/>
              <w:rPr>
                <w:color w:val="000000"/>
                <w:sz w:val="24"/>
              </w:rPr>
            </w:pPr>
            <w:r>
              <w:rPr>
                <w:rFonts w:hint="eastAsia"/>
                <w:color w:val="000000"/>
                <w:sz w:val="24"/>
              </w:rPr>
              <w:t>项目</w:t>
            </w:r>
          </w:p>
        </w:tc>
        <w:tc>
          <w:tcPr>
            <w:tcW w:w="3208" w:type="dxa"/>
            <w:vAlign w:val="center"/>
          </w:tcPr>
          <w:p>
            <w:pPr>
              <w:widowControl/>
              <w:autoSpaceDE w:val="0"/>
              <w:autoSpaceDN w:val="0"/>
              <w:spacing w:line="360" w:lineRule="auto"/>
              <w:ind w:right="-15"/>
              <w:jc w:val="center"/>
              <w:textAlignment w:val="bottom"/>
              <w:rPr>
                <w:color w:val="000000"/>
                <w:sz w:val="24"/>
              </w:rPr>
            </w:pPr>
            <w:r>
              <w:rPr>
                <w:rFonts w:hint="eastAsia"/>
                <w:color w:val="000000"/>
                <w:sz w:val="24"/>
              </w:rPr>
              <w:t>本期</w:t>
            </w:r>
          </w:p>
          <w:p>
            <w:pPr>
              <w:widowControl/>
              <w:autoSpaceDE w:val="0"/>
              <w:autoSpaceDN w:val="0"/>
              <w:spacing w:line="360" w:lineRule="auto"/>
              <w:ind w:right="-15"/>
              <w:jc w:val="center"/>
              <w:textAlignment w:val="bottom"/>
              <w:rPr>
                <w:color w:val="000000"/>
                <w:sz w:val="24"/>
              </w:rPr>
            </w:pPr>
            <w:r>
              <w:rPr>
                <w:color w:val="000000"/>
                <w:sz w:val="24"/>
              </w:rPr>
              <w:t>2020年1月1日</w:t>
            </w:r>
            <w:r>
              <w:rPr>
                <w:rFonts w:hint="eastAsia"/>
                <w:color w:val="000000"/>
                <w:sz w:val="24"/>
              </w:rPr>
              <w:t>至</w:t>
            </w:r>
            <w:r>
              <w:rPr>
                <w:color w:val="000000"/>
                <w:sz w:val="24"/>
              </w:rPr>
              <w:t>2020年12月31日</w:t>
            </w:r>
          </w:p>
        </w:tc>
        <w:tc>
          <w:tcPr>
            <w:tcW w:w="2880" w:type="dxa"/>
            <w:vAlign w:val="center"/>
          </w:tcPr>
          <w:p>
            <w:pPr>
              <w:widowControl/>
              <w:autoSpaceDE w:val="0"/>
              <w:autoSpaceDN w:val="0"/>
              <w:spacing w:line="360" w:lineRule="auto"/>
              <w:ind w:right="-15"/>
              <w:jc w:val="center"/>
              <w:textAlignment w:val="bottom"/>
              <w:rPr>
                <w:color w:val="000000"/>
                <w:sz w:val="24"/>
              </w:rPr>
            </w:pPr>
            <w:r>
              <w:rPr>
                <w:rFonts w:hint="eastAsia"/>
                <w:color w:val="000000"/>
                <w:sz w:val="24"/>
              </w:rPr>
              <w:t>上年度可比期间</w:t>
            </w:r>
          </w:p>
          <w:p>
            <w:pPr>
              <w:widowControl/>
              <w:autoSpaceDE w:val="0"/>
              <w:autoSpaceDN w:val="0"/>
              <w:spacing w:line="360" w:lineRule="auto"/>
              <w:ind w:right="-15"/>
              <w:jc w:val="center"/>
              <w:textAlignment w:val="bottom"/>
              <w:rPr>
                <w:color w:val="000000"/>
                <w:sz w:val="24"/>
              </w:rPr>
            </w:pPr>
            <w:r>
              <w:rPr>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spacing w:before="29" w:line="288" w:lineRule="auto"/>
              <w:rPr>
                <w:color w:val="000000"/>
                <w:kern w:val="0"/>
                <w:sz w:val="24"/>
              </w:rPr>
            </w:pPr>
            <w:r>
              <w:rPr>
                <w:rFonts w:hint="eastAsia"/>
                <w:color w:val="000000"/>
                <w:kern w:val="0"/>
                <w:sz w:val="24"/>
              </w:rPr>
              <w:t>活期存款利息收入</w:t>
            </w:r>
          </w:p>
        </w:tc>
        <w:tc>
          <w:tcPr>
            <w:tcW w:w="3208" w:type="dxa"/>
            <w:vAlign w:val="center"/>
          </w:tcPr>
          <w:p>
            <w:pPr>
              <w:spacing w:before="29" w:line="288" w:lineRule="auto"/>
              <w:jc w:val="right"/>
              <w:rPr>
                <w:kern w:val="0"/>
                <w:sz w:val="24"/>
              </w:rPr>
            </w:pPr>
            <w:r>
              <w:rPr>
                <w:kern w:val="0"/>
                <w:sz w:val="24"/>
              </w:rPr>
              <w:t>4,221,377.73</w:t>
            </w:r>
          </w:p>
        </w:tc>
        <w:tc>
          <w:tcPr>
            <w:tcW w:w="2880" w:type="dxa"/>
            <w:vAlign w:val="center"/>
          </w:tcPr>
          <w:p>
            <w:pPr>
              <w:spacing w:before="29" w:line="288" w:lineRule="auto"/>
              <w:jc w:val="right"/>
              <w:rPr>
                <w:kern w:val="0"/>
                <w:sz w:val="24"/>
              </w:rPr>
            </w:pPr>
            <w:r>
              <w:rPr>
                <w:kern w:val="0"/>
                <w:sz w:val="24"/>
              </w:rPr>
              <w:t>3,887,452.83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912" w:type="dxa"/>
            <w:vAlign w:val="center"/>
          </w:tcPr>
          <w:p>
            <w:pPr>
              <w:widowControl/>
              <w:spacing w:before="29" w:line="288" w:lineRule="auto"/>
              <w:rPr>
                <w:color w:val="000000"/>
                <w:kern w:val="0"/>
                <w:sz w:val="24"/>
              </w:rPr>
            </w:pPr>
            <w:r>
              <w:rPr>
                <w:rFonts w:hint="eastAsia"/>
                <w:color w:val="000000"/>
                <w:kern w:val="0"/>
                <w:sz w:val="24"/>
              </w:rPr>
              <w:t>定期存款利息收入</w:t>
            </w:r>
          </w:p>
        </w:tc>
        <w:tc>
          <w:tcPr>
            <w:tcW w:w="3208" w:type="dxa"/>
            <w:vAlign w:val="center"/>
          </w:tcPr>
          <w:p>
            <w:pPr>
              <w:spacing w:before="29" w:line="288" w:lineRule="auto"/>
              <w:jc w:val="right"/>
              <w:rPr>
                <w:kern w:val="0"/>
                <w:sz w:val="24"/>
              </w:rPr>
            </w:pPr>
            <w:r>
              <w:rPr>
                <w:kern w:val="0"/>
                <w:sz w:val="24"/>
              </w:rPr>
              <w:t>-</w:t>
            </w:r>
          </w:p>
        </w:tc>
        <w:tc>
          <w:tcPr>
            <w:tcW w:w="288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spacing w:before="29" w:line="288" w:lineRule="auto"/>
              <w:rPr>
                <w:color w:val="000000"/>
                <w:kern w:val="0"/>
                <w:sz w:val="24"/>
              </w:rPr>
            </w:pPr>
            <w:r>
              <w:rPr>
                <w:rFonts w:hint="eastAsia"/>
                <w:color w:val="000000"/>
                <w:kern w:val="0"/>
                <w:sz w:val="24"/>
              </w:rPr>
              <w:t>其他存款利息收入</w:t>
            </w:r>
          </w:p>
        </w:tc>
        <w:tc>
          <w:tcPr>
            <w:tcW w:w="3208" w:type="dxa"/>
            <w:vAlign w:val="center"/>
          </w:tcPr>
          <w:p>
            <w:pPr>
              <w:spacing w:before="29" w:line="288" w:lineRule="auto"/>
              <w:jc w:val="right"/>
              <w:rPr>
                <w:kern w:val="0"/>
                <w:sz w:val="24"/>
              </w:rPr>
            </w:pPr>
            <w:r>
              <w:rPr>
                <w:kern w:val="0"/>
                <w:sz w:val="24"/>
              </w:rPr>
              <w:t>-</w:t>
            </w:r>
          </w:p>
        </w:tc>
        <w:tc>
          <w:tcPr>
            <w:tcW w:w="288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spacing w:before="29" w:line="288" w:lineRule="auto"/>
              <w:rPr>
                <w:color w:val="000000"/>
                <w:kern w:val="0"/>
                <w:sz w:val="24"/>
              </w:rPr>
            </w:pPr>
            <w:r>
              <w:rPr>
                <w:rFonts w:hint="eastAsia"/>
                <w:color w:val="000000"/>
                <w:kern w:val="0"/>
                <w:sz w:val="24"/>
              </w:rPr>
              <w:t>结算备付金利息收入</w:t>
            </w:r>
          </w:p>
        </w:tc>
        <w:tc>
          <w:tcPr>
            <w:tcW w:w="3208" w:type="dxa"/>
            <w:vAlign w:val="center"/>
          </w:tcPr>
          <w:p>
            <w:pPr>
              <w:spacing w:before="29" w:line="288" w:lineRule="auto"/>
              <w:jc w:val="right"/>
              <w:rPr>
                <w:kern w:val="0"/>
                <w:sz w:val="24"/>
              </w:rPr>
            </w:pPr>
            <w:r>
              <w:rPr>
                <w:kern w:val="0"/>
                <w:sz w:val="24"/>
              </w:rPr>
              <w:t>175,827.88</w:t>
            </w:r>
          </w:p>
        </w:tc>
        <w:tc>
          <w:tcPr>
            <w:tcW w:w="2880" w:type="dxa"/>
            <w:vAlign w:val="center"/>
          </w:tcPr>
          <w:p>
            <w:pPr>
              <w:spacing w:before="29" w:line="288" w:lineRule="auto"/>
              <w:jc w:val="right"/>
              <w:rPr>
                <w:kern w:val="0"/>
                <w:sz w:val="24"/>
              </w:rPr>
            </w:pPr>
            <w:r>
              <w:rPr>
                <w:kern w:val="0"/>
                <w:sz w:val="24"/>
              </w:rPr>
              <w:t>94,668.40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912" w:type="dxa"/>
            <w:vAlign w:val="center"/>
          </w:tcPr>
          <w:p>
            <w:pPr>
              <w:widowControl/>
              <w:spacing w:before="29" w:line="288" w:lineRule="auto"/>
              <w:rPr>
                <w:color w:val="000000"/>
                <w:kern w:val="0"/>
                <w:sz w:val="24"/>
              </w:rPr>
            </w:pPr>
            <w:r>
              <w:rPr>
                <w:rFonts w:hint="eastAsia"/>
                <w:color w:val="000000"/>
                <w:kern w:val="0"/>
                <w:sz w:val="24"/>
              </w:rPr>
              <w:t>其他</w:t>
            </w:r>
          </w:p>
        </w:tc>
        <w:tc>
          <w:tcPr>
            <w:tcW w:w="3208" w:type="dxa"/>
            <w:vAlign w:val="center"/>
          </w:tcPr>
          <w:p>
            <w:pPr>
              <w:spacing w:before="29" w:line="288" w:lineRule="auto"/>
              <w:jc w:val="right"/>
              <w:rPr>
                <w:kern w:val="0"/>
                <w:sz w:val="24"/>
              </w:rPr>
            </w:pPr>
            <w:r>
              <w:rPr>
                <w:kern w:val="0"/>
                <w:sz w:val="24"/>
              </w:rPr>
              <w:t>40,498.52</w:t>
            </w:r>
          </w:p>
        </w:tc>
        <w:tc>
          <w:tcPr>
            <w:tcW w:w="2880" w:type="dxa"/>
            <w:vAlign w:val="center"/>
          </w:tcPr>
          <w:p>
            <w:pPr>
              <w:spacing w:before="29" w:line="288" w:lineRule="auto"/>
              <w:jc w:val="right"/>
              <w:rPr>
                <w:kern w:val="0"/>
                <w:sz w:val="24"/>
              </w:rPr>
            </w:pPr>
            <w:r>
              <w:rPr>
                <w:kern w:val="0"/>
                <w:sz w:val="24"/>
              </w:rPr>
              <w:t>110,670.52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912" w:type="dxa"/>
            <w:vAlign w:val="center"/>
          </w:tcPr>
          <w:p>
            <w:pPr>
              <w:widowControl/>
              <w:spacing w:before="29" w:line="288" w:lineRule="auto"/>
              <w:rPr>
                <w:color w:val="000000"/>
                <w:kern w:val="0"/>
                <w:sz w:val="24"/>
              </w:rPr>
            </w:pPr>
            <w:r>
              <w:rPr>
                <w:rFonts w:hint="eastAsia"/>
                <w:color w:val="000000"/>
                <w:kern w:val="0"/>
                <w:sz w:val="24"/>
              </w:rPr>
              <w:t>合计</w:t>
            </w:r>
          </w:p>
        </w:tc>
        <w:tc>
          <w:tcPr>
            <w:tcW w:w="3208" w:type="dxa"/>
            <w:vAlign w:val="center"/>
          </w:tcPr>
          <w:p>
            <w:pPr>
              <w:spacing w:before="29" w:line="288" w:lineRule="auto"/>
              <w:jc w:val="right"/>
              <w:rPr>
                <w:kern w:val="0"/>
                <w:sz w:val="24"/>
              </w:rPr>
            </w:pPr>
            <w:r>
              <w:rPr>
                <w:kern w:val="0"/>
                <w:sz w:val="24"/>
              </w:rPr>
              <w:t>4,437,704.13</w:t>
            </w:r>
          </w:p>
        </w:tc>
        <w:tc>
          <w:tcPr>
            <w:tcW w:w="2880" w:type="dxa"/>
            <w:vAlign w:val="center"/>
          </w:tcPr>
          <w:p>
            <w:pPr>
              <w:spacing w:before="29" w:line="288" w:lineRule="auto"/>
              <w:jc w:val="right"/>
              <w:rPr>
                <w:kern w:val="0"/>
                <w:sz w:val="24"/>
              </w:rPr>
            </w:pPr>
            <w:r>
              <w:rPr>
                <w:kern w:val="0"/>
                <w:sz w:val="24"/>
              </w:rPr>
              <w:t>4,092,791.75</w:t>
            </w:r>
          </w:p>
        </w:tc>
      </w:tr>
    </w:tbl>
    <w:p>
      <w:pPr>
        <w:spacing w:line="360" w:lineRule="auto"/>
        <w:rPr>
          <w:rFonts w:asciiTheme="minorEastAsia" w:hAnsiTheme="minorEastAsia" w:eastAsiaTheme="minorEastAsia"/>
          <w:color w:val="000000"/>
          <w:szCs w:val="21"/>
        </w:rPr>
      </w:pPr>
      <w:r>
        <w:rPr>
          <w:rFonts w:asciiTheme="minorEastAsia" w:hAnsiTheme="minorEastAsia" w:eastAsiaTheme="minorEastAsia"/>
          <w:color w:val="000000"/>
          <w:szCs w:val="21"/>
        </w:rPr>
        <w:tab/>
      </w:r>
    </w:p>
    <w:p>
      <w:pPr>
        <w:pStyle w:val="3"/>
        <w:spacing w:before="29" w:after="0" w:line="288" w:lineRule="auto"/>
        <w:rPr>
          <w:rFonts w:ascii="Times New Roman" w:hAnsi="Times New Roman"/>
          <w:kern w:val="0"/>
          <w:szCs w:val="24"/>
        </w:rPr>
      </w:pPr>
      <w:bookmarkStart w:id="161" w:name="_Toc67596642"/>
      <w:r>
        <w:rPr>
          <w:rFonts w:ascii="Times New Roman" w:hAnsi="Times New Roman"/>
          <w:kern w:val="0"/>
          <w:szCs w:val="24"/>
        </w:rPr>
        <w:t xml:space="preserve">7.4.7.12 </w:t>
      </w:r>
      <w:r>
        <w:rPr>
          <w:rFonts w:hint="eastAsia" w:ascii="Times New Roman" w:hAnsi="Times New Roman"/>
          <w:kern w:val="0"/>
          <w:szCs w:val="24"/>
        </w:rPr>
        <w:t>股票投资收益</w:t>
      </w:r>
      <w:bookmarkEnd w:id="161"/>
    </w:p>
    <w:p>
      <w:pPr>
        <w:adjustRightInd w:val="0"/>
        <w:snapToGrid w:val="0"/>
        <w:spacing w:line="360" w:lineRule="auto"/>
        <w:jc w:val="right"/>
        <w:rPr>
          <w:color w:val="000000"/>
          <w:sz w:val="24"/>
        </w:rPr>
      </w:pPr>
      <w:r>
        <w:rPr>
          <w:rFonts w:hint="eastAsia"/>
          <w:color w:val="000000"/>
          <w:sz w:val="24"/>
        </w:rPr>
        <w:t>单位：人民币元</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5"/>
        <w:gridCol w:w="2726"/>
        <w:gridCol w:w="27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spacing w:before="29" w:line="288" w:lineRule="auto"/>
              <w:jc w:val="center"/>
              <w:rPr>
                <w:sz w:val="24"/>
              </w:rPr>
            </w:pPr>
            <w:r>
              <w:rPr>
                <w:rFonts w:hint="eastAsia"/>
                <w:sz w:val="24"/>
              </w:rPr>
              <w:t>项目</w:t>
            </w:r>
          </w:p>
        </w:tc>
        <w:tc>
          <w:tcPr>
            <w:tcW w:w="2726" w:type="dxa"/>
            <w:tcMar>
              <w:top w:w="15" w:type="dxa"/>
              <w:left w:w="15" w:type="dxa"/>
              <w:bottom w:w="0" w:type="dxa"/>
              <w:right w:w="15" w:type="dxa"/>
            </w:tcMar>
            <w:vAlign w:val="center"/>
          </w:tcPr>
          <w:p>
            <w:pPr>
              <w:spacing w:before="29" w:line="288" w:lineRule="auto"/>
              <w:jc w:val="center"/>
              <w:rPr>
                <w:sz w:val="24"/>
              </w:rPr>
            </w:pPr>
            <w:r>
              <w:rPr>
                <w:rFonts w:hint="eastAsia"/>
                <w:sz w:val="24"/>
              </w:rPr>
              <w:t>本期</w:t>
            </w:r>
          </w:p>
          <w:p>
            <w:pPr>
              <w:spacing w:before="29" w:line="288" w:lineRule="auto"/>
              <w:jc w:val="center"/>
              <w:rPr>
                <w:sz w:val="24"/>
              </w:rPr>
            </w:pPr>
            <w:r>
              <w:rPr>
                <w:sz w:val="24"/>
              </w:rPr>
              <w:t>2020年1月1日</w:t>
            </w:r>
            <w:r>
              <w:rPr>
                <w:rFonts w:hint="eastAsia"/>
                <w:sz w:val="24"/>
              </w:rPr>
              <w:t>至</w:t>
            </w:r>
            <w:r>
              <w:rPr>
                <w:sz w:val="24"/>
              </w:rPr>
              <w:t>2020年12月31日</w:t>
            </w:r>
          </w:p>
        </w:tc>
        <w:tc>
          <w:tcPr>
            <w:tcW w:w="2726" w:type="dxa"/>
            <w:vAlign w:val="center"/>
          </w:tcPr>
          <w:p>
            <w:pPr>
              <w:spacing w:before="29" w:line="288" w:lineRule="auto"/>
              <w:jc w:val="center"/>
              <w:rPr>
                <w:sz w:val="24"/>
              </w:rPr>
            </w:pPr>
            <w:r>
              <w:rPr>
                <w:rFonts w:hint="eastAsia"/>
                <w:sz w:val="24"/>
              </w:rPr>
              <w:t>上年度可比期间</w:t>
            </w:r>
          </w:p>
          <w:p>
            <w:pPr>
              <w:spacing w:before="29" w:line="288" w:lineRule="auto"/>
              <w:jc w:val="center"/>
              <w:rPr>
                <w:sz w:val="24"/>
              </w:rPr>
            </w:pPr>
            <w:r>
              <w:rPr>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widowControl/>
              <w:spacing w:before="29" w:line="288" w:lineRule="auto"/>
              <w:rPr>
                <w:color w:val="000000"/>
                <w:kern w:val="0"/>
                <w:sz w:val="24"/>
              </w:rPr>
            </w:pPr>
            <w:r>
              <w:rPr>
                <w:rFonts w:hint="eastAsia"/>
                <w:color w:val="000000"/>
                <w:kern w:val="0"/>
                <w:sz w:val="24"/>
              </w:rPr>
              <w:t>卖出股票成交总额</w:t>
            </w:r>
          </w:p>
        </w:tc>
        <w:tc>
          <w:tcPr>
            <w:tcW w:w="2726" w:type="dxa"/>
            <w:tcMar>
              <w:top w:w="15" w:type="dxa"/>
              <w:left w:w="15" w:type="dxa"/>
              <w:bottom w:w="0" w:type="dxa"/>
              <w:right w:w="15" w:type="dxa"/>
            </w:tcMar>
            <w:vAlign w:val="bottom"/>
          </w:tcPr>
          <w:p>
            <w:pPr>
              <w:spacing w:before="29" w:line="288" w:lineRule="auto"/>
              <w:jc w:val="right"/>
              <w:rPr>
                <w:kern w:val="0"/>
                <w:sz w:val="24"/>
              </w:rPr>
            </w:pPr>
            <w:r>
              <w:rPr>
                <w:kern w:val="0"/>
                <w:sz w:val="24"/>
              </w:rPr>
              <w:t>14,323,165,511.96</w:t>
            </w:r>
          </w:p>
        </w:tc>
        <w:tc>
          <w:tcPr>
            <w:tcW w:w="2726" w:type="dxa"/>
            <w:vAlign w:val="bottom"/>
          </w:tcPr>
          <w:p>
            <w:pPr>
              <w:spacing w:before="29" w:line="288" w:lineRule="auto"/>
              <w:jc w:val="right"/>
              <w:rPr>
                <w:kern w:val="0"/>
                <w:sz w:val="24"/>
              </w:rPr>
            </w:pPr>
            <w:r>
              <w:rPr>
                <w:kern w:val="0"/>
                <w:sz w:val="24"/>
              </w:rPr>
              <w:t>6,315,338,079.63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widowControl/>
              <w:spacing w:before="29" w:line="288" w:lineRule="auto"/>
              <w:rPr>
                <w:color w:val="000000"/>
                <w:kern w:val="0"/>
                <w:sz w:val="24"/>
              </w:rPr>
            </w:pPr>
            <w:r>
              <w:rPr>
                <w:rFonts w:hint="eastAsia"/>
                <w:color w:val="000000"/>
                <w:kern w:val="0"/>
                <w:sz w:val="24"/>
              </w:rPr>
              <w:t>减：卖出股票成本总额</w:t>
            </w:r>
          </w:p>
        </w:tc>
        <w:tc>
          <w:tcPr>
            <w:tcW w:w="2726" w:type="dxa"/>
            <w:tcMar>
              <w:top w:w="15" w:type="dxa"/>
              <w:left w:w="15" w:type="dxa"/>
              <w:bottom w:w="0" w:type="dxa"/>
              <w:right w:w="15" w:type="dxa"/>
            </w:tcMar>
            <w:vAlign w:val="bottom"/>
          </w:tcPr>
          <w:p>
            <w:pPr>
              <w:spacing w:before="29" w:line="288" w:lineRule="auto"/>
              <w:jc w:val="right"/>
              <w:rPr>
                <w:kern w:val="0"/>
                <w:sz w:val="24"/>
              </w:rPr>
            </w:pPr>
            <w:r>
              <w:rPr>
                <w:kern w:val="0"/>
                <w:sz w:val="24"/>
              </w:rPr>
              <w:t>11,943,551,943.30</w:t>
            </w:r>
          </w:p>
        </w:tc>
        <w:tc>
          <w:tcPr>
            <w:tcW w:w="2726" w:type="dxa"/>
            <w:vAlign w:val="bottom"/>
          </w:tcPr>
          <w:p>
            <w:pPr>
              <w:spacing w:before="29" w:line="288" w:lineRule="auto"/>
              <w:jc w:val="right"/>
              <w:rPr>
                <w:kern w:val="0"/>
                <w:sz w:val="24"/>
              </w:rPr>
            </w:pPr>
            <w:r>
              <w:rPr>
                <w:kern w:val="0"/>
                <w:sz w:val="24"/>
              </w:rPr>
              <w:t>5,513,869,744.63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widowControl/>
              <w:spacing w:before="29" w:line="288" w:lineRule="auto"/>
              <w:rPr>
                <w:color w:val="000000"/>
                <w:kern w:val="0"/>
                <w:sz w:val="24"/>
              </w:rPr>
            </w:pPr>
            <w:r>
              <w:rPr>
                <w:rFonts w:hint="eastAsia"/>
                <w:color w:val="000000"/>
                <w:kern w:val="0"/>
                <w:sz w:val="24"/>
              </w:rPr>
              <w:t>买卖股票差价收入</w:t>
            </w:r>
          </w:p>
        </w:tc>
        <w:tc>
          <w:tcPr>
            <w:tcW w:w="2726" w:type="dxa"/>
            <w:tcMar>
              <w:top w:w="15" w:type="dxa"/>
              <w:left w:w="15" w:type="dxa"/>
              <w:bottom w:w="0" w:type="dxa"/>
              <w:right w:w="15" w:type="dxa"/>
            </w:tcMar>
            <w:vAlign w:val="bottom"/>
          </w:tcPr>
          <w:p>
            <w:pPr>
              <w:spacing w:before="29" w:line="288" w:lineRule="auto"/>
              <w:jc w:val="right"/>
              <w:rPr>
                <w:kern w:val="0"/>
                <w:sz w:val="24"/>
              </w:rPr>
            </w:pPr>
            <w:r>
              <w:rPr>
                <w:kern w:val="0"/>
                <w:sz w:val="24"/>
              </w:rPr>
              <w:t>2,379,613,568.66</w:t>
            </w:r>
          </w:p>
        </w:tc>
        <w:tc>
          <w:tcPr>
            <w:tcW w:w="2726" w:type="dxa"/>
            <w:vAlign w:val="bottom"/>
          </w:tcPr>
          <w:p>
            <w:pPr>
              <w:spacing w:before="29" w:line="288" w:lineRule="auto"/>
              <w:jc w:val="right"/>
              <w:rPr>
                <w:kern w:val="0"/>
                <w:sz w:val="24"/>
              </w:rPr>
            </w:pPr>
            <w:r>
              <w:rPr>
                <w:kern w:val="0"/>
                <w:sz w:val="24"/>
              </w:rPr>
              <w:t>801,468,335.00</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62" w:name="_Toc67596643"/>
      <w:r>
        <w:rPr>
          <w:rFonts w:ascii="Times New Roman" w:hAnsi="Times New Roman"/>
          <w:kern w:val="0"/>
          <w:szCs w:val="24"/>
        </w:rPr>
        <w:t>7.4.7.13</w:t>
      </w:r>
      <w:r>
        <w:rPr>
          <w:rFonts w:hint="eastAsia" w:ascii="Times New Roman" w:hAnsi="Times New Roman"/>
          <w:kern w:val="0"/>
          <w:szCs w:val="24"/>
        </w:rPr>
        <w:t>债券投资收益</w:t>
      </w:r>
      <w:bookmarkEnd w:id="162"/>
    </w:p>
    <w:p>
      <w:pPr>
        <w:autoSpaceDE w:val="0"/>
        <w:autoSpaceDN w:val="0"/>
        <w:adjustRightInd w:val="0"/>
        <w:spacing w:before="29" w:line="288" w:lineRule="auto"/>
        <w:ind w:left="15"/>
        <w:jc w:val="right"/>
        <w:rPr>
          <w:kern w:val="0"/>
          <w:szCs w:val="21"/>
        </w:rPr>
      </w:pPr>
      <w:r>
        <w:rPr>
          <w:bCs/>
          <w:color w:val="000000"/>
          <w:sz w:val="24"/>
        </w:rPr>
        <w:t>单位：人民币元</w:t>
      </w:r>
    </w:p>
    <w:tbl>
      <w:tblPr>
        <w:tblStyle w:val="31"/>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108" w:type="dxa"/>
        </w:tblCellMar>
      </w:tblPr>
      <w:tblGrid>
        <w:gridCol w:w="3968"/>
        <w:gridCol w:w="2515"/>
        <w:gridCol w:w="2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vAlign w:val="center"/>
          </w:tcPr>
          <w:p>
            <w:pPr>
              <w:widowControl/>
              <w:autoSpaceDE w:val="0"/>
              <w:autoSpaceDN w:val="0"/>
              <w:spacing w:before="29" w:line="288" w:lineRule="auto"/>
              <w:ind w:right="-15"/>
              <w:jc w:val="center"/>
              <w:textAlignment w:val="bottom"/>
              <w:rPr>
                <w:color w:val="000000"/>
                <w:sz w:val="24"/>
              </w:rPr>
            </w:pPr>
            <w:r>
              <w:rPr>
                <w:color w:val="000000"/>
                <w:sz w:val="24"/>
              </w:rPr>
              <w:t>项目</w:t>
            </w:r>
          </w:p>
        </w:tc>
        <w:tc>
          <w:tcPr>
            <w:tcW w:w="2616" w:type="dxa"/>
            <w:vAlign w:val="center"/>
          </w:tcPr>
          <w:p>
            <w:pPr>
              <w:widowControl/>
              <w:spacing w:before="29" w:line="288" w:lineRule="auto"/>
              <w:ind w:right="-15"/>
              <w:jc w:val="center"/>
              <w:rPr>
                <w:color w:val="000000"/>
                <w:sz w:val="24"/>
              </w:rPr>
            </w:pPr>
            <w:r>
              <w:rPr>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2020年1月1日至2020年12月31日</w:t>
            </w:r>
          </w:p>
        </w:tc>
        <w:tc>
          <w:tcPr>
            <w:tcW w:w="2616" w:type="dxa"/>
            <w:vAlign w:val="center"/>
          </w:tcPr>
          <w:p>
            <w:pPr>
              <w:widowControl/>
              <w:spacing w:before="29" w:line="288" w:lineRule="auto"/>
              <w:ind w:right="-15"/>
              <w:jc w:val="center"/>
              <w:rPr>
                <w:color w:val="000000"/>
                <w:sz w:val="24"/>
              </w:rPr>
            </w:pPr>
            <w:r>
              <w:rPr>
                <w:color w:val="000000"/>
                <w:sz w:val="24"/>
              </w:rPr>
              <w:t>上年度可比期间</w:t>
            </w:r>
          </w:p>
          <w:p>
            <w:pPr>
              <w:widowControl/>
              <w:autoSpaceDE w:val="0"/>
              <w:autoSpaceDN w:val="0"/>
              <w:spacing w:before="29" w:line="288" w:lineRule="auto"/>
              <w:ind w:right="-15"/>
              <w:jc w:val="center"/>
              <w:textAlignment w:val="bottom"/>
              <w:rPr>
                <w:color w:val="000000"/>
                <w:sz w:val="24"/>
              </w:rPr>
            </w:pPr>
            <w:r>
              <w:rPr>
                <w:color w:val="000000"/>
                <w:sz w:val="24"/>
              </w:rPr>
              <w:t>2019年1月1日至2019年12月31日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color w:val="000000"/>
                <w:sz w:val="24"/>
              </w:rPr>
            </w:pPr>
            <w:r>
              <w:rPr>
                <w:color w:val="000000"/>
                <w:sz w:val="24"/>
              </w:rPr>
              <w:t>卖出债券（债转股及债券到期兑付）成交总额</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552,857,168.70</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362,586,432.10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color w:val="000000"/>
                <w:sz w:val="24"/>
              </w:rPr>
            </w:pPr>
            <w:r>
              <w:rPr>
                <w:color w:val="000000"/>
                <w:sz w:val="24"/>
              </w:rPr>
              <w:t>减：卖出债券（债转股及债券到期兑付）成本总额</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534,125,133.33</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357,641,370.81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color w:val="000000"/>
                <w:sz w:val="24"/>
              </w:rPr>
            </w:pPr>
            <w:r>
              <w:rPr>
                <w:color w:val="000000"/>
                <w:sz w:val="24"/>
              </w:rPr>
              <w:t>减：应收利息总额</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10,295,777.46</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1,736,783.40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sz w:val="24"/>
              </w:rPr>
            </w:pPr>
            <w:r>
              <w:rPr>
                <w:sz w:val="24"/>
              </w:rPr>
              <w:t>买卖债券差价收入</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8,436,257.91</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3,208,277.89</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63" w:name="_Toc67596644"/>
      <w:r>
        <w:rPr>
          <w:rFonts w:ascii="Times New Roman" w:hAnsi="Times New Roman"/>
          <w:kern w:val="0"/>
          <w:szCs w:val="24"/>
        </w:rPr>
        <w:t>7.4.7.</w:t>
      </w:r>
      <w:r>
        <w:rPr>
          <w:rFonts w:hint="eastAsia" w:ascii="Times New Roman" w:hAnsi="Times New Roman"/>
          <w:kern w:val="0"/>
          <w:szCs w:val="24"/>
        </w:rPr>
        <w:t>14资产支持证券投资收益</w:t>
      </w:r>
      <w:bookmarkEnd w:id="163"/>
    </w:p>
    <w:p>
      <w:pPr>
        <w:tabs>
          <w:tab w:val="left" w:pos="426"/>
        </w:tabs>
        <w:spacing w:before="29" w:line="288" w:lineRule="auto"/>
        <w:jc w:val="left"/>
        <w:rPr>
          <w:rFonts w:cs="宋体" w:asciiTheme="minorEastAsia" w:hAnsiTheme="minorEastAsia" w:eastAsiaTheme="minorEastAsia"/>
          <w:kern w:val="0"/>
          <w:szCs w:val="21"/>
        </w:rPr>
      </w:pPr>
      <w:r>
        <w:rPr>
          <w:kern w:val="0"/>
          <w:sz w:val="24"/>
        </w:rPr>
        <w:t>本基金本报告期内及上年度可比期间无资产支持证券投资收益。</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64" w:name="_Toc67596645"/>
      <w:r>
        <w:rPr>
          <w:rFonts w:ascii="Times New Roman" w:hAnsi="Times New Roman"/>
          <w:kern w:val="0"/>
          <w:szCs w:val="24"/>
        </w:rPr>
        <w:t>7.4.7.15</w:t>
      </w:r>
      <w:r>
        <w:rPr>
          <w:rFonts w:hint="eastAsia" w:ascii="Times New Roman" w:hAnsi="Times New Roman"/>
          <w:kern w:val="0"/>
          <w:szCs w:val="24"/>
        </w:rPr>
        <w:t>衍生工具收益</w:t>
      </w:r>
      <w:bookmarkEnd w:id="164"/>
    </w:p>
    <w:p>
      <w:pPr>
        <w:tabs>
          <w:tab w:val="left" w:pos="426"/>
        </w:tabs>
        <w:spacing w:line="360" w:lineRule="auto"/>
        <w:jc w:val="left"/>
        <w:rPr>
          <w:rFonts w:eastAsiaTheme="minorEastAsia"/>
          <w:kern w:val="0"/>
          <w:sz w:val="24"/>
        </w:rPr>
      </w:pPr>
      <w:r>
        <w:rPr>
          <w:rFonts w:eastAsiaTheme="minorEastAsia"/>
          <w:kern w:val="0"/>
          <w:sz w:val="24"/>
        </w:rPr>
        <w:t>本基金本报告期内及上年度可比期间无衍生工具收益。</w:t>
      </w:r>
    </w:p>
    <w:p>
      <w:pPr>
        <w:tabs>
          <w:tab w:val="left" w:pos="426"/>
        </w:tabs>
        <w:spacing w:line="360" w:lineRule="auto"/>
        <w:ind w:firstLine="480" w:firstLineChars="200"/>
        <w:jc w:val="left"/>
        <w:rPr>
          <w:rFonts w:eastAsiaTheme="minorEastAsia"/>
          <w:kern w:val="0"/>
          <w:sz w:val="24"/>
        </w:rPr>
      </w:pPr>
    </w:p>
    <w:p>
      <w:pPr>
        <w:pStyle w:val="3"/>
        <w:spacing w:before="29" w:after="0" w:line="288" w:lineRule="auto"/>
        <w:rPr>
          <w:rFonts w:ascii="Times New Roman" w:hAnsi="Times New Roman"/>
          <w:kern w:val="0"/>
          <w:szCs w:val="24"/>
        </w:rPr>
      </w:pPr>
      <w:bookmarkStart w:id="165" w:name="_Toc67596646"/>
      <w:r>
        <w:rPr>
          <w:rFonts w:ascii="Times New Roman" w:hAnsi="Times New Roman"/>
          <w:kern w:val="0"/>
          <w:szCs w:val="24"/>
        </w:rPr>
        <w:t>7.4.7.16</w:t>
      </w:r>
      <w:r>
        <w:rPr>
          <w:rFonts w:hint="eastAsia" w:ascii="Times New Roman" w:hAnsi="Times New Roman"/>
          <w:kern w:val="0"/>
          <w:szCs w:val="24"/>
        </w:rPr>
        <w:t>股利收益</w:t>
      </w:r>
      <w:bookmarkEnd w:id="165"/>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92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87"/>
        <w:gridCol w:w="3149"/>
        <w:gridCol w:w="31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988" w:type="dxa"/>
            <w:vAlign w:val="center"/>
          </w:tcPr>
          <w:p>
            <w:pPr>
              <w:spacing w:before="29" w:line="288" w:lineRule="auto"/>
              <w:jc w:val="center"/>
              <w:rPr>
                <w:color w:val="000000"/>
                <w:sz w:val="24"/>
              </w:rPr>
            </w:pPr>
            <w:r>
              <w:rPr>
                <w:rFonts w:hint="eastAsia"/>
                <w:color w:val="000000"/>
                <w:sz w:val="24"/>
              </w:rPr>
              <w:t>项目</w:t>
            </w:r>
          </w:p>
        </w:tc>
        <w:tc>
          <w:tcPr>
            <w:tcW w:w="3150" w:type="dxa"/>
          </w:tcPr>
          <w:p>
            <w:pPr>
              <w:spacing w:before="29" w:line="288" w:lineRule="auto"/>
              <w:jc w:val="center"/>
              <w:rPr>
                <w:color w:val="000000"/>
                <w:sz w:val="24"/>
              </w:rPr>
            </w:pPr>
            <w:r>
              <w:rPr>
                <w:rFonts w:hint="eastAsia"/>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2020年1月1日</w:t>
            </w:r>
            <w:r>
              <w:rPr>
                <w:rFonts w:hint="eastAsia"/>
                <w:color w:val="000000"/>
                <w:sz w:val="24"/>
              </w:rPr>
              <w:t>至</w:t>
            </w:r>
            <w:r>
              <w:rPr>
                <w:color w:val="000000"/>
                <w:sz w:val="24"/>
              </w:rPr>
              <w:t>2020年12月31日</w:t>
            </w:r>
          </w:p>
        </w:tc>
        <w:tc>
          <w:tcPr>
            <w:tcW w:w="3150" w:type="dxa"/>
          </w:tcPr>
          <w:p>
            <w:pPr>
              <w:spacing w:before="29" w:line="288" w:lineRule="auto"/>
              <w:jc w:val="center"/>
              <w:rPr>
                <w:color w:val="000000"/>
                <w:sz w:val="24"/>
              </w:rPr>
            </w:pPr>
            <w:r>
              <w:rPr>
                <w:rFonts w:hint="eastAsia"/>
                <w:color w:val="000000"/>
                <w:sz w:val="24"/>
              </w:rPr>
              <w:t>上年度可比期间</w:t>
            </w:r>
          </w:p>
          <w:p>
            <w:pPr>
              <w:widowControl/>
              <w:autoSpaceDE w:val="0"/>
              <w:autoSpaceDN w:val="0"/>
              <w:spacing w:before="29" w:line="288" w:lineRule="auto"/>
              <w:ind w:right="-15"/>
              <w:jc w:val="center"/>
              <w:textAlignment w:val="bottom"/>
              <w:rPr>
                <w:color w:val="000000"/>
                <w:sz w:val="24"/>
              </w:rPr>
            </w:pPr>
            <w:r>
              <w:rPr>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widowControl/>
              <w:spacing w:before="29" w:line="288" w:lineRule="auto"/>
              <w:rPr>
                <w:color w:val="000000"/>
                <w:kern w:val="0"/>
                <w:sz w:val="24"/>
              </w:rPr>
            </w:pPr>
            <w:r>
              <w:rPr>
                <w:rFonts w:hint="eastAsia"/>
                <w:color w:val="000000"/>
                <w:kern w:val="0"/>
                <w:sz w:val="24"/>
              </w:rPr>
              <w:t>股票投资产生的股利收益</w:t>
            </w:r>
          </w:p>
        </w:tc>
        <w:tc>
          <w:tcPr>
            <w:tcW w:w="3150" w:type="dxa"/>
            <w:vAlign w:val="center"/>
          </w:tcPr>
          <w:p>
            <w:pPr>
              <w:spacing w:before="29" w:line="288" w:lineRule="auto"/>
              <w:jc w:val="right"/>
              <w:rPr>
                <w:kern w:val="0"/>
                <w:sz w:val="24"/>
              </w:rPr>
            </w:pPr>
            <w:r>
              <w:rPr>
                <w:kern w:val="0"/>
                <w:sz w:val="24"/>
              </w:rPr>
              <w:t>90,817,932.72</w:t>
            </w:r>
          </w:p>
        </w:tc>
        <w:tc>
          <w:tcPr>
            <w:tcW w:w="3150" w:type="dxa"/>
            <w:vAlign w:val="center"/>
          </w:tcPr>
          <w:p>
            <w:pPr>
              <w:spacing w:before="29" w:line="288" w:lineRule="auto"/>
              <w:jc w:val="right"/>
              <w:rPr>
                <w:kern w:val="0"/>
                <w:sz w:val="24"/>
              </w:rPr>
            </w:pPr>
            <w:r>
              <w:rPr>
                <w:kern w:val="0"/>
                <w:sz w:val="24"/>
              </w:rPr>
              <w:t>35,811,655.77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widowControl/>
              <w:spacing w:before="29" w:line="288" w:lineRule="auto"/>
              <w:rPr>
                <w:color w:val="000000"/>
                <w:kern w:val="0"/>
                <w:sz w:val="24"/>
              </w:rPr>
            </w:pPr>
            <w:r>
              <w:rPr>
                <w:rFonts w:hint="eastAsia"/>
                <w:color w:val="000000"/>
                <w:kern w:val="0"/>
                <w:sz w:val="24"/>
              </w:rPr>
              <w:t>基金投资产生的股利收益</w:t>
            </w:r>
          </w:p>
        </w:tc>
        <w:tc>
          <w:tcPr>
            <w:tcW w:w="3150" w:type="dxa"/>
            <w:vAlign w:val="center"/>
          </w:tcPr>
          <w:p>
            <w:pPr>
              <w:spacing w:before="29" w:line="288" w:lineRule="auto"/>
              <w:jc w:val="right"/>
              <w:rPr>
                <w:kern w:val="0"/>
                <w:sz w:val="24"/>
              </w:rPr>
            </w:pPr>
            <w:r>
              <w:rPr>
                <w:kern w:val="0"/>
                <w:sz w:val="24"/>
              </w:rPr>
              <w:t>-</w:t>
            </w:r>
          </w:p>
        </w:tc>
        <w:tc>
          <w:tcPr>
            <w:tcW w:w="315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widowControl/>
              <w:spacing w:before="29" w:line="288" w:lineRule="auto"/>
              <w:rPr>
                <w:color w:val="000000"/>
                <w:kern w:val="0"/>
                <w:sz w:val="24"/>
              </w:rPr>
            </w:pPr>
            <w:r>
              <w:rPr>
                <w:rFonts w:hint="eastAsia"/>
                <w:color w:val="000000"/>
                <w:kern w:val="0"/>
                <w:sz w:val="24"/>
              </w:rPr>
              <w:t>合计</w:t>
            </w:r>
          </w:p>
        </w:tc>
        <w:tc>
          <w:tcPr>
            <w:tcW w:w="3150" w:type="dxa"/>
            <w:vAlign w:val="center"/>
          </w:tcPr>
          <w:p>
            <w:pPr>
              <w:spacing w:before="29" w:line="288" w:lineRule="auto"/>
              <w:jc w:val="right"/>
              <w:rPr>
                <w:kern w:val="0"/>
                <w:sz w:val="24"/>
              </w:rPr>
            </w:pPr>
            <w:r>
              <w:rPr>
                <w:kern w:val="0"/>
                <w:sz w:val="24"/>
              </w:rPr>
              <w:t>90,817,932.72</w:t>
            </w:r>
          </w:p>
        </w:tc>
        <w:tc>
          <w:tcPr>
            <w:tcW w:w="3150" w:type="dxa"/>
            <w:vAlign w:val="center"/>
          </w:tcPr>
          <w:p>
            <w:pPr>
              <w:spacing w:before="29" w:line="288" w:lineRule="auto"/>
              <w:jc w:val="right"/>
              <w:rPr>
                <w:kern w:val="0"/>
                <w:sz w:val="24"/>
              </w:rPr>
            </w:pPr>
            <w:r>
              <w:rPr>
                <w:kern w:val="0"/>
                <w:sz w:val="24"/>
              </w:rPr>
              <w:t>35,811,655.77</w:t>
            </w:r>
          </w:p>
        </w:tc>
      </w:tr>
    </w:tbl>
    <w:p>
      <w:pPr>
        <w:spacing w:line="360" w:lineRule="auto"/>
        <w:ind w:firstLine="210" w:firstLineChars="100"/>
        <w:rPr>
          <w:rFonts w:asciiTheme="minorEastAsia" w:hAnsiTheme="minorEastAsia" w:eastAsiaTheme="minorEastAsia"/>
          <w:szCs w:val="21"/>
        </w:rPr>
      </w:pPr>
    </w:p>
    <w:p>
      <w:pPr>
        <w:spacing w:line="360" w:lineRule="auto"/>
        <w:rPr>
          <w:rFonts w:eastAsiaTheme="minorEastAsia"/>
          <w:b/>
          <w:color w:val="000000"/>
          <w:sz w:val="24"/>
        </w:rPr>
      </w:pPr>
      <w:r>
        <w:rPr>
          <w:rFonts w:eastAsiaTheme="minorEastAsia"/>
          <w:b/>
          <w:color w:val="000000"/>
          <w:sz w:val="24"/>
        </w:rPr>
        <w:t>7.4.7.17公允价值变动收益</w:t>
      </w:r>
    </w:p>
    <w:p>
      <w:pPr>
        <w:tabs>
          <w:tab w:val="left" w:pos="8820"/>
        </w:tabs>
        <w:spacing w:line="360" w:lineRule="auto"/>
        <w:ind w:right="-109" w:rightChars="-52"/>
        <w:jc w:val="right"/>
        <w:rPr>
          <w:rFonts w:eastAsiaTheme="minorEastAsia"/>
          <w:color w:val="000000"/>
          <w:sz w:val="24"/>
        </w:rPr>
      </w:pPr>
      <w:r>
        <w:rPr>
          <w:rFonts w:eastAsiaTheme="minorEastAsia"/>
          <w:color w:val="000000"/>
          <w:sz w:val="24"/>
        </w:rPr>
        <w:t>单位：人民币元</w:t>
      </w:r>
    </w:p>
    <w:tbl>
      <w:tblPr>
        <w:tblStyle w:val="31"/>
        <w:tblW w:w="92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87"/>
        <w:gridCol w:w="3149"/>
        <w:gridCol w:w="31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spacing w:line="360" w:lineRule="auto"/>
              <w:jc w:val="center"/>
              <w:rPr>
                <w:rFonts w:eastAsiaTheme="minorEastAsia"/>
                <w:sz w:val="24"/>
              </w:rPr>
            </w:pPr>
            <w:r>
              <w:rPr>
                <w:rFonts w:eastAsiaTheme="minorEastAsia"/>
                <w:kern w:val="0"/>
                <w:sz w:val="24"/>
              </w:rPr>
              <w:t>项目名称</w:t>
            </w:r>
          </w:p>
        </w:tc>
        <w:tc>
          <w:tcPr>
            <w:tcW w:w="3149" w:type="dxa"/>
          </w:tcPr>
          <w:p>
            <w:pPr>
              <w:spacing w:line="360" w:lineRule="auto"/>
              <w:jc w:val="center"/>
              <w:rPr>
                <w:rFonts w:eastAsiaTheme="minorEastAsia"/>
                <w:sz w:val="24"/>
              </w:rPr>
            </w:pPr>
            <w:r>
              <w:rPr>
                <w:rFonts w:eastAsiaTheme="minorEastAsia"/>
                <w:sz w:val="24"/>
              </w:rPr>
              <w:t>本期</w:t>
            </w:r>
          </w:p>
          <w:p>
            <w:pPr>
              <w:widowControl/>
              <w:autoSpaceDE w:val="0"/>
              <w:autoSpaceDN w:val="0"/>
              <w:spacing w:line="360" w:lineRule="auto"/>
              <w:ind w:right="-15"/>
              <w:jc w:val="center"/>
              <w:textAlignment w:val="bottom"/>
              <w:rPr>
                <w:rFonts w:eastAsiaTheme="minorEastAsia"/>
                <w:sz w:val="24"/>
              </w:rPr>
            </w:pPr>
            <w:r>
              <w:rPr>
                <w:rFonts w:eastAsiaTheme="minorEastAsia"/>
                <w:sz w:val="24"/>
              </w:rPr>
              <w:t>2020年1月1日至2020年12月31日</w:t>
            </w:r>
          </w:p>
        </w:tc>
        <w:tc>
          <w:tcPr>
            <w:tcW w:w="3149" w:type="dxa"/>
          </w:tcPr>
          <w:p>
            <w:pPr>
              <w:spacing w:line="360" w:lineRule="auto"/>
              <w:jc w:val="center"/>
              <w:rPr>
                <w:rFonts w:eastAsiaTheme="minorEastAsia"/>
                <w:sz w:val="24"/>
              </w:rPr>
            </w:pPr>
            <w:r>
              <w:rPr>
                <w:rFonts w:eastAsiaTheme="minorEastAsia"/>
                <w:sz w:val="24"/>
              </w:rPr>
              <w:t>上年度可比期间</w:t>
            </w:r>
          </w:p>
          <w:p>
            <w:pPr>
              <w:widowControl/>
              <w:autoSpaceDE w:val="0"/>
              <w:autoSpaceDN w:val="0"/>
              <w:spacing w:line="360" w:lineRule="auto"/>
              <w:ind w:right="-15"/>
              <w:jc w:val="center"/>
              <w:textAlignment w:val="bottom"/>
              <w:rPr>
                <w:rFonts w:eastAsiaTheme="minorEastAsia"/>
                <w:kern w:val="0"/>
                <w:sz w:val="24"/>
              </w:rPr>
            </w:pPr>
            <w:r>
              <w:rPr>
                <w:rFonts w:eastAsiaTheme="minorEastAsia"/>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1.交易性金融资产</w:t>
            </w:r>
          </w:p>
        </w:tc>
        <w:tc>
          <w:tcPr>
            <w:tcW w:w="3149" w:type="dxa"/>
            <w:vAlign w:val="center"/>
          </w:tcPr>
          <w:p>
            <w:pPr>
              <w:spacing w:line="360" w:lineRule="auto"/>
              <w:jc w:val="right"/>
              <w:rPr>
                <w:rFonts w:eastAsiaTheme="minorEastAsia"/>
                <w:sz w:val="24"/>
              </w:rPr>
            </w:pPr>
            <w:r>
              <w:rPr>
                <w:rFonts w:eastAsiaTheme="minorEastAsia"/>
                <w:sz w:val="24"/>
              </w:rPr>
              <w:t>1,662,502,528.80</w:t>
            </w:r>
          </w:p>
        </w:tc>
        <w:tc>
          <w:tcPr>
            <w:tcW w:w="3149" w:type="dxa"/>
            <w:vAlign w:val="center"/>
          </w:tcPr>
          <w:p>
            <w:pPr>
              <w:spacing w:line="360" w:lineRule="auto"/>
              <w:jc w:val="right"/>
              <w:rPr>
                <w:rFonts w:eastAsiaTheme="minorEastAsia"/>
                <w:sz w:val="24"/>
              </w:rPr>
            </w:pPr>
            <w:r>
              <w:rPr>
                <w:rFonts w:eastAsiaTheme="minorEastAsia"/>
                <w:sz w:val="24"/>
              </w:rPr>
              <w:t>937,517,310.00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——股票投资</w:t>
            </w:r>
          </w:p>
        </w:tc>
        <w:tc>
          <w:tcPr>
            <w:tcW w:w="3149" w:type="dxa"/>
            <w:vAlign w:val="center"/>
          </w:tcPr>
          <w:p>
            <w:pPr>
              <w:spacing w:line="360" w:lineRule="auto"/>
              <w:jc w:val="right"/>
              <w:rPr>
                <w:rFonts w:eastAsiaTheme="minorEastAsia"/>
                <w:sz w:val="24"/>
              </w:rPr>
            </w:pPr>
            <w:r>
              <w:rPr>
                <w:rFonts w:eastAsiaTheme="minorEastAsia"/>
                <w:sz w:val="24"/>
              </w:rPr>
              <w:t>1,662,435,321.03</w:t>
            </w:r>
          </w:p>
        </w:tc>
        <w:tc>
          <w:tcPr>
            <w:tcW w:w="3149" w:type="dxa"/>
            <w:vAlign w:val="center"/>
          </w:tcPr>
          <w:p>
            <w:pPr>
              <w:spacing w:line="360" w:lineRule="auto"/>
              <w:jc w:val="right"/>
              <w:rPr>
                <w:rFonts w:eastAsiaTheme="minorEastAsia"/>
                <w:sz w:val="24"/>
              </w:rPr>
            </w:pPr>
            <w:r>
              <w:rPr>
                <w:rFonts w:eastAsiaTheme="minorEastAsia"/>
                <w:sz w:val="24"/>
              </w:rPr>
              <w:t>936,781,920.38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——债券投资</w:t>
            </w:r>
          </w:p>
        </w:tc>
        <w:tc>
          <w:tcPr>
            <w:tcW w:w="3149" w:type="dxa"/>
            <w:vAlign w:val="center"/>
          </w:tcPr>
          <w:p>
            <w:pPr>
              <w:spacing w:line="360" w:lineRule="auto"/>
              <w:jc w:val="right"/>
              <w:rPr>
                <w:rFonts w:eastAsiaTheme="minorEastAsia"/>
                <w:sz w:val="24"/>
              </w:rPr>
            </w:pPr>
            <w:r>
              <w:rPr>
                <w:rFonts w:eastAsiaTheme="minorEastAsia"/>
                <w:sz w:val="24"/>
              </w:rPr>
              <w:t>67,207.77</w:t>
            </w:r>
          </w:p>
        </w:tc>
        <w:tc>
          <w:tcPr>
            <w:tcW w:w="3149" w:type="dxa"/>
            <w:vAlign w:val="center"/>
          </w:tcPr>
          <w:p>
            <w:pPr>
              <w:spacing w:line="360" w:lineRule="auto"/>
              <w:jc w:val="right"/>
              <w:rPr>
                <w:rFonts w:eastAsiaTheme="minorEastAsia"/>
                <w:sz w:val="24"/>
              </w:rPr>
            </w:pPr>
            <w:r>
              <w:rPr>
                <w:rFonts w:eastAsiaTheme="minorEastAsia"/>
                <w:sz w:val="24"/>
              </w:rPr>
              <w:t>735,389.62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——资产支持证券投资</w:t>
            </w:r>
          </w:p>
        </w:tc>
        <w:tc>
          <w:tcPr>
            <w:tcW w:w="3149" w:type="dxa"/>
            <w:vAlign w:val="center"/>
          </w:tcPr>
          <w:p>
            <w:pPr>
              <w:spacing w:line="360" w:lineRule="auto"/>
              <w:jc w:val="right"/>
              <w:rPr>
                <w:rFonts w:eastAsiaTheme="minorEastAsia"/>
                <w:sz w:val="24"/>
              </w:rPr>
            </w:pPr>
            <w:r>
              <w:rPr>
                <w:rFonts w:eastAsiaTheme="minorEastAsia"/>
                <w:sz w:val="24"/>
              </w:rPr>
              <w:t>-</w:t>
            </w:r>
          </w:p>
        </w:tc>
        <w:tc>
          <w:tcPr>
            <w:tcW w:w="3149" w:type="dxa"/>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kern w:val="0"/>
                <w:sz w:val="24"/>
              </w:rPr>
            </w:pPr>
            <w:r>
              <w:rPr>
                <w:kern w:val="0"/>
                <w:sz w:val="24"/>
              </w:rPr>
              <w:t>——基金投资</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kern w:val="0"/>
                <w:sz w:val="24"/>
              </w:rPr>
            </w:pPr>
            <w:r>
              <w:rPr>
                <w:kern w:val="0"/>
                <w:sz w:val="24"/>
              </w:rPr>
              <w:t>——贵金属投资</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jc w:val="left"/>
              <w:rPr>
                <w:rFonts w:eastAsiaTheme="minorEastAsia"/>
                <w:kern w:val="0"/>
                <w:sz w:val="24"/>
              </w:rPr>
            </w:pPr>
            <w:r>
              <w:rPr>
                <w:rFonts w:eastAsiaTheme="minorEastAsia"/>
                <w:kern w:val="0"/>
                <w:sz w:val="24"/>
              </w:rPr>
              <w:t>——</w:t>
            </w:r>
            <w:r>
              <w:rPr>
                <w:rFonts w:hint="eastAsia" w:eastAsiaTheme="minorEastAsia"/>
                <w:kern w:val="0"/>
                <w:sz w:val="24"/>
              </w:rPr>
              <w:t>其他</w:t>
            </w:r>
          </w:p>
        </w:tc>
        <w:tc>
          <w:tcPr>
            <w:tcW w:w="3149" w:type="dxa"/>
            <w:vAlign w:val="center"/>
          </w:tcPr>
          <w:p>
            <w:pPr>
              <w:spacing w:line="360" w:lineRule="auto"/>
              <w:jc w:val="right"/>
              <w:rPr>
                <w:sz w:val="24"/>
              </w:rPr>
            </w:pPr>
            <w:r>
              <w:rPr>
                <w:rFonts w:hint="eastAsia"/>
                <w:sz w:val="24"/>
              </w:rPr>
              <w:t>-</w:t>
            </w:r>
          </w:p>
        </w:tc>
        <w:tc>
          <w:tcPr>
            <w:tcW w:w="3149" w:type="dxa"/>
            <w:vAlign w:val="center"/>
          </w:tcPr>
          <w:p>
            <w:pPr>
              <w:spacing w:line="360" w:lineRule="auto"/>
              <w:jc w:val="right"/>
              <w:rPr>
                <w:sz w:val="24"/>
              </w:rPr>
            </w:pPr>
            <w:r>
              <w:rPr>
                <w:rFonts w:hint="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sz w:val="24"/>
              </w:rPr>
            </w:pPr>
            <w:r>
              <w:rPr>
                <w:kern w:val="0"/>
                <w:sz w:val="24"/>
              </w:rPr>
              <w:t>2.衍生工具</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sz w:val="24"/>
              </w:rPr>
            </w:pPr>
            <w:r>
              <w:rPr>
                <w:kern w:val="0"/>
                <w:sz w:val="24"/>
              </w:rPr>
              <w:t>——权证投资</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3.其他</w:t>
            </w:r>
          </w:p>
        </w:tc>
        <w:tc>
          <w:tcPr>
            <w:tcW w:w="3149" w:type="dxa"/>
            <w:vAlign w:val="bottom"/>
          </w:tcPr>
          <w:p>
            <w:pPr>
              <w:spacing w:line="360" w:lineRule="auto"/>
              <w:jc w:val="right"/>
              <w:rPr>
                <w:sz w:val="24"/>
              </w:rPr>
            </w:pPr>
            <w:r>
              <w:rPr>
                <w:sz w:val="24"/>
              </w:rPr>
              <w:t>-</w:t>
            </w:r>
          </w:p>
        </w:tc>
        <w:tc>
          <w:tcPr>
            <w:tcW w:w="3149" w:type="dxa"/>
            <w:vAlign w:val="bottom"/>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jc w:val="left"/>
              <w:rPr>
                <w:rFonts w:eastAsiaTheme="minorEastAsia"/>
                <w:kern w:val="0"/>
                <w:sz w:val="24"/>
              </w:rPr>
            </w:pPr>
            <w:r>
              <w:rPr>
                <w:rFonts w:hint="eastAsia" w:eastAsiaTheme="minorEastAsia"/>
                <w:kern w:val="0"/>
                <w:sz w:val="24"/>
              </w:rPr>
              <w:t>减：应税金融商品公允价值变动产生的预估增值税</w:t>
            </w:r>
          </w:p>
        </w:tc>
        <w:tc>
          <w:tcPr>
            <w:tcW w:w="3149" w:type="dxa"/>
            <w:vAlign w:val="bottom"/>
          </w:tcPr>
          <w:p>
            <w:pPr>
              <w:jc w:val="right"/>
              <w:rPr>
                <w:rFonts w:eastAsiaTheme="minorEastAsia"/>
                <w:sz w:val="24"/>
              </w:rPr>
            </w:pPr>
            <w:r>
              <w:rPr>
                <w:rFonts w:eastAsiaTheme="minorEastAsia"/>
                <w:sz w:val="24"/>
              </w:rPr>
              <w:t>-</w:t>
            </w:r>
          </w:p>
        </w:tc>
        <w:tc>
          <w:tcPr>
            <w:tcW w:w="3149" w:type="dxa"/>
            <w:vAlign w:val="bottom"/>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合计</w:t>
            </w:r>
          </w:p>
        </w:tc>
        <w:tc>
          <w:tcPr>
            <w:tcW w:w="3149" w:type="dxa"/>
            <w:vAlign w:val="bottom"/>
          </w:tcPr>
          <w:p>
            <w:pPr>
              <w:spacing w:line="360" w:lineRule="auto"/>
              <w:jc w:val="right"/>
              <w:rPr>
                <w:rFonts w:eastAsiaTheme="minorEastAsia"/>
                <w:sz w:val="24"/>
              </w:rPr>
            </w:pPr>
            <w:r>
              <w:rPr>
                <w:rFonts w:eastAsiaTheme="minorEastAsia"/>
                <w:sz w:val="24"/>
              </w:rPr>
              <w:t>1,662,502,528.80</w:t>
            </w:r>
          </w:p>
        </w:tc>
        <w:tc>
          <w:tcPr>
            <w:tcW w:w="3149" w:type="dxa"/>
            <w:vAlign w:val="bottom"/>
          </w:tcPr>
          <w:p>
            <w:pPr>
              <w:spacing w:line="360" w:lineRule="auto"/>
              <w:jc w:val="right"/>
              <w:rPr>
                <w:rFonts w:eastAsiaTheme="minorEastAsia"/>
                <w:sz w:val="24"/>
              </w:rPr>
            </w:pPr>
            <w:r>
              <w:rPr>
                <w:rFonts w:eastAsiaTheme="minorEastAsia"/>
                <w:sz w:val="24"/>
              </w:rPr>
              <w:t>937,517,310.00</w:t>
            </w:r>
          </w:p>
        </w:tc>
      </w:tr>
    </w:tbl>
    <w:p>
      <w:pPr>
        <w:spacing w:line="360" w:lineRule="auto"/>
        <w:ind w:firstLine="210" w:firstLineChars="1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166" w:name="_Toc67596647"/>
      <w:r>
        <w:rPr>
          <w:rFonts w:ascii="Times New Roman" w:hAnsi="Times New Roman"/>
          <w:kern w:val="0"/>
          <w:szCs w:val="24"/>
        </w:rPr>
        <w:t>7.4.7.18</w:t>
      </w:r>
      <w:r>
        <w:rPr>
          <w:rFonts w:hint="eastAsia" w:ascii="Times New Roman" w:hAnsi="Times New Roman"/>
          <w:kern w:val="0"/>
          <w:szCs w:val="24"/>
        </w:rPr>
        <w:t>其他收入</w:t>
      </w:r>
      <w:bookmarkEnd w:id="166"/>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84"/>
        <w:gridCol w:w="3598"/>
        <w:gridCol w:w="35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1985" w:type="dxa"/>
            <w:vAlign w:val="center"/>
          </w:tcPr>
          <w:p>
            <w:pPr>
              <w:spacing w:before="29" w:line="288" w:lineRule="auto"/>
              <w:jc w:val="center"/>
              <w:rPr>
                <w:color w:val="000000"/>
                <w:sz w:val="24"/>
              </w:rPr>
            </w:pPr>
            <w:r>
              <w:rPr>
                <w:rFonts w:hint="eastAsia"/>
                <w:color w:val="000000"/>
                <w:sz w:val="24"/>
              </w:rPr>
              <w:t>项目</w:t>
            </w:r>
          </w:p>
        </w:tc>
        <w:tc>
          <w:tcPr>
            <w:tcW w:w="3600" w:type="dxa"/>
          </w:tcPr>
          <w:p>
            <w:pPr>
              <w:spacing w:before="29" w:line="288" w:lineRule="auto"/>
              <w:jc w:val="center"/>
              <w:rPr>
                <w:color w:val="000000"/>
                <w:sz w:val="24"/>
              </w:rPr>
            </w:pPr>
            <w:r>
              <w:rPr>
                <w:rFonts w:hint="eastAsia"/>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2020年1月1日</w:t>
            </w:r>
            <w:r>
              <w:rPr>
                <w:rFonts w:hint="eastAsia"/>
                <w:color w:val="000000"/>
                <w:sz w:val="24"/>
              </w:rPr>
              <w:t>至</w:t>
            </w:r>
            <w:r>
              <w:rPr>
                <w:color w:val="000000"/>
                <w:sz w:val="24"/>
              </w:rPr>
              <w:t>2020年12月31日</w:t>
            </w:r>
          </w:p>
        </w:tc>
        <w:tc>
          <w:tcPr>
            <w:tcW w:w="3600" w:type="dxa"/>
          </w:tcPr>
          <w:p>
            <w:pPr>
              <w:spacing w:before="29" w:line="288" w:lineRule="auto"/>
              <w:jc w:val="center"/>
              <w:rPr>
                <w:color w:val="000000"/>
                <w:sz w:val="24"/>
              </w:rPr>
            </w:pPr>
            <w:r>
              <w:rPr>
                <w:rFonts w:hint="eastAsia"/>
                <w:color w:val="000000"/>
                <w:sz w:val="24"/>
              </w:rPr>
              <w:t>上年度可比期间</w:t>
            </w:r>
          </w:p>
          <w:p>
            <w:pPr>
              <w:widowControl/>
              <w:autoSpaceDE w:val="0"/>
              <w:autoSpaceDN w:val="0"/>
              <w:spacing w:before="29" w:line="288" w:lineRule="auto"/>
              <w:ind w:right="-15"/>
              <w:jc w:val="center"/>
              <w:textAlignment w:val="bottom"/>
              <w:rPr>
                <w:color w:val="000000"/>
                <w:sz w:val="24"/>
              </w:rPr>
            </w:pPr>
            <w:r>
              <w:rPr>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1985" w:type="dxa"/>
            <w:vAlign w:val="center"/>
          </w:tcPr>
          <w:p>
            <w:pPr>
              <w:widowControl/>
              <w:spacing w:before="29" w:line="288" w:lineRule="auto"/>
              <w:rPr>
                <w:rFonts w:asciiTheme="minorEastAsia" w:hAnsiTheme="minorEastAsia" w:eastAsiaTheme="minorEastAsia"/>
                <w:szCs w:val="21"/>
              </w:rPr>
            </w:pPr>
            <w:r>
              <w:rPr>
                <w:rFonts w:hint="eastAsia"/>
                <w:color w:val="000000"/>
                <w:kern w:val="0"/>
                <w:sz w:val="24"/>
              </w:rPr>
              <w:t>基金赎回费收入</w:t>
            </w:r>
          </w:p>
        </w:tc>
        <w:tc>
          <w:tcPr>
            <w:tcW w:w="3600" w:type="dxa"/>
            <w:vAlign w:val="center"/>
          </w:tcPr>
          <w:p>
            <w:pPr>
              <w:spacing w:before="29" w:line="288" w:lineRule="auto"/>
              <w:jc w:val="right"/>
              <w:rPr>
                <w:kern w:val="0"/>
                <w:sz w:val="24"/>
              </w:rPr>
            </w:pPr>
            <w:r>
              <w:rPr>
                <w:kern w:val="0"/>
                <w:sz w:val="24"/>
              </w:rPr>
              <w:t>25,667,166.80</w:t>
            </w:r>
          </w:p>
        </w:tc>
        <w:tc>
          <w:tcPr>
            <w:tcW w:w="3600" w:type="dxa"/>
            <w:vAlign w:val="center"/>
          </w:tcPr>
          <w:p>
            <w:pPr>
              <w:spacing w:before="29" w:line="288" w:lineRule="auto"/>
              <w:jc w:val="right"/>
              <w:rPr>
                <w:kern w:val="0"/>
                <w:sz w:val="24"/>
              </w:rPr>
            </w:pPr>
            <w:r>
              <w:rPr>
                <w:kern w:val="0"/>
                <w:sz w:val="24"/>
              </w:rPr>
              <w:t>8,242,514.83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984" w:type="dxa"/>
            <w:vAlign w:val="center"/>
          </w:tcPr>
          <w:p>
            <w:pPr>
              <w:jc w:val="left"/>
            </w:pPr>
            <w:r>
              <w:rPr>
                <w:sz w:val="24"/>
              </w:rPr>
              <w:t>基金转换费收入</w:t>
            </w:r>
          </w:p>
        </w:tc>
        <w:tc>
          <w:tcPr>
            <w:tcW w:w="3598" w:type="dxa"/>
            <w:vAlign w:val="center"/>
          </w:tcPr>
          <w:p>
            <w:pPr>
              <w:jc w:val="right"/>
            </w:pPr>
            <w:r>
              <w:rPr>
                <w:sz w:val="24"/>
              </w:rPr>
              <w:t>290,905.05</w:t>
            </w:r>
          </w:p>
        </w:tc>
        <w:tc>
          <w:tcPr>
            <w:tcW w:w="3598" w:type="dxa"/>
            <w:vAlign w:val="center"/>
          </w:tcPr>
          <w:p>
            <w:pPr>
              <w:jc w:val="right"/>
            </w:pPr>
            <w:r>
              <w:rPr>
                <w:sz w:val="24"/>
              </w:rPr>
              <w:t>757,427.61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1985" w:type="dxa"/>
            <w:vAlign w:val="center"/>
          </w:tcPr>
          <w:p>
            <w:pPr>
              <w:widowControl/>
              <w:spacing w:before="29" w:line="288" w:lineRule="auto"/>
              <w:rPr>
                <w:rFonts w:asciiTheme="minorEastAsia" w:hAnsiTheme="minorEastAsia" w:eastAsiaTheme="minorEastAsia"/>
                <w:szCs w:val="21"/>
              </w:rPr>
            </w:pPr>
            <w:r>
              <w:rPr>
                <w:rFonts w:hint="eastAsia"/>
                <w:color w:val="000000"/>
                <w:kern w:val="0"/>
                <w:sz w:val="24"/>
              </w:rPr>
              <w:t>合计</w:t>
            </w:r>
          </w:p>
        </w:tc>
        <w:tc>
          <w:tcPr>
            <w:tcW w:w="3600" w:type="dxa"/>
            <w:vAlign w:val="center"/>
          </w:tcPr>
          <w:p>
            <w:pPr>
              <w:spacing w:before="29" w:line="288" w:lineRule="auto"/>
              <w:jc w:val="right"/>
              <w:rPr>
                <w:kern w:val="0"/>
                <w:sz w:val="24"/>
              </w:rPr>
            </w:pPr>
            <w:r>
              <w:rPr>
                <w:kern w:val="0"/>
                <w:sz w:val="24"/>
              </w:rPr>
              <w:t>25,958,071.85</w:t>
            </w:r>
          </w:p>
        </w:tc>
        <w:tc>
          <w:tcPr>
            <w:tcW w:w="3600" w:type="dxa"/>
            <w:vAlign w:val="center"/>
          </w:tcPr>
          <w:p>
            <w:pPr>
              <w:spacing w:before="29" w:line="288" w:lineRule="auto"/>
              <w:jc w:val="right"/>
              <w:rPr>
                <w:kern w:val="0"/>
                <w:sz w:val="24"/>
              </w:rPr>
            </w:pPr>
            <w:r>
              <w:rPr>
                <w:kern w:val="0"/>
                <w:sz w:val="24"/>
              </w:rPr>
              <w:t>8,999,942.44</w:t>
            </w:r>
          </w:p>
        </w:tc>
      </w:tr>
    </w:tbl>
    <w:p>
      <w:pPr>
        <w:tabs>
          <w:tab w:val="left" w:pos="426"/>
        </w:tabs>
        <w:spacing w:before="29" w:line="288" w:lineRule="auto"/>
        <w:jc w:val="left"/>
        <w:rPr>
          <w:kern w:val="0"/>
          <w:sz w:val="24"/>
        </w:rPr>
      </w:pPr>
      <w:r>
        <w:rPr>
          <w:kern w:val="0"/>
          <w:sz w:val="24"/>
        </w:rPr>
        <w:t>注：1、本基金的赎回费率按持有期间递减，不低于赎回费总额的25%归入基金资产。</w:t>
      </w:r>
    </w:p>
    <w:p>
      <w:pPr>
        <w:tabs>
          <w:tab w:val="left" w:pos="426"/>
        </w:tabs>
        <w:spacing w:before="29" w:line="288" w:lineRule="auto"/>
        <w:jc w:val="left"/>
        <w:rPr>
          <w:kern w:val="0"/>
          <w:sz w:val="24"/>
        </w:rPr>
      </w:pPr>
      <w:r>
        <w:rPr>
          <w:kern w:val="0"/>
          <w:sz w:val="24"/>
        </w:rPr>
        <w:t xml:space="preserve">    2、本基金的转换费由申购补差费和转出基金的赎回费两部分构成，其中转出基金的不低于赎回费的25%归入转出基金的基金资产。</w:t>
      </w:r>
    </w:p>
    <w:p>
      <w:pPr>
        <w:spacing w:line="360" w:lineRule="auto"/>
        <w:ind w:firstLine="210" w:firstLineChars="100"/>
        <w:rPr>
          <w:rFonts w:asciiTheme="minorEastAsia" w:hAnsiTheme="minorEastAsia" w:eastAsiaTheme="minorEastAsia"/>
          <w:szCs w:val="21"/>
        </w:rPr>
      </w:pPr>
      <w:r>
        <w:rPr>
          <w:rFonts w:asciiTheme="minorEastAsia" w:hAnsiTheme="minorEastAsia" w:eastAsiaTheme="minorEastAsia"/>
          <w:szCs w:val="21"/>
        </w:rPr>
        <w:tab/>
      </w:r>
    </w:p>
    <w:p>
      <w:pPr>
        <w:spacing w:before="156" w:beforeLines="50" w:line="360" w:lineRule="auto"/>
        <w:rPr>
          <w:rFonts w:eastAsiaTheme="minorEastAsia"/>
          <w:b/>
          <w:color w:val="000000" w:themeColor="text1"/>
          <w:sz w:val="24"/>
        </w:rPr>
      </w:pPr>
      <w:r>
        <w:rPr>
          <w:rFonts w:eastAsiaTheme="minorEastAsia"/>
          <w:b/>
          <w:bCs/>
          <w:color w:val="000000" w:themeColor="text1"/>
          <w:kern w:val="0"/>
          <w:sz w:val="24"/>
        </w:rPr>
        <w:t xml:space="preserve">7.4.7.19 </w:t>
      </w:r>
      <w:r>
        <w:rPr>
          <w:rFonts w:eastAsiaTheme="minorEastAsia"/>
          <w:b/>
          <w:color w:val="000000" w:themeColor="text1"/>
          <w:sz w:val="24"/>
        </w:rPr>
        <w:t>交易费用</w:t>
      </w:r>
    </w:p>
    <w:p>
      <w:pPr>
        <w:tabs>
          <w:tab w:val="left" w:pos="7200"/>
          <w:tab w:val="left" w:pos="8280"/>
        </w:tabs>
        <w:spacing w:line="360" w:lineRule="auto"/>
        <w:ind w:right="-109" w:rightChars="-52"/>
        <w:jc w:val="right"/>
        <w:rPr>
          <w:rFonts w:eastAsiaTheme="minorEastAsia"/>
          <w:color w:val="000000" w:themeColor="text1"/>
          <w:sz w:val="24"/>
        </w:rPr>
      </w:pPr>
      <w:r>
        <w:rPr>
          <w:rFonts w:eastAsiaTheme="minorEastAsia"/>
          <w:color w:val="000000" w:themeColor="text1"/>
          <w:sz w:val="24"/>
        </w:rPr>
        <w:t>单位：人民币元</w:t>
      </w:r>
    </w:p>
    <w:tbl>
      <w:tblPr>
        <w:tblStyle w:val="31"/>
        <w:tblW w:w="919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28"/>
        <w:gridCol w:w="3114"/>
        <w:gridCol w:w="35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jc w:val="center"/>
              <w:rPr>
                <w:rFonts w:eastAsiaTheme="minorEastAsia"/>
                <w:color w:val="000000" w:themeColor="text1"/>
                <w:sz w:val="24"/>
              </w:rPr>
            </w:pPr>
            <w:r>
              <w:rPr>
                <w:rFonts w:eastAsiaTheme="minorEastAsia"/>
                <w:color w:val="000000" w:themeColor="text1"/>
                <w:sz w:val="24"/>
              </w:rPr>
              <w:t>项目</w:t>
            </w:r>
          </w:p>
        </w:tc>
        <w:tc>
          <w:tcPr>
            <w:tcW w:w="3114" w:type="dxa"/>
            <w:vAlign w:val="center"/>
          </w:tcPr>
          <w:p>
            <w:pPr>
              <w:spacing w:line="360" w:lineRule="auto"/>
              <w:jc w:val="center"/>
              <w:rPr>
                <w:rFonts w:eastAsiaTheme="minorEastAsia"/>
                <w:color w:val="000000" w:themeColor="text1"/>
                <w:sz w:val="24"/>
              </w:rPr>
            </w:pPr>
            <w:r>
              <w:rPr>
                <w:rFonts w:eastAsiaTheme="minorEastAsia"/>
                <w:color w:val="000000" w:themeColor="text1"/>
                <w:sz w:val="24"/>
              </w:rPr>
              <w:t>本期</w:t>
            </w:r>
          </w:p>
          <w:p>
            <w:pPr>
              <w:widowControl/>
              <w:autoSpaceDE w:val="0"/>
              <w:autoSpaceDN w:val="0"/>
              <w:spacing w:line="360" w:lineRule="auto"/>
              <w:ind w:right="-15"/>
              <w:jc w:val="center"/>
              <w:textAlignment w:val="bottom"/>
              <w:rPr>
                <w:rFonts w:eastAsiaTheme="minorEastAsia"/>
                <w:color w:val="000000" w:themeColor="text1"/>
                <w:sz w:val="24"/>
              </w:rPr>
            </w:pPr>
            <w:r>
              <w:rPr>
                <w:rFonts w:eastAsiaTheme="minorEastAsia"/>
                <w:color w:val="000000" w:themeColor="text1"/>
                <w:sz w:val="24"/>
              </w:rPr>
              <w:t>2020年1月1日至2020年12月31日</w:t>
            </w:r>
          </w:p>
        </w:tc>
        <w:tc>
          <w:tcPr>
            <w:tcW w:w="3553" w:type="dxa"/>
            <w:vAlign w:val="center"/>
          </w:tcPr>
          <w:p>
            <w:pPr>
              <w:spacing w:line="360" w:lineRule="auto"/>
              <w:jc w:val="center"/>
              <w:rPr>
                <w:rFonts w:eastAsiaTheme="minorEastAsia"/>
                <w:color w:val="000000" w:themeColor="text1"/>
                <w:sz w:val="24"/>
              </w:rPr>
            </w:pPr>
            <w:r>
              <w:rPr>
                <w:rFonts w:eastAsiaTheme="minorEastAsia"/>
                <w:color w:val="000000" w:themeColor="text1"/>
                <w:sz w:val="24"/>
              </w:rPr>
              <w:t>上年度可比期间</w:t>
            </w:r>
          </w:p>
          <w:p>
            <w:pPr>
              <w:spacing w:line="360" w:lineRule="auto"/>
              <w:jc w:val="center"/>
              <w:rPr>
                <w:rFonts w:eastAsiaTheme="minorEastAsia"/>
                <w:color w:val="000000" w:themeColor="text1"/>
                <w:kern w:val="0"/>
                <w:sz w:val="24"/>
              </w:rPr>
            </w:pPr>
            <w:r>
              <w:rPr>
                <w:rFonts w:eastAsiaTheme="minorEastAsia"/>
                <w:color w:val="000000" w:themeColor="text1"/>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rPr>
                <w:rFonts w:eastAsiaTheme="minorEastAsia"/>
                <w:color w:val="000000" w:themeColor="text1"/>
                <w:sz w:val="24"/>
              </w:rPr>
            </w:pPr>
            <w:r>
              <w:rPr>
                <w:rFonts w:eastAsiaTheme="minorEastAsia"/>
                <w:color w:val="000000" w:themeColor="text1"/>
                <w:sz w:val="24"/>
              </w:rPr>
              <w:t>交易所市场交易费用</w:t>
            </w:r>
          </w:p>
        </w:tc>
        <w:tc>
          <w:tcPr>
            <w:tcW w:w="3114" w:type="dxa"/>
            <w:vAlign w:val="center"/>
          </w:tcPr>
          <w:p>
            <w:pPr>
              <w:spacing w:line="360" w:lineRule="auto"/>
              <w:jc w:val="right"/>
              <w:rPr>
                <w:rFonts w:eastAsiaTheme="minorEastAsia"/>
                <w:color w:val="000000" w:themeColor="text1"/>
                <w:sz w:val="24"/>
              </w:rPr>
            </w:pPr>
            <w:r>
              <w:rPr>
                <w:rFonts w:eastAsiaTheme="minorEastAsia"/>
                <w:color w:val="000000" w:themeColor="text1"/>
                <w:sz w:val="24"/>
              </w:rPr>
              <w:t>44,167,961.50</w:t>
            </w:r>
          </w:p>
        </w:tc>
        <w:tc>
          <w:tcPr>
            <w:tcW w:w="3553" w:type="dxa"/>
            <w:vAlign w:val="center"/>
          </w:tcPr>
          <w:p>
            <w:pPr>
              <w:spacing w:line="360" w:lineRule="auto"/>
              <w:jc w:val="right"/>
              <w:rPr>
                <w:rFonts w:eastAsiaTheme="minorEastAsia"/>
                <w:color w:val="000000" w:themeColor="text1"/>
                <w:sz w:val="24"/>
              </w:rPr>
            </w:pPr>
            <w:r>
              <w:rPr>
                <w:rFonts w:eastAsiaTheme="minorEastAsia"/>
                <w:color w:val="000000" w:themeColor="text1"/>
                <w:sz w:val="24"/>
              </w:rPr>
              <w:t>21,236,146.93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rPr>
                <w:rFonts w:eastAsiaTheme="minorEastAsia"/>
                <w:color w:val="000000" w:themeColor="text1"/>
                <w:sz w:val="24"/>
              </w:rPr>
            </w:pPr>
            <w:r>
              <w:rPr>
                <w:rFonts w:eastAsiaTheme="minorEastAsia"/>
                <w:color w:val="000000" w:themeColor="text1"/>
                <w:sz w:val="24"/>
              </w:rPr>
              <w:t>银行间市场交易费用</w:t>
            </w:r>
          </w:p>
        </w:tc>
        <w:tc>
          <w:tcPr>
            <w:tcW w:w="3114" w:type="dxa"/>
            <w:vAlign w:val="center"/>
          </w:tcPr>
          <w:p>
            <w:pPr>
              <w:spacing w:line="360" w:lineRule="auto"/>
              <w:jc w:val="right"/>
              <w:rPr>
                <w:rFonts w:eastAsiaTheme="minorEastAsia"/>
                <w:color w:val="000000" w:themeColor="text1"/>
                <w:sz w:val="24"/>
              </w:rPr>
            </w:pPr>
            <w:r>
              <w:rPr>
                <w:rFonts w:eastAsiaTheme="minorEastAsia"/>
                <w:color w:val="000000" w:themeColor="text1"/>
                <w:sz w:val="24"/>
              </w:rPr>
              <w:t>1,500.00</w:t>
            </w:r>
          </w:p>
        </w:tc>
        <w:tc>
          <w:tcPr>
            <w:tcW w:w="3553" w:type="dxa"/>
            <w:vAlign w:val="center"/>
          </w:tcPr>
          <w:p>
            <w:pPr>
              <w:spacing w:line="360" w:lineRule="auto"/>
              <w:jc w:val="right"/>
              <w:rPr>
                <w:rFonts w:eastAsiaTheme="minorEastAsia"/>
                <w:color w:val="000000" w:themeColor="text1"/>
                <w:sz w:val="24"/>
              </w:rPr>
            </w:pPr>
            <w:r>
              <w:rPr>
                <w:rFonts w:eastAsiaTheme="minorEastAsia"/>
                <w:color w:val="000000" w:themeColor="text1"/>
                <w:sz w:val="24"/>
              </w:rPr>
              <w:t>600.00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rPr>
                <w:rFonts w:eastAsiaTheme="minorEastAsia"/>
                <w:color w:val="000000" w:themeColor="text1"/>
                <w:sz w:val="24"/>
              </w:rPr>
            </w:pPr>
            <w:r>
              <w:rPr>
                <w:rFonts w:eastAsiaTheme="minorEastAsia"/>
                <w:color w:val="000000" w:themeColor="text1"/>
                <w:sz w:val="24"/>
                <w:lang w:val="en-AU"/>
              </w:rPr>
              <w:t>合计</w:t>
            </w:r>
          </w:p>
        </w:tc>
        <w:tc>
          <w:tcPr>
            <w:tcW w:w="3114" w:type="dxa"/>
            <w:vAlign w:val="center"/>
          </w:tcPr>
          <w:p>
            <w:pPr>
              <w:spacing w:line="360" w:lineRule="auto"/>
              <w:jc w:val="right"/>
              <w:rPr>
                <w:rFonts w:eastAsiaTheme="minorEastAsia"/>
                <w:color w:val="000000" w:themeColor="text1"/>
                <w:sz w:val="24"/>
              </w:rPr>
            </w:pPr>
            <w:r>
              <w:rPr>
                <w:rFonts w:eastAsiaTheme="minorEastAsia"/>
                <w:color w:val="000000" w:themeColor="text1"/>
                <w:sz w:val="24"/>
              </w:rPr>
              <w:t>44,169,461.50</w:t>
            </w:r>
          </w:p>
        </w:tc>
        <w:tc>
          <w:tcPr>
            <w:tcW w:w="3553" w:type="dxa"/>
            <w:vAlign w:val="center"/>
          </w:tcPr>
          <w:p>
            <w:pPr>
              <w:spacing w:line="360" w:lineRule="auto"/>
              <w:jc w:val="right"/>
              <w:rPr>
                <w:rFonts w:eastAsiaTheme="minorEastAsia"/>
                <w:color w:val="000000" w:themeColor="text1"/>
                <w:sz w:val="24"/>
              </w:rPr>
            </w:pPr>
            <w:r>
              <w:rPr>
                <w:rFonts w:eastAsiaTheme="minorEastAsia"/>
                <w:color w:val="000000" w:themeColor="text1"/>
                <w:sz w:val="24"/>
              </w:rPr>
              <w:t>21,236,746.93</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67" w:name="_Toc67596648"/>
      <w:r>
        <w:rPr>
          <w:rFonts w:ascii="Times New Roman" w:hAnsi="Times New Roman"/>
          <w:kern w:val="0"/>
          <w:szCs w:val="24"/>
        </w:rPr>
        <w:t>7.4.7.20</w:t>
      </w:r>
      <w:r>
        <w:rPr>
          <w:rFonts w:hint="eastAsia" w:ascii="Times New Roman" w:hAnsi="Times New Roman"/>
          <w:kern w:val="0"/>
          <w:szCs w:val="24"/>
        </w:rPr>
        <w:t>其他费用</w:t>
      </w:r>
      <w:bookmarkEnd w:id="167"/>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55"/>
        <w:gridCol w:w="2893"/>
        <w:gridCol w:w="33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spacing w:before="29" w:line="288" w:lineRule="auto"/>
              <w:jc w:val="center"/>
              <w:rPr>
                <w:sz w:val="24"/>
              </w:rPr>
            </w:pPr>
            <w:r>
              <w:rPr>
                <w:rFonts w:hint="eastAsia"/>
                <w:sz w:val="24"/>
              </w:rPr>
              <w:t>项目</w:t>
            </w:r>
          </w:p>
        </w:tc>
        <w:tc>
          <w:tcPr>
            <w:tcW w:w="2893" w:type="dxa"/>
          </w:tcPr>
          <w:p>
            <w:pPr>
              <w:spacing w:before="29" w:line="288" w:lineRule="auto"/>
              <w:jc w:val="center"/>
              <w:rPr>
                <w:sz w:val="24"/>
              </w:rPr>
            </w:pPr>
            <w:r>
              <w:rPr>
                <w:rFonts w:hint="eastAsia"/>
                <w:sz w:val="24"/>
              </w:rPr>
              <w:t>本期</w:t>
            </w:r>
          </w:p>
          <w:p>
            <w:pPr>
              <w:widowControl/>
              <w:autoSpaceDE w:val="0"/>
              <w:autoSpaceDN w:val="0"/>
              <w:spacing w:before="29" w:line="288" w:lineRule="auto"/>
              <w:ind w:right="-15"/>
              <w:jc w:val="center"/>
              <w:textAlignment w:val="bottom"/>
              <w:rPr>
                <w:sz w:val="24"/>
              </w:rPr>
            </w:pPr>
            <w:r>
              <w:rPr>
                <w:sz w:val="24"/>
              </w:rPr>
              <w:t>2020年1月1日</w:t>
            </w:r>
            <w:r>
              <w:rPr>
                <w:rFonts w:hint="eastAsia"/>
                <w:sz w:val="24"/>
              </w:rPr>
              <w:t>至</w:t>
            </w:r>
            <w:r>
              <w:rPr>
                <w:sz w:val="24"/>
              </w:rPr>
              <w:t>2020年12月31日</w:t>
            </w:r>
          </w:p>
        </w:tc>
        <w:tc>
          <w:tcPr>
            <w:tcW w:w="3367" w:type="dxa"/>
          </w:tcPr>
          <w:p>
            <w:pPr>
              <w:spacing w:before="29" w:line="288" w:lineRule="auto"/>
              <w:jc w:val="center"/>
              <w:rPr>
                <w:sz w:val="24"/>
              </w:rPr>
            </w:pPr>
            <w:r>
              <w:rPr>
                <w:rFonts w:hint="eastAsia"/>
                <w:sz w:val="24"/>
              </w:rPr>
              <w:t>上年度可比期间</w:t>
            </w:r>
          </w:p>
          <w:p>
            <w:pPr>
              <w:widowControl/>
              <w:autoSpaceDE w:val="0"/>
              <w:autoSpaceDN w:val="0"/>
              <w:spacing w:before="29" w:line="288" w:lineRule="auto"/>
              <w:ind w:right="-15"/>
              <w:jc w:val="center"/>
              <w:textAlignment w:val="bottom"/>
              <w:rPr>
                <w:sz w:val="24"/>
              </w:rPr>
            </w:pPr>
            <w:r>
              <w:rPr>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widowControl/>
              <w:spacing w:before="29" w:line="288" w:lineRule="auto"/>
              <w:rPr>
                <w:color w:val="000000"/>
                <w:kern w:val="0"/>
                <w:sz w:val="24"/>
              </w:rPr>
            </w:pPr>
            <w:r>
              <w:rPr>
                <w:rFonts w:hint="eastAsia"/>
                <w:color w:val="000000"/>
                <w:kern w:val="0"/>
                <w:sz w:val="24"/>
              </w:rPr>
              <w:t>审计费用</w:t>
            </w:r>
          </w:p>
        </w:tc>
        <w:tc>
          <w:tcPr>
            <w:tcW w:w="2893" w:type="dxa"/>
            <w:vAlign w:val="bottom"/>
          </w:tcPr>
          <w:p>
            <w:pPr>
              <w:spacing w:before="29" w:line="288" w:lineRule="auto"/>
              <w:jc w:val="right"/>
              <w:rPr>
                <w:kern w:val="0"/>
                <w:sz w:val="24"/>
              </w:rPr>
            </w:pPr>
            <w:r>
              <w:rPr>
                <w:kern w:val="0"/>
                <w:sz w:val="24"/>
              </w:rPr>
              <w:t>110,000.00</w:t>
            </w:r>
          </w:p>
        </w:tc>
        <w:tc>
          <w:tcPr>
            <w:tcW w:w="3367" w:type="dxa"/>
            <w:vAlign w:val="bottom"/>
          </w:tcPr>
          <w:p>
            <w:pPr>
              <w:spacing w:before="29" w:line="288" w:lineRule="auto"/>
              <w:jc w:val="right"/>
              <w:rPr>
                <w:kern w:val="0"/>
                <w:sz w:val="24"/>
              </w:rPr>
            </w:pPr>
            <w:r>
              <w:rPr>
                <w:kern w:val="0"/>
                <w:sz w:val="24"/>
              </w:rPr>
              <w:t>110,000.00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widowControl/>
              <w:spacing w:before="29" w:line="288" w:lineRule="auto"/>
              <w:rPr>
                <w:color w:val="000000"/>
                <w:kern w:val="0"/>
                <w:sz w:val="24"/>
              </w:rPr>
            </w:pPr>
            <w:r>
              <w:rPr>
                <w:rFonts w:hint="eastAsia"/>
                <w:color w:val="000000"/>
                <w:kern w:val="0"/>
                <w:sz w:val="24"/>
              </w:rPr>
              <w:t>信息披露费</w:t>
            </w:r>
          </w:p>
        </w:tc>
        <w:tc>
          <w:tcPr>
            <w:tcW w:w="2893" w:type="dxa"/>
            <w:vAlign w:val="bottom"/>
          </w:tcPr>
          <w:p>
            <w:pPr>
              <w:spacing w:before="29" w:line="288" w:lineRule="auto"/>
              <w:jc w:val="right"/>
              <w:rPr>
                <w:kern w:val="0"/>
                <w:sz w:val="24"/>
              </w:rPr>
            </w:pPr>
            <w:r>
              <w:rPr>
                <w:kern w:val="0"/>
                <w:sz w:val="24"/>
              </w:rPr>
              <w:t>120,000.00</w:t>
            </w:r>
          </w:p>
        </w:tc>
        <w:tc>
          <w:tcPr>
            <w:tcW w:w="3367" w:type="dxa"/>
            <w:vAlign w:val="bottom"/>
          </w:tcPr>
          <w:p>
            <w:pPr>
              <w:spacing w:before="29" w:line="288" w:lineRule="auto"/>
              <w:jc w:val="right"/>
              <w:rPr>
                <w:kern w:val="0"/>
                <w:sz w:val="24"/>
              </w:rPr>
            </w:pPr>
            <w:r>
              <w:rPr>
                <w:kern w:val="0"/>
                <w:sz w:val="24"/>
              </w:rPr>
              <w:t>120,000.00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jc w:val="left"/>
            </w:pPr>
            <w:r>
              <w:rPr>
                <w:sz w:val="24"/>
              </w:rPr>
              <w:t>银行费用</w:t>
            </w:r>
          </w:p>
        </w:tc>
        <w:tc>
          <w:tcPr>
            <w:tcW w:w="2893" w:type="dxa"/>
            <w:vAlign w:val="center"/>
          </w:tcPr>
          <w:p>
            <w:pPr>
              <w:jc w:val="right"/>
            </w:pPr>
            <w:r>
              <w:rPr>
                <w:sz w:val="24"/>
              </w:rPr>
              <w:t>20,145.42</w:t>
            </w:r>
          </w:p>
        </w:tc>
        <w:tc>
          <w:tcPr>
            <w:tcW w:w="3367" w:type="dxa"/>
            <w:vAlign w:val="center"/>
          </w:tcPr>
          <w:p>
            <w:pPr>
              <w:jc w:val="right"/>
            </w:pPr>
            <w:r>
              <w:rPr>
                <w:sz w:val="24"/>
              </w:rPr>
              <w:t>17,044.64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jc w:val="left"/>
            </w:pPr>
            <w:r>
              <w:rPr>
                <w:sz w:val="24"/>
              </w:rPr>
              <w:t>债券账户费用</w:t>
            </w:r>
          </w:p>
        </w:tc>
        <w:tc>
          <w:tcPr>
            <w:tcW w:w="2893" w:type="dxa"/>
            <w:vAlign w:val="center"/>
          </w:tcPr>
          <w:p>
            <w:pPr>
              <w:jc w:val="right"/>
            </w:pPr>
            <w:r>
              <w:rPr>
                <w:sz w:val="24"/>
              </w:rPr>
              <w:t>37,200.00</w:t>
            </w:r>
          </w:p>
        </w:tc>
        <w:tc>
          <w:tcPr>
            <w:tcW w:w="3367" w:type="dxa"/>
            <w:vAlign w:val="center"/>
          </w:tcPr>
          <w:p>
            <w:pPr>
              <w:jc w:val="right"/>
            </w:pPr>
            <w:r>
              <w:rPr>
                <w:sz w:val="24"/>
              </w:rPr>
              <w:t>37,200.00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widowControl/>
              <w:spacing w:before="29" w:line="288" w:lineRule="auto"/>
              <w:rPr>
                <w:rFonts w:asciiTheme="minorEastAsia" w:hAnsiTheme="minorEastAsia" w:eastAsiaTheme="minorEastAsia"/>
                <w:szCs w:val="21"/>
              </w:rPr>
            </w:pPr>
            <w:r>
              <w:rPr>
                <w:rFonts w:hint="eastAsia"/>
                <w:color w:val="000000"/>
                <w:kern w:val="0"/>
                <w:sz w:val="24"/>
              </w:rPr>
              <w:t>合计</w:t>
            </w:r>
          </w:p>
        </w:tc>
        <w:tc>
          <w:tcPr>
            <w:tcW w:w="2893" w:type="dxa"/>
            <w:vAlign w:val="center"/>
          </w:tcPr>
          <w:p>
            <w:pPr>
              <w:spacing w:before="29" w:line="288" w:lineRule="auto"/>
              <w:jc w:val="right"/>
              <w:rPr>
                <w:kern w:val="0"/>
                <w:sz w:val="24"/>
              </w:rPr>
            </w:pPr>
            <w:r>
              <w:rPr>
                <w:kern w:val="0"/>
                <w:sz w:val="24"/>
              </w:rPr>
              <w:t>287,345.42</w:t>
            </w:r>
          </w:p>
        </w:tc>
        <w:tc>
          <w:tcPr>
            <w:tcW w:w="3367" w:type="dxa"/>
            <w:vAlign w:val="center"/>
          </w:tcPr>
          <w:p>
            <w:pPr>
              <w:spacing w:before="29" w:line="288" w:lineRule="auto"/>
              <w:jc w:val="right"/>
              <w:rPr>
                <w:kern w:val="0"/>
                <w:sz w:val="24"/>
              </w:rPr>
            </w:pPr>
            <w:r>
              <w:rPr>
                <w:kern w:val="0"/>
                <w:sz w:val="24"/>
              </w:rPr>
              <w:t>284,244.64</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68" w:name="_Toc67596649"/>
      <w:r>
        <w:rPr>
          <w:rFonts w:ascii="Times New Roman" w:hAnsi="Times New Roman"/>
          <w:kern w:val="0"/>
          <w:szCs w:val="24"/>
        </w:rPr>
        <w:t>7.4.8</w:t>
      </w:r>
      <w:r>
        <w:rPr>
          <w:rFonts w:hint="eastAsia" w:ascii="Times New Roman" w:hAnsi="Times New Roman"/>
          <w:kern w:val="0"/>
          <w:szCs w:val="24"/>
        </w:rPr>
        <w:t>或有事项、资产负债表日后事项的说明</w:t>
      </w:r>
      <w:bookmarkEnd w:id="168"/>
    </w:p>
    <w:p>
      <w:pPr>
        <w:pStyle w:val="3"/>
        <w:spacing w:before="29" w:after="0" w:line="288" w:lineRule="auto"/>
        <w:rPr>
          <w:rFonts w:ascii="Times New Roman" w:hAnsi="Times New Roman"/>
          <w:kern w:val="0"/>
          <w:szCs w:val="24"/>
        </w:rPr>
      </w:pPr>
      <w:bookmarkStart w:id="169" w:name="_Toc67596650"/>
      <w:r>
        <w:rPr>
          <w:rFonts w:ascii="Times New Roman" w:hAnsi="Times New Roman"/>
          <w:kern w:val="0"/>
          <w:szCs w:val="24"/>
        </w:rPr>
        <w:t xml:space="preserve">7.4.8.1 </w:t>
      </w:r>
      <w:r>
        <w:rPr>
          <w:rFonts w:hint="eastAsia" w:ascii="Times New Roman" w:hAnsi="Times New Roman"/>
          <w:kern w:val="0"/>
          <w:szCs w:val="24"/>
        </w:rPr>
        <w:t>或有事项</w:t>
      </w:r>
      <w:bookmarkEnd w:id="169"/>
    </w:p>
    <w:p>
      <w:pPr>
        <w:spacing w:before="29" w:line="288" w:lineRule="auto"/>
        <w:ind w:firstLine="480" w:firstLineChars="200"/>
        <w:rPr>
          <w:color w:val="000000"/>
          <w:sz w:val="24"/>
        </w:rPr>
      </w:pPr>
      <w:r>
        <w:rPr>
          <w:color w:val="000000"/>
          <w:sz w:val="24"/>
        </w:rPr>
        <w:t>无。</w:t>
      </w:r>
    </w:p>
    <w:p>
      <w:pPr>
        <w:autoSpaceDE w:val="0"/>
        <w:autoSpaceDN w:val="0"/>
        <w:adjustRightInd w:val="0"/>
        <w:spacing w:line="360" w:lineRule="auto"/>
        <w:jc w:val="left"/>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170" w:name="_Toc67596651"/>
      <w:r>
        <w:rPr>
          <w:rFonts w:ascii="Times New Roman" w:hAnsi="Times New Roman"/>
          <w:kern w:val="0"/>
          <w:szCs w:val="24"/>
        </w:rPr>
        <w:t xml:space="preserve">7.4.8.2 </w:t>
      </w:r>
      <w:r>
        <w:rPr>
          <w:rFonts w:hint="eastAsia" w:ascii="Times New Roman" w:hAnsi="Times New Roman"/>
          <w:kern w:val="0"/>
          <w:szCs w:val="24"/>
        </w:rPr>
        <w:t>资产负债表日后事项</w:t>
      </w:r>
      <w:bookmarkEnd w:id="170"/>
    </w:p>
    <w:p>
      <w:pPr>
        <w:spacing w:before="29" w:line="288" w:lineRule="auto"/>
        <w:ind w:firstLine="480" w:firstLineChars="200"/>
        <w:rPr>
          <w:color w:val="000000"/>
          <w:sz w:val="24"/>
        </w:rPr>
      </w:pPr>
      <w:r>
        <w:rPr>
          <w:color w:val="000000"/>
          <w:sz w:val="24"/>
        </w:rPr>
        <w:t>无。</w:t>
      </w:r>
    </w:p>
    <w:p>
      <w:pPr>
        <w:autoSpaceDE w:val="0"/>
        <w:autoSpaceDN w:val="0"/>
        <w:adjustRightInd w:val="0"/>
        <w:spacing w:line="360" w:lineRule="auto"/>
        <w:jc w:val="left"/>
        <w:rPr>
          <w:rFonts w:asciiTheme="minorEastAsia" w:hAnsiTheme="minorEastAsia" w:eastAsiaTheme="minorEastAsia"/>
          <w:color w:val="000000"/>
          <w:kern w:val="0"/>
          <w:szCs w:val="21"/>
        </w:rPr>
      </w:pPr>
    </w:p>
    <w:p>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20"/>
        <w:gridCol w:w="37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220" w:type="dxa"/>
          </w:tcPr>
          <w:p>
            <w:pPr>
              <w:spacing w:before="29" w:line="288" w:lineRule="auto"/>
              <w:jc w:val="center"/>
              <w:rPr>
                <w:color w:val="000000"/>
                <w:sz w:val="24"/>
              </w:rPr>
            </w:pPr>
            <w:r>
              <w:rPr>
                <w:rFonts w:hint="eastAsia"/>
                <w:color w:val="000000"/>
                <w:sz w:val="24"/>
              </w:rPr>
              <w:t>关联方名称</w:t>
            </w:r>
          </w:p>
        </w:tc>
        <w:tc>
          <w:tcPr>
            <w:tcW w:w="3780" w:type="dxa"/>
          </w:tcPr>
          <w:p>
            <w:pPr>
              <w:spacing w:before="29" w:line="288" w:lineRule="auto"/>
              <w:jc w:val="center"/>
              <w:rPr>
                <w:color w:val="000000"/>
                <w:sz w:val="24"/>
              </w:rPr>
            </w:pPr>
            <w:r>
              <w:rPr>
                <w:rFonts w:hint="eastAsia"/>
                <w:color w:val="000000"/>
                <w:sz w:val="24"/>
              </w:rPr>
              <w:t>与本基金的关系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交银施罗德基金管理有限公司(“交银施罗德基金公司”)</w:t>
            </w:r>
          </w:p>
        </w:tc>
        <w:tc>
          <w:tcPr>
            <w:tcW w:w="3780" w:type="dxa"/>
            <w:vAlign w:val="center"/>
          </w:tcPr>
          <w:p>
            <w:pPr>
              <w:jc w:val="center"/>
            </w:pPr>
            <w:r>
              <w:rPr>
                <w:color w:val="000000"/>
                <w:sz w:val="24"/>
              </w:rPr>
              <w:t>基金管理人、基金销售机构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220" w:type="dxa"/>
            <w:vAlign w:val="center"/>
          </w:tcPr>
          <w:p>
            <w:pPr>
              <w:jc w:val="left"/>
            </w:pPr>
            <w:r>
              <w:rPr>
                <w:color w:val="000000"/>
                <w:sz w:val="24"/>
              </w:rPr>
              <w:t>招商银行股份有限公司(“招商银行”)</w:t>
            </w:r>
          </w:p>
        </w:tc>
        <w:tc>
          <w:tcPr>
            <w:tcW w:w="3780" w:type="dxa"/>
            <w:vAlign w:val="center"/>
          </w:tcPr>
          <w:p>
            <w:pPr>
              <w:jc w:val="center"/>
            </w:pPr>
            <w:r>
              <w:rPr>
                <w:color w:val="000000"/>
                <w:sz w:val="24"/>
              </w:rPr>
              <w:t>基金托管人、基金销售机构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交通银行股份有限公司(“交通银行”)</w:t>
            </w:r>
          </w:p>
        </w:tc>
        <w:tc>
          <w:tcPr>
            <w:tcW w:w="3780" w:type="dxa"/>
            <w:vAlign w:val="center"/>
          </w:tcPr>
          <w:p>
            <w:pPr>
              <w:jc w:val="center"/>
            </w:pPr>
            <w:r>
              <w:rPr>
                <w:color w:val="000000"/>
                <w:sz w:val="24"/>
              </w:rPr>
              <w:t>基金管理人的股东、基金销售机构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施罗德投资管理有限公司</w:t>
            </w:r>
          </w:p>
        </w:tc>
        <w:tc>
          <w:tcPr>
            <w:tcW w:w="3780" w:type="dxa"/>
            <w:vAlign w:val="center"/>
          </w:tcPr>
          <w:p>
            <w:pPr>
              <w:jc w:val="center"/>
            </w:pPr>
            <w:r>
              <w:rPr>
                <w:color w:val="000000"/>
                <w:sz w:val="24"/>
              </w:rPr>
              <w:t>基金管理人的股东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220" w:type="dxa"/>
            <w:vAlign w:val="center"/>
          </w:tcPr>
          <w:p>
            <w:pPr>
              <w:jc w:val="left"/>
            </w:pPr>
            <w:r>
              <w:rPr>
                <w:color w:val="000000"/>
                <w:sz w:val="24"/>
              </w:rPr>
              <w:t>中国国际海运集装箱(集团)股份有限公司</w:t>
            </w:r>
          </w:p>
        </w:tc>
        <w:tc>
          <w:tcPr>
            <w:tcW w:w="3780" w:type="dxa"/>
            <w:vAlign w:val="center"/>
          </w:tcPr>
          <w:p>
            <w:pPr>
              <w:jc w:val="center"/>
            </w:pPr>
            <w:r>
              <w:rPr>
                <w:color w:val="000000"/>
                <w:sz w:val="24"/>
              </w:rPr>
              <w:t>基金管理人的股东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交银施罗德资产管理有限公司</w:t>
            </w:r>
          </w:p>
        </w:tc>
        <w:tc>
          <w:tcPr>
            <w:tcW w:w="3780" w:type="dxa"/>
            <w:vAlign w:val="center"/>
          </w:tcPr>
          <w:p>
            <w:pPr>
              <w:jc w:val="center"/>
            </w:pPr>
            <w:r>
              <w:rPr>
                <w:color w:val="000000"/>
                <w:sz w:val="24"/>
              </w:rPr>
              <w:t>基金管理人的子公司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上海直源投资管理有限公司</w:t>
            </w:r>
          </w:p>
        </w:tc>
        <w:tc>
          <w:tcPr>
            <w:tcW w:w="3780" w:type="dxa"/>
            <w:vAlign w:val="center"/>
          </w:tcPr>
          <w:p>
            <w:pPr>
              <w:jc w:val="center"/>
            </w:pPr>
            <w:r>
              <w:rPr>
                <w:color w:val="000000"/>
                <w:sz w:val="24"/>
              </w:rPr>
              <w:t>受基金管理人控制的公司</w:t>
            </w:r>
          </w:p>
        </w:tc>
      </w:tr>
    </w:tbl>
    <w:p>
      <w:pPr>
        <w:tabs>
          <w:tab w:val="left" w:pos="426"/>
        </w:tabs>
        <w:spacing w:before="29" w:line="288" w:lineRule="auto"/>
        <w:jc w:val="left"/>
        <w:rPr>
          <w:kern w:val="0"/>
          <w:sz w:val="24"/>
        </w:rPr>
      </w:pPr>
      <w:r>
        <w:rPr>
          <w:kern w:val="0"/>
          <w:sz w:val="24"/>
        </w:rPr>
        <w:t>注：下述关联交易均在正常业务范围内按一般商业条款订立。</w:t>
      </w:r>
    </w:p>
    <w:p>
      <w:pPr>
        <w:spacing w:line="360" w:lineRule="auto"/>
        <w:rPr>
          <w:rFonts w:asciiTheme="minorEastAsia" w:hAnsiTheme="minorEastAsia" w:eastAsiaTheme="minorEastAsia"/>
          <w:color w:val="000000"/>
          <w:szCs w:val="21"/>
        </w:rPr>
      </w:pPr>
      <w:r>
        <w:rPr>
          <w:rFonts w:asciiTheme="minorEastAsia" w:hAnsiTheme="minorEastAsia" w:eastAsiaTheme="minorEastAsia"/>
          <w:color w:val="000000"/>
          <w:szCs w:val="21"/>
        </w:rPr>
        <w:tab/>
      </w:r>
    </w:p>
    <w:p>
      <w:pPr>
        <w:pStyle w:val="3"/>
        <w:spacing w:before="29" w:after="0" w:line="288" w:lineRule="auto"/>
        <w:rPr>
          <w:rFonts w:ascii="Times New Roman" w:hAnsi="Times New Roman"/>
          <w:kern w:val="0"/>
          <w:szCs w:val="24"/>
        </w:rPr>
      </w:pPr>
      <w:bookmarkStart w:id="171" w:name="_Toc67596652"/>
      <w:r>
        <w:rPr>
          <w:rFonts w:ascii="Times New Roman" w:hAnsi="Times New Roman"/>
          <w:kern w:val="0"/>
          <w:szCs w:val="24"/>
        </w:rPr>
        <w:t>7.4.10</w:t>
      </w:r>
      <w:r>
        <w:rPr>
          <w:rFonts w:hint="eastAsia" w:ascii="Times New Roman" w:hAnsi="Times New Roman"/>
          <w:kern w:val="0"/>
          <w:szCs w:val="24"/>
        </w:rPr>
        <w:t>本报告期及上年度可比期间的关联方交易</w:t>
      </w:r>
      <w:bookmarkEnd w:id="171"/>
    </w:p>
    <w:p>
      <w:pPr>
        <w:pStyle w:val="3"/>
        <w:spacing w:before="29" w:after="0" w:line="288" w:lineRule="auto"/>
        <w:rPr>
          <w:rFonts w:ascii="Times New Roman" w:hAnsi="Times New Roman"/>
          <w:kern w:val="0"/>
          <w:szCs w:val="24"/>
        </w:rPr>
      </w:pPr>
      <w:bookmarkStart w:id="172" w:name="_Toc67596653"/>
      <w:r>
        <w:rPr>
          <w:rFonts w:ascii="Times New Roman" w:hAnsi="Times New Roman"/>
          <w:kern w:val="0"/>
          <w:szCs w:val="24"/>
        </w:rPr>
        <w:t>7.4.10.1</w:t>
      </w:r>
      <w:r>
        <w:rPr>
          <w:rFonts w:hint="eastAsia" w:ascii="Times New Roman" w:hAnsi="Times New Roman"/>
          <w:kern w:val="0"/>
          <w:szCs w:val="24"/>
        </w:rPr>
        <w:t>通过关联方交易单元进行的交易</w:t>
      </w:r>
      <w:bookmarkEnd w:id="172"/>
    </w:p>
    <w:p>
      <w:pPr>
        <w:spacing w:before="29" w:line="288" w:lineRule="auto"/>
        <w:ind w:firstLine="480" w:firstLineChars="200"/>
        <w:rPr>
          <w:color w:val="000000"/>
          <w:sz w:val="24"/>
        </w:rPr>
      </w:pPr>
      <w:r>
        <w:rPr>
          <w:color w:val="000000"/>
          <w:sz w:val="24"/>
        </w:rPr>
        <w:t>本基金本报告期内及上年度可比期间无通过关联方交易单元进行的交易。</w:t>
      </w:r>
    </w:p>
    <w:p>
      <w:pPr>
        <w:spacing w:line="360" w:lineRule="auto"/>
        <w:ind w:firstLine="420" w:firstLineChars="200"/>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73" w:name="_Toc67596654"/>
      <w:r>
        <w:rPr>
          <w:rFonts w:ascii="Times New Roman" w:hAnsi="Times New Roman"/>
          <w:kern w:val="0"/>
          <w:szCs w:val="24"/>
        </w:rPr>
        <w:t>7.4.10.2</w:t>
      </w:r>
      <w:r>
        <w:rPr>
          <w:rFonts w:hint="eastAsia" w:ascii="Times New Roman" w:hAnsi="Times New Roman"/>
          <w:kern w:val="0"/>
          <w:szCs w:val="24"/>
        </w:rPr>
        <w:t>关联方报酬</w:t>
      </w:r>
      <w:bookmarkEnd w:id="173"/>
    </w:p>
    <w:p>
      <w:pPr>
        <w:pStyle w:val="3"/>
        <w:spacing w:before="29" w:after="0" w:line="288" w:lineRule="auto"/>
        <w:rPr>
          <w:rFonts w:ascii="Times New Roman" w:hAnsi="Times New Roman"/>
          <w:kern w:val="0"/>
          <w:szCs w:val="24"/>
        </w:rPr>
      </w:pPr>
      <w:bookmarkStart w:id="174" w:name="_Toc67596655"/>
      <w:r>
        <w:rPr>
          <w:rFonts w:ascii="Times New Roman" w:hAnsi="Times New Roman"/>
          <w:kern w:val="0"/>
          <w:szCs w:val="24"/>
        </w:rPr>
        <w:t>7.4.10.2.1</w:t>
      </w:r>
      <w:r>
        <w:rPr>
          <w:rFonts w:hint="eastAsia" w:ascii="Times New Roman" w:hAnsi="Times New Roman"/>
          <w:kern w:val="0"/>
          <w:szCs w:val="24"/>
        </w:rPr>
        <w:t>基金管理费</w:t>
      </w:r>
      <w:bookmarkEnd w:id="174"/>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86"/>
        <w:gridCol w:w="2657"/>
        <w:gridCol w:w="26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pPr>
              <w:autoSpaceDE w:val="0"/>
              <w:autoSpaceDN w:val="0"/>
              <w:spacing w:before="29" w:line="288" w:lineRule="auto"/>
              <w:jc w:val="center"/>
              <w:textAlignment w:val="bottom"/>
              <w:rPr>
                <w:bCs/>
                <w:color w:val="000000"/>
                <w:sz w:val="24"/>
              </w:rPr>
            </w:pPr>
            <w:r>
              <w:rPr>
                <w:rFonts w:hint="eastAsia"/>
                <w:bCs/>
                <w:color w:val="000000"/>
                <w:sz w:val="24"/>
              </w:rPr>
              <w:t>本期</w:t>
            </w:r>
          </w:p>
          <w:p>
            <w:pPr>
              <w:widowControl/>
              <w:autoSpaceDE w:val="0"/>
              <w:autoSpaceDN w:val="0"/>
              <w:spacing w:before="29" w:line="288" w:lineRule="auto"/>
              <w:ind w:right="-15"/>
              <w:jc w:val="center"/>
              <w:textAlignment w:val="bottom"/>
              <w:rPr>
                <w:bCs/>
                <w:color w:val="000000"/>
                <w:sz w:val="24"/>
              </w:rPr>
            </w:pPr>
            <w:r>
              <w:rPr>
                <w:bCs/>
                <w:color w:val="000000"/>
                <w:sz w:val="24"/>
              </w:rPr>
              <w:t>2020年1月1日</w:t>
            </w:r>
            <w:r>
              <w:rPr>
                <w:rFonts w:hint="eastAsia"/>
                <w:bCs/>
                <w:color w:val="000000"/>
                <w:sz w:val="24"/>
              </w:rPr>
              <w:t>至</w:t>
            </w:r>
            <w:r>
              <w:rPr>
                <w:bCs/>
                <w:color w:val="000000"/>
                <w:sz w:val="24"/>
              </w:rPr>
              <w:t>2020年12月31日</w:t>
            </w:r>
          </w:p>
        </w:tc>
        <w:tc>
          <w:tcPr>
            <w:tcW w:w="2657" w:type="dxa"/>
          </w:tcPr>
          <w:p>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pPr>
              <w:widowControl/>
              <w:autoSpaceDE w:val="0"/>
              <w:autoSpaceDN w:val="0"/>
              <w:spacing w:before="29" w:line="288" w:lineRule="auto"/>
              <w:ind w:right="-15"/>
              <w:jc w:val="center"/>
              <w:textAlignment w:val="bottom"/>
              <w:rPr>
                <w:bCs/>
                <w:color w:val="000000"/>
                <w:sz w:val="24"/>
              </w:rPr>
            </w:pPr>
            <w:r>
              <w:rPr>
                <w:bCs/>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widowControl/>
              <w:spacing w:before="29" w:line="288" w:lineRule="auto"/>
              <w:rPr>
                <w:color w:val="000000"/>
                <w:kern w:val="0"/>
                <w:sz w:val="24"/>
              </w:rPr>
            </w:pPr>
            <w:r>
              <w:rPr>
                <w:rFonts w:hint="eastAsia"/>
                <w:color w:val="000000"/>
                <w:kern w:val="0"/>
                <w:sz w:val="24"/>
              </w:rPr>
              <w:t>当期发生的基金应支付的管理费</w:t>
            </w:r>
          </w:p>
        </w:tc>
        <w:tc>
          <w:tcPr>
            <w:tcW w:w="2657" w:type="dxa"/>
            <w:vAlign w:val="center"/>
          </w:tcPr>
          <w:p>
            <w:pPr>
              <w:spacing w:before="29" w:line="288" w:lineRule="auto"/>
              <w:jc w:val="right"/>
              <w:rPr>
                <w:kern w:val="0"/>
                <w:sz w:val="24"/>
              </w:rPr>
            </w:pPr>
            <w:r>
              <w:rPr>
                <w:kern w:val="0"/>
                <w:sz w:val="24"/>
              </w:rPr>
              <w:t>133,427,964.08</w:t>
            </w:r>
          </w:p>
        </w:tc>
        <w:tc>
          <w:tcPr>
            <w:tcW w:w="2657" w:type="dxa"/>
            <w:vAlign w:val="center"/>
          </w:tcPr>
          <w:p>
            <w:pPr>
              <w:spacing w:before="29" w:line="288" w:lineRule="auto"/>
              <w:jc w:val="right"/>
              <w:rPr>
                <w:kern w:val="0"/>
                <w:sz w:val="24"/>
              </w:rPr>
            </w:pPr>
            <w:r>
              <w:rPr>
                <w:kern w:val="0"/>
                <w:sz w:val="24"/>
              </w:rPr>
              <w:t>53,835,462.02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widowControl/>
              <w:spacing w:before="29" w:line="288" w:lineRule="auto"/>
              <w:rPr>
                <w:color w:val="000000"/>
                <w:kern w:val="0"/>
                <w:sz w:val="24"/>
              </w:rPr>
            </w:pPr>
            <w:r>
              <w:rPr>
                <w:rFonts w:hint="eastAsia"/>
                <w:color w:val="000000"/>
                <w:kern w:val="0"/>
                <w:sz w:val="24"/>
              </w:rPr>
              <w:t>其中：支付销售机构的客户维护费</w:t>
            </w:r>
          </w:p>
        </w:tc>
        <w:tc>
          <w:tcPr>
            <w:tcW w:w="2657" w:type="dxa"/>
            <w:vAlign w:val="center"/>
          </w:tcPr>
          <w:p>
            <w:pPr>
              <w:spacing w:before="29" w:line="288" w:lineRule="auto"/>
              <w:jc w:val="right"/>
              <w:rPr>
                <w:kern w:val="0"/>
                <w:sz w:val="24"/>
              </w:rPr>
            </w:pPr>
            <w:r>
              <w:rPr>
                <w:kern w:val="0"/>
                <w:sz w:val="24"/>
              </w:rPr>
              <w:t>30,358,830.65</w:t>
            </w:r>
          </w:p>
        </w:tc>
        <w:tc>
          <w:tcPr>
            <w:tcW w:w="2657" w:type="dxa"/>
            <w:vAlign w:val="center"/>
          </w:tcPr>
          <w:p>
            <w:pPr>
              <w:spacing w:before="29" w:line="288" w:lineRule="auto"/>
              <w:jc w:val="right"/>
              <w:rPr>
                <w:kern w:val="0"/>
                <w:sz w:val="24"/>
              </w:rPr>
            </w:pPr>
            <w:r>
              <w:rPr>
                <w:kern w:val="0"/>
                <w:sz w:val="24"/>
              </w:rPr>
              <w:t>8,421,116.87</w:t>
            </w:r>
          </w:p>
        </w:tc>
      </w:tr>
    </w:tbl>
    <w:p>
      <w:pPr>
        <w:tabs>
          <w:tab w:val="left" w:pos="426"/>
        </w:tabs>
        <w:spacing w:before="29" w:line="288" w:lineRule="auto"/>
        <w:jc w:val="left"/>
        <w:rPr>
          <w:kern w:val="0"/>
          <w:sz w:val="24"/>
        </w:rPr>
      </w:pPr>
      <w:r>
        <w:rPr>
          <w:kern w:val="0"/>
          <w:sz w:val="24"/>
        </w:rPr>
        <w:t>注：支付基金管理人的管理人报酬按前一日基金资产净值1.50%的年费率计提，逐日累计至每月月底，按月支付。其计算公式为：</w:t>
      </w:r>
    </w:p>
    <w:p>
      <w:pPr>
        <w:tabs>
          <w:tab w:val="left" w:pos="426"/>
        </w:tabs>
        <w:spacing w:before="29" w:line="288" w:lineRule="auto"/>
        <w:jc w:val="left"/>
        <w:rPr>
          <w:kern w:val="0"/>
          <w:sz w:val="24"/>
        </w:rPr>
      </w:pPr>
      <w:r>
        <w:rPr>
          <w:kern w:val="0"/>
          <w:sz w:val="24"/>
        </w:rPr>
        <w:t>日管理人报酬＝前一日基金资产净值×1.50%/当年天数。</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75" w:name="_Toc67596656"/>
      <w:r>
        <w:rPr>
          <w:rFonts w:ascii="Times New Roman" w:hAnsi="Times New Roman"/>
          <w:kern w:val="0"/>
          <w:szCs w:val="24"/>
        </w:rPr>
        <w:t>7.4.10.2.2</w:t>
      </w:r>
      <w:r>
        <w:rPr>
          <w:rFonts w:hint="eastAsia" w:ascii="Times New Roman" w:hAnsi="Times New Roman"/>
          <w:kern w:val="0"/>
          <w:szCs w:val="24"/>
        </w:rPr>
        <w:t>基金托管费</w:t>
      </w:r>
      <w:bookmarkEnd w:id="175"/>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86"/>
        <w:gridCol w:w="2657"/>
        <w:gridCol w:w="26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pPr>
              <w:autoSpaceDE w:val="0"/>
              <w:autoSpaceDN w:val="0"/>
              <w:spacing w:before="29" w:line="288" w:lineRule="auto"/>
              <w:jc w:val="center"/>
              <w:textAlignment w:val="bottom"/>
              <w:rPr>
                <w:bCs/>
                <w:color w:val="000000"/>
                <w:sz w:val="24"/>
              </w:rPr>
            </w:pPr>
            <w:r>
              <w:rPr>
                <w:rFonts w:hint="eastAsia"/>
                <w:bCs/>
                <w:color w:val="000000"/>
                <w:sz w:val="24"/>
              </w:rPr>
              <w:t>本期</w:t>
            </w:r>
          </w:p>
          <w:p>
            <w:pPr>
              <w:widowControl/>
              <w:autoSpaceDE w:val="0"/>
              <w:autoSpaceDN w:val="0"/>
              <w:spacing w:before="29" w:line="288" w:lineRule="auto"/>
              <w:ind w:right="-15"/>
              <w:jc w:val="center"/>
              <w:textAlignment w:val="bottom"/>
              <w:rPr>
                <w:bCs/>
                <w:color w:val="000000"/>
                <w:sz w:val="24"/>
              </w:rPr>
            </w:pPr>
            <w:r>
              <w:rPr>
                <w:bCs/>
                <w:color w:val="000000"/>
                <w:sz w:val="24"/>
              </w:rPr>
              <w:t>2020年1月1日</w:t>
            </w:r>
            <w:r>
              <w:rPr>
                <w:rFonts w:hint="eastAsia"/>
                <w:bCs/>
                <w:color w:val="000000"/>
                <w:sz w:val="24"/>
              </w:rPr>
              <w:t>至</w:t>
            </w:r>
            <w:r>
              <w:rPr>
                <w:bCs/>
                <w:color w:val="000000"/>
                <w:sz w:val="24"/>
              </w:rPr>
              <w:t>2020年12月31日</w:t>
            </w:r>
          </w:p>
        </w:tc>
        <w:tc>
          <w:tcPr>
            <w:tcW w:w="2657" w:type="dxa"/>
          </w:tcPr>
          <w:p>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pPr>
              <w:widowControl/>
              <w:autoSpaceDE w:val="0"/>
              <w:autoSpaceDN w:val="0"/>
              <w:spacing w:before="29" w:line="288" w:lineRule="auto"/>
              <w:ind w:right="-15"/>
              <w:jc w:val="center"/>
              <w:textAlignment w:val="bottom"/>
              <w:rPr>
                <w:bCs/>
                <w:color w:val="000000"/>
                <w:sz w:val="24"/>
              </w:rPr>
            </w:pPr>
            <w:r>
              <w:rPr>
                <w:bCs/>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widowControl/>
              <w:spacing w:before="29" w:line="288" w:lineRule="auto"/>
              <w:rPr>
                <w:rFonts w:asciiTheme="minorEastAsia" w:hAnsiTheme="minorEastAsia" w:eastAsiaTheme="minorEastAsia"/>
                <w:color w:val="000000"/>
                <w:szCs w:val="21"/>
              </w:rPr>
            </w:pPr>
            <w:r>
              <w:rPr>
                <w:rFonts w:hint="eastAsia"/>
                <w:color w:val="000000"/>
                <w:kern w:val="0"/>
                <w:sz w:val="24"/>
              </w:rPr>
              <w:t>当期发生的基金应支付的托管费</w:t>
            </w:r>
          </w:p>
        </w:tc>
        <w:tc>
          <w:tcPr>
            <w:tcW w:w="2657" w:type="dxa"/>
            <w:vAlign w:val="center"/>
          </w:tcPr>
          <w:p>
            <w:pPr>
              <w:spacing w:before="29" w:line="288" w:lineRule="auto"/>
              <w:jc w:val="right"/>
              <w:rPr>
                <w:kern w:val="0"/>
                <w:sz w:val="24"/>
              </w:rPr>
            </w:pPr>
            <w:r>
              <w:rPr>
                <w:kern w:val="0"/>
                <w:sz w:val="24"/>
              </w:rPr>
              <w:t>22,237,993.99</w:t>
            </w:r>
          </w:p>
        </w:tc>
        <w:tc>
          <w:tcPr>
            <w:tcW w:w="2657" w:type="dxa"/>
            <w:vAlign w:val="center"/>
          </w:tcPr>
          <w:p>
            <w:pPr>
              <w:spacing w:before="29" w:line="288" w:lineRule="auto"/>
              <w:jc w:val="right"/>
              <w:rPr>
                <w:kern w:val="0"/>
                <w:sz w:val="24"/>
              </w:rPr>
            </w:pPr>
            <w:r>
              <w:rPr>
                <w:kern w:val="0"/>
                <w:sz w:val="24"/>
              </w:rPr>
              <w:t>8,972,577.07</w:t>
            </w:r>
          </w:p>
        </w:tc>
      </w:tr>
    </w:tbl>
    <w:p>
      <w:pPr>
        <w:tabs>
          <w:tab w:val="left" w:pos="426"/>
        </w:tabs>
        <w:spacing w:before="29" w:line="288" w:lineRule="auto"/>
        <w:jc w:val="left"/>
        <w:rPr>
          <w:kern w:val="0"/>
          <w:sz w:val="24"/>
        </w:rPr>
      </w:pPr>
      <w:r>
        <w:rPr>
          <w:kern w:val="0"/>
          <w:sz w:val="24"/>
        </w:rPr>
        <w:t>注：支付基金托管人的托管费按前一日基金资产净值0.25%的年费率计提，逐日累计至每月月底，按月支付。其计算公式为：</w:t>
      </w:r>
    </w:p>
    <w:p>
      <w:pPr>
        <w:tabs>
          <w:tab w:val="left" w:pos="426"/>
        </w:tabs>
        <w:spacing w:before="29" w:line="288" w:lineRule="auto"/>
        <w:jc w:val="left"/>
        <w:rPr>
          <w:kern w:val="0"/>
          <w:sz w:val="24"/>
        </w:rPr>
      </w:pPr>
      <w:r>
        <w:rPr>
          <w:kern w:val="0"/>
          <w:sz w:val="24"/>
        </w:rPr>
        <w:t>日托管费＝前一日基金资产净值×0.25%/当年天数。</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76" w:name="_Toc67596657"/>
      <w:r>
        <w:rPr>
          <w:rFonts w:ascii="Times New Roman" w:hAnsi="Times New Roman"/>
          <w:kern w:val="0"/>
          <w:szCs w:val="24"/>
        </w:rPr>
        <w:t>7.4.10.2.3</w:t>
      </w:r>
      <w:r>
        <w:rPr>
          <w:rFonts w:hint="eastAsia" w:ascii="Times New Roman" w:hAnsi="Times New Roman"/>
          <w:kern w:val="0"/>
          <w:szCs w:val="24"/>
        </w:rPr>
        <w:t>销售服务费</w:t>
      </w:r>
      <w:bookmarkEnd w:id="176"/>
    </w:p>
    <w:p>
      <w:pPr>
        <w:tabs>
          <w:tab w:val="left" w:pos="426"/>
        </w:tabs>
        <w:spacing w:before="29" w:line="288" w:lineRule="auto"/>
        <w:jc w:val="left"/>
        <w:rPr>
          <w:kern w:val="0"/>
          <w:sz w:val="24"/>
        </w:rPr>
      </w:pPr>
      <w:r>
        <w:rPr>
          <w:kern w:val="0"/>
          <w:sz w:val="24"/>
        </w:rPr>
        <w:t>无。</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77" w:name="_Toc67596658"/>
      <w:r>
        <w:rPr>
          <w:rFonts w:ascii="Times New Roman" w:hAnsi="Times New Roman"/>
          <w:kern w:val="0"/>
          <w:szCs w:val="24"/>
        </w:rPr>
        <w:t>7.4.10.3</w:t>
      </w:r>
      <w:r>
        <w:rPr>
          <w:rFonts w:hint="eastAsia" w:ascii="Times New Roman" w:hAnsi="Times New Roman"/>
          <w:kern w:val="0"/>
          <w:szCs w:val="24"/>
        </w:rPr>
        <w:t>与关联方进行银行间同业市场的债券</w:t>
      </w:r>
      <w:r>
        <w:rPr>
          <w:rFonts w:ascii="Times New Roman" w:hAnsi="Times New Roman"/>
          <w:kern w:val="0"/>
          <w:szCs w:val="24"/>
        </w:rPr>
        <w:t>(</w:t>
      </w:r>
      <w:r>
        <w:rPr>
          <w:rFonts w:hint="eastAsia" w:ascii="Times New Roman" w:hAnsi="Times New Roman"/>
          <w:kern w:val="0"/>
          <w:szCs w:val="24"/>
        </w:rPr>
        <w:t>含回购</w:t>
      </w:r>
      <w:r>
        <w:rPr>
          <w:rFonts w:ascii="Times New Roman" w:hAnsi="Times New Roman"/>
          <w:kern w:val="0"/>
          <w:szCs w:val="24"/>
        </w:rPr>
        <w:t>)</w:t>
      </w:r>
      <w:r>
        <w:rPr>
          <w:rFonts w:hint="eastAsia" w:ascii="Times New Roman" w:hAnsi="Times New Roman"/>
          <w:kern w:val="0"/>
          <w:szCs w:val="24"/>
        </w:rPr>
        <w:t>交易</w:t>
      </w:r>
      <w:bookmarkEnd w:id="177"/>
    </w:p>
    <w:p>
      <w:pPr>
        <w:tabs>
          <w:tab w:val="left" w:pos="426"/>
        </w:tabs>
        <w:spacing w:before="29" w:line="288" w:lineRule="auto"/>
        <w:jc w:val="left"/>
        <w:rPr>
          <w:kern w:val="0"/>
          <w:sz w:val="24"/>
        </w:rPr>
      </w:pPr>
      <w:r>
        <w:rPr>
          <w:kern w:val="0"/>
          <w:sz w:val="24"/>
        </w:rPr>
        <w:t>本基金本报告期内及上年度可比期间未与关联方进行银行间同业市场的债券(含回购)交易。</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78" w:name="_Toc67596659"/>
      <w:r>
        <w:rPr>
          <w:rFonts w:ascii="Times New Roman" w:hAnsi="Times New Roman"/>
          <w:kern w:val="0"/>
          <w:szCs w:val="24"/>
        </w:rPr>
        <w:t>7.4.10.4</w:t>
      </w:r>
      <w:r>
        <w:rPr>
          <w:rFonts w:hint="eastAsia" w:ascii="Times New Roman" w:hAnsi="Times New Roman"/>
          <w:kern w:val="0"/>
          <w:szCs w:val="24"/>
        </w:rPr>
        <w:t>各关联方投资本基金的情况</w:t>
      </w:r>
      <w:bookmarkEnd w:id="178"/>
    </w:p>
    <w:p>
      <w:pPr>
        <w:pStyle w:val="3"/>
        <w:spacing w:before="29" w:after="0" w:line="288" w:lineRule="auto"/>
        <w:rPr>
          <w:rFonts w:ascii="Times New Roman" w:hAnsi="Times New Roman"/>
          <w:kern w:val="0"/>
          <w:szCs w:val="24"/>
        </w:rPr>
      </w:pPr>
      <w:bookmarkStart w:id="179" w:name="_Toc67596660"/>
      <w:r>
        <w:rPr>
          <w:rFonts w:ascii="Times New Roman" w:hAnsi="Times New Roman"/>
          <w:kern w:val="0"/>
          <w:szCs w:val="24"/>
        </w:rPr>
        <w:t>7.4.10.4.1</w:t>
      </w:r>
      <w:r>
        <w:rPr>
          <w:rFonts w:hint="eastAsia" w:ascii="Times New Roman" w:hAnsi="Times New Roman"/>
          <w:kern w:val="0"/>
          <w:szCs w:val="24"/>
        </w:rPr>
        <w:t>报告期内基金管理人运用固有资金投资本基金的情况</w:t>
      </w:r>
      <w:bookmarkEnd w:id="179"/>
    </w:p>
    <w:p>
      <w:pPr>
        <w:tabs>
          <w:tab w:val="left" w:pos="426"/>
        </w:tabs>
        <w:spacing w:before="29" w:line="288" w:lineRule="auto"/>
        <w:jc w:val="left"/>
        <w:rPr>
          <w:kern w:val="0"/>
          <w:sz w:val="24"/>
        </w:rPr>
      </w:pPr>
      <w:r>
        <w:rPr>
          <w:kern w:val="0"/>
          <w:sz w:val="24"/>
        </w:rPr>
        <w:t>本报告期内及上年度可比期间未发生基金管理人运用固有资金投资本基金的情况。</w:t>
      </w:r>
    </w:p>
    <w:p>
      <w:pPr>
        <w:adjustRightInd w:val="0"/>
        <w:snapToGrid w:val="0"/>
        <w:spacing w:line="360" w:lineRule="auto"/>
        <w:jc w:val="left"/>
        <w:rPr>
          <w:rFonts w:asciiTheme="minorEastAsia" w:hAnsiTheme="minorEastAsia" w:eastAsiaTheme="minorEastAsia"/>
          <w:bCs/>
          <w:color w:val="000000"/>
          <w:szCs w:val="21"/>
        </w:rPr>
      </w:pPr>
      <w:r>
        <w:rPr>
          <w:rFonts w:asciiTheme="minorEastAsia" w:hAnsiTheme="minorEastAsia" w:eastAsiaTheme="minorEastAsia"/>
          <w:bCs/>
          <w:color w:val="000000"/>
          <w:szCs w:val="21"/>
        </w:rPr>
        <w:tab/>
      </w:r>
    </w:p>
    <w:p>
      <w:pPr>
        <w:pStyle w:val="3"/>
        <w:spacing w:before="29" w:after="0" w:line="288" w:lineRule="auto"/>
        <w:rPr>
          <w:rFonts w:ascii="Times New Roman" w:hAnsi="Times New Roman"/>
          <w:kern w:val="0"/>
          <w:szCs w:val="24"/>
        </w:rPr>
      </w:pPr>
      <w:bookmarkStart w:id="180" w:name="_Toc67596661"/>
      <w:r>
        <w:rPr>
          <w:rFonts w:ascii="Times New Roman" w:hAnsi="Times New Roman"/>
          <w:kern w:val="0"/>
          <w:szCs w:val="24"/>
        </w:rPr>
        <w:t>7.4.10.4.2</w:t>
      </w:r>
      <w:r>
        <w:rPr>
          <w:rFonts w:hint="eastAsia" w:ascii="Times New Roman" w:hAnsi="Times New Roman"/>
          <w:kern w:val="0"/>
          <w:szCs w:val="24"/>
        </w:rPr>
        <w:t>报告期末除基金管理人之外的其他关联方投资本基金的情况</w:t>
      </w:r>
      <w:bookmarkEnd w:id="180"/>
    </w:p>
    <w:p>
      <w:pPr>
        <w:tabs>
          <w:tab w:val="left" w:pos="426"/>
        </w:tabs>
        <w:spacing w:before="29" w:line="288" w:lineRule="auto"/>
        <w:jc w:val="left"/>
        <w:rPr>
          <w:rFonts w:asciiTheme="minorEastAsia" w:hAnsiTheme="minorEastAsia" w:eastAsiaTheme="minorEastAsia"/>
          <w:color w:val="000000"/>
          <w:kern w:val="0"/>
          <w:szCs w:val="21"/>
        </w:rPr>
      </w:pPr>
      <w:r>
        <w:rPr>
          <w:kern w:val="0"/>
          <w:sz w:val="24"/>
        </w:rPr>
        <w:t>本报告期末及上年度末除基金管理人之外的其他关联方未持有本基金。</w:t>
      </w:r>
      <w:r>
        <w:rPr>
          <w:rFonts w:hint="eastAsia"/>
          <w:kern w:val="0"/>
          <w:sz w:val="24"/>
        </w:rPr>
        <w:br w:type="textWrapping"/>
      </w:r>
    </w:p>
    <w:p>
      <w:pPr>
        <w:pStyle w:val="3"/>
        <w:spacing w:before="29" w:after="0" w:line="288" w:lineRule="auto"/>
        <w:rPr>
          <w:rFonts w:ascii="Times New Roman" w:hAnsi="Times New Roman"/>
          <w:kern w:val="0"/>
          <w:szCs w:val="24"/>
        </w:rPr>
      </w:pPr>
      <w:bookmarkStart w:id="181" w:name="_Toc67596662"/>
      <w:r>
        <w:rPr>
          <w:rFonts w:ascii="Times New Roman" w:hAnsi="Times New Roman"/>
          <w:kern w:val="0"/>
          <w:szCs w:val="24"/>
        </w:rPr>
        <w:t>7.4.10.5</w:t>
      </w:r>
      <w:r>
        <w:rPr>
          <w:rFonts w:hint="eastAsia" w:ascii="Times New Roman" w:hAnsi="Times New Roman"/>
          <w:kern w:val="0"/>
          <w:szCs w:val="24"/>
        </w:rPr>
        <w:t>由关联方保管的银行存款余额及当期产生的利息收入</w:t>
      </w:r>
      <w:bookmarkEnd w:id="181"/>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8"/>
        <w:gridCol w:w="1683"/>
        <w:gridCol w:w="1683"/>
        <w:gridCol w:w="1683"/>
        <w:gridCol w:w="16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8" w:type="dxa"/>
            <w:vMerge w:val="restart"/>
            <w:vAlign w:val="center"/>
          </w:tcPr>
          <w:p>
            <w:pPr>
              <w:spacing w:before="29" w:line="288" w:lineRule="auto"/>
              <w:jc w:val="center"/>
              <w:rPr>
                <w:color w:val="000000"/>
                <w:szCs w:val="21"/>
              </w:rPr>
            </w:pPr>
            <w:r>
              <w:rPr>
                <w:rFonts w:hint="eastAsia"/>
                <w:color w:val="000000"/>
                <w:szCs w:val="21"/>
              </w:rPr>
              <w:t>关联方名称</w:t>
            </w:r>
          </w:p>
        </w:tc>
        <w:tc>
          <w:tcPr>
            <w:tcW w:w="3366" w:type="dxa"/>
            <w:gridSpan w:val="2"/>
          </w:tcPr>
          <w:p>
            <w:pPr>
              <w:spacing w:before="29" w:line="288" w:lineRule="auto"/>
              <w:jc w:val="center"/>
              <w:rPr>
                <w:color w:val="000000"/>
                <w:szCs w:val="21"/>
              </w:rPr>
            </w:pPr>
            <w:r>
              <w:rPr>
                <w:rFonts w:hint="eastAsia"/>
                <w:color w:val="000000"/>
                <w:szCs w:val="21"/>
              </w:rPr>
              <w:t>本期</w:t>
            </w:r>
          </w:p>
          <w:p>
            <w:pPr>
              <w:widowControl/>
              <w:autoSpaceDE w:val="0"/>
              <w:autoSpaceDN w:val="0"/>
              <w:spacing w:before="29" w:line="288" w:lineRule="auto"/>
              <w:ind w:right="-15"/>
              <w:jc w:val="center"/>
              <w:textAlignment w:val="bottom"/>
              <w:rPr>
                <w:color w:val="000000"/>
                <w:szCs w:val="21"/>
              </w:rPr>
            </w:pPr>
            <w:r>
              <w:rPr>
                <w:color w:val="000000"/>
                <w:szCs w:val="21"/>
              </w:rPr>
              <w:t>2020年1月1日</w:t>
            </w:r>
            <w:r>
              <w:rPr>
                <w:rFonts w:hint="eastAsia"/>
                <w:color w:val="000000"/>
                <w:szCs w:val="21"/>
              </w:rPr>
              <w:t>至</w:t>
            </w:r>
            <w:r>
              <w:rPr>
                <w:color w:val="000000"/>
                <w:szCs w:val="21"/>
              </w:rPr>
              <w:t>2020年12月31日</w:t>
            </w:r>
          </w:p>
        </w:tc>
        <w:tc>
          <w:tcPr>
            <w:tcW w:w="3366" w:type="dxa"/>
            <w:gridSpan w:val="2"/>
          </w:tcPr>
          <w:p>
            <w:pPr>
              <w:spacing w:before="29" w:line="288" w:lineRule="auto"/>
              <w:jc w:val="center"/>
              <w:rPr>
                <w:color w:val="000000"/>
                <w:szCs w:val="21"/>
              </w:rPr>
            </w:pPr>
            <w:r>
              <w:rPr>
                <w:rFonts w:hint="eastAsia"/>
                <w:color w:val="000000"/>
                <w:szCs w:val="21"/>
              </w:rPr>
              <w:t>上年度可比期间</w:t>
            </w:r>
          </w:p>
          <w:p>
            <w:pPr>
              <w:widowControl/>
              <w:autoSpaceDE w:val="0"/>
              <w:autoSpaceDN w:val="0"/>
              <w:spacing w:before="29" w:line="288" w:lineRule="auto"/>
              <w:ind w:right="-15"/>
              <w:jc w:val="center"/>
              <w:textAlignment w:val="bottom"/>
              <w:rPr>
                <w:color w:val="000000"/>
                <w:szCs w:val="21"/>
              </w:rPr>
            </w:pPr>
            <w:r>
              <w:rPr>
                <w:color w:val="000000"/>
                <w:szCs w:val="21"/>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8" w:type="dxa"/>
            <w:vMerge w:val="continue"/>
            <w:vAlign w:val="center"/>
          </w:tcPr>
          <w:p>
            <w:pPr>
              <w:spacing w:before="29" w:line="288" w:lineRule="auto"/>
              <w:jc w:val="center"/>
              <w:rPr>
                <w:color w:val="000000"/>
                <w:szCs w:val="21"/>
              </w:rPr>
            </w:pPr>
          </w:p>
        </w:tc>
        <w:tc>
          <w:tcPr>
            <w:tcW w:w="1683" w:type="dxa"/>
            <w:vAlign w:val="center"/>
          </w:tcPr>
          <w:p>
            <w:pPr>
              <w:spacing w:before="29" w:line="288" w:lineRule="auto"/>
              <w:jc w:val="center"/>
              <w:rPr>
                <w:color w:val="000000"/>
                <w:szCs w:val="21"/>
              </w:rPr>
            </w:pPr>
            <w:r>
              <w:rPr>
                <w:rFonts w:hint="eastAsia"/>
                <w:color w:val="000000"/>
                <w:szCs w:val="21"/>
              </w:rPr>
              <w:t>期末余额</w:t>
            </w:r>
          </w:p>
        </w:tc>
        <w:tc>
          <w:tcPr>
            <w:tcW w:w="1683" w:type="dxa"/>
            <w:vAlign w:val="center"/>
          </w:tcPr>
          <w:p>
            <w:pPr>
              <w:spacing w:before="29" w:line="288" w:lineRule="auto"/>
              <w:jc w:val="center"/>
              <w:rPr>
                <w:color w:val="000000"/>
                <w:szCs w:val="21"/>
              </w:rPr>
            </w:pPr>
            <w:r>
              <w:rPr>
                <w:rFonts w:hint="eastAsia"/>
                <w:color w:val="000000"/>
                <w:szCs w:val="21"/>
              </w:rPr>
              <w:t>当期利息收入</w:t>
            </w:r>
          </w:p>
        </w:tc>
        <w:tc>
          <w:tcPr>
            <w:tcW w:w="1683" w:type="dxa"/>
            <w:vAlign w:val="center"/>
          </w:tcPr>
          <w:p>
            <w:pPr>
              <w:spacing w:before="29" w:line="288" w:lineRule="auto"/>
              <w:jc w:val="center"/>
              <w:rPr>
                <w:color w:val="000000"/>
                <w:szCs w:val="21"/>
              </w:rPr>
            </w:pPr>
            <w:r>
              <w:rPr>
                <w:rFonts w:hint="eastAsia"/>
                <w:color w:val="000000"/>
                <w:szCs w:val="21"/>
              </w:rPr>
              <w:t>期末余额</w:t>
            </w:r>
          </w:p>
        </w:tc>
        <w:tc>
          <w:tcPr>
            <w:tcW w:w="1683" w:type="dxa"/>
            <w:vAlign w:val="center"/>
          </w:tcPr>
          <w:p>
            <w:pPr>
              <w:spacing w:before="29" w:line="288" w:lineRule="auto"/>
              <w:jc w:val="center"/>
              <w:rPr>
                <w:color w:val="000000"/>
                <w:szCs w:val="21"/>
              </w:rPr>
            </w:pPr>
            <w:r>
              <w:rPr>
                <w:rFonts w:hint="eastAsia"/>
                <w:color w:val="000000"/>
                <w:szCs w:val="21"/>
              </w:rPr>
              <w:t>当期利息收入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8" w:type="dxa"/>
            <w:vAlign w:val="center"/>
          </w:tcPr>
          <w:p>
            <w:pPr>
              <w:jc w:val="left"/>
            </w:pPr>
            <w:r>
              <w:rPr>
                <w:szCs w:val="21"/>
              </w:rPr>
              <w:t>招商银行股份有限公司</w:t>
            </w:r>
          </w:p>
        </w:tc>
        <w:tc>
          <w:tcPr>
            <w:tcW w:w="1683" w:type="dxa"/>
            <w:vAlign w:val="center"/>
          </w:tcPr>
          <w:p>
            <w:pPr>
              <w:jc w:val="right"/>
            </w:pPr>
            <w:r>
              <w:rPr>
                <w:szCs w:val="21"/>
              </w:rPr>
              <w:t>642,157,002.53</w:t>
            </w:r>
          </w:p>
        </w:tc>
        <w:tc>
          <w:tcPr>
            <w:tcW w:w="1683" w:type="dxa"/>
            <w:vAlign w:val="center"/>
          </w:tcPr>
          <w:p>
            <w:pPr>
              <w:jc w:val="right"/>
            </w:pPr>
            <w:r>
              <w:rPr>
                <w:szCs w:val="21"/>
              </w:rPr>
              <w:t>4,221,377.73</w:t>
            </w:r>
          </w:p>
        </w:tc>
        <w:tc>
          <w:tcPr>
            <w:tcW w:w="1683" w:type="dxa"/>
            <w:vAlign w:val="center"/>
          </w:tcPr>
          <w:p>
            <w:pPr>
              <w:jc w:val="right"/>
            </w:pPr>
            <w:r>
              <w:rPr>
                <w:szCs w:val="21"/>
              </w:rPr>
              <w:t>345,833,039.81</w:t>
            </w:r>
          </w:p>
        </w:tc>
        <w:tc>
          <w:tcPr>
            <w:tcW w:w="1683" w:type="dxa"/>
            <w:vAlign w:val="center"/>
          </w:tcPr>
          <w:p>
            <w:pPr>
              <w:jc w:val="right"/>
            </w:pPr>
            <w:r>
              <w:rPr>
                <w:szCs w:val="21"/>
              </w:rPr>
              <w:t>3,887,452.83</w:t>
            </w:r>
          </w:p>
        </w:tc>
      </w:tr>
    </w:tbl>
    <w:p>
      <w:pPr>
        <w:tabs>
          <w:tab w:val="left" w:pos="426"/>
        </w:tabs>
        <w:spacing w:before="29" w:line="288" w:lineRule="auto"/>
        <w:jc w:val="left"/>
        <w:rPr>
          <w:kern w:val="0"/>
          <w:sz w:val="24"/>
        </w:rPr>
      </w:pPr>
      <w:r>
        <w:rPr>
          <w:kern w:val="0"/>
          <w:sz w:val="24"/>
        </w:rPr>
        <w:t>注：本基金的银行存款由基金托管人保管，按银行同业利率计息。</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82" w:name="_Toc67596663"/>
      <w:r>
        <w:rPr>
          <w:rFonts w:ascii="Times New Roman" w:hAnsi="Times New Roman"/>
          <w:kern w:val="0"/>
          <w:szCs w:val="24"/>
        </w:rPr>
        <w:t>7.4.10.6</w:t>
      </w:r>
      <w:r>
        <w:rPr>
          <w:rFonts w:hint="eastAsia" w:ascii="Times New Roman" w:hAnsi="Times New Roman"/>
          <w:kern w:val="0"/>
          <w:szCs w:val="24"/>
        </w:rPr>
        <w:t>本基金在承销期内参与关联方承销证券的情况</w:t>
      </w:r>
      <w:bookmarkEnd w:id="182"/>
    </w:p>
    <w:p>
      <w:pPr>
        <w:tabs>
          <w:tab w:val="left" w:pos="426"/>
        </w:tabs>
        <w:spacing w:before="29" w:line="288" w:lineRule="auto"/>
        <w:jc w:val="left"/>
        <w:rPr>
          <w:kern w:val="0"/>
          <w:sz w:val="24"/>
        </w:rPr>
      </w:pPr>
      <w:r>
        <w:rPr>
          <w:kern w:val="0"/>
          <w:sz w:val="24"/>
        </w:rPr>
        <w:t>本基金本报告期内及上年度可比期间未在承销期内参与关联方承销的证券。</w:t>
      </w:r>
    </w:p>
    <w:p>
      <w:pPr>
        <w:spacing w:line="360" w:lineRule="auto"/>
        <w:rPr>
          <w:rFonts w:asciiTheme="minorEastAsia" w:hAnsiTheme="minorEastAsia" w:eastAsiaTheme="minorEastAsia"/>
          <w:color w:val="000000"/>
          <w:szCs w:val="21"/>
        </w:rPr>
      </w:pPr>
    </w:p>
    <w:p>
      <w:pPr>
        <w:adjustRightInd w:val="0"/>
        <w:snapToGrid w:val="0"/>
        <w:spacing w:before="312" w:beforeLines="100" w:line="360" w:lineRule="auto"/>
        <w:rPr>
          <w:rFonts w:eastAsiaTheme="minorEastAsia"/>
          <w:b/>
          <w:color w:val="000000" w:themeColor="text1"/>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pPr>
        <w:tabs>
          <w:tab w:val="left" w:pos="426"/>
        </w:tabs>
        <w:spacing w:before="29" w:line="288" w:lineRule="auto"/>
        <w:jc w:val="left"/>
        <w:rPr>
          <w:kern w:val="0"/>
          <w:sz w:val="24"/>
        </w:rPr>
      </w:pPr>
      <w:r>
        <w:rPr>
          <w:kern w:val="0"/>
          <w:sz w:val="24"/>
        </w:rPr>
        <w:t>本基金本报告期内及上年度可比期间无其他关联交易事项。</w:t>
      </w:r>
    </w:p>
    <w:p>
      <w:pPr>
        <w:widowControl/>
        <w:spacing w:line="360" w:lineRule="auto"/>
        <w:ind w:firstLine="480" w:firstLineChars="200"/>
        <w:rPr>
          <w:rFonts w:eastAsiaTheme="minorEastAsia"/>
          <w:color w:val="000000" w:themeColor="text1"/>
          <w:kern w:val="0"/>
          <w:sz w:val="24"/>
        </w:rPr>
      </w:pPr>
    </w:p>
    <w:p>
      <w:pPr>
        <w:pStyle w:val="3"/>
        <w:spacing w:before="29" w:after="0" w:line="288" w:lineRule="auto"/>
        <w:rPr>
          <w:rFonts w:ascii="Times New Roman" w:hAnsi="Times New Roman"/>
          <w:kern w:val="0"/>
          <w:szCs w:val="24"/>
        </w:rPr>
      </w:pPr>
      <w:bookmarkStart w:id="183" w:name="_Toc67596664"/>
      <w:r>
        <w:rPr>
          <w:rFonts w:ascii="Times New Roman" w:hAnsi="Times New Roman"/>
          <w:kern w:val="0"/>
          <w:szCs w:val="24"/>
        </w:rPr>
        <w:t>7.4.11</w:t>
      </w:r>
      <w:r>
        <w:rPr>
          <w:rFonts w:hint="eastAsia" w:ascii="Times New Roman" w:hAnsi="Times New Roman"/>
          <w:kern w:val="0"/>
          <w:szCs w:val="24"/>
        </w:rPr>
        <w:t>利润分配情况</w:t>
      </w:r>
      <w:bookmarkEnd w:id="183"/>
    </w:p>
    <w:p>
      <w:pPr>
        <w:tabs>
          <w:tab w:val="left" w:pos="426"/>
        </w:tabs>
        <w:spacing w:before="29" w:line="288" w:lineRule="auto"/>
        <w:jc w:val="left"/>
        <w:rPr>
          <w:rFonts w:asciiTheme="minorEastAsia" w:hAnsiTheme="minorEastAsia" w:eastAsiaTheme="minorEastAsia"/>
          <w:color w:val="000000"/>
          <w:szCs w:val="21"/>
        </w:rPr>
      </w:pPr>
      <w:r>
        <w:rPr>
          <w:kern w:val="0"/>
          <w:sz w:val="24"/>
        </w:rPr>
        <w:t>本基金本报告期内未进行利润分配。</w:t>
      </w:r>
      <w:r>
        <w:rPr>
          <w:rFonts w:hint="eastAsia"/>
          <w:kern w:val="0"/>
          <w:sz w:val="24"/>
        </w:rPr>
        <w:br w:type="textWrapping"/>
      </w:r>
    </w:p>
    <w:p>
      <w:pPr>
        <w:pStyle w:val="3"/>
        <w:spacing w:before="29" w:after="0" w:line="288" w:lineRule="auto"/>
        <w:rPr>
          <w:rFonts w:ascii="Times New Roman" w:hAnsi="Times New Roman"/>
          <w:kern w:val="0"/>
          <w:szCs w:val="24"/>
        </w:rPr>
      </w:pPr>
      <w:bookmarkStart w:id="184" w:name="_Toc67596665"/>
      <w:r>
        <w:rPr>
          <w:rFonts w:ascii="Times New Roman" w:hAnsi="Times New Roman"/>
          <w:kern w:val="0"/>
          <w:szCs w:val="24"/>
        </w:rPr>
        <w:t>7.4.12</w:t>
      </w:r>
      <w:r>
        <w:rPr>
          <w:rFonts w:hint="eastAsia" w:ascii="Times New Roman" w:hAnsi="Times New Roman"/>
          <w:kern w:val="0"/>
          <w:szCs w:val="24"/>
        </w:rPr>
        <w:t>期末（</w:t>
      </w:r>
      <w:r>
        <w:rPr>
          <w:rFonts w:ascii="Times New Roman" w:hAnsi="Times New Roman"/>
          <w:kern w:val="0"/>
          <w:szCs w:val="24"/>
        </w:rPr>
        <w:t>2020年12月31日</w:t>
      </w:r>
      <w:r>
        <w:rPr>
          <w:rFonts w:hint="eastAsia" w:ascii="Times New Roman" w:hAnsi="Times New Roman"/>
          <w:kern w:val="0"/>
          <w:szCs w:val="24"/>
        </w:rPr>
        <w:t>）本基金持有的流通受限证券</w:t>
      </w:r>
      <w:bookmarkEnd w:id="184"/>
    </w:p>
    <w:p>
      <w:pPr>
        <w:pStyle w:val="3"/>
        <w:spacing w:before="29" w:after="0" w:line="288" w:lineRule="auto"/>
        <w:rPr>
          <w:rFonts w:ascii="Times New Roman" w:hAnsi="Times New Roman"/>
          <w:kern w:val="0"/>
          <w:szCs w:val="24"/>
        </w:rPr>
      </w:pPr>
      <w:bookmarkStart w:id="185" w:name="_Toc67596666"/>
      <w:r>
        <w:rPr>
          <w:rFonts w:ascii="Times New Roman" w:hAnsi="Times New Roman"/>
          <w:kern w:val="0"/>
          <w:szCs w:val="24"/>
        </w:rPr>
        <w:t>7.4.12.1</w:t>
      </w:r>
      <w:r>
        <w:rPr>
          <w:rFonts w:hint="eastAsia" w:ascii="Times New Roman" w:hAnsi="Times New Roman"/>
          <w:kern w:val="0"/>
          <w:szCs w:val="24"/>
        </w:rPr>
        <w:t>因认购新发</w:t>
      </w:r>
      <w:r>
        <w:rPr>
          <w:rFonts w:ascii="Times New Roman" w:hAnsi="Times New Roman"/>
          <w:kern w:val="0"/>
          <w:szCs w:val="24"/>
        </w:rPr>
        <w:t>/</w:t>
      </w:r>
      <w:r>
        <w:rPr>
          <w:rFonts w:hint="eastAsia" w:ascii="Times New Roman" w:hAnsi="Times New Roman"/>
          <w:kern w:val="0"/>
          <w:szCs w:val="24"/>
        </w:rPr>
        <w:t>增发证券而于期末持有的流通受限证券</w:t>
      </w:r>
      <w:bookmarkEnd w:id="185"/>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4"/>
        <w:gridCol w:w="835"/>
        <w:gridCol w:w="834"/>
        <w:gridCol w:w="835"/>
        <w:gridCol w:w="834"/>
        <w:gridCol w:w="835"/>
        <w:gridCol w:w="834"/>
        <w:gridCol w:w="835"/>
        <w:gridCol w:w="834"/>
        <w:gridCol w:w="835"/>
        <w:gridCol w:w="8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9180" w:type="dxa"/>
            <w:gridSpan w:val="11"/>
            <w:vAlign w:val="bottom"/>
          </w:tcPr>
          <w:p>
            <w:pPr>
              <w:spacing w:line="360" w:lineRule="auto"/>
              <w:rPr>
                <w:rFonts w:asciiTheme="minorEastAsia" w:hAnsiTheme="minorEastAsia" w:eastAsiaTheme="minorEastAsia"/>
                <w:szCs w:val="21"/>
              </w:rPr>
            </w:pPr>
            <w:r>
              <w:rPr>
                <w:b/>
                <w:bCs/>
                <w:color w:val="000000"/>
                <w:kern w:val="0"/>
                <w:sz w:val="24"/>
              </w:rPr>
              <w:t xml:space="preserve">7.4.12.1.1 </w:t>
            </w:r>
            <w:r>
              <w:rPr>
                <w:rFonts w:hint="eastAsia"/>
                <w:color w:val="000000"/>
                <w:sz w:val="24"/>
              </w:rPr>
              <w:t>受限证券类别：股票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trPr>
        <w:tc>
          <w:tcPr>
            <w:tcW w:w="834" w:type="dxa"/>
            <w:vAlign w:val="center"/>
          </w:tcPr>
          <w:p>
            <w:pPr>
              <w:spacing w:before="29" w:line="288" w:lineRule="auto"/>
              <w:ind w:left="-97" w:leftChars="-46" w:right="-120" w:rightChars="-57"/>
              <w:jc w:val="center"/>
              <w:rPr>
                <w:sz w:val="24"/>
              </w:rPr>
            </w:pPr>
            <w:r>
              <w:rPr>
                <w:rFonts w:hint="eastAsia"/>
                <w:sz w:val="24"/>
              </w:rPr>
              <w:t>证券</w:t>
            </w:r>
          </w:p>
          <w:p>
            <w:pPr>
              <w:spacing w:before="29" w:line="288" w:lineRule="auto"/>
              <w:ind w:left="-97" w:leftChars="-46" w:right="-120" w:rightChars="-57"/>
              <w:jc w:val="center"/>
              <w:rPr>
                <w:sz w:val="24"/>
              </w:rPr>
            </w:pPr>
            <w:r>
              <w:rPr>
                <w:rFonts w:hint="eastAsia"/>
                <w:sz w:val="24"/>
              </w:rPr>
              <w:t>代码</w:t>
            </w:r>
          </w:p>
        </w:tc>
        <w:tc>
          <w:tcPr>
            <w:tcW w:w="835" w:type="dxa"/>
            <w:vAlign w:val="center"/>
          </w:tcPr>
          <w:p>
            <w:pPr>
              <w:spacing w:before="29" w:line="288" w:lineRule="auto"/>
              <w:ind w:left="-105" w:leftChars="-50" w:right="-113" w:rightChars="-54"/>
              <w:jc w:val="center"/>
              <w:rPr>
                <w:sz w:val="24"/>
              </w:rPr>
            </w:pPr>
            <w:r>
              <w:rPr>
                <w:rFonts w:hint="eastAsia"/>
                <w:sz w:val="24"/>
              </w:rPr>
              <w:t>证券</w:t>
            </w:r>
          </w:p>
          <w:p>
            <w:pPr>
              <w:spacing w:before="29" w:line="288" w:lineRule="auto"/>
              <w:ind w:left="-105" w:leftChars="-50" w:right="-113" w:rightChars="-54"/>
              <w:jc w:val="center"/>
              <w:rPr>
                <w:sz w:val="24"/>
              </w:rPr>
            </w:pPr>
            <w:r>
              <w:rPr>
                <w:rFonts w:hint="eastAsia"/>
                <w:sz w:val="24"/>
              </w:rPr>
              <w:t>名称</w:t>
            </w:r>
          </w:p>
        </w:tc>
        <w:tc>
          <w:tcPr>
            <w:tcW w:w="834" w:type="dxa"/>
            <w:vAlign w:val="center"/>
          </w:tcPr>
          <w:p>
            <w:pPr>
              <w:spacing w:before="29" w:line="288" w:lineRule="auto"/>
              <w:jc w:val="center"/>
              <w:rPr>
                <w:sz w:val="24"/>
              </w:rPr>
            </w:pPr>
            <w:r>
              <w:rPr>
                <w:rFonts w:hint="eastAsia"/>
                <w:sz w:val="24"/>
              </w:rPr>
              <w:t>成功</w:t>
            </w:r>
          </w:p>
          <w:p>
            <w:pPr>
              <w:spacing w:before="29" w:line="288" w:lineRule="auto"/>
              <w:ind w:left="-67" w:leftChars="-32" w:right="-139" w:rightChars="-66"/>
              <w:jc w:val="center"/>
              <w:rPr>
                <w:sz w:val="24"/>
              </w:rPr>
            </w:pPr>
            <w:r>
              <w:rPr>
                <w:rFonts w:hint="eastAsia"/>
                <w:sz w:val="24"/>
              </w:rPr>
              <w:t>认购日</w:t>
            </w:r>
          </w:p>
        </w:tc>
        <w:tc>
          <w:tcPr>
            <w:tcW w:w="835" w:type="dxa"/>
            <w:vAlign w:val="center"/>
          </w:tcPr>
          <w:p>
            <w:pPr>
              <w:spacing w:before="29" w:line="288" w:lineRule="auto"/>
              <w:jc w:val="center"/>
              <w:rPr>
                <w:sz w:val="24"/>
              </w:rPr>
            </w:pPr>
            <w:r>
              <w:rPr>
                <w:rFonts w:hint="eastAsia"/>
                <w:sz w:val="24"/>
              </w:rPr>
              <w:t>可流</w:t>
            </w:r>
          </w:p>
          <w:p>
            <w:pPr>
              <w:spacing w:before="29" w:line="288" w:lineRule="auto"/>
              <w:jc w:val="center"/>
              <w:rPr>
                <w:sz w:val="24"/>
              </w:rPr>
            </w:pPr>
            <w:r>
              <w:rPr>
                <w:rFonts w:hint="eastAsia"/>
                <w:sz w:val="24"/>
              </w:rPr>
              <w:t>通日</w:t>
            </w:r>
          </w:p>
        </w:tc>
        <w:tc>
          <w:tcPr>
            <w:tcW w:w="834" w:type="dxa"/>
            <w:vAlign w:val="center"/>
          </w:tcPr>
          <w:p>
            <w:pPr>
              <w:spacing w:before="29" w:line="288" w:lineRule="auto"/>
              <w:jc w:val="center"/>
              <w:rPr>
                <w:sz w:val="24"/>
              </w:rPr>
            </w:pPr>
            <w:r>
              <w:rPr>
                <w:rFonts w:hint="eastAsia"/>
                <w:sz w:val="24"/>
              </w:rPr>
              <w:t>流通受</w:t>
            </w:r>
          </w:p>
          <w:p>
            <w:pPr>
              <w:spacing w:before="29" w:line="288" w:lineRule="auto"/>
              <w:jc w:val="center"/>
              <w:rPr>
                <w:sz w:val="24"/>
              </w:rPr>
            </w:pPr>
            <w:r>
              <w:rPr>
                <w:rFonts w:hint="eastAsia"/>
                <w:sz w:val="24"/>
              </w:rPr>
              <w:t>限类型</w:t>
            </w:r>
          </w:p>
        </w:tc>
        <w:tc>
          <w:tcPr>
            <w:tcW w:w="835" w:type="dxa"/>
            <w:vAlign w:val="center"/>
          </w:tcPr>
          <w:p>
            <w:pPr>
              <w:spacing w:before="29" w:line="288" w:lineRule="auto"/>
              <w:jc w:val="center"/>
              <w:rPr>
                <w:sz w:val="24"/>
              </w:rPr>
            </w:pPr>
            <w:r>
              <w:rPr>
                <w:rFonts w:hint="eastAsia"/>
                <w:sz w:val="24"/>
              </w:rPr>
              <w:t>认购</w:t>
            </w:r>
          </w:p>
          <w:p>
            <w:pPr>
              <w:spacing w:before="29" w:line="288" w:lineRule="auto"/>
              <w:jc w:val="center"/>
              <w:rPr>
                <w:sz w:val="24"/>
              </w:rPr>
            </w:pPr>
            <w:r>
              <w:rPr>
                <w:rFonts w:hint="eastAsia"/>
                <w:sz w:val="24"/>
              </w:rPr>
              <w:t>价格</w:t>
            </w:r>
          </w:p>
        </w:tc>
        <w:tc>
          <w:tcPr>
            <w:tcW w:w="834" w:type="dxa"/>
            <w:vAlign w:val="center"/>
          </w:tcPr>
          <w:p>
            <w:pPr>
              <w:spacing w:before="29" w:line="288" w:lineRule="auto"/>
              <w:ind w:left="-69" w:leftChars="-33" w:right="-97" w:rightChars="-46"/>
              <w:jc w:val="center"/>
              <w:rPr>
                <w:sz w:val="24"/>
              </w:rPr>
            </w:pPr>
            <w:r>
              <w:rPr>
                <w:rFonts w:hint="eastAsia"/>
                <w:sz w:val="24"/>
              </w:rPr>
              <w:t>期末估</w:t>
            </w:r>
          </w:p>
          <w:p>
            <w:pPr>
              <w:spacing w:before="29" w:line="288" w:lineRule="auto"/>
              <w:ind w:left="-69" w:leftChars="-33" w:right="-97" w:rightChars="-46"/>
              <w:jc w:val="center"/>
              <w:rPr>
                <w:sz w:val="24"/>
              </w:rPr>
            </w:pPr>
            <w:r>
              <w:rPr>
                <w:rFonts w:hint="eastAsia"/>
                <w:sz w:val="24"/>
              </w:rPr>
              <w:t>值单价</w:t>
            </w:r>
          </w:p>
        </w:tc>
        <w:tc>
          <w:tcPr>
            <w:tcW w:w="835" w:type="dxa"/>
            <w:vAlign w:val="center"/>
          </w:tcPr>
          <w:p>
            <w:pPr>
              <w:spacing w:before="29" w:line="288" w:lineRule="auto"/>
              <w:ind w:left="-162" w:leftChars="-77" w:right="-105" w:rightChars="-50"/>
              <w:jc w:val="center"/>
              <w:rPr>
                <w:sz w:val="24"/>
              </w:rPr>
            </w:pPr>
            <w:r>
              <w:rPr>
                <w:rFonts w:hint="eastAsia"/>
                <w:sz w:val="24"/>
              </w:rPr>
              <w:t>数量</w:t>
            </w:r>
            <w:r>
              <w:rPr>
                <w:sz w:val="24"/>
              </w:rPr>
              <w:t>(</w:t>
            </w:r>
            <w:r>
              <w:rPr>
                <w:rFonts w:hint="eastAsia"/>
                <w:sz w:val="24"/>
              </w:rPr>
              <w:t>单位：股</w:t>
            </w:r>
            <w:r>
              <w:rPr>
                <w:sz w:val="24"/>
              </w:rPr>
              <w:t>)</w:t>
            </w:r>
          </w:p>
        </w:tc>
        <w:tc>
          <w:tcPr>
            <w:tcW w:w="834" w:type="dxa"/>
            <w:vAlign w:val="center"/>
          </w:tcPr>
          <w:p>
            <w:pPr>
              <w:spacing w:before="29" w:line="288" w:lineRule="auto"/>
              <w:jc w:val="center"/>
              <w:rPr>
                <w:sz w:val="24"/>
              </w:rPr>
            </w:pPr>
            <w:r>
              <w:rPr>
                <w:rFonts w:hint="eastAsia"/>
                <w:sz w:val="24"/>
              </w:rPr>
              <w:t>期末</w:t>
            </w:r>
          </w:p>
          <w:p>
            <w:pPr>
              <w:spacing w:before="29" w:line="288" w:lineRule="auto"/>
              <w:jc w:val="center"/>
              <w:rPr>
                <w:sz w:val="24"/>
              </w:rPr>
            </w:pPr>
            <w:r>
              <w:rPr>
                <w:rFonts w:hint="eastAsia"/>
                <w:sz w:val="24"/>
              </w:rPr>
              <w:t>成本总额</w:t>
            </w:r>
          </w:p>
        </w:tc>
        <w:tc>
          <w:tcPr>
            <w:tcW w:w="835" w:type="dxa"/>
            <w:vAlign w:val="center"/>
          </w:tcPr>
          <w:p>
            <w:pPr>
              <w:spacing w:before="29" w:line="288" w:lineRule="auto"/>
              <w:jc w:val="center"/>
              <w:rPr>
                <w:sz w:val="24"/>
              </w:rPr>
            </w:pPr>
            <w:r>
              <w:rPr>
                <w:rFonts w:hint="eastAsia"/>
                <w:sz w:val="24"/>
              </w:rPr>
              <w:t>期末</w:t>
            </w:r>
          </w:p>
          <w:p>
            <w:pPr>
              <w:spacing w:before="29" w:line="288" w:lineRule="auto"/>
              <w:jc w:val="center"/>
              <w:rPr>
                <w:sz w:val="24"/>
              </w:rPr>
            </w:pPr>
            <w:r>
              <w:rPr>
                <w:rFonts w:hint="eastAsia"/>
                <w:sz w:val="24"/>
              </w:rPr>
              <w:t>估值总额</w:t>
            </w:r>
          </w:p>
        </w:tc>
        <w:tc>
          <w:tcPr>
            <w:tcW w:w="835" w:type="dxa"/>
            <w:vAlign w:val="center"/>
          </w:tcPr>
          <w:p>
            <w:pPr>
              <w:spacing w:before="29" w:line="288" w:lineRule="auto"/>
              <w:ind w:left="-101" w:leftChars="-48" w:right="-113" w:rightChars="-54"/>
              <w:jc w:val="center"/>
              <w:rPr>
                <w:sz w:val="24"/>
              </w:rPr>
            </w:pPr>
            <w:r>
              <w:rPr>
                <w:rFonts w:hint="eastAsia"/>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rFonts w:hint="eastAsia"/>
                <w:sz w:val="24"/>
              </w:rPr>
              <w:t>00</w:t>
            </w:r>
            <w:r>
              <w:rPr>
                <w:sz w:val="24"/>
              </w:rPr>
              <w:t>2352</w:t>
            </w:r>
          </w:p>
        </w:tc>
        <w:tc>
          <w:tcPr>
            <w:tcW w:w="835" w:type="dxa"/>
            <w:vAlign w:val="center"/>
          </w:tcPr>
          <w:p>
            <w:pPr>
              <w:jc w:val="center"/>
            </w:pPr>
            <w:r>
              <w:rPr>
                <w:sz w:val="24"/>
              </w:rPr>
              <w:t>顺丰控股</w:t>
            </w:r>
          </w:p>
        </w:tc>
        <w:tc>
          <w:tcPr>
            <w:tcW w:w="834" w:type="dxa"/>
            <w:vAlign w:val="center"/>
          </w:tcPr>
          <w:p>
            <w:pPr>
              <w:jc w:val="center"/>
            </w:pPr>
            <w:r>
              <w:rPr>
                <w:sz w:val="24"/>
              </w:rPr>
              <w:t>2020-07-17</w:t>
            </w:r>
          </w:p>
        </w:tc>
        <w:tc>
          <w:tcPr>
            <w:tcW w:w="835" w:type="dxa"/>
            <w:vAlign w:val="center"/>
          </w:tcPr>
          <w:p>
            <w:pPr>
              <w:jc w:val="center"/>
            </w:pPr>
            <w:r>
              <w:rPr>
                <w:sz w:val="24"/>
              </w:rPr>
              <w:t>2021-01-18</w:t>
            </w:r>
          </w:p>
        </w:tc>
        <w:tc>
          <w:tcPr>
            <w:tcW w:w="834" w:type="dxa"/>
            <w:vAlign w:val="center"/>
          </w:tcPr>
          <w:p>
            <w:pPr>
              <w:jc w:val="center"/>
            </w:pPr>
            <w:r>
              <w:rPr>
                <w:sz w:val="24"/>
              </w:rPr>
              <w:t>限售股</w:t>
            </w:r>
          </w:p>
        </w:tc>
        <w:tc>
          <w:tcPr>
            <w:tcW w:w="835" w:type="dxa"/>
            <w:vAlign w:val="center"/>
          </w:tcPr>
          <w:p>
            <w:pPr>
              <w:jc w:val="right"/>
            </w:pPr>
            <w:r>
              <w:rPr>
                <w:sz w:val="24"/>
              </w:rPr>
              <w:t>60.00</w:t>
            </w:r>
          </w:p>
        </w:tc>
        <w:tc>
          <w:tcPr>
            <w:tcW w:w="834" w:type="dxa"/>
            <w:vAlign w:val="center"/>
          </w:tcPr>
          <w:p>
            <w:pPr>
              <w:jc w:val="right"/>
            </w:pPr>
            <w:r>
              <w:rPr>
                <w:sz w:val="24"/>
              </w:rPr>
              <w:t>86.91</w:t>
            </w:r>
          </w:p>
        </w:tc>
        <w:tc>
          <w:tcPr>
            <w:tcW w:w="835" w:type="dxa"/>
            <w:vAlign w:val="center"/>
          </w:tcPr>
          <w:p>
            <w:pPr>
              <w:jc w:val="right"/>
            </w:pPr>
            <w:r>
              <w:rPr>
                <w:sz w:val="24"/>
              </w:rPr>
              <w:t>2,670,000</w:t>
            </w:r>
          </w:p>
        </w:tc>
        <w:tc>
          <w:tcPr>
            <w:tcW w:w="834" w:type="dxa"/>
            <w:vAlign w:val="center"/>
          </w:tcPr>
          <w:p>
            <w:pPr>
              <w:jc w:val="right"/>
            </w:pPr>
            <w:r>
              <w:rPr>
                <w:sz w:val="24"/>
              </w:rPr>
              <w:t>160,200,000.00</w:t>
            </w:r>
          </w:p>
        </w:tc>
        <w:tc>
          <w:tcPr>
            <w:tcW w:w="835" w:type="dxa"/>
            <w:vAlign w:val="center"/>
          </w:tcPr>
          <w:p>
            <w:pPr>
              <w:jc w:val="right"/>
            </w:pPr>
            <w:r>
              <w:rPr>
                <w:sz w:val="24"/>
              </w:rPr>
              <w:t>232,049,700.00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rFonts w:hint="eastAsia"/>
                <w:sz w:val="24"/>
              </w:rPr>
              <w:t>00</w:t>
            </w:r>
            <w:r>
              <w:rPr>
                <w:sz w:val="24"/>
              </w:rPr>
              <w:t>2459</w:t>
            </w:r>
          </w:p>
        </w:tc>
        <w:tc>
          <w:tcPr>
            <w:tcW w:w="835" w:type="dxa"/>
            <w:vAlign w:val="center"/>
          </w:tcPr>
          <w:p>
            <w:pPr>
              <w:jc w:val="center"/>
            </w:pPr>
            <w:r>
              <w:rPr>
                <w:sz w:val="24"/>
              </w:rPr>
              <w:t>晶澳科技</w:t>
            </w:r>
          </w:p>
        </w:tc>
        <w:tc>
          <w:tcPr>
            <w:tcW w:w="834" w:type="dxa"/>
            <w:vAlign w:val="center"/>
          </w:tcPr>
          <w:p>
            <w:pPr>
              <w:jc w:val="center"/>
            </w:pPr>
            <w:r>
              <w:rPr>
                <w:sz w:val="24"/>
              </w:rPr>
              <w:t>2020-10-30</w:t>
            </w:r>
          </w:p>
        </w:tc>
        <w:tc>
          <w:tcPr>
            <w:tcW w:w="835" w:type="dxa"/>
            <w:vAlign w:val="center"/>
          </w:tcPr>
          <w:p>
            <w:pPr>
              <w:jc w:val="center"/>
            </w:pPr>
            <w:r>
              <w:rPr>
                <w:sz w:val="24"/>
              </w:rPr>
              <w:t>2021-04-30</w:t>
            </w:r>
          </w:p>
        </w:tc>
        <w:tc>
          <w:tcPr>
            <w:tcW w:w="834" w:type="dxa"/>
            <w:vAlign w:val="center"/>
          </w:tcPr>
          <w:p>
            <w:pPr>
              <w:jc w:val="center"/>
            </w:pPr>
            <w:r>
              <w:rPr>
                <w:sz w:val="24"/>
              </w:rPr>
              <w:t>非公开发行</w:t>
            </w:r>
          </w:p>
        </w:tc>
        <w:tc>
          <w:tcPr>
            <w:tcW w:w="835" w:type="dxa"/>
            <w:vAlign w:val="center"/>
          </w:tcPr>
          <w:p>
            <w:pPr>
              <w:jc w:val="right"/>
            </w:pPr>
            <w:r>
              <w:rPr>
                <w:sz w:val="24"/>
              </w:rPr>
              <w:t>21.30</w:t>
            </w:r>
          </w:p>
        </w:tc>
        <w:tc>
          <w:tcPr>
            <w:tcW w:w="834" w:type="dxa"/>
            <w:vAlign w:val="center"/>
          </w:tcPr>
          <w:p>
            <w:pPr>
              <w:jc w:val="right"/>
            </w:pPr>
            <w:r>
              <w:rPr>
                <w:sz w:val="24"/>
              </w:rPr>
              <w:t>36.86</w:t>
            </w:r>
          </w:p>
        </w:tc>
        <w:tc>
          <w:tcPr>
            <w:tcW w:w="835" w:type="dxa"/>
            <w:vAlign w:val="center"/>
          </w:tcPr>
          <w:p>
            <w:pPr>
              <w:jc w:val="right"/>
            </w:pPr>
            <w:r>
              <w:rPr>
                <w:sz w:val="24"/>
              </w:rPr>
              <w:t>3,004,695</w:t>
            </w:r>
          </w:p>
        </w:tc>
        <w:tc>
          <w:tcPr>
            <w:tcW w:w="834" w:type="dxa"/>
            <w:vAlign w:val="center"/>
          </w:tcPr>
          <w:p>
            <w:pPr>
              <w:jc w:val="right"/>
            </w:pPr>
            <w:r>
              <w:rPr>
                <w:sz w:val="24"/>
              </w:rPr>
              <w:t>64,000,003.50</w:t>
            </w:r>
          </w:p>
        </w:tc>
        <w:tc>
          <w:tcPr>
            <w:tcW w:w="835" w:type="dxa"/>
            <w:vAlign w:val="center"/>
          </w:tcPr>
          <w:p>
            <w:pPr>
              <w:jc w:val="right"/>
            </w:pPr>
            <w:r>
              <w:rPr>
                <w:sz w:val="24"/>
              </w:rPr>
              <w:t>110,753,057.70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rFonts w:hint="eastAsia"/>
                <w:sz w:val="24"/>
              </w:rPr>
              <w:t>00</w:t>
            </w:r>
            <w:r>
              <w:rPr>
                <w:sz w:val="24"/>
              </w:rPr>
              <w:t>2493</w:t>
            </w:r>
          </w:p>
        </w:tc>
        <w:tc>
          <w:tcPr>
            <w:tcW w:w="835" w:type="dxa"/>
            <w:vAlign w:val="center"/>
          </w:tcPr>
          <w:p>
            <w:pPr>
              <w:jc w:val="center"/>
            </w:pPr>
            <w:r>
              <w:rPr>
                <w:sz w:val="24"/>
              </w:rPr>
              <w:t>荣盛石化</w:t>
            </w:r>
          </w:p>
        </w:tc>
        <w:tc>
          <w:tcPr>
            <w:tcW w:w="834" w:type="dxa"/>
            <w:vAlign w:val="center"/>
          </w:tcPr>
          <w:p>
            <w:pPr>
              <w:jc w:val="center"/>
            </w:pPr>
            <w:r>
              <w:rPr>
                <w:sz w:val="24"/>
              </w:rPr>
              <w:t>2020-10-12</w:t>
            </w:r>
          </w:p>
        </w:tc>
        <w:tc>
          <w:tcPr>
            <w:tcW w:w="835" w:type="dxa"/>
            <w:vAlign w:val="center"/>
          </w:tcPr>
          <w:p>
            <w:pPr>
              <w:jc w:val="center"/>
            </w:pPr>
            <w:r>
              <w:rPr>
                <w:sz w:val="24"/>
              </w:rPr>
              <w:t>2021-04-12</w:t>
            </w:r>
          </w:p>
        </w:tc>
        <w:tc>
          <w:tcPr>
            <w:tcW w:w="834" w:type="dxa"/>
            <w:vAlign w:val="center"/>
          </w:tcPr>
          <w:p>
            <w:pPr>
              <w:jc w:val="center"/>
            </w:pPr>
            <w:r>
              <w:rPr>
                <w:sz w:val="24"/>
              </w:rPr>
              <w:t>非公开发行</w:t>
            </w:r>
          </w:p>
        </w:tc>
        <w:tc>
          <w:tcPr>
            <w:tcW w:w="835" w:type="dxa"/>
            <w:vAlign w:val="center"/>
          </w:tcPr>
          <w:p>
            <w:pPr>
              <w:jc w:val="right"/>
            </w:pPr>
            <w:r>
              <w:rPr>
                <w:sz w:val="24"/>
              </w:rPr>
              <w:t>17.42</w:t>
            </w:r>
          </w:p>
        </w:tc>
        <w:tc>
          <w:tcPr>
            <w:tcW w:w="834" w:type="dxa"/>
            <w:vAlign w:val="center"/>
          </w:tcPr>
          <w:p>
            <w:pPr>
              <w:jc w:val="right"/>
            </w:pPr>
            <w:r>
              <w:rPr>
                <w:sz w:val="24"/>
              </w:rPr>
              <w:t>26.32</w:t>
            </w:r>
          </w:p>
        </w:tc>
        <w:tc>
          <w:tcPr>
            <w:tcW w:w="835" w:type="dxa"/>
            <w:vAlign w:val="center"/>
          </w:tcPr>
          <w:p>
            <w:pPr>
              <w:jc w:val="right"/>
            </w:pPr>
            <w:r>
              <w:rPr>
                <w:sz w:val="24"/>
              </w:rPr>
              <w:t>5,568,312</w:t>
            </w:r>
          </w:p>
        </w:tc>
        <w:tc>
          <w:tcPr>
            <w:tcW w:w="834" w:type="dxa"/>
            <w:vAlign w:val="center"/>
          </w:tcPr>
          <w:p>
            <w:pPr>
              <w:jc w:val="right"/>
            </w:pPr>
            <w:r>
              <w:rPr>
                <w:sz w:val="24"/>
              </w:rPr>
              <w:t>96,999,995.04</w:t>
            </w:r>
          </w:p>
        </w:tc>
        <w:tc>
          <w:tcPr>
            <w:tcW w:w="835" w:type="dxa"/>
            <w:vAlign w:val="center"/>
          </w:tcPr>
          <w:p>
            <w:pPr>
              <w:jc w:val="right"/>
            </w:pPr>
            <w:r>
              <w:rPr>
                <w:sz w:val="24"/>
              </w:rPr>
              <w:t>146,557,971.84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rFonts w:hint="eastAsia"/>
                <w:sz w:val="24"/>
              </w:rPr>
              <w:t>00</w:t>
            </w:r>
            <w:r>
              <w:rPr>
                <w:sz w:val="24"/>
              </w:rPr>
              <w:t>3030</w:t>
            </w:r>
          </w:p>
        </w:tc>
        <w:tc>
          <w:tcPr>
            <w:tcW w:w="835" w:type="dxa"/>
            <w:vAlign w:val="center"/>
          </w:tcPr>
          <w:p>
            <w:pPr>
              <w:jc w:val="center"/>
            </w:pPr>
            <w:r>
              <w:rPr>
                <w:sz w:val="24"/>
              </w:rPr>
              <w:t>祖名股份</w:t>
            </w:r>
          </w:p>
        </w:tc>
        <w:tc>
          <w:tcPr>
            <w:tcW w:w="834" w:type="dxa"/>
            <w:vAlign w:val="center"/>
          </w:tcPr>
          <w:p>
            <w:pPr>
              <w:jc w:val="center"/>
            </w:pPr>
            <w:r>
              <w:rPr>
                <w:sz w:val="24"/>
              </w:rPr>
              <w:t>2020-12-25</w:t>
            </w:r>
          </w:p>
        </w:tc>
        <w:tc>
          <w:tcPr>
            <w:tcW w:w="835" w:type="dxa"/>
            <w:vAlign w:val="center"/>
          </w:tcPr>
          <w:p>
            <w:pPr>
              <w:jc w:val="center"/>
            </w:pPr>
            <w:r>
              <w:rPr>
                <w:sz w:val="24"/>
              </w:rPr>
              <w:t>2021-01-06</w:t>
            </w:r>
          </w:p>
        </w:tc>
        <w:tc>
          <w:tcPr>
            <w:tcW w:w="834" w:type="dxa"/>
            <w:vAlign w:val="center"/>
          </w:tcPr>
          <w:p>
            <w:pPr>
              <w:jc w:val="center"/>
            </w:pPr>
            <w:r>
              <w:rPr>
                <w:sz w:val="24"/>
              </w:rPr>
              <w:t>新股未上市</w:t>
            </w:r>
          </w:p>
        </w:tc>
        <w:tc>
          <w:tcPr>
            <w:tcW w:w="835" w:type="dxa"/>
            <w:vAlign w:val="center"/>
          </w:tcPr>
          <w:p>
            <w:pPr>
              <w:jc w:val="right"/>
            </w:pPr>
            <w:r>
              <w:rPr>
                <w:sz w:val="24"/>
              </w:rPr>
              <w:t>15.18</w:t>
            </w:r>
          </w:p>
        </w:tc>
        <w:tc>
          <w:tcPr>
            <w:tcW w:w="834" w:type="dxa"/>
            <w:vAlign w:val="center"/>
          </w:tcPr>
          <w:p>
            <w:pPr>
              <w:jc w:val="right"/>
            </w:pPr>
            <w:r>
              <w:rPr>
                <w:sz w:val="24"/>
              </w:rPr>
              <w:t>15.18</w:t>
            </w:r>
          </w:p>
        </w:tc>
        <w:tc>
          <w:tcPr>
            <w:tcW w:w="835" w:type="dxa"/>
            <w:vAlign w:val="center"/>
          </w:tcPr>
          <w:p>
            <w:pPr>
              <w:jc w:val="right"/>
            </w:pPr>
            <w:r>
              <w:rPr>
                <w:sz w:val="24"/>
              </w:rPr>
              <w:t>480</w:t>
            </w:r>
          </w:p>
        </w:tc>
        <w:tc>
          <w:tcPr>
            <w:tcW w:w="834" w:type="dxa"/>
            <w:vAlign w:val="center"/>
          </w:tcPr>
          <w:p>
            <w:pPr>
              <w:jc w:val="right"/>
            </w:pPr>
            <w:r>
              <w:rPr>
                <w:sz w:val="24"/>
              </w:rPr>
              <w:t>7,286.40</w:t>
            </w:r>
          </w:p>
        </w:tc>
        <w:tc>
          <w:tcPr>
            <w:tcW w:w="835" w:type="dxa"/>
            <w:vAlign w:val="center"/>
          </w:tcPr>
          <w:p>
            <w:pPr>
              <w:jc w:val="right"/>
            </w:pPr>
            <w:r>
              <w:rPr>
                <w:sz w:val="24"/>
              </w:rPr>
              <w:t>7,286.40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rFonts w:hint="eastAsia"/>
                <w:sz w:val="24"/>
              </w:rPr>
              <w:t>00</w:t>
            </w:r>
            <w:r>
              <w:rPr>
                <w:sz w:val="24"/>
              </w:rPr>
              <w:t>3031</w:t>
            </w:r>
          </w:p>
        </w:tc>
        <w:tc>
          <w:tcPr>
            <w:tcW w:w="835" w:type="dxa"/>
            <w:vAlign w:val="center"/>
          </w:tcPr>
          <w:p>
            <w:pPr>
              <w:jc w:val="center"/>
            </w:pPr>
            <w:r>
              <w:rPr>
                <w:sz w:val="24"/>
              </w:rPr>
              <w:t>中瓷电子</w:t>
            </w:r>
          </w:p>
        </w:tc>
        <w:tc>
          <w:tcPr>
            <w:tcW w:w="834" w:type="dxa"/>
            <w:vAlign w:val="center"/>
          </w:tcPr>
          <w:p>
            <w:pPr>
              <w:jc w:val="center"/>
            </w:pPr>
            <w:r>
              <w:rPr>
                <w:sz w:val="24"/>
              </w:rPr>
              <w:t>2020-12-24</w:t>
            </w:r>
          </w:p>
        </w:tc>
        <w:tc>
          <w:tcPr>
            <w:tcW w:w="835" w:type="dxa"/>
            <w:vAlign w:val="center"/>
          </w:tcPr>
          <w:p>
            <w:pPr>
              <w:jc w:val="center"/>
            </w:pPr>
            <w:r>
              <w:rPr>
                <w:sz w:val="24"/>
              </w:rPr>
              <w:t>2021-01-04</w:t>
            </w:r>
          </w:p>
        </w:tc>
        <w:tc>
          <w:tcPr>
            <w:tcW w:w="834" w:type="dxa"/>
            <w:vAlign w:val="center"/>
          </w:tcPr>
          <w:p>
            <w:pPr>
              <w:jc w:val="center"/>
            </w:pPr>
            <w:r>
              <w:rPr>
                <w:sz w:val="24"/>
              </w:rPr>
              <w:t>新股未上市</w:t>
            </w:r>
          </w:p>
        </w:tc>
        <w:tc>
          <w:tcPr>
            <w:tcW w:w="835" w:type="dxa"/>
            <w:vAlign w:val="center"/>
          </w:tcPr>
          <w:p>
            <w:pPr>
              <w:jc w:val="right"/>
            </w:pPr>
            <w:r>
              <w:rPr>
                <w:sz w:val="24"/>
              </w:rPr>
              <w:t>15.27</w:t>
            </w:r>
          </w:p>
        </w:tc>
        <w:tc>
          <w:tcPr>
            <w:tcW w:w="834" w:type="dxa"/>
            <w:vAlign w:val="center"/>
          </w:tcPr>
          <w:p>
            <w:pPr>
              <w:jc w:val="right"/>
            </w:pPr>
            <w:r>
              <w:rPr>
                <w:sz w:val="24"/>
              </w:rPr>
              <w:t>15.27</w:t>
            </w:r>
          </w:p>
        </w:tc>
        <w:tc>
          <w:tcPr>
            <w:tcW w:w="835" w:type="dxa"/>
            <w:vAlign w:val="center"/>
          </w:tcPr>
          <w:p>
            <w:pPr>
              <w:jc w:val="right"/>
            </w:pPr>
            <w:r>
              <w:rPr>
                <w:sz w:val="24"/>
              </w:rPr>
              <w:t>387</w:t>
            </w:r>
          </w:p>
        </w:tc>
        <w:tc>
          <w:tcPr>
            <w:tcW w:w="834" w:type="dxa"/>
            <w:vAlign w:val="center"/>
          </w:tcPr>
          <w:p>
            <w:pPr>
              <w:jc w:val="right"/>
            </w:pPr>
            <w:r>
              <w:rPr>
                <w:sz w:val="24"/>
              </w:rPr>
              <w:t>5,909.49</w:t>
            </w:r>
          </w:p>
        </w:tc>
        <w:tc>
          <w:tcPr>
            <w:tcW w:w="835" w:type="dxa"/>
            <w:vAlign w:val="center"/>
          </w:tcPr>
          <w:p>
            <w:pPr>
              <w:jc w:val="right"/>
            </w:pPr>
            <w:r>
              <w:rPr>
                <w:sz w:val="24"/>
              </w:rPr>
              <w:t>5,909.49</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300144</w:t>
            </w:r>
          </w:p>
        </w:tc>
        <w:tc>
          <w:tcPr>
            <w:tcW w:w="835" w:type="dxa"/>
            <w:vAlign w:val="center"/>
          </w:tcPr>
          <w:p>
            <w:pPr>
              <w:jc w:val="center"/>
            </w:pPr>
            <w:r>
              <w:rPr>
                <w:sz w:val="24"/>
              </w:rPr>
              <w:t>宋城演艺</w:t>
            </w:r>
          </w:p>
        </w:tc>
        <w:tc>
          <w:tcPr>
            <w:tcW w:w="834" w:type="dxa"/>
            <w:vAlign w:val="center"/>
          </w:tcPr>
          <w:p>
            <w:pPr>
              <w:jc w:val="center"/>
            </w:pPr>
            <w:r>
              <w:rPr>
                <w:sz w:val="24"/>
              </w:rPr>
              <w:t>2020-11-20</w:t>
            </w:r>
          </w:p>
        </w:tc>
        <w:tc>
          <w:tcPr>
            <w:tcW w:w="835" w:type="dxa"/>
            <w:vAlign w:val="center"/>
          </w:tcPr>
          <w:p>
            <w:pPr>
              <w:jc w:val="center"/>
            </w:pPr>
            <w:r>
              <w:rPr>
                <w:sz w:val="24"/>
              </w:rPr>
              <w:t>2021-05-20</w:t>
            </w:r>
          </w:p>
        </w:tc>
        <w:tc>
          <w:tcPr>
            <w:tcW w:w="834" w:type="dxa"/>
            <w:vAlign w:val="center"/>
          </w:tcPr>
          <w:p>
            <w:pPr>
              <w:jc w:val="center"/>
            </w:pPr>
            <w:r>
              <w:rPr>
                <w:sz w:val="24"/>
              </w:rPr>
              <w:t>限售股</w:t>
            </w:r>
          </w:p>
        </w:tc>
        <w:tc>
          <w:tcPr>
            <w:tcW w:w="835" w:type="dxa"/>
            <w:vAlign w:val="center"/>
          </w:tcPr>
          <w:p>
            <w:pPr>
              <w:jc w:val="right"/>
            </w:pPr>
            <w:r>
              <w:rPr>
                <w:sz w:val="24"/>
              </w:rPr>
              <w:t>17.73</w:t>
            </w:r>
          </w:p>
        </w:tc>
        <w:tc>
          <w:tcPr>
            <w:tcW w:w="834" w:type="dxa"/>
            <w:vAlign w:val="center"/>
          </w:tcPr>
          <w:p>
            <w:pPr>
              <w:jc w:val="right"/>
            </w:pPr>
            <w:r>
              <w:rPr>
                <w:sz w:val="24"/>
              </w:rPr>
              <w:t>16.86</w:t>
            </w:r>
          </w:p>
        </w:tc>
        <w:tc>
          <w:tcPr>
            <w:tcW w:w="835" w:type="dxa"/>
            <w:vAlign w:val="center"/>
          </w:tcPr>
          <w:p>
            <w:pPr>
              <w:jc w:val="right"/>
            </w:pPr>
            <w:r>
              <w:rPr>
                <w:sz w:val="24"/>
              </w:rPr>
              <w:t>9,050,000</w:t>
            </w:r>
          </w:p>
        </w:tc>
        <w:tc>
          <w:tcPr>
            <w:tcW w:w="834" w:type="dxa"/>
            <w:vAlign w:val="center"/>
          </w:tcPr>
          <w:p>
            <w:pPr>
              <w:jc w:val="right"/>
            </w:pPr>
            <w:r>
              <w:rPr>
                <w:sz w:val="24"/>
              </w:rPr>
              <w:t>160,456,500.00</w:t>
            </w:r>
          </w:p>
        </w:tc>
        <w:tc>
          <w:tcPr>
            <w:tcW w:w="835" w:type="dxa"/>
            <w:vAlign w:val="center"/>
          </w:tcPr>
          <w:p>
            <w:pPr>
              <w:jc w:val="right"/>
            </w:pPr>
            <w:r>
              <w:rPr>
                <w:sz w:val="24"/>
              </w:rPr>
              <w:t>152,583,000.00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300767</w:t>
            </w:r>
          </w:p>
        </w:tc>
        <w:tc>
          <w:tcPr>
            <w:tcW w:w="835" w:type="dxa"/>
            <w:vAlign w:val="center"/>
          </w:tcPr>
          <w:p>
            <w:pPr>
              <w:jc w:val="center"/>
            </w:pPr>
            <w:r>
              <w:rPr>
                <w:sz w:val="24"/>
              </w:rPr>
              <w:t>震安科技</w:t>
            </w:r>
          </w:p>
        </w:tc>
        <w:tc>
          <w:tcPr>
            <w:tcW w:w="834" w:type="dxa"/>
            <w:vAlign w:val="center"/>
          </w:tcPr>
          <w:p>
            <w:pPr>
              <w:jc w:val="center"/>
            </w:pPr>
            <w:r>
              <w:rPr>
                <w:sz w:val="24"/>
              </w:rPr>
              <w:t>2020-11-04</w:t>
            </w:r>
          </w:p>
        </w:tc>
        <w:tc>
          <w:tcPr>
            <w:tcW w:w="835" w:type="dxa"/>
            <w:vAlign w:val="center"/>
          </w:tcPr>
          <w:p>
            <w:pPr>
              <w:jc w:val="center"/>
            </w:pPr>
            <w:r>
              <w:rPr>
                <w:sz w:val="24"/>
              </w:rPr>
              <w:t>2021-05-06</w:t>
            </w:r>
          </w:p>
        </w:tc>
        <w:tc>
          <w:tcPr>
            <w:tcW w:w="834" w:type="dxa"/>
            <w:vAlign w:val="center"/>
          </w:tcPr>
          <w:p>
            <w:pPr>
              <w:jc w:val="center"/>
            </w:pPr>
            <w:r>
              <w:rPr>
                <w:sz w:val="24"/>
              </w:rPr>
              <w:t>限售股</w:t>
            </w:r>
          </w:p>
        </w:tc>
        <w:tc>
          <w:tcPr>
            <w:tcW w:w="835" w:type="dxa"/>
            <w:vAlign w:val="center"/>
          </w:tcPr>
          <w:p>
            <w:pPr>
              <w:jc w:val="right"/>
            </w:pPr>
            <w:r>
              <w:rPr>
                <w:sz w:val="24"/>
              </w:rPr>
              <w:t>65.93</w:t>
            </w:r>
          </w:p>
        </w:tc>
        <w:tc>
          <w:tcPr>
            <w:tcW w:w="834" w:type="dxa"/>
            <w:vAlign w:val="center"/>
          </w:tcPr>
          <w:p>
            <w:pPr>
              <w:jc w:val="right"/>
            </w:pPr>
            <w:r>
              <w:rPr>
                <w:sz w:val="24"/>
              </w:rPr>
              <w:t>68.85</w:t>
            </w:r>
          </w:p>
        </w:tc>
        <w:tc>
          <w:tcPr>
            <w:tcW w:w="835" w:type="dxa"/>
            <w:vAlign w:val="center"/>
          </w:tcPr>
          <w:p>
            <w:pPr>
              <w:jc w:val="right"/>
            </w:pPr>
            <w:r>
              <w:rPr>
                <w:sz w:val="24"/>
              </w:rPr>
              <w:t>784,000</w:t>
            </w:r>
          </w:p>
        </w:tc>
        <w:tc>
          <w:tcPr>
            <w:tcW w:w="834" w:type="dxa"/>
            <w:vAlign w:val="center"/>
          </w:tcPr>
          <w:p>
            <w:pPr>
              <w:jc w:val="right"/>
            </w:pPr>
            <w:r>
              <w:rPr>
                <w:sz w:val="24"/>
              </w:rPr>
              <w:t>51,689,120.00</w:t>
            </w:r>
          </w:p>
        </w:tc>
        <w:tc>
          <w:tcPr>
            <w:tcW w:w="835" w:type="dxa"/>
            <w:vAlign w:val="center"/>
          </w:tcPr>
          <w:p>
            <w:pPr>
              <w:jc w:val="right"/>
            </w:pPr>
            <w:r>
              <w:rPr>
                <w:sz w:val="24"/>
              </w:rPr>
              <w:t>53,978,400.00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300860</w:t>
            </w:r>
          </w:p>
        </w:tc>
        <w:tc>
          <w:tcPr>
            <w:tcW w:w="835" w:type="dxa"/>
            <w:vAlign w:val="center"/>
          </w:tcPr>
          <w:p>
            <w:pPr>
              <w:jc w:val="center"/>
            </w:pPr>
            <w:r>
              <w:rPr>
                <w:sz w:val="24"/>
              </w:rPr>
              <w:t>锋尚文化</w:t>
            </w:r>
          </w:p>
        </w:tc>
        <w:tc>
          <w:tcPr>
            <w:tcW w:w="834" w:type="dxa"/>
            <w:vAlign w:val="center"/>
          </w:tcPr>
          <w:p>
            <w:pPr>
              <w:jc w:val="center"/>
            </w:pPr>
            <w:r>
              <w:rPr>
                <w:sz w:val="24"/>
              </w:rPr>
              <w:t>2020-08-06</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138.02</w:t>
            </w:r>
          </w:p>
        </w:tc>
        <w:tc>
          <w:tcPr>
            <w:tcW w:w="834" w:type="dxa"/>
            <w:vAlign w:val="center"/>
          </w:tcPr>
          <w:p>
            <w:pPr>
              <w:jc w:val="right"/>
            </w:pPr>
            <w:r>
              <w:rPr>
                <w:sz w:val="24"/>
              </w:rPr>
              <w:t>126.67</w:t>
            </w:r>
          </w:p>
        </w:tc>
        <w:tc>
          <w:tcPr>
            <w:tcW w:w="835" w:type="dxa"/>
            <w:vAlign w:val="center"/>
          </w:tcPr>
          <w:p>
            <w:pPr>
              <w:jc w:val="right"/>
            </w:pPr>
            <w:r>
              <w:rPr>
                <w:sz w:val="24"/>
              </w:rPr>
              <w:t>381</w:t>
            </w:r>
          </w:p>
        </w:tc>
        <w:tc>
          <w:tcPr>
            <w:tcW w:w="834" w:type="dxa"/>
            <w:vAlign w:val="center"/>
          </w:tcPr>
          <w:p>
            <w:pPr>
              <w:jc w:val="right"/>
            </w:pPr>
            <w:r>
              <w:rPr>
                <w:sz w:val="24"/>
              </w:rPr>
              <w:t>52,585.62</w:t>
            </w:r>
          </w:p>
        </w:tc>
        <w:tc>
          <w:tcPr>
            <w:tcW w:w="835" w:type="dxa"/>
            <w:vAlign w:val="center"/>
          </w:tcPr>
          <w:p>
            <w:pPr>
              <w:jc w:val="right"/>
            </w:pPr>
            <w:r>
              <w:rPr>
                <w:sz w:val="24"/>
              </w:rPr>
              <w:t>48,261.27</w:t>
            </w:r>
          </w:p>
        </w:tc>
        <w:tc>
          <w:tcPr>
            <w:tcW w:w="835" w:type="dxa"/>
            <w:vAlign w:val="center"/>
          </w:tcPr>
          <w:p>
            <w:pPr>
              <w:jc w:val="center"/>
            </w:pPr>
            <w:r>
              <w:rPr>
                <w:sz w:val="24"/>
              </w:rPr>
              <w:t>-</w:t>
            </w:r>
          </w:p>
        </w:tc>
      </w:tr>
      <w:tr>
        <w:tc>
          <w:tcPr>
            <w:tcW w:w="834" w:type="dxa"/>
            <w:vAlign w:val="center"/>
          </w:tcPr>
          <w:p>
            <w:pPr>
              <w:jc w:val="center"/>
            </w:pPr>
            <w:r>
              <w:rPr>
                <w:sz w:val="24"/>
              </w:rPr>
              <w:t>300861</w:t>
            </w:r>
          </w:p>
        </w:tc>
        <w:tc>
          <w:tcPr>
            <w:tcW w:w="835" w:type="dxa"/>
            <w:vAlign w:val="center"/>
          </w:tcPr>
          <w:p>
            <w:pPr>
              <w:jc w:val="center"/>
            </w:pPr>
            <w:r>
              <w:rPr>
                <w:sz w:val="24"/>
              </w:rPr>
              <w:t>美畅股份</w:t>
            </w:r>
          </w:p>
        </w:tc>
        <w:tc>
          <w:tcPr>
            <w:tcW w:w="834" w:type="dxa"/>
            <w:vAlign w:val="center"/>
          </w:tcPr>
          <w:p>
            <w:pPr>
              <w:jc w:val="center"/>
            </w:pPr>
            <w:r>
              <w:rPr>
                <w:sz w:val="24"/>
              </w:rPr>
              <w:t>2020-08-06</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43.76</w:t>
            </w:r>
          </w:p>
        </w:tc>
        <w:tc>
          <w:tcPr>
            <w:tcW w:w="834" w:type="dxa"/>
            <w:vAlign w:val="center"/>
          </w:tcPr>
          <w:p>
            <w:pPr>
              <w:jc w:val="right"/>
            </w:pPr>
            <w:r>
              <w:rPr>
                <w:sz w:val="24"/>
              </w:rPr>
              <w:t>51.10</w:t>
            </w:r>
          </w:p>
        </w:tc>
        <w:tc>
          <w:tcPr>
            <w:tcW w:w="835" w:type="dxa"/>
            <w:vAlign w:val="center"/>
          </w:tcPr>
          <w:p>
            <w:pPr>
              <w:jc w:val="right"/>
            </w:pPr>
            <w:r>
              <w:rPr>
                <w:sz w:val="24"/>
              </w:rPr>
              <w:t>895</w:t>
            </w:r>
          </w:p>
        </w:tc>
        <w:tc>
          <w:tcPr>
            <w:tcW w:w="834" w:type="dxa"/>
            <w:vAlign w:val="center"/>
          </w:tcPr>
          <w:p>
            <w:pPr>
              <w:jc w:val="right"/>
            </w:pPr>
            <w:r>
              <w:rPr>
                <w:sz w:val="24"/>
              </w:rPr>
              <w:t>39,165.20</w:t>
            </w:r>
          </w:p>
        </w:tc>
        <w:tc>
          <w:tcPr>
            <w:tcW w:w="835" w:type="dxa"/>
            <w:vAlign w:val="center"/>
          </w:tcPr>
          <w:p>
            <w:pPr>
              <w:jc w:val="right"/>
            </w:pPr>
            <w:r>
              <w:rPr>
                <w:sz w:val="24"/>
              </w:rPr>
              <w:t>45,734.50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300864</w:t>
            </w:r>
          </w:p>
        </w:tc>
        <w:tc>
          <w:tcPr>
            <w:tcW w:w="835" w:type="dxa"/>
            <w:vAlign w:val="center"/>
          </w:tcPr>
          <w:p>
            <w:pPr>
              <w:jc w:val="center"/>
            </w:pPr>
            <w:r>
              <w:rPr>
                <w:sz w:val="24"/>
              </w:rPr>
              <w:t>南大环境</w:t>
            </w:r>
          </w:p>
        </w:tc>
        <w:tc>
          <w:tcPr>
            <w:tcW w:w="834" w:type="dxa"/>
            <w:vAlign w:val="center"/>
          </w:tcPr>
          <w:p>
            <w:pPr>
              <w:jc w:val="center"/>
            </w:pPr>
            <w:r>
              <w:rPr>
                <w:sz w:val="24"/>
              </w:rPr>
              <w:t>2020-08-13</w:t>
            </w:r>
          </w:p>
        </w:tc>
        <w:tc>
          <w:tcPr>
            <w:tcW w:w="835" w:type="dxa"/>
            <w:vAlign w:val="center"/>
          </w:tcPr>
          <w:p>
            <w:pPr>
              <w:jc w:val="center"/>
            </w:pPr>
            <w:r>
              <w:rPr>
                <w:sz w:val="24"/>
              </w:rPr>
              <w:t>2021-02-2</w:t>
            </w:r>
            <w:r>
              <w:rPr>
                <w:rFonts w:hint="eastAsia"/>
                <w:sz w:val="24"/>
              </w:rPr>
              <w:t>5</w:t>
            </w:r>
          </w:p>
        </w:tc>
        <w:tc>
          <w:tcPr>
            <w:tcW w:w="834" w:type="dxa"/>
            <w:vAlign w:val="center"/>
          </w:tcPr>
          <w:p>
            <w:pPr>
              <w:jc w:val="center"/>
            </w:pPr>
            <w:r>
              <w:rPr>
                <w:sz w:val="24"/>
              </w:rPr>
              <w:t>限售股</w:t>
            </w:r>
          </w:p>
        </w:tc>
        <w:tc>
          <w:tcPr>
            <w:tcW w:w="835" w:type="dxa"/>
            <w:vAlign w:val="center"/>
          </w:tcPr>
          <w:p>
            <w:pPr>
              <w:jc w:val="right"/>
            </w:pPr>
            <w:r>
              <w:rPr>
                <w:sz w:val="24"/>
              </w:rPr>
              <w:t>71.71</w:t>
            </w:r>
          </w:p>
        </w:tc>
        <w:tc>
          <w:tcPr>
            <w:tcW w:w="834" w:type="dxa"/>
            <w:vAlign w:val="center"/>
          </w:tcPr>
          <w:p>
            <w:pPr>
              <w:jc w:val="right"/>
            </w:pPr>
            <w:r>
              <w:rPr>
                <w:sz w:val="24"/>
              </w:rPr>
              <w:t>90.85</w:t>
            </w:r>
          </w:p>
        </w:tc>
        <w:tc>
          <w:tcPr>
            <w:tcW w:w="835" w:type="dxa"/>
            <w:vAlign w:val="center"/>
          </w:tcPr>
          <w:p>
            <w:pPr>
              <w:jc w:val="right"/>
            </w:pPr>
            <w:r>
              <w:rPr>
                <w:sz w:val="24"/>
              </w:rPr>
              <w:t>166</w:t>
            </w:r>
          </w:p>
        </w:tc>
        <w:tc>
          <w:tcPr>
            <w:tcW w:w="834" w:type="dxa"/>
            <w:vAlign w:val="center"/>
          </w:tcPr>
          <w:p>
            <w:pPr>
              <w:jc w:val="right"/>
            </w:pPr>
            <w:r>
              <w:rPr>
                <w:sz w:val="24"/>
              </w:rPr>
              <w:t>11,903.86</w:t>
            </w:r>
          </w:p>
        </w:tc>
        <w:tc>
          <w:tcPr>
            <w:tcW w:w="835" w:type="dxa"/>
            <w:vAlign w:val="center"/>
          </w:tcPr>
          <w:p>
            <w:pPr>
              <w:jc w:val="right"/>
            </w:pPr>
            <w:r>
              <w:rPr>
                <w:sz w:val="24"/>
              </w:rPr>
              <w:t>15,081.10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300868</w:t>
            </w:r>
          </w:p>
        </w:tc>
        <w:tc>
          <w:tcPr>
            <w:tcW w:w="835" w:type="dxa"/>
            <w:vAlign w:val="center"/>
          </w:tcPr>
          <w:p>
            <w:pPr>
              <w:jc w:val="center"/>
            </w:pPr>
            <w:r>
              <w:rPr>
                <w:sz w:val="24"/>
              </w:rPr>
              <w:t>杰美特</w:t>
            </w:r>
          </w:p>
        </w:tc>
        <w:tc>
          <w:tcPr>
            <w:tcW w:w="834" w:type="dxa"/>
            <w:vAlign w:val="center"/>
          </w:tcPr>
          <w:p>
            <w:pPr>
              <w:jc w:val="center"/>
            </w:pPr>
            <w:r>
              <w:rPr>
                <w:sz w:val="24"/>
              </w:rPr>
              <w:t>2020-08-12</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41.26</w:t>
            </w:r>
          </w:p>
        </w:tc>
        <w:tc>
          <w:tcPr>
            <w:tcW w:w="834" w:type="dxa"/>
            <w:vAlign w:val="center"/>
          </w:tcPr>
          <w:p>
            <w:pPr>
              <w:jc w:val="right"/>
            </w:pPr>
            <w:r>
              <w:rPr>
                <w:sz w:val="24"/>
              </w:rPr>
              <w:t>43.28</w:t>
            </w:r>
          </w:p>
        </w:tc>
        <w:tc>
          <w:tcPr>
            <w:tcW w:w="835" w:type="dxa"/>
            <w:vAlign w:val="center"/>
          </w:tcPr>
          <w:p>
            <w:pPr>
              <w:jc w:val="right"/>
            </w:pPr>
            <w:r>
              <w:rPr>
                <w:sz w:val="24"/>
              </w:rPr>
              <w:t>593</w:t>
            </w:r>
          </w:p>
        </w:tc>
        <w:tc>
          <w:tcPr>
            <w:tcW w:w="834" w:type="dxa"/>
            <w:vAlign w:val="center"/>
          </w:tcPr>
          <w:p>
            <w:pPr>
              <w:jc w:val="right"/>
            </w:pPr>
            <w:r>
              <w:rPr>
                <w:sz w:val="24"/>
              </w:rPr>
              <w:t>24,467.18</w:t>
            </w:r>
          </w:p>
        </w:tc>
        <w:tc>
          <w:tcPr>
            <w:tcW w:w="835" w:type="dxa"/>
            <w:vAlign w:val="center"/>
          </w:tcPr>
          <w:p>
            <w:pPr>
              <w:jc w:val="right"/>
            </w:pPr>
            <w:r>
              <w:rPr>
                <w:sz w:val="24"/>
              </w:rPr>
              <w:t>25,665.04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300869</w:t>
            </w:r>
          </w:p>
        </w:tc>
        <w:tc>
          <w:tcPr>
            <w:tcW w:w="835" w:type="dxa"/>
            <w:vAlign w:val="center"/>
          </w:tcPr>
          <w:p>
            <w:pPr>
              <w:jc w:val="center"/>
            </w:pPr>
            <w:r>
              <w:rPr>
                <w:sz w:val="24"/>
              </w:rPr>
              <w:t>康泰医学</w:t>
            </w:r>
          </w:p>
        </w:tc>
        <w:tc>
          <w:tcPr>
            <w:tcW w:w="834" w:type="dxa"/>
            <w:vAlign w:val="center"/>
          </w:tcPr>
          <w:p>
            <w:pPr>
              <w:jc w:val="center"/>
            </w:pPr>
            <w:r>
              <w:rPr>
                <w:sz w:val="24"/>
              </w:rPr>
              <w:t>2020-08-12</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10.16</w:t>
            </w:r>
          </w:p>
        </w:tc>
        <w:tc>
          <w:tcPr>
            <w:tcW w:w="834" w:type="dxa"/>
            <w:vAlign w:val="center"/>
          </w:tcPr>
          <w:p>
            <w:pPr>
              <w:jc w:val="right"/>
            </w:pPr>
            <w:r>
              <w:rPr>
                <w:sz w:val="24"/>
              </w:rPr>
              <w:t>110.88</w:t>
            </w:r>
          </w:p>
        </w:tc>
        <w:tc>
          <w:tcPr>
            <w:tcW w:w="835" w:type="dxa"/>
            <w:vAlign w:val="center"/>
          </w:tcPr>
          <w:p>
            <w:pPr>
              <w:jc w:val="right"/>
            </w:pPr>
            <w:r>
              <w:rPr>
                <w:sz w:val="24"/>
              </w:rPr>
              <w:t>862</w:t>
            </w:r>
          </w:p>
        </w:tc>
        <w:tc>
          <w:tcPr>
            <w:tcW w:w="834" w:type="dxa"/>
            <w:vAlign w:val="center"/>
          </w:tcPr>
          <w:p>
            <w:pPr>
              <w:jc w:val="right"/>
            </w:pPr>
            <w:r>
              <w:rPr>
                <w:sz w:val="24"/>
              </w:rPr>
              <w:t>8,757.92</w:t>
            </w:r>
          </w:p>
        </w:tc>
        <w:tc>
          <w:tcPr>
            <w:tcW w:w="835" w:type="dxa"/>
            <w:vAlign w:val="center"/>
          </w:tcPr>
          <w:p>
            <w:pPr>
              <w:jc w:val="right"/>
            </w:pPr>
            <w:r>
              <w:rPr>
                <w:sz w:val="24"/>
              </w:rPr>
              <w:t>95,578.56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300870</w:t>
            </w:r>
          </w:p>
        </w:tc>
        <w:tc>
          <w:tcPr>
            <w:tcW w:w="835" w:type="dxa"/>
            <w:vAlign w:val="center"/>
          </w:tcPr>
          <w:p>
            <w:pPr>
              <w:jc w:val="center"/>
            </w:pPr>
            <w:r>
              <w:rPr>
                <w:sz w:val="24"/>
              </w:rPr>
              <w:t>欧陆通</w:t>
            </w:r>
          </w:p>
        </w:tc>
        <w:tc>
          <w:tcPr>
            <w:tcW w:w="834" w:type="dxa"/>
            <w:vAlign w:val="center"/>
          </w:tcPr>
          <w:p>
            <w:pPr>
              <w:jc w:val="center"/>
            </w:pPr>
            <w:r>
              <w:rPr>
                <w:sz w:val="24"/>
              </w:rPr>
              <w:t>2020-08-13</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36.81</w:t>
            </w:r>
          </w:p>
        </w:tc>
        <w:tc>
          <w:tcPr>
            <w:tcW w:w="834" w:type="dxa"/>
            <w:vAlign w:val="center"/>
          </w:tcPr>
          <w:p>
            <w:pPr>
              <w:jc w:val="right"/>
            </w:pPr>
            <w:r>
              <w:rPr>
                <w:sz w:val="24"/>
              </w:rPr>
              <w:t>65.67</w:t>
            </w:r>
          </w:p>
        </w:tc>
        <w:tc>
          <w:tcPr>
            <w:tcW w:w="835" w:type="dxa"/>
            <w:vAlign w:val="center"/>
          </w:tcPr>
          <w:p>
            <w:pPr>
              <w:jc w:val="right"/>
            </w:pPr>
            <w:r>
              <w:rPr>
                <w:sz w:val="24"/>
              </w:rPr>
              <w:t>478</w:t>
            </w:r>
          </w:p>
        </w:tc>
        <w:tc>
          <w:tcPr>
            <w:tcW w:w="834" w:type="dxa"/>
            <w:vAlign w:val="center"/>
          </w:tcPr>
          <w:p>
            <w:pPr>
              <w:jc w:val="right"/>
            </w:pPr>
            <w:r>
              <w:rPr>
                <w:sz w:val="24"/>
              </w:rPr>
              <w:t>17,595.18</w:t>
            </w:r>
          </w:p>
        </w:tc>
        <w:tc>
          <w:tcPr>
            <w:tcW w:w="835" w:type="dxa"/>
            <w:vAlign w:val="center"/>
          </w:tcPr>
          <w:p>
            <w:pPr>
              <w:jc w:val="right"/>
            </w:pPr>
            <w:r>
              <w:rPr>
                <w:sz w:val="24"/>
              </w:rPr>
              <w:t>31,390.26</w:t>
            </w:r>
          </w:p>
        </w:tc>
        <w:tc>
          <w:tcPr>
            <w:tcW w:w="835" w:type="dxa"/>
            <w:vAlign w:val="center"/>
          </w:tcPr>
          <w:p>
            <w:pPr>
              <w:jc w:val="center"/>
            </w:pPr>
            <w:r>
              <w:rPr>
                <w:sz w:val="24"/>
              </w:rPr>
              <w:t>-</w:t>
            </w:r>
          </w:p>
        </w:tc>
      </w:tr>
      <w:tr>
        <w:tc>
          <w:tcPr>
            <w:tcW w:w="834" w:type="dxa"/>
            <w:vAlign w:val="center"/>
          </w:tcPr>
          <w:p>
            <w:pPr>
              <w:jc w:val="center"/>
            </w:pPr>
            <w:r>
              <w:rPr>
                <w:sz w:val="24"/>
              </w:rPr>
              <w:t>300872</w:t>
            </w:r>
          </w:p>
        </w:tc>
        <w:tc>
          <w:tcPr>
            <w:tcW w:w="835" w:type="dxa"/>
            <w:vAlign w:val="center"/>
          </w:tcPr>
          <w:p>
            <w:pPr>
              <w:jc w:val="center"/>
            </w:pPr>
            <w:r>
              <w:rPr>
                <w:sz w:val="24"/>
              </w:rPr>
              <w:t>天阳科技</w:t>
            </w:r>
          </w:p>
        </w:tc>
        <w:tc>
          <w:tcPr>
            <w:tcW w:w="834" w:type="dxa"/>
            <w:vAlign w:val="center"/>
          </w:tcPr>
          <w:p>
            <w:pPr>
              <w:jc w:val="center"/>
            </w:pPr>
            <w:r>
              <w:rPr>
                <w:sz w:val="24"/>
              </w:rPr>
              <w:t>2020-08-14</w:t>
            </w:r>
          </w:p>
        </w:tc>
        <w:tc>
          <w:tcPr>
            <w:tcW w:w="835" w:type="dxa"/>
            <w:vAlign w:val="center"/>
          </w:tcPr>
          <w:p>
            <w:pPr>
              <w:jc w:val="center"/>
            </w:pPr>
            <w:r>
              <w:rPr>
                <w:sz w:val="24"/>
              </w:rPr>
              <w:t>2021-02-25</w:t>
            </w:r>
          </w:p>
        </w:tc>
        <w:tc>
          <w:tcPr>
            <w:tcW w:w="834" w:type="dxa"/>
            <w:vAlign w:val="center"/>
          </w:tcPr>
          <w:p>
            <w:pPr>
              <w:jc w:val="center"/>
            </w:pPr>
            <w:r>
              <w:rPr>
                <w:sz w:val="24"/>
              </w:rPr>
              <w:t>限售股</w:t>
            </w:r>
          </w:p>
        </w:tc>
        <w:tc>
          <w:tcPr>
            <w:tcW w:w="835" w:type="dxa"/>
            <w:vAlign w:val="center"/>
          </w:tcPr>
          <w:p>
            <w:pPr>
              <w:jc w:val="right"/>
            </w:pPr>
            <w:r>
              <w:rPr>
                <w:sz w:val="24"/>
              </w:rPr>
              <w:t>21.34</w:t>
            </w:r>
          </w:p>
        </w:tc>
        <w:tc>
          <w:tcPr>
            <w:tcW w:w="834" w:type="dxa"/>
            <w:vAlign w:val="center"/>
          </w:tcPr>
          <w:p>
            <w:pPr>
              <w:jc w:val="right"/>
            </w:pPr>
            <w:r>
              <w:rPr>
                <w:sz w:val="24"/>
              </w:rPr>
              <w:t>37.84</w:t>
            </w:r>
          </w:p>
        </w:tc>
        <w:tc>
          <w:tcPr>
            <w:tcW w:w="835" w:type="dxa"/>
            <w:vAlign w:val="center"/>
          </w:tcPr>
          <w:p>
            <w:pPr>
              <w:jc w:val="right"/>
            </w:pPr>
            <w:r>
              <w:rPr>
                <w:sz w:val="24"/>
              </w:rPr>
              <w:t>871</w:t>
            </w:r>
          </w:p>
        </w:tc>
        <w:tc>
          <w:tcPr>
            <w:tcW w:w="834" w:type="dxa"/>
            <w:vAlign w:val="center"/>
          </w:tcPr>
          <w:p>
            <w:pPr>
              <w:jc w:val="right"/>
            </w:pPr>
            <w:r>
              <w:rPr>
                <w:sz w:val="24"/>
              </w:rPr>
              <w:t>18,587.14</w:t>
            </w:r>
          </w:p>
        </w:tc>
        <w:tc>
          <w:tcPr>
            <w:tcW w:w="835" w:type="dxa"/>
            <w:vAlign w:val="center"/>
          </w:tcPr>
          <w:p>
            <w:pPr>
              <w:jc w:val="right"/>
            </w:pPr>
            <w:r>
              <w:rPr>
                <w:sz w:val="24"/>
              </w:rPr>
              <w:t>32,958.64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300873</w:t>
            </w:r>
          </w:p>
        </w:tc>
        <w:tc>
          <w:tcPr>
            <w:tcW w:w="835" w:type="dxa"/>
            <w:vAlign w:val="center"/>
          </w:tcPr>
          <w:p>
            <w:pPr>
              <w:jc w:val="center"/>
            </w:pPr>
            <w:r>
              <w:rPr>
                <w:sz w:val="24"/>
              </w:rPr>
              <w:t>海晨股份</w:t>
            </w:r>
          </w:p>
        </w:tc>
        <w:tc>
          <w:tcPr>
            <w:tcW w:w="834" w:type="dxa"/>
            <w:vAlign w:val="center"/>
          </w:tcPr>
          <w:p>
            <w:pPr>
              <w:jc w:val="center"/>
            </w:pPr>
            <w:r>
              <w:rPr>
                <w:sz w:val="24"/>
              </w:rPr>
              <w:t>2020-08-14</w:t>
            </w:r>
          </w:p>
        </w:tc>
        <w:tc>
          <w:tcPr>
            <w:tcW w:w="835" w:type="dxa"/>
            <w:vAlign w:val="center"/>
          </w:tcPr>
          <w:p>
            <w:pPr>
              <w:jc w:val="center"/>
            </w:pPr>
            <w:r>
              <w:rPr>
                <w:sz w:val="24"/>
              </w:rPr>
              <w:t>2021-03-02</w:t>
            </w:r>
          </w:p>
        </w:tc>
        <w:tc>
          <w:tcPr>
            <w:tcW w:w="834" w:type="dxa"/>
            <w:vAlign w:val="center"/>
          </w:tcPr>
          <w:p>
            <w:pPr>
              <w:jc w:val="center"/>
            </w:pPr>
            <w:r>
              <w:rPr>
                <w:sz w:val="24"/>
              </w:rPr>
              <w:t>限售股</w:t>
            </w:r>
          </w:p>
        </w:tc>
        <w:tc>
          <w:tcPr>
            <w:tcW w:w="835" w:type="dxa"/>
            <w:vAlign w:val="center"/>
          </w:tcPr>
          <w:p>
            <w:pPr>
              <w:jc w:val="right"/>
            </w:pPr>
            <w:r>
              <w:rPr>
                <w:sz w:val="24"/>
              </w:rPr>
              <w:t>30.72</w:t>
            </w:r>
          </w:p>
        </w:tc>
        <w:tc>
          <w:tcPr>
            <w:tcW w:w="834" w:type="dxa"/>
            <w:vAlign w:val="center"/>
          </w:tcPr>
          <w:p>
            <w:pPr>
              <w:jc w:val="right"/>
            </w:pPr>
            <w:r>
              <w:rPr>
                <w:sz w:val="24"/>
              </w:rPr>
              <w:t>41.32</w:t>
            </w:r>
          </w:p>
        </w:tc>
        <w:tc>
          <w:tcPr>
            <w:tcW w:w="835" w:type="dxa"/>
            <w:vAlign w:val="center"/>
          </w:tcPr>
          <w:p>
            <w:pPr>
              <w:jc w:val="right"/>
            </w:pPr>
            <w:r>
              <w:rPr>
                <w:sz w:val="24"/>
              </w:rPr>
              <w:t>484</w:t>
            </w:r>
          </w:p>
        </w:tc>
        <w:tc>
          <w:tcPr>
            <w:tcW w:w="834" w:type="dxa"/>
            <w:vAlign w:val="center"/>
          </w:tcPr>
          <w:p>
            <w:pPr>
              <w:jc w:val="right"/>
            </w:pPr>
            <w:r>
              <w:rPr>
                <w:sz w:val="24"/>
              </w:rPr>
              <w:t>14,868.48</w:t>
            </w:r>
          </w:p>
        </w:tc>
        <w:tc>
          <w:tcPr>
            <w:tcW w:w="835" w:type="dxa"/>
            <w:vAlign w:val="center"/>
          </w:tcPr>
          <w:p>
            <w:pPr>
              <w:jc w:val="right"/>
            </w:pPr>
            <w:r>
              <w:rPr>
                <w:sz w:val="24"/>
              </w:rPr>
              <w:t>19,998.88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300876</w:t>
            </w:r>
          </w:p>
        </w:tc>
        <w:tc>
          <w:tcPr>
            <w:tcW w:w="835" w:type="dxa"/>
            <w:vAlign w:val="center"/>
          </w:tcPr>
          <w:p>
            <w:pPr>
              <w:jc w:val="center"/>
            </w:pPr>
            <w:r>
              <w:rPr>
                <w:sz w:val="24"/>
              </w:rPr>
              <w:t>蒙泰高新</w:t>
            </w:r>
          </w:p>
        </w:tc>
        <w:tc>
          <w:tcPr>
            <w:tcW w:w="834" w:type="dxa"/>
            <w:vAlign w:val="center"/>
          </w:tcPr>
          <w:p>
            <w:pPr>
              <w:jc w:val="center"/>
            </w:pPr>
            <w:r>
              <w:rPr>
                <w:sz w:val="24"/>
              </w:rPr>
              <w:t>2020-08-14</w:t>
            </w:r>
          </w:p>
        </w:tc>
        <w:tc>
          <w:tcPr>
            <w:tcW w:w="835" w:type="dxa"/>
            <w:vAlign w:val="center"/>
          </w:tcPr>
          <w:p>
            <w:pPr>
              <w:jc w:val="center"/>
            </w:pPr>
            <w:r>
              <w:rPr>
                <w:sz w:val="24"/>
              </w:rPr>
              <w:t>2021-02-2</w:t>
            </w:r>
            <w:r>
              <w:rPr>
                <w:rFonts w:hint="eastAsia"/>
                <w:sz w:val="24"/>
              </w:rPr>
              <w:t>5</w:t>
            </w:r>
          </w:p>
        </w:tc>
        <w:tc>
          <w:tcPr>
            <w:tcW w:w="834" w:type="dxa"/>
            <w:vAlign w:val="center"/>
          </w:tcPr>
          <w:p>
            <w:pPr>
              <w:jc w:val="center"/>
            </w:pPr>
            <w:r>
              <w:rPr>
                <w:sz w:val="24"/>
              </w:rPr>
              <w:t>限售股</w:t>
            </w:r>
          </w:p>
        </w:tc>
        <w:tc>
          <w:tcPr>
            <w:tcW w:w="835" w:type="dxa"/>
            <w:vAlign w:val="center"/>
          </w:tcPr>
          <w:p>
            <w:pPr>
              <w:jc w:val="right"/>
            </w:pPr>
            <w:r>
              <w:rPr>
                <w:sz w:val="24"/>
              </w:rPr>
              <w:t>20.09</w:t>
            </w:r>
          </w:p>
        </w:tc>
        <w:tc>
          <w:tcPr>
            <w:tcW w:w="834" w:type="dxa"/>
            <w:vAlign w:val="center"/>
          </w:tcPr>
          <w:p>
            <w:pPr>
              <w:jc w:val="right"/>
            </w:pPr>
            <w:r>
              <w:rPr>
                <w:sz w:val="24"/>
              </w:rPr>
              <w:t>36.62</w:t>
            </w:r>
          </w:p>
        </w:tc>
        <w:tc>
          <w:tcPr>
            <w:tcW w:w="835" w:type="dxa"/>
            <w:vAlign w:val="center"/>
          </w:tcPr>
          <w:p>
            <w:pPr>
              <w:jc w:val="right"/>
            </w:pPr>
            <w:r>
              <w:rPr>
                <w:sz w:val="24"/>
              </w:rPr>
              <w:t>350</w:t>
            </w:r>
          </w:p>
        </w:tc>
        <w:tc>
          <w:tcPr>
            <w:tcW w:w="834" w:type="dxa"/>
            <w:vAlign w:val="center"/>
          </w:tcPr>
          <w:p>
            <w:pPr>
              <w:jc w:val="right"/>
            </w:pPr>
            <w:r>
              <w:rPr>
                <w:sz w:val="24"/>
              </w:rPr>
              <w:t>7,031.50</w:t>
            </w:r>
          </w:p>
        </w:tc>
        <w:tc>
          <w:tcPr>
            <w:tcW w:w="835" w:type="dxa"/>
            <w:vAlign w:val="center"/>
          </w:tcPr>
          <w:p>
            <w:pPr>
              <w:jc w:val="right"/>
            </w:pPr>
            <w:r>
              <w:rPr>
                <w:sz w:val="24"/>
              </w:rPr>
              <w:t>12,817.00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300877</w:t>
            </w:r>
          </w:p>
        </w:tc>
        <w:tc>
          <w:tcPr>
            <w:tcW w:w="835" w:type="dxa"/>
            <w:vAlign w:val="center"/>
          </w:tcPr>
          <w:p>
            <w:pPr>
              <w:jc w:val="center"/>
            </w:pPr>
            <w:r>
              <w:rPr>
                <w:sz w:val="24"/>
              </w:rPr>
              <w:t>金春股份</w:t>
            </w:r>
          </w:p>
        </w:tc>
        <w:tc>
          <w:tcPr>
            <w:tcW w:w="834" w:type="dxa"/>
            <w:vAlign w:val="center"/>
          </w:tcPr>
          <w:p>
            <w:pPr>
              <w:jc w:val="center"/>
            </w:pPr>
            <w:r>
              <w:rPr>
                <w:sz w:val="24"/>
              </w:rPr>
              <w:t>2020-08-17</w:t>
            </w:r>
          </w:p>
        </w:tc>
        <w:tc>
          <w:tcPr>
            <w:tcW w:w="835" w:type="dxa"/>
            <w:vAlign w:val="center"/>
          </w:tcPr>
          <w:p>
            <w:pPr>
              <w:jc w:val="center"/>
            </w:pPr>
            <w:r>
              <w:rPr>
                <w:sz w:val="24"/>
              </w:rPr>
              <w:t>2021-0</w:t>
            </w:r>
            <w:r>
              <w:rPr>
                <w:rFonts w:hint="eastAsia"/>
                <w:sz w:val="24"/>
              </w:rPr>
              <w:t>3</w:t>
            </w:r>
            <w:r>
              <w:rPr>
                <w:sz w:val="24"/>
              </w:rPr>
              <w:t>-</w:t>
            </w:r>
            <w:r>
              <w:rPr>
                <w:rFonts w:hint="eastAsia"/>
                <w:sz w:val="24"/>
              </w:rPr>
              <w:t>03</w:t>
            </w:r>
          </w:p>
        </w:tc>
        <w:tc>
          <w:tcPr>
            <w:tcW w:w="834" w:type="dxa"/>
            <w:vAlign w:val="center"/>
          </w:tcPr>
          <w:p>
            <w:pPr>
              <w:jc w:val="center"/>
            </w:pPr>
            <w:r>
              <w:rPr>
                <w:sz w:val="24"/>
              </w:rPr>
              <w:t>限售股</w:t>
            </w:r>
          </w:p>
        </w:tc>
        <w:tc>
          <w:tcPr>
            <w:tcW w:w="835" w:type="dxa"/>
            <w:vAlign w:val="center"/>
          </w:tcPr>
          <w:p>
            <w:pPr>
              <w:jc w:val="right"/>
            </w:pPr>
            <w:r>
              <w:rPr>
                <w:sz w:val="24"/>
              </w:rPr>
              <w:t>30.54</w:t>
            </w:r>
          </w:p>
        </w:tc>
        <w:tc>
          <w:tcPr>
            <w:tcW w:w="834" w:type="dxa"/>
            <w:vAlign w:val="center"/>
          </w:tcPr>
          <w:p>
            <w:pPr>
              <w:jc w:val="right"/>
            </w:pPr>
            <w:r>
              <w:rPr>
                <w:sz w:val="24"/>
              </w:rPr>
              <w:t>50.85</w:t>
            </w:r>
          </w:p>
        </w:tc>
        <w:tc>
          <w:tcPr>
            <w:tcW w:w="835" w:type="dxa"/>
            <w:vAlign w:val="center"/>
          </w:tcPr>
          <w:p>
            <w:pPr>
              <w:jc w:val="right"/>
            </w:pPr>
            <w:r>
              <w:rPr>
                <w:sz w:val="24"/>
              </w:rPr>
              <w:t>569</w:t>
            </w:r>
          </w:p>
        </w:tc>
        <w:tc>
          <w:tcPr>
            <w:tcW w:w="834" w:type="dxa"/>
            <w:vAlign w:val="center"/>
          </w:tcPr>
          <w:p>
            <w:pPr>
              <w:jc w:val="right"/>
            </w:pPr>
            <w:r>
              <w:rPr>
                <w:sz w:val="24"/>
              </w:rPr>
              <w:t>17,377.26</w:t>
            </w:r>
          </w:p>
        </w:tc>
        <w:tc>
          <w:tcPr>
            <w:tcW w:w="835" w:type="dxa"/>
            <w:vAlign w:val="center"/>
          </w:tcPr>
          <w:p>
            <w:pPr>
              <w:jc w:val="right"/>
            </w:pPr>
            <w:r>
              <w:rPr>
                <w:sz w:val="24"/>
              </w:rPr>
              <w:t>28,933.65</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300878</w:t>
            </w:r>
          </w:p>
        </w:tc>
        <w:tc>
          <w:tcPr>
            <w:tcW w:w="835" w:type="dxa"/>
            <w:vAlign w:val="center"/>
          </w:tcPr>
          <w:p>
            <w:pPr>
              <w:jc w:val="center"/>
            </w:pPr>
            <w:r>
              <w:rPr>
                <w:sz w:val="24"/>
              </w:rPr>
              <w:t>维康药业</w:t>
            </w:r>
          </w:p>
        </w:tc>
        <w:tc>
          <w:tcPr>
            <w:tcW w:w="834" w:type="dxa"/>
            <w:vAlign w:val="center"/>
          </w:tcPr>
          <w:p>
            <w:pPr>
              <w:jc w:val="center"/>
            </w:pPr>
            <w:r>
              <w:rPr>
                <w:sz w:val="24"/>
              </w:rPr>
              <w:t>2020-08-17</w:t>
            </w:r>
          </w:p>
        </w:tc>
        <w:tc>
          <w:tcPr>
            <w:tcW w:w="835" w:type="dxa"/>
            <w:vAlign w:val="center"/>
          </w:tcPr>
          <w:p>
            <w:pPr>
              <w:jc w:val="center"/>
            </w:pPr>
            <w:r>
              <w:rPr>
                <w:sz w:val="24"/>
              </w:rPr>
              <w:t>2021-0</w:t>
            </w:r>
            <w:r>
              <w:rPr>
                <w:rFonts w:hint="eastAsia"/>
                <w:sz w:val="24"/>
              </w:rPr>
              <w:t>3</w:t>
            </w:r>
            <w:r>
              <w:rPr>
                <w:sz w:val="24"/>
              </w:rPr>
              <w:t>-</w:t>
            </w:r>
            <w:r>
              <w:rPr>
                <w:rFonts w:hint="eastAsia"/>
                <w:sz w:val="24"/>
              </w:rPr>
              <w:t>03</w:t>
            </w:r>
          </w:p>
        </w:tc>
        <w:tc>
          <w:tcPr>
            <w:tcW w:w="834" w:type="dxa"/>
            <w:vAlign w:val="center"/>
          </w:tcPr>
          <w:p>
            <w:pPr>
              <w:jc w:val="center"/>
            </w:pPr>
            <w:r>
              <w:rPr>
                <w:sz w:val="24"/>
              </w:rPr>
              <w:t>限售股</w:t>
            </w:r>
          </w:p>
        </w:tc>
        <w:tc>
          <w:tcPr>
            <w:tcW w:w="835" w:type="dxa"/>
            <w:vAlign w:val="center"/>
          </w:tcPr>
          <w:p>
            <w:pPr>
              <w:jc w:val="right"/>
            </w:pPr>
            <w:r>
              <w:rPr>
                <w:sz w:val="24"/>
              </w:rPr>
              <w:t>41.34</w:t>
            </w:r>
          </w:p>
        </w:tc>
        <w:tc>
          <w:tcPr>
            <w:tcW w:w="834" w:type="dxa"/>
            <w:vAlign w:val="center"/>
          </w:tcPr>
          <w:p>
            <w:pPr>
              <w:jc w:val="right"/>
            </w:pPr>
            <w:r>
              <w:rPr>
                <w:sz w:val="24"/>
              </w:rPr>
              <w:t>48.72</w:t>
            </w:r>
          </w:p>
        </w:tc>
        <w:tc>
          <w:tcPr>
            <w:tcW w:w="835" w:type="dxa"/>
            <w:vAlign w:val="center"/>
          </w:tcPr>
          <w:p>
            <w:pPr>
              <w:jc w:val="right"/>
            </w:pPr>
            <w:r>
              <w:rPr>
                <w:sz w:val="24"/>
              </w:rPr>
              <w:t>401</w:t>
            </w:r>
          </w:p>
        </w:tc>
        <w:tc>
          <w:tcPr>
            <w:tcW w:w="834" w:type="dxa"/>
            <w:vAlign w:val="center"/>
          </w:tcPr>
          <w:p>
            <w:pPr>
              <w:jc w:val="right"/>
            </w:pPr>
            <w:r>
              <w:rPr>
                <w:sz w:val="24"/>
              </w:rPr>
              <w:t>16,577.34</w:t>
            </w:r>
          </w:p>
        </w:tc>
        <w:tc>
          <w:tcPr>
            <w:tcW w:w="835" w:type="dxa"/>
            <w:vAlign w:val="center"/>
          </w:tcPr>
          <w:p>
            <w:pPr>
              <w:jc w:val="right"/>
            </w:pPr>
            <w:r>
              <w:rPr>
                <w:sz w:val="24"/>
              </w:rPr>
              <w:t>19,536.72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300879</w:t>
            </w:r>
          </w:p>
        </w:tc>
        <w:tc>
          <w:tcPr>
            <w:tcW w:w="835" w:type="dxa"/>
            <w:vAlign w:val="center"/>
          </w:tcPr>
          <w:p>
            <w:pPr>
              <w:jc w:val="center"/>
            </w:pPr>
            <w:r>
              <w:rPr>
                <w:sz w:val="24"/>
              </w:rPr>
              <w:t>大叶股份</w:t>
            </w:r>
          </w:p>
        </w:tc>
        <w:tc>
          <w:tcPr>
            <w:tcW w:w="834" w:type="dxa"/>
            <w:vAlign w:val="center"/>
          </w:tcPr>
          <w:p>
            <w:pPr>
              <w:jc w:val="center"/>
            </w:pPr>
            <w:r>
              <w:rPr>
                <w:sz w:val="24"/>
              </w:rPr>
              <w:t>2020-08-25</w:t>
            </w:r>
          </w:p>
        </w:tc>
        <w:tc>
          <w:tcPr>
            <w:tcW w:w="835" w:type="dxa"/>
            <w:vAlign w:val="center"/>
          </w:tcPr>
          <w:p>
            <w:pPr>
              <w:jc w:val="center"/>
            </w:pPr>
            <w:r>
              <w:rPr>
                <w:sz w:val="24"/>
              </w:rPr>
              <w:t>2021-03-01</w:t>
            </w:r>
          </w:p>
        </w:tc>
        <w:tc>
          <w:tcPr>
            <w:tcW w:w="834" w:type="dxa"/>
            <w:vAlign w:val="center"/>
          </w:tcPr>
          <w:p>
            <w:pPr>
              <w:jc w:val="center"/>
            </w:pPr>
            <w:r>
              <w:rPr>
                <w:sz w:val="24"/>
              </w:rPr>
              <w:t>限售股</w:t>
            </w:r>
          </w:p>
        </w:tc>
        <w:tc>
          <w:tcPr>
            <w:tcW w:w="835" w:type="dxa"/>
            <w:vAlign w:val="center"/>
          </w:tcPr>
          <w:p>
            <w:pPr>
              <w:jc w:val="right"/>
            </w:pPr>
            <w:r>
              <w:rPr>
                <w:sz w:val="24"/>
              </w:rPr>
              <w:t>10.58</w:t>
            </w:r>
          </w:p>
        </w:tc>
        <w:tc>
          <w:tcPr>
            <w:tcW w:w="834" w:type="dxa"/>
            <w:vAlign w:val="center"/>
          </w:tcPr>
          <w:p>
            <w:pPr>
              <w:jc w:val="right"/>
            </w:pPr>
            <w:r>
              <w:rPr>
                <w:sz w:val="24"/>
              </w:rPr>
              <w:t>27.12</w:t>
            </w:r>
          </w:p>
        </w:tc>
        <w:tc>
          <w:tcPr>
            <w:tcW w:w="835" w:type="dxa"/>
            <w:vAlign w:val="center"/>
          </w:tcPr>
          <w:p>
            <w:pPr>
              <w:jc w:val="right"/>
            </w:pPr>
            <w:r>
              <w:rPr>
                <w:sz w:val="24"/>
              </w:rPr>
              <w:t>466</w:t>
            </w:r>
          </w:p>
        </w:tc>
        <w:tc>
          <w:tcPr>
            <w:tcW w:w="834" w:type="dxa"/>
            <w:vAlign w:val="center"/>
          </w:tcPr>
          <w:p>
            <w:pPr>
              <w:jc w:val="right"/>
            </w:pPr>
            <w:r>
              <w:rPr>
                <w:sz w:val="24"/>
              </w:rPr>
              <w:t>4,930.28</w:t>
            </w:r>
          </w:p>
        </w:tc>
        <w:tc>
          <w:tcPr>
            <w:tcW w:w="835" w:type="dxa"/>
            <w:vAlign w:val="center"/>
          </w:tcPr>
          <w:p>
            <w:pPr>
              <w:jc w:val="right"/>
            </w:pPr>
            <w:r>
              <w:rPr>
                <w:sz w:val="24"/>
              </w:rPr>
              <w:t>12,637.92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300881</w:t>
            </w:r>
          </w:p>
        </w:tc>
        <w:tc>
          <w:tcPr>
            <w:tcW w:w="835" w:type="dxa"/>
            <w:vAlign w:val="center"/>
          </w:tcPr>
          <w:p>
            <w:pPr>
              <w:jc w:val="center"/>
            </w:pPr>
            <w:r>
              <w:rPr>
                <w:sz w:val="24"/>
              </w:rPr>
              <w:t>盛德鑫泰</w:t>
            </w:r>
          </w:p>
        </w:tc>
        <w:tc>
          <w:tcPr>
            <w:tcW w:w="834" w:type="dxa"/>
            <w:vAlign w:val="center"/>
          </w:tcPr>
          <w:p>
            <w:pPr>
              <w:jc w:val="center"/>
            </w:pPr>
            <w:r>
              <w:rPr>
                <w:sz w:val="24"/>
              </w:rPr>
              <w:t>2020-08-25</w:t>
            </w:r>
          </w:p>
        </w:tc>
        <w:tc>
          <w:tcPr>
            <w:tcW w:w="835" w:type="dxa"/>
            <w:vAlign w:val="center"/>
          </w:tcPr>
          <w:p>
            <w:pPr>
              <w:jc w:val="center"/>
            </w:pPr>
            <w:r>
              <w:rPr>
                <w:sz w:val="24"/>
              </w:rPr>
              <w:t>2021-03-0</w:t>
            </w:r>
            <w:r>
              <w:rPr>
                <w:rFonts w:hint="eastAsia"/>
                <w:sz w:val="24"/>
              </w:rPr>
              <w:t>5</w:t>
            </w:r>
          </w:p>
        </w:tc>
        <w:tc>
          <w:tcPr>
            <w:tcW w:w="834" w:type="dxa"/>
            <w:vAlign w:val="center"/>
          </w:tcPr>
          <w:p>
            <w:pPr>
              <w:jc w:val="center"/>
            </w:pPr>
            <w:r>
              <w:rPr>
                <w:sz w:val="24"/>
              </w:rPr>
              <w:t>限售股</w:t>
            </w:r>
          </w:p>
        </w:tc>
        <w:tc>
          <w:tcPr>
            <w:tcW w:w="835" w:type="dxa"/>
            <w:vAlign w:val="center"/>
          </w:tcPr>
          <w:p>
            <w:pPr>
              <w:jc w:val="right"/>
            </w:pPr>
            <w:r>
              <w:rPr>
                <w:sz w:val="24"/>
              </w:rPr>
              <w:t>14.17</w:t>
            </w:r>
          </w:p>
        </w:tc>
        <w:tc>
          <w:tcPr>
            <w:tcW w:w="834" w:type="dxa"/>
            <w:vAlign w:val="center"/>
          </w:tcPr>
          <w:p>
            <w:pPr>
              <w:jc w:val="right"/>
            </w:pPr>
            <w:r>
              <w:rPr>
                <w:sz w:val="24"/>
              </w:rPr>
              <w:t>32.31</w:t>
            </w:r>
          </w:p>
        </w:tc>
        <w:tc>
          <w:tcPr>
            <w:tcW w:w="835" w:type="dxa"/>
            <w:vAlign w:val="center"/>
          </w:tcPr>
          <w:p>
            <w:pPr>
              <w:jc w:val="right"/>
            </w:pPr>
            <w:r>
              <w:rPr>
                <w:sz w:val="24"/>
              </w:rPr>
              <w:t>291</w:t>
            </w:r>
          </w:p>
        </w:tc>
        <w:tc>
          <w:tcPr>
            <w:tcW w:w="834" w:type="dxa"/>
            <w:vAlign w:val="center"/>
          </w:tcPr>
          <w:p>
            <w:pPr>
              <w:jc w:val="right"/>
            </w:pPr>
            <w:r>
              <w:rPr>
                <w:sz w:val="24"/>
              </w:rPr>
              <w:t>4,123.47</w:t>
            </w:r>
          </w:p>
        </w:tc>
        <w:tc>
          <w:tcPr>
            <w:tcW w:w="835" w:type="dxa"/>
            <w:vAlign w:val="center"/>
          </w:tcPr>
          <w:p>
            <w:pPr>
              <w:jc w:val="right"/>
            </w:pPr>
            <w:r>
              <w:rPr>
                <w:sz w:val="24"/>
              </w:rPr>
              <w:t>9,402.21</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300882</w:t>
            </w:r>
          </w:p>
        </w:tc>
        <w:tc>
          <w:tcPr>
            <w:tcW w:w="835" w:type="dxa"/>
            <w:vAlign w:val="center"/>
          </w:tcPr>
          <w:p>
            <w:pPr>
              <w:jc w:val="center"/>
            </w:pPr>
            <w:r>
              <w:rPr>
                <w:sz w:val="24"/>
              </w:rPr>
              <w:t>万胜智能</w:t>
            </w:r>
          </w:p>
        </w:tc>
        <w:tc>
          <w:tcPr>
            <w:tcW w:w="834" w:type="dxa"/>
            <w:vAlign w:val="center"/>
          </w:tcPr>
          <w:p>
            <w:pPr>
              <w:jc w:val="center"/>
            </w:pPr>
            <w:r>
              <w:rPr>
                <w:sz w:val="24"/>
              </w:rPr>
              <w:t>2020-08-27</w:t>
            </w:r>
          </w:p>
        </w:tc>
        <w:tc>
          <w:tcPr>
            <w:tcW w:w="835" w:type="dxa"/>
            <w:vAlign w:val="center"/>
          </w:tcPr>
          <w:p>
            <w:pPr>
              <w:jc w:val="center"/>
            </w:pPr>
            <w:r>
              <w:rPr>
                <w:sz w:val="24"/>
              </w:rPr>
              <w:t>2021-03-10</w:t>
            </w:r>
          </w:p>
        </w:tc>
        <w:tc>
          <w:tcPr>
            <w:tcW w:w="834" w:type="dxa"/>
            <w:vAlign w:val="center"/>
          </w:tcPr>
          <w:p>
            <w:pPr>
              <w:jc w:val="center"/>
            </w:pPr>
            <w:r>
              <w:rPr>
                <w:sz w:val="24"/>
              </w:rPr>
              <w:t>限售股</w:t>
            </w:r>
          </w:p>
        </w:tc>
        <w:tc>
          <w:tcPr>
            <w:tcW w:w="835" w:type="dxa"/>
            <w:vAlign w:val="center"/>
          </w:tcPr>
          <w:p>
            <w:pPr>
              <w:jc w:val="right"/>
            </w:pPr>
            <w:r>
              <w:rPr>
                <w:sz w:val="24"/>
              </w:rPr>
              <w:t>10.33</w:t>
            </w:r>
          </w:p>
        </w:tc>
        <w:tc>
          <w:tcPr>
            <w:tcW w:w="834" w:type="dxa"/>
            <w:vAlign w:val="center"/>
          </w:tcPr>
          <w:p>
            <w:pPr>
              <w:jc w:val="right"/>
            </w:pPr>
            <w:r>
              <w:rPr>
                <w:sz w:val="24"/>
              </w:rPr>
              <w:t>25.79</w:t>
            </w:r>
          </w:p>
        </w:tc>
        <w:tc>
          <w:tcPr>
            <w:tcW w:w="835" w:type="dxa"/>
            <w:vAlign w:val="center"/>
          </w:tcPr>
          <w:p>
            <w:pPr>
              <w:jc w:val="right"/>
            </w:pPr>
            <w:r>
              <w:rPr>
                <w:sz w:val="24"/>
              </w:rPr>
              <w:t>440</w:t>
            </w:r>
          </w:p>
        </w:tc>
        <w:tc>
          <w:tcPr>
            <w:tcW w:w="834" w:type="dxa"/>
            <w:vAlign w:val="center"/>
          </w:tcPr>
          <w:p>
            <w:pPr>
              <w:jc w:val="right"/>
            </w:pPr>
            <w:r>
              <w:rPr>
                <w:sz w:val="24"/>
              </w:rPr>
              <w:t>4,545.20</w:t>
            </w:r>
          </w:p>
        </w:tc>
        <w:tc>
          <w:tcPr>
            <w:tcW w:w="835" w:type="dxa"/>
            <w:vAlign w:val="center"/>
          </w:tcPr>
          <w:p>
            <w:pPr>
              <w:jc w:val="right"/>
            </w:pPr>
            <w:r>
              <w:rPr>
                <w:sz w:val="24"/>
              </w:rPr>
              <w:t>11,347.60</w:t>
            </w:r>
          </w:p>
        </w:tc>
        <w:tc>
          <w:tcPr>
            <w:tcW w:w="835" w:type="dxa"/>
            <w:vAlign w:val="center"/>
          </w:tcPr>
          <w:p>
            <w:pPr>
              <w:jc w:val="center"/>
            </w:pPr>
            <w:r>
              <w:rPr>
                <w:sz w:val="24"/>
              </w:rPr>
              <w:t>-</w:t>
            </w:r>
          </w:p>
        </w:tc>
      </w:tr>
      <w:tr>
        <w:tblPrEx>
          <w:tblCellMar>
            <w:top w:w="0" w:type="dxa"/>
            <w:left w:w="108" w:type="dxa"/>
            <w:bottom w:w="0" w:type="dxa"/>
            <w:right w:w="108" w:type="dxa"/>
          </w:tblCellMar>
        </w:tblPrEx>
        <w:tc>
          <w:tcPr>
            <w:tcW w:w="834" w:type="dxa"/>
            <w:vAlign w:val="center"/>
          </w:tcPr>
          <w:p>
            <w:pPr>
              <w:jc w:val="center"/>
            </w:pPr>
            <w:r>
              <w:rPr>
                <w:sz w:val="24"/>
              </w:rPr>
              <w:t>300883</w:t>
            </w:r>
          </w:p>
        </w:tc>
        <w:tc>
          <w:tcPr>
            <w:tcW w:w="835" w:type="dxa"/>
            <w:vAlign w:val="center"/>
          </w:tcPr>
          <w:p>
            <w:pPr>
              <w:jc w:val="center"/>
            </w:pPr>
            <w:r>
              <w:rPr>
                <w:sz w:val="24"/>
              </w:rPr>
              <w:t>龙利得</w:t>
            </w:r>
          </w:p>
        </w:tc>
        <w:tc>
          <w:tcPr>
            <w:tcW w:w="834" w:type="dxa"/>
            <w:vAlign w:val="center"/>
          </w:tcPr>
          <w:p>
            <w:pPr>
              <w:jc w:val="center"/>
            </w:pPr>
            <w:r>
              <w:rPr>
                <w:sz w:val="24"/>
              </w:rPr>
              <w:t>2020-09-03</w:t>
            </w:r>
          </w:p>
        </w:tc>
        <w:tc>
          <w:tcPr>
            <w:tcW w:w="835" w:type="dxa"/>
            <w:vAlign w:val="center"/>
          </w:tcPr>
          <w:p>
            <w:pPr>
              <w:jc w:val="center"/>
            </w:pPr>
            <w:r>
              <w:rPr>
                <w:sz w:val="24"/>
              </w:rPr>
              <w:t>2021-03-1</w:t>
            </w:r>
            <w:r>
              <w:rPr>
                <w:rFonts w:hint="eastAsia"/>
                <w:sz w:val="24"/>
              </w:rPr>
              <w:t>6</w:t>
            </w:r>
          </w:p>
        </w:tc>
        <w:tc>
          <w:tcPr>
            <w:tcW w:w="834" w:type="dxa"/>
            <w:vAlign w:val="center"/>
          </w:tcPr>
          <w:p>
            <w:pPr>
              <w:jc w:val="center"/>
            </w:pPr>
            <w:r>
              <w:rPr>
                <w:sz w:val="24"/>
              </w:rPr>
              <w:t>限售股</w:t>
            </w:r>
          </w:p>
        </w:tc>
        <w:tc>
          <w:tcPr>
            <w:tcW w:w="835" w:type="dxa"/>
            <w:vAlign w:val="center"/>
          </w:tcPr>
          <w:p>
            <w:pPr>
              <w:jc w:val="right"/>
            </w:pPr>
            <w:r>
              <w:rPr>
                <w:sz w:val="24"/>
              </w:rPr>
              <w:t>4.64</w:t>
            </w:r>
          </w:p>
        </w:tc>
        <w:tc>
          <w:tcPr>
            <w:tcW w:w="834" w:type="dxa"/>
            <w:vAlign w:val="center"/>
          </w:tcPr>
          <w:p>
            <w:pPr>
              <w:jc w:val="right"/>
            </w:pPr>
            <w:r>
              <w:rPr>
                <w:sz w:val="24"/>
              </w:rPr>
              <w:t>14.05</w:t>
            </w:r>
          </w:p>
        </w:tc>
        <w:tc>
          <w:tcPr>
            <w:tcW w:w="835" w:type="dxa"/>
            <w:vAlign w:val="center"/>
          </w:tcPr>
          <w:p>
            <w:pPr>
              <w:jc w:val="right"/>
            </w:pPr>
            <w:r>
              <w:rPr>
                <w:sz w:val="24"/>
              </w:rPr>
              <w:t>8,911</w:t>
            </w:r>
          </w:p>
        </w:tc>
        <w:tc>
          <w:tcPr>
            <w:tcW w:w="834" w:type="dxa"/>
            <w:vAlign w:val="center"/>
          </w:tcPr>
          <w:p>
            <w:pPr>
              <w:jc w:val="right"/>
            </w:pPr>
            <w:r>
              <w:rPr>
                <w:sz w:val="24"/>
              </w:rPr>
              <w:t>41,347.04</w:t>
            </w:r>
          </w:p>
        </w:tc>
        <w:tc>
          <w:tcPr>
            <w:tcW w:w="835" w:type="dxa"/>
            <w:vAlign w:val="center"/>
          </w:tcPr>
          <w:p>
            <w:pPr>
              <w:jc w:val="right"/>
            </w:pPr>
            <w:r>
              <w:rPr>
                <w:sz w:val="24"/>
              </w:rPr>
              <w:t>125,199.55</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300884</w:t>
            </w:r>
          </w:p>
        </w:tc>
        <w:tc>
          <w:tcPr>
            <w:tcW w:w="835" w:type="dxa"/>
            <w:vAlign w:val="center"/>
          </w:tcPr>
          <w:p>
            <w:pPr>
              <w:jc w:val="center"/>
            </w:pPr>
            <w:r>
              <w:rPr>
                <w:sz w:val="24"/>
              </w:rPr>
              <w:t>狄耐克</w:t>
            </w:r>
          </w:p>
        </w:tc>
        <w:tc>
          <w:tcPr>
            <w:tcW w:w="834" w:type="dxa"/>
            <w:vAlign w:val="center"/>
          </w:tcPr>
          <w:p>
            <w:pPr>
              <w:jc w:val="center"/>
            </w:pPr>
            <w:r>
              <w:rPr>
                <w:sz w:val="24"/>
              </w:rPr>
              <w:t>2020-11-05</w:t>
            </w:r>
          </w:p>
        </w:tc>
        <w:tc>
          <w:tcPr>
            <w:tcW w:w="835" w:type="dxa"/>
            <w:vAlign w:val="center"/>
          </w:tcPr>
          <w:p>
            <w:pPr>
              <w:jc w:val="center"/>
            </w:pPr>
            <w:r>
              <w:rPr>
                <w:sz w:val="24"/>
              </w:rPr>
              <w:t>2021-05-12</w:t>
            </w:r>
          </w:p>
        </w:tc>
        <w:tc>
          <w:tcPr>
            <w:tcW w:w="834" w:type="dxa"/>
            <w:vAlign w:val="center"/>
          </w:tcPr>
          <w:p>
            <w:pPr>
              <w:jc w:val="center"/>
            </w:pPr>
            <w:r>
              <w:rPr>
                <w:sz w:val="24"/>
              </w:rPr>
              <w:t>限售股</w:t>
            </w:r>
          </w:p>
        </w:tc>
        <w:tc>
          <w:tcPr>
            <w:tcW w:w="835" w:type="dxa"/>
            <w:vAlign w:val="center"/>
          </w:tcPr>
          <w:p>
            <w:pPr>
              <w:jc w:val="right"/>
            </w:pPr>
            <w:r>
              <w:rPr>
                <w:sz w:val="24"/>
              </w:rPr>
              <w:t>24.87</w:t>
            </w:r>
          </w:p>
        </w:tc>
        <w:tc>
          <w:tcPr>
            <w:tcW w:w="834" w:type="dxa"/>
            <w:vAlign w:val="center"/>
          </w:tcPr>
          <w:p>
            <w:pPr>
              <w:jc w:val="right"/>
            </w:pPr>
            <w:r>
              <w:rPr>
                <w:sz w:val="24"/>
              </w:rPr>
              <w:t>33.51</w:t>
            </w:r>
          </w:p>
        </w:tc>
        <w:tc>
          <w:tcPr>
            <w:tcW w:w="835" w:type="dxa"/>
            <w:vAlign w:val="center"/>
          </w:tcPr>
          <w:p>
            <w:pPr>
              <w:jc w:val="right"/>
            </w:pPr>
            <w:r>
              <w:rPr>
                <w:sz w:val="24"/>
              </w:rPr>
              <w:t>499</w:t>
            </w:r>
          </w:p>
        </w:tc>
        <w:tc>
          <w:tcPr>
            <w:tcW w:w="834" w:type="dxa"/>
            <w:vAlign w:val="center"/>
          </w:tcPr>
          <w:p>
            <w:pPr>
              <w:jc w:val="right"/>
            </w:pPr>
            <w:r>
              <w:rPr>
                <w:sz w:val="24"/>
              </w:rPr>
              <w:t>12,410.13</w:t>
            </w:r>
          </w:p>
        </w:tc>
        <w:tc>
          <w:tcPr>
            <w:tcW w:w="835" w:type="dxa"/>
            <w:vAlign w:val="center"/>
          </w:tcPr>
          <w:p>
            <w:pPr>
              <w:jc w:val="right"/>
            </w:pPr>
            <w:r>
              <w:rPr>
                <w:sz w:val="24"/>
              </w:rPr>
              <w:t>16,721.49</w:t>
            </w:r>
          </w:p>
        </w:tc>
        <w:tc>
          <w:tcPr>
            <w:tcW w:w="835" w:type="dxa"/>
            <w:vAlign w:val="center"/>
          </w:tcPr>
          <w:p>
            <w:pPr>
              <w:jc w:val="center"/>
            </w:pPr>
            <w:r>
              <w:rPr>
                <w:sz w:val="24"/>
              </w:rPr>
              <w:t>-</w:t>
            </w:r>
          </w:p>
        </w:tc>
      </w:tr>
      <w:tr>
        <w:tblPrEx>
          <w:tblCellMar>
            <w:top w:w="0" w:type="dxa"/>
            <w:left w:w="108" w:type="dxa"/>
            <w:bottom w:w="0" w:type="dxa"/>
            <w:right w:w="108" w:type="dxa"/>
          </w:tblCellMar>
        </w:tblPrEx>
        <w:tc>
          <w:tcPr>
            <w:tcW w:w="834" w:type="dxa"/>
            <w:vAlign w:val="center"/>
          </w:tcPr>
          <w:p>
            <w:pPr>
              <w:jc w:val="center"/>
            </w:pPr>
            <w:r>
              <w:rPr>
                <w:sz w:val="24"/>
              </w:rPr>
              <w:t>300886</w:t>
            </w:r>
          </w:p>
        </w:tc>
        <w:tc>
          <w:tcPr>
            <w:tcW w:w="835" w:type="dxa"/>
            <w:vAlign w:val="center"/>
          </w:tcPr>
          <w:p>
            <w:pPr>
              <w:jc w:val="center"/>
            </w:pPr>
            <w:r>
              <w:rPr>
                <w:sz w:val="24"/>
              </w:rPr>
              <w:t>华业香料</w:t>
            </w:r>
          </w:p>
        </w:tc>
        <w:tc>
          <w:tcPr>
            <w:tcW w:w="834" w:type="dxa"/>
            <w:vAlign w:val="center"/>
          </w:tcPr>
          <w:p>
            <w:pPr>
              <w:jc w:val="center"/>
            </w:pPr>
            <w:r>
              <w:rPr>
                <w:sz w:val="24"/>
              </w:rPr>
              <w:t>2020-09-08</w:t>
            </w:r>
          </w:p>
        </w:tc>
        <w:tc>
          <w:tcPr>
            <w:tcW w:w="835" w:type="dxa"/>
            <w:vAlign w:val="center"/>
          </w:tcPr>
          <w:p>
            <w:pPr>
              <w:jc w:val="center"/>
            </w:pPr>
            <w:r>
              <w:rPr>
                <w:sz w:val="24"/>
              </w:rPr>
              <w:t>2021-03-16</w:t>
            </w:r>
          </w:p>
        </w:tc>
        <w:tc>
          <w:tcPr>
            <w:tcW w:w="834" w:type="dxa"/>
            <w:vAlign w:val="center"/>
          </w:tcPr>
          <w:p>
            <w:pPr>
              <w:jc w:val="center"/>
            </w:pPr>
            <w:r>
              <w:rPr>
                <w:sz w:val="24"/>
              </w:rPr>
              <w:t>限售股</w:t>
            </w:r>
          </w:p>
        </w:tc>
        <w:tc>
          <w:tcPr>
            <w:tcW w:w="835" w:type="dxa"/>
            <w:vAlign w:val="center"/>
          </w:tcPr>
          <w:p>
            <w:pPr>
              <w:jc w:val="right"/>
            </w:pPr>
            <w:r>
              <w:rPr>
                <w:sz w:val="24"/>
              </w:rPr>
              <w:t>18.59</w:t>
            </w:r>
          </w:p>
        </w:tc>
        <w:tc>
          <w:tcPr>
            <w:tcW w:w="834" w:type="dxa"/>
            <w:vAlign w:val="center"/>
          </w:tcPr>
          <w:p>
            <w:pPr>
              <w:jc w:val="right"/>
            </w:pPr>
            <w:r>
              <w:rPr>
                <w:sz w:val="24"/>
              </w:rPr>
              <w:t>45.67</w:t>
            </w:r>
          </w:p>
        </w:tc>
        <w:tc>
          <w:tcPr>
            <w:tcW w:w="835" w:type="dxa"/>
            <w:vAlign w:val="center"/>
          </w:tcPr>
          <w:p>
            <w:pPr>
              <w:jc w:val="right"/>
            </w:pPr>
            <w:r>
              <w:rPr>
                <w:sz w:val="24"/>
              </w:rPr>
              <w:t>147</w:t>
            </w:r>
          </w:p>
        </w:tc>
        <w:tc>
          <w:tcPr>
            <w:tcW w:w="834" w:type="dxa"/>
            <w:vAlign w:val="center"/>
          </w:tcPr>
          <w:p>
            <w:pPr>
              <w:jc w:val="right"/>
            </w:pPr>
            <w:r>
              <w:rPr>
                <w:sz w:val="24"/>
              </w:rPr>
              <w:t>2,732.73</w:t>
            </w:r>
          </w:p>
        </w:tc>
        <w:tc>
          <w:tcPr>
            <w:tcW w:w="835" w:type="dxa"/>
            <w:vAlign w:val="center"/>
          </w:tcPr>
          <w:p>
            <w:pPr>
              <w:jc w:val="right"/>
            </w:pPr>
            <w:r>
              <w:rPr>
                <w:sz w:val="24"/>
              </w:rPr>
              <w:t>6,713.49</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300887</w:t>
            </w:r>
          </w:p>
        </w:tc>
        <w:tc>
          <w:tcPr>
            <w:tcW w:w="835" w:type="dxa"/>
            <w:vAlign w:val="center"/>
          </w:tcPr>
          <w:p>
            <w:pPr>
              <w:jc w:val="center"/>
            </w:pPr>
            <w:r>
              <w:rPr>
                <w:sz w:val="24"/>
              </w:rPr>
              <w:t>谱尼测试</w:t>
            </w:r>
          </w:p>
        </w:tc>
        <w:tc>
          <w:tcPr>
            <w:tcW w:w="834" w:type="dxa"/>
            <w:vAlign w:val="center"/>
          </w:tcPr>
          <w:p>
            <w:pPr>
              <w:jc w:val="center"/>
            </w:pPr>
            <w:r>
              <w:rPr>
                <w:sz w:val="24"/>
              </w:rPr>
              <w:t>2020-09-09</w:t>
            </w:r>
          </w:p>
        </w:tc>
        <w:tc>
          <w:tcPr>
            <w:tcW w:w="835" w:type="dxa"/>
            <w:vAlign w:val="center"/>
          </w:tcPr>
          <w:p>
            <w:pPr>
              <w:jc w:val="center"/>
            </w:pPr>
            <w:r>
              <w:rPr>
                <w:sz w:val="24"/>
              </w:rPr>
              <w:t>2021-03-16</w:t>
            </w:r>
          </w:p>
        </w:tc>
        <w:tc>
          <w:tcPr>
            <w:tcW w:w="834" w:type="dxa"/>
            <w:vAlign w:val="center"/>
          </w:tcPr>
          <w:p>
            <w:pPr>
              <w:jc w:val="center"/>
            </w:pPr>
            <w:r>
              <w:rPr>
                <w:sz w:val="24"/>
              </w:rPr>
              <w:t>限售股</w:t>
            </w:r>
          </w:p>
        </w:tc>
        <w:tc>
          <w:tcPr>
            <w:tcW w:w="835" w:type="dxa"/>
            <w:vAlign w:val="center"/>
          </w:tcPr>
          <w:p>
            <w:pPr>
              <w:jc w:val="right"/>
            </w:pPr>
            <w:r>
              <w:rPr>
                <w:sz w:val="24"/>
              </w:rPr>
              <w:t>44.47</w:t>
            </w:r>
          </w:p>
        </w:tc>
        <w:tc>
          <w:tcPr>
            <w:tcW w:w="834" w:type="dxa"/>
            <w:vAlign w:val="center"/>
          </w:tcPr>
          <w:p>
            <w:pPr>
              <w:jc w:val="right"/>
            </w:pPr>
            <w:r>
              <w:rPr>
                <w:sz w:val="24"/>
              </w:rPr>
              <w:t>74.52</w:t>
            </w:r>
          </w:p>
        </w:tc>
        <w:tc>
          <w:tcPr>
            <w:tcW w:w="835" w:type="dxa"/>
            <w:vAlign w:val="center"/>
          </w:tcPr>
          <w:p>
            <w:pPr>
              <w:jc w:val="right"/>
            </w:pPr>
            <w:r>
              <w:rPr>
                <w:sz w:val="24"/>
              </w:rPr>
              <w:t>210</w:t>
            </w:r>
          </w:p>
        </w:tc>
        <w:tc>
          <w:tcPr>
            <w:tcW w:w="834" w:type="dxa"/>
            <w:vAlign w:val="center"/>
          </w:tcPr>
          <w:p>
            <w:pPr>
              <w:jc w:val="right"/>
            </w:pPr>
            <w:r>
              <w:rPr>
                <w:sz w:val="24"/>
              </w:rPr>
              <w:t>9,338.70</w:t>
            </w:r>
          </w:p>
        </w:tc>
        <w:tc>
          <w:tcPr>
            <w:tcW w:w="835" w:type="dxa"/>
            <w:vAlign w:val="center"/>
          </w:tcPr>
          <w:p>
            <w:pPr>
              <w:jc w:val="right"/>
            </w:pPr>
            <w:r>
              <w:rPr>
                <w:sz w:val="24"/>
              </w:rPr>
              <w:t>15,649.20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300889</w:t>
            </w:r>
          </w:p>
        </w:tc>
        <w:tc>
          <w:tcPr>
            <w:tcW w:w="835" w:type="dxa"/>
            <w:vAlign w:val="center"/>
          </w:tcPr>
          <w:p>
            <w:pPr>
              <w:jc w:val="center"/>
            </w:pPr>
            <w:r>
              <w:rPr>
                <w:sz w:val="24"/>
              </w:rPr>
              <w:t>爱克股份</w:t>
            </w:r>
          </w:p>
        </w:tc>
        <w:tc>
          <w:tcPr>
            <w:tcW w:w="834" w:type="dxa"/>
            <w:vAlign w:val="center"/>
          </w:tcPr>
          <w:p>
            <w:pPr>
              <w:jc w:val="center"/>
            </w:pPr>
            <w:r>
              <w:rPr>
                <w:sz w:val="24"/>
              </w:rPr>
              <w:t>2020-09-09</w:t>
            </w:r>
          </w:p>
        </w:tc>
        <w:tc>
          <w:tcPr>
            <w:tcW w:w="835" w:type="dxa"/>
            <w:vAlign w:val="center"/>
          </w:tcPr>
          <w:p>
            <w:pPr>
              <w:jc w:val="center"/>
            </w:pPr>
            <w:r>
              <w:rPr>
                <w:sz w:val="24"/>
              </w:rPr>
              <w:t>2021-03-16</w:t>
            </w:r>
          </w:p>
        </w:tc>
        <w:tc>
          <w:tcPr>
            <w:tcW w:w="834" w:type="dxa"/>
            <w:vAlign w:val="center"/>
          </w:tcPr>
          <w:p>
            <w:pPr>
              <w:jc w:val="center"/>
            </w:pPr>
            <w:r>
              <w:rPr>
                <w:sz w:val="24"/>
              </w:rPr>
              <w:t>限售股</w:t>
            </w:r>
          </w:p>
        </w:tc>
        <w:tc>
          <w:tcPr>
            <w:tcW w:w="835" w:type="dxa"/>
            <w:vAlign w:val="center"/>
          </w:tcPr>
          <w:p>
            <w:pPr>
              <w:jc w:val="right"/>
            </w:pPr>
            <w:r>
              <w:rPr>
                <w:sz w:val="24"/>
              </w:rPr>
              <w:t>27.97</w:t>
            </w:r>
          </w:p>
        </w:tc>
        <w:tc>
          <w:tcPr>
            <w:tcW w:w="834" w:type="dxa"/>
            <w:vAlign w:val="center"/>
          </w:tcPr>
          <w:p>
            <w:pPr>
              <w:jc w:val="right"/>
            </w:pPr>
            <w:r>
              <w:rPr>
                <w:sz w:val="24"/>
              </w:rPr>
              <w:t>30.12</w:t>
            </w:r>
          </w:p>
        </w:tc>
        <w:tc>
          <w:tcPr>
            <w:tcW w:w="835" w:type="dxa"/>
            <w:vAlign w:val="center"/>
          </w:tcPr>
          <w:p>
            <w:pPr>
              <w:jc w:val="right"/>
            </w:pPr>
            <w:r>
              <w:rPr>
                <w:sz w:val="24"/>
              </w:rPr>
              <w:t>479</w:t>
            </w:r>
          </w:p>
        </w:tc>
        <w:tc>
          <w:tcPr>
            <w:tcW w:w="834" w:type="dxa"/>
            <w:vAlign w:val="center"/>
          </w:tcPr>
          <w:p>
            <w:pPr>
              <w:jc w:val="right"/>
            </w:pPr>
            <w:r>
              <w:rPr>
                <w:sz w:val="24"/>
              </w:rPr>
              <w:t>13,397.63</w:t>
            </w:r>
          </w:p>
        </w:tc>
        <w:tc>
          <w:tcPr>
            <w:tcW w:w="835" w:type="dxa"/>
            <w:vAlign w:val="center"/>
          </w:tcPr>
          <w:p>
            <w:pPr>
              <w:jc w:val="right"/>
            </w:pPr>
            <w:r>
              <w:rPr>
                <w:sz w:val="24"/>
              </w:rPr>
              <w:t>14,427.48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300890</w:t>
            </w:r>
          </w:p>
        </w:tc>
        <w:tc>
          <w:tcPr>
            <w:tcW w:w="835" w:type="dxa"/>
            <w:vAlign w:val="center"/>
          </w:tcPr>
          <w:p>
            <w:pPr>
              <w:jc w:val="center"/>
            </w:pPr>
            <w:r>
              <w:rPr>
                <w:sz w:val="24"/>
              </w:rPr>
              <w:t>翔丰华</w:t>
            </w:r>
          </w:p>
        </w:tc>
        <w:tc>
          <w:tcPr>
            <w:tcW w:w="834" w:type="dxa"/>
            <w:vAlign w:val="center"/>
          </w:tcPr>
          <w:p>
            <w:pPr>
              <w:jc w:val="center"/>
            </w:pPr>
            <w:r>
              <w:rPr>
                <w:sz w:val="24"/>
              </w:rPr>
              <w:t>2020-09-10</w:t>
            </w:r>
          </w:p>
        </w:tc>
        <w:tc>
          <w:tcPr>
            <w:tcW w:w="835" w:type="dxa"/>
            <w:vAlign w:val="center"/>
          </w:tcPr>
          <w:p>
            <w:pPr>
              <w:jc w:val="center"/>
            </w:pPr>
            <w:r>
              <w:rPr>
                <w:sz w:val="24"/>
              </w:rPr>
              <w:t>2021-03-1</w:t>
            </w:r>
            <w:r>
              <w:rPr>
                <w:rFonts w:hint="eastAsia"/>
                <w:sz w:val="24"/>
              </w:rPr>
              <w:t>8</w:t>
            </w:r>
          </w:p>
        </w:tc>
        <w:tc>
          <w:tcPr>
            <w:tcW w:w="834" w:type="dxa"/>
            <w:vAlign w:val="center"/>
          </w:tcPr>
          <w:p>
            <w:pPr>
              <w:jc w:val="center"/>
            </w:pPr>
            <w:r>
              <w:rPr>
                <w:sz w:val="24"/>
              </w:rPr>
              <w:t>限售股</w:t>
            </w:r>
          </w:p>
        </w:tc>
        <w:tc>
          <w:tcPr>
            <w:tcW w:w="835" w:type="dxa"/>
            <w:vAlign w:val="center"/>
          </w:tcPr>
          <w:p>
            <w:pPr>
              <w:jc w:val="right"/>
            </w:pPr>
            <w:r>
              <w:rPr>
                <w:sz w:val="24"/>
              </w:rPr>
              <w:t>14.69</w:t>
            </w:r>
          </w:p>
        </w:tc>
        <w:tc>
          <w:tcPr>
            <w:tcW w:w="834" w:type="dxa"/>
            <w:vAlign w:val="center"/>
          </w:tcPr>
          <w:p>
            <w:pPr>
              <w:jc w:val="right"/>
            </w:pPr>
            <w:r>
              <w:rPr>
                <w:sz w:val="24"/>
              </w:rPr>
              <w:t>48.85</w:t>
            </w:r>
          </w:p>
        </w:tc>
        <w:tc>
          <w:tcPr>
            <w:tcW w:w="835" w:type="dxa"/>
            <w:vAlign w:val="center"/>
          </w:tcPr>
          <w:p>
            <w:pPr>
              <w:jc w:val="right"/>
            </w:pPr>
            <w:r>
              <w:rPr>
                <w:sz w:val="24"/>
              </w:rPr>
              <w:t>286</w:t>
            </w:r>
          </w:p>
        </w:tc>
        <w:tc>
          <w:tcPr>
            <w:tcW w:w="834" w:type="dxa"/>
            <w:vAlign w:val="center"/>
          </w:tcPr>
          <w:p>
            <w:pPr>
              <w:jc w:val="right"/>
            </w:pPr>
            <w:r>
              <w:rPr>
                <w:sz w:val="24"/>
              </w:rPr>
              <w:t>4,201.34</w:t>
            </w:r>
          </w:p>
        </w:tc>
        <w:tc>
          <w:tcPr>
            <w:tcW w:w="835" w:type="dxa"/>
            <w:vAlign w:val="center"/>
          </w:tcPr>
          <w:p>
            <w:pPr>
              <w:jc w:val="right"/>
            </w:pPr>
            <w:r>
              <w:rPr>
                <w:sz w:val="24"/>
              </w:rPr>
              <w:t>13,971.10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300891</w:t>
            </w:r>
          </w:p>
        </w:tc>
        <w:tc>
          <w:tcPr>
            <w:tcW w:w="835" w:type="dxa"/>
            <w:vAlign w:val="center"/>
          </w:tcPr>
          <w:p>
            <w:pPr>
              <w:jc w:val="center"/>
            </w:pPr>
            <w:r>
              <w:rPr>
                <w:sz w:val="24"/>
              </w:rPr>
              <w:t>惠云钛业</w:t>
            </w:r>
          </w:p>
        </w:tc>
        <w:tc>
          <w:tcPr>
            <w:tcW w:w="834" w:type="dxa"/>
            <w:vAlign w:val="center"/>
          </w:tcPr>
          <w:p>
            <w:pPr>
              <w:jc w:val="center"/>
            </w:pPr>
            <w:r>
              <w:rPr>
                <w:sz w:val="24"/>
              </w:rPr>
              <w:t>2020-09-10</w:t>
            </w:r>
          </w:p>
        </w:tc>
        <w:tc>
          <w:tcPr>
            <w:tcW w:w="835" w:type="dxa"/>
            <w:vAlign w:val="center"/>
          </w:tcPr>
          <w:p>
            <w:pPr>
              <w:jc w:val="center"/>
            </w:pPr>
            <w:r>
              <w:rPr>
                <w:sz w:val="24"/>
              </w:rPr>
              <w:t>2021-03-17</w:t>
            </w:r>
          </w:p>
        </w:tc>
        <w:tc>
          <w:tcPr>
            <w:tcW w:w="834" w:type="dxa"/>
            <w:vAlign w:val="center"/>
          </w:tcPr>
          <w:p>
            <w:pPr>
              <w:jc w:val="center"/>
            </w:pPr>
            <w:r>
              <w:rPr>
                <w:sz w:val="24"/>
              </w:rPr>
              <w:t>限售股</w:t>
            </w:r>
          </w:p>
        </w:tc>
        <w:tc>
          <w:tcPr>
            <w:tcW w:w="835" w:type="dxa"/>
            <w:vAlign w:val="center"/>
          </w:tcPr>
          <w:p>
            <w:pPr>
              <w:jc w:val="right"/>
            </w:pPr>
            <w:r>
              <w:rPr>
                <w:sz w:val="24"/>
              </w:rPr>
              <w:t>3.64</w:t>
            </w:r>
          </w:p>
        </w:tc>
        <w:tc>
          <w:tcPr>
            <w:tcW w:w="834" w:type="dxa"/>
            <w:vAlign w:val="center"/>
          </w:tcPr>
          <w:p>
            <w:pPr>
              <w:jc w:val="right"/>
            </w:pPr>
            <w:r>
              <w:rPr>
                <w:sz w:val="24"/>
              </w:rPr>
              <w:t>16.40</w:t>
            </w:r>
          </w:p>
        </w:tc>
        <w:tc>
          <w:tcPr>
            <w:tcW w:w="835" w:type="dxa"/>
            <w:vAlign w:val="center"/>
          </w:tcPr>
          <w:p>
            <w:pPr>
              <w:jc w:val="right"/>
            </w:pPr>
            <w:r>
              <w:rPr>
                <w:sz w:val="24"/>
              </w:rPr>
              <w:t>1,143</w:t>
            </w:r>
          </w:p>
        </w:tc>
        <w:tc>
          <w:tcPr>
            <w:tcW w:w="834" w:type="dxa"/>
            <w:vAlign w:val="center"/>
          </w:tcPr>
          <w:p>
            <w:pPr>
              <w:jc w:val="right"/>
            </w:pPr>
            <w:r>
              <w:rPr>
                <w:sz w:val="24"/>
              </w:rPr>
              <w:t>4,160.52</w:t>
            </w:r>
          </w:p>
        </w:tc>
        <w:tc>
          <w:tcPr>
            <w:tcW w:w="835" w:type="dxa"/>
            <w:vAlign w:val="center"/>
          </w:tcPr>
          <w:p>
            <w:pPr>
              <w:jc w:val="right"/>
            </w:pPr>
            <w:r>
              <w:rPr>
                <w:sz w:val="24"/>
              </w:rPr>
              <w:t>18,745.20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300892</w:t>
            </w:r>
          </w:p>
        </w:tc>
        <w:tc>
          <w:tcPr>
            <w:tcW w:w="835" w:type="dxa"/>
            <w:vAlign w:val="center"/>
          </w:tcPr>
          <w:p>
            <w:pPr>
              <w:jc w:val="center"/>
            </w:pPr>
            <w:r>
              <w:rPr>
                <w:sz w:val="24"/>
              </w:rPr>
              <w:t>品渥食品</w:t>
            </w:r>
          </w:p>
        </w:tc>
        <w:tc>
          <w:tcPr>
            <w:tcW w:w="834" w:type="dxa"/>
            <w:vAlign w:val="center"/>
          </w:tcPr>
          <w:p>
            <w:pPr>
              <w:jc w:val="center"/>
            </w:pPr>
            <w:r>
              <w:rPr>
                <w:sz w:val="24"/>
              </w:rPr>
              <w:t>2020-09-11</w:t>
            </w:r>
          </w:p>
        </w:tc>
        <w:tc>
          <w:tcPr>
            <w:tcW w:w="835" w:type="dxa"/>
            <w:vAlign w:val="center"/>
          </w:tcPr>
          <w:p>
            <w:pPr>
              <w:jc w:val="center"/>
            </w:pPr>
            <w:r>
              <w:rPr>
                <w:sz w:val="24"/>
              </w:rPr>
              <w:t>2021-03-30</w:t>
            </w:r>
          </w:p>
        </w:tc>
        <w:tc>
          <w:tcPr>
            <w:tcW w:w="834" w:type="dxa"/>
            <w:vAlign w:val="center"/>
          </w:tcPr>
          <w:p>
            <w:pPr>
              <w:jc w:val="center"/>
            </w:pPr>
            <w:r>
              <w:rPr>
                <w:sz w:val="24"/>
              </w:rPr>
              <w:t>限售股</w:t>
            </w:r>
          </w:p>
        </w:tc>
        <w:tc>
          <w:tcPr>
            <w:tcW w:w="835" w:type="dxa"/>
            <w:vAlign w:val="center"/>
          </w:tcPr>
          <w:p>
            <w:pPr>
              <w:jc w:val="right"/>
            </w:pPr>
            <w:r>
              <w:rPr>
                <w:sz w:val="24"/>
              </w:rPr>
              <w:t>26.66</w:t>
            </w:r>
          </w:p>
        </w:tc>
        <w:tc>
          <w:tcPr>
            <w:tcW w:w="834" w:type="dxa"/>
            <w:vAlign w:val="center"/>
          </w:tcPr>
          <w:p>
            <w:pPr>
              <w:jc w:val="right"/>
            </w:pPr>
            <w:r>
              <w:rPr>
                <w:sz w:val="24"/>
              </w:rPr>
              <w:t>60.01</w:t>
            </w:r>
          </w:p>
        </w:tc>
        <w:tc>
          <w:tcPr>
            <w:tcW w:w="835" w:type="dxa"/>
            <w:vAlign w:val="center"/>
          </w:tcPr>
          <w:p>
            <w:pPr>
              <w:jc w:val="right"/>
            </w:pPr>
            <w:r>
              <w:rPr>
                <w:sz w:val="24"/>
              </w:rPr>
              <w:t>272</w:t>
            </w:r>
          </w:p>
        </w:tc>
        <w:tc>
          <w:tcPr>
            <w:tcW w:w="834" w:type="dxa"/>
            <w:vAlign w:val="center"/>
          </w:tcPr>
          <w:p>
            <w:pPr>
              <w:jc w:val="right"/>
            </w:pPr>
            <w:r>
              <w:rPr>
                <w:sz w:val="24"/>
              </w:rPr>
              <w:t>7,251.52</w:t>
            </w:r>
          </w:p>
        </w:tc>
        <w:tc>
          <w:tcPr>
            <w:tcW w:w="835" w:type="dxa"/>
            <w:vAlign w:val="center"/>
          </w:tcPr>
          <w:p>
            <w:pPr>
              <w:jc w:val="right"/>
            </w:pPr>
            <w:r>
              <w:rPr>
                <w:sz w:val="24"/>
              </w:rPr>
              <w:t>16,322.72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300893</w:t>
            </w:r>
          </w:p>
        </w:tc>
        <w:tc>
          <w:tcPr>
            <w:tcW w:w="835" w:type="dxa"/>
            <w:vAlign w:val="center"/>
          </w:tcPr>
          <w:p>
            <w:pPr>
              <w:jc w:val="center"/>
            </w:pPr>
            <w:r>
              <w:rPr>
                <w:sz w:val="24"/>
              </w:rPr>
              <w:t>松原股份</w:t>
            </w:r>
          </w:p>
        </w:tc>
        <w:tc>
          <w:tcPr>
            <w:tcW w:w="834" w:type="dxa"/>
            <w:vAlign w:val="center"/>
          </w:tcPr>
          <w:p>
            <w:pPr>
              <w:jc w:val="center"/>
            </w:pPr>
            <w:r>
              <w:rPr>
                <w:sz w:val="24"/>
              </w:rPr>
              <w:t>2020-09-17</w:t>
            </w:r>
          </w:p>
        </w:tc>
        <w:tc>
          <w:tcPr>
            <w:tcW w:w="835" w:type="dxa"/>
            <w:vAlign w:val="center"/>
          </w:tcPr>
          <w:p>
            <w:pPr>
              <w:jc w:val="center"/>
            </w:pPr>
            <w:r>
              <w:rPr>
                <w:sz w:val="24"/>
              </w:rPr>
              <w:t>2021-03-24</w:t>
            </w:r>
          </w:p>
        </w:tc>
        <w:tc>
          <w:tcPr>
            <w:tcW w:w="834" w:type="dxa"/>
            <w:vAlign w:val="center"/>
          </w:tcPr>
          <w:p>
            <w:pPr>
              <w:jc w:val="center"/>
            </w:pPr>
            <w:r>
              <w:rPr>
                <w:sz w:val="24"/>
              </w:rPr>
              <w:t>限售股</w:t>
            </w:r>
          </w:p>
        </w:tc>
        <w:tc>
          <w:tcPr>
            <w:tcW w:w="835" w:type="dxa"/>
            <w:vAlign w:val="center"/>
          </w:tcPr>
          <w:p>
            <w:pPr>
              <w:jc w:val="right"/>
            </w:pPr>
            <w:r>
              <w:rPr>
                <w:sz w:val="24"/>
              </w:rPr>
              <w:t>13.47</w:t>
            </w:r>
          </w:p>
        </w:tc>
        <w:tc>
          <w:tcPr>
            <w:tcW w:w="834" w:type="dxa"/>
            <w:vAlign w:val="center"/>
          </w:tcPr>
          <w:p>
            <w:pPr>
              <w:jc w:val="right"/>
            </w:pPr>
            <w:r>
              <w:rPr>
                <w:sz w:val="24"/>
              </w:rPr>
              <w:t>35.08</w:t>
            </w:r>
          </w:p>
        </w:tc>
        <w:tc>
          <w:tcPr>
            <w:tcW w:w="835" w:type="dxa"/>
            <w:vAlign w:val="center"/>
          </w:tcPr>
          <w:p>
            <w:pPr>
              <w:jc w:val="right"/>
            </w:pPr>
            <w:r>
              <w:rPr>
                <w:sz w:val="24"/>
              </w:rPr>
              <w:t>276</w:t>
            </w:r>
          </w:p>
        </w:tc>
        <w:tc>
          <w:tcPr>
            <w:tcW w:w="834" w:type="dxa"/>
            <w:vAlign w:val="center"/>
          </w:tcPr>
          <w:p>
            <w:pPr>
              <w:jc w:val="right"/>
            </w:pPr>
            <w:r>
              <w:rPr>
                <w:sz w:val="24"/>
              </w:rPr>
              <w:t>3,717.72</w:t>
            </w:r>
          </w:p>
        </w:tc>
        <w:tc>
          <w:tcPr>
            <w:tcW w:w="835" w:type="dxa"/>
            <w:vAlign w:val="center"/>
          </w:tcPr>
          <w:p>
            <w:pPr>
              <w:jc w:val="right"/>
            </w:pPr>
            <w:r>
              <w:rPr>
                <w:sz w:val="24"/>
              </w:rPr>
              <w:t>9,682.08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300895</w:t>
            </w:r>
          </w:p>
        </w:tc>
        <w:tc>
          <w:tcPr>
            <w:tcW w:w="835" w:type="dxa"/>
            <w:vAlign w:val="center"/>
          </w:tcPr>
          <w:p>
            <w:pPr>
              <w:jc w:val="center"/>
            </w:pPr>
            <w:r>
              <w:rPr>
                <w:sz w:val="24"/>
              </w:rPr>
              <w:t>铜牛信息</w:t>
            </w:r>
          </w:p>
        </w:tc>
        <w:tc>
          <w:tcPr>
            <w:tcW w:w="834" w:type="dxa"/>
            <w:vAlign w:val="center"/>
          </w:tcPr>
          <w:p>
            <w:pPr>
              <w:jc w:val="center"/>
            </w:pPr>
            <w:r>
              <w:rPr>
                <w:sz w:val="24"/>
              </w:rPr>
              <w:t>2020-09-17</w:t>
            </w:r>
          </w:p>
        </w:tc>
        <w:tc>
          <w:tcPr>
            <w:tcW w:w="835" w:type="dxa"/>
            <w:vAlign w:val="center"/>
          </w:tcPr>
          <w:p>
            <w:pPr>
              <w:jc w:val="center"/>
            </w:pPr>
            <w:r>
              <w:rPr>
                <w:sz w:val="24"/>
              </w:rPr>
              <w:t>2021-03-24</w:t>
            </w:r>
          </w:p>
        </w:tc>
        <w:tc>
          <w:tcPr>
            <w:tcW w:w="834" w:type="dxa"/>
            <w:vAlign w:val="center"/>
          </w:tcPr>
          <w:p>
            <w:pPr>
              <w:jc w:val="center"/>
            </w:pPr>
            <w:r>
              <w:rPr>
                <w:sz w:val="24"/>
              </w:rPr>
              <w:t>限售股</w:t>
            </w:r>
          </w:p>
        </w:tc>
        <w:tc>
          <w:tcPr>
            <w:tcW w:w="835" w:type="dxa"/>
            <w:vAlign w:val="center"/>
          </w:tcPr>
          <w:p>
            <w:pPr>
              <w:jc w:val="right"/>
            </w:pPr>
            <w:r>
              <w:rPr>
                <w:sz w:val="24"/>
              </w:rPr>
              <w:t>12.65</w:t>
            </w:r>
          </w:p>
        </w:tc>
        <w:tc>
          <w:tcPr>
            <w:tcW w:w="834" w:type="dxa"/>
            <w:vAlign w:val="center"/>
          </w:tcPr>
          <w:p>
            <w:pPr>
              <w:jc w:val="right"/>
            </w:pPr>
            <w:r>
              <w:rPr>
                <w:sz w:val="24"/>
              </w:rPr>
              <w:t>45.30</w:t>
            </w:r>
          </w:p>
        </w:tc>
        <w:tc>
          <w:tcPr>
            <w:tcW w:w="835" w:type="dxa"/>
            <w:vAlign w:val="center"/>
          </w:tcPr>
          <w:p>
            <w:pPr>
              <w:jc w:val="right"/>
            </w:pPr>
            <w:r>
              <w:rPr>
                <w:sz w:val="24"/>
              </w:rPr>
              <w:t>283</w:t>
            </w:r>
          </w:p>
        </w:tc>
        <w:tc>
          <w:tcPr>
            <w:tcW w:w="834" w:type="dxa"/>
            <w:vAlign w:val="center"/>
          </w:tcPr>
          <w:p>
            <w:pPr>
              <w:jc w:val="right"/>
            </w:pPr>
            <w:r>
              <w:rPr>
                <w:sz w:val="24"/>
              </w:rPr>
              <w:t>3,579.95</w:t>
            </w:r>
          </w:p>
        </w:tc>
        <w:tc>
          <w:tcPr>
            <w:tcW w:w="835" w:type="dxa"/>
            <w:vAlign w:val="center"/>
          </w:tcPr>
          <w:p>
            <w:pPr>
              <w:jc w:val="right"/>
            </w:pPr>
            <w:r>
              <w:rPr>
                <w:sz w:val="24"/>
              </w:rPr>
              <w:t>12,819.90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300896</w:t>
            </w:r>
          </w:p>
        </w:tc>
        <w:tc>
          <w:tcPr>
            <w:tcW w:w="835" w:type="dxa"/>
            <w:vAlign w:val="center"/>
          </w:tcPr>
          <w:p>
            <w:pPr>
              <w:jc w:val="center"/>
            </w:pPr>
            <w:r>
              <w:rPr>
                <w:sz w:val="24"/>
              </w:rPr>
              <w:t>爱美客</w:t>
            </w:r>
          </w:p>
        </w:tc>
        <w:tc>
          <w:tcPr>
            <w:tcW w:w="834" w:type="dxa"/>
            <w:vAlign w:val="center"/>
          </w:tcPr>
          <w:p>
            <w:pPr>
              <w:jc w:val="center"/>
            </w:pPr>
            <w:r>
              <w:rPr>
                <w:sz w:val="24"/>
              </w:rPr>
              <w:t>2020-09-21</w:t>
            </w:r>
          </w:p>
        </w:tc>
        <w:tc>
          <w:tcPr>
            <w:tcW w:w="835" w:type="dxa"/>
            <w:vAlign w:val="center"/>
          </w:tcPr>
          <w:p>
            <w:pPr>
              <w:jc w:val="center"/>
            </w:pPr>
            <w:r>
              <w:rPr>
                <w:sz w:val="24"/>
              </w:rPr>
              <w:t>2021-03-29</w:t>
            </w:r>
          </w:p>
        </w:tc>
        <w:tc>
          <w:tcPr>
            <w:tcW w:w="834" w:type="dxa"/>
            <w:vAlign w:val="center"/>
          </w:tcPr>
          <w:p>
            <w:pPr>
              <w:jc w:val="center"/>
            </w:pPr>
            <w:r>
              <w:rPr>
                <w:sz w:val="24"/>
              </w:rPr>
              <w:t>限售股</w:t>
            </w:r>
          </w:p>
        </w:tc>
        <w:tc>
          <w:tcPr>
            <w:tcW w:w="835" w:type="dxa"/>
            <w:vAlign w:val="center"/>
          </w:tcPr>
          <w:p>
            <w:pPr>
              <w:jc w:val="right"/>
            </w:pPr>
            <w:r>
              <w:rPr>
                <w:sz w:val="24"/>
              </w:rPr>
              <w:t>118.27</w:t>
            </w:r>
          </w:p>
        </w:tc>
        <w:tc>
          <w:tcPr>
            <w:tcW w:w="834" w:type="dxa"/>
            <w:vAlign w:val="center"/>
          </w:tcPr>
          <w:p>
            <w:pPr>
              <w:jc w:val="right"/>
            </w:pPr>
            <w:r>
              <w:rPr>
                <w:sz w:val="24"/>
              </w:rPr>
              <w:t>603.36</w:t>
            </w:r>
          </w:p>
        </w:tc>
        <w:tc>
          <w:tcPr>
            <w:tcW w:w="835" w:type="dxa"/>
            <w:vAlign w:val="center"/>
          </w:tcPr>
          <w:p>
            <w:pPr>
              <w:jc w:val="right"/>
            </w:pPr>
            <w:r>
              <w:rPr>
                <w:sz w:val="24"/>
              </w:rPr>
              <w:t>473</w:t>
            </w:r>
          </w:p>
        </w:tc>
        <w:tc>
          <w:tcPr>
            <w:tcW w:w="834" w:type="dxa"/>
            <w:vAlign w:val="center"/>
          </w:tcPr>
          <w:p>
            <w:pPr>
              <w:jc w:val="right"/>
            </w:pPr>
            <w:r>
              <w:rPr>
                <w:sz w:val="24"/>
              </w:rPr>
              <w:t>55,941.71</w:t>
            </w:r>
          </w:p>
        </w:tc>
        <w:tc>
          <w:tcPr>
            <w:tcW w:w="835" w:type="dxa"/>
            <w:vAlign w:val="center"/>
          </w:tcPr>
          <w:p>
            <w:pPr>
              <w:jc w:val="right"/>
            </w:pPr>
            <w:r>
              <w:rPr>
                <w:sz w:val="24"/>
              </w:rPr>
              <w:t>285,389.28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300900</w:t>
            </w:r>
          </w:p>
        </w:tc>
        <w:tc>
          <w:tcPr>
            <w:tcW w:w="835" w:type="dxa"/>
            <w:vAlign w:val="center"/>
          </w:tcPr>
          <w:p>
            <w:pPr>
              <w:jc w:val="center"/>
            </w:pPr>
            <w:r>
              <w:rPr>
                <w:sz w:val="24"/>
              </w:rPr>
              <w:t>广联航空</w:t>
            </w:r>
          </w:p>
        </w:tc>
        <w:tc>
          <w:tcPr>
            <w:tcW w:w="834" w:type="dxa"/>
            <w:vAlign w:val="center"/>
          </w:tcPr>
          <w:p>
            <w:pPr>
              <w:jc w:val="center"/>
            </w:pPr>
            <w:r>
              <w:rPr>
                <w:sz w:val="24"/>
              </w:rPr>
              <w:t>2020-10-19</w:t>
            </w:r>
          </w:p>
        </w:tc>
        <w:tc>
          <w:tcPr>
            <w:tcW w:w="835" w:type="dxa"/>
            <w:vAlign w:val="center"/>
          </w:tcPr>
          <w:p>
            <w:pPr>
              <w:jc w:val="center"/>
            </w:pPr>
            <w:r>
              <w:rPr>
                <w:sz w:val="24"/>
              </w:rPr>
              <w:t>2021-04-29</w:t>
            </w:r>
          </w:p>
        </w:tc>
        <w:tc>
          <w:tcPr>
            <w:tcW w:w="834" w:type="dxa"/>
            <w:vAlign w:val="center"/>
          </w:tcPr>
          <w:p>
            <w:pPr>
              <w:jc w:val="center"/>
            </w:pPr>
            <w:r>
              <w:rPr>
                <w:sz w:val="24"/>
              </w:rPr>
              <w:t>限售股</w:t>
            </w:r>
          </w:p>
        </w:tc>
        <w:tc>
          <w:tcPr>
            <w:tcW w:w="835" w:type="dxa"/>
            <w:vAlign w:val="center"/>
          </w:tcPr>
          <w:p>
            <w:pPr>
              <w:jc w:val="right"/>
            </w:pPr>
            <w:r>
              <w:rPr>
                <w:sz w:val="24"/>
              </w:rPr>
              <w:t>17.87</w:t>
            </w:r>
          </w:p>
        </w:tc>
        <w:tc>
          <w:tcPr>
            <w:tcW w:w="834" w:type="dxa"/>
            <w:vAlign w:val="center"/>
          </w:tcPr>
          <w:p>
            <w:pPr>
              <w:jc w:val="right"/>
            </w:pPr>
            <w:r>
              <w:rPr>
                <w:sz w:val="24"/>
              </w:rPr>
              <w:t>33.16</w:t>
            </w:r>
          </w:p>
        </w:tc>
        <w:tc>
          <w:tcPr>
            <w:tcW w:w="835" w:type="dxa"/>
            <w:vAlign w:val="center"/>
          </w:tcPr>
          <w:p>
            <w:pPr>
              <w:jc w:val="right"/>
            </w:pPr>
            <w:r>
              <w:rPr>
                <w:sz w:val="24"/>
              </w:rPr>
              <w:t>879</w:t>
            </w:r>
          </w:p>
        </w:tc>
        <w:tc>
          <w:tcPr>
            <w:tcW w:w="834" w:type="dxa"/>
            <w:vAlign w:val="center"/>
          </w:tcPr>
          <w:p>
            <w:pPr>
              <w:jc w:val="right"/>
            </w:pPr>
            <w:r>
              <w:rPr>
                <w:sz w:val="24"/>
              </w:rPr>
              <w:t>15,707.73</w:t>
            </w:r>
          </w:p>
        </w:tc>
        <w:tc>
          <w:tcPr>
            <w:tcW w:w="835" w:type="dxa"/>
            <w:vAlign w:val="center"/>
          </w:tcPr>
          <w:p>
            <w:pPr>
              <w:jc w:val="right"/>
            </w:pPr>
            <w:r>
              <w:rPr>
                <w:sz w:val="24"/>
              </w:rPr>
              <w:t>29,147.64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300909</w:t>
            </w:r>
          </w:p>
        </w:tc>
        <w:tc>
          <w:tcPr>
            <w:tcW w:w="835" w:type="dxa"/>
            <w:vAlign w:val="center"/>
          </w:tcPr>
          <w:p>
            <w:pPr>
              <w:jc w:val="center"/>
            </w:pPr>
            <w:r>
              <w:rPr>
                <w:sz w:val="24"/>
              </w:rPr>
              <w:t>汇创达</w:t>
            </w:r>
          </w:p>
        </w:tc>
        <w:tc>
          <w:tcPr>
            <w:tcW w:w="834" w:type="dxa"/>
            <w:vAlign w:val="center"/>
          </w:tcPr>
          <w:p>
            <w:pPr>
              <w:jc w:val="center"/>
            </w:pPr>
            <w:r>
              <w:rPr>
                <w:sz w:val="24"/>
              </w:rPr>
              <w:t>2020-11-11</w:t>
            </w:r>
          </w:p>
        </w:tc>
        <w:tc>
          <w:tcPr>
            <w:tcW w:w="835" w:type="dxa"/>
            <w:vAlign w:val="center"/>
          </w:tcPr>
          <w:p>
            <w:pPr>
              <w:jc w:val="center"/>
            </w:pPr>
            <w:r>
              <w:rPr>
                <w:sz w:val="24"/>
              </w:rPr>
              <w:t>2021-05-18</w:t>
            </w:r>
          </w:p>
        </w:tc>
        <w:tc>
          <w:tcPr>
            <w:tcW w:w="834" w:type="dxa"/>
            <w:vAlign w:val="center"/>
          </w:tcPr>
          <w:p>
            <w:pPr>
              <w:jc w:val="center"/>
            </w:pPr>
            <w:r>
              <w:rPr>
                <w:sz w:val="24"/>
              </w:rPr>
              <w:t>限售股</w:t>
            </w:r>
          </w:p>
        </w:tc>
        <w:tc>
          <w:tcPr>
            <w:tcW w:w="835" w:type="dxa"/>
            <w:vAlign w:val="center"/>
          </w:tcPr>
          <w:p>
            <w:pPr>
              <w:jc w:val="right"/>
            </w:pPr>
            <w:r>
              <w:rPr>
                <w:sz w:val="24"/>
              </w:rPr>
              <w:t>29.57</w:t>
            </w:r>
          </w:p>
        </w:tc>
        <w:tc>
          <w:tcPr>
            <w:tcW w:w="834" w:type="dxa"/>
            <w:vAlign w:val="center"/>
          </w:tcPr>
          <w:p>
            <w:pPr>
              <w:jc w:val="right"/>
            </w:pPr>
            <w:r>
              <w:rPr>
                <w:sz w:val="24"/>
              </w:rPr>
              <w:t>40.67</w:t>
            </w:r>
          </w:p>
        </w:tc>
        <w:tc>
          <w:tcPr>
            <w:tcW w:w="835" w:type="dxa"/>
            <w:vAlign w:val="center"/>
          </w:tcPr>
          <w:p>
            <w:pPr>
              <w:jc w:val="right"/>
            </w:pPr>
            <w:r>
              <w:rPr>
                <w:sz w:val="24"/>
              </w:rPr>
              <w:t>386</w:t>
            </w:r>
          </w:p>
        </w:tc>
        <w:tc>
          <w:tcPr>
            <w:tcW w:w="834" w:type="dxa"/>
            <w:vAlign w:val="center"/>
          </w:tcPr>
          <w:p>
            <w:pPr>
              <w:jc w:val="right"/>
            </w:pPr>
            <w:r>
              <w:rPr>
                <w:sz w:val="24"/>
              </w:rPr>
              <w:t>11,414.02</w:t>
            </w:r>
          </w:p>
        </w:tc>
        <w:tc>
          <w:tcPr>
            <w:tcW w:w="835" w:type="dxa"/>
            <w:vAlign w:val="center"/>
          </w:tcPr>
          <w:p>
            <w:pPr>
              <w:jc w:val="right"/>
            </w:pPr>
            <w:r>
              <w:rPr>
                <w:sz w:val="24"/>
              </w:rPr>
              <w:t>15,698.62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300911</w:t>
            </w:r>
          </w:p>
        </w:tc>
        <w:tc>
          <w:tcPr>
            <w:tcW w:w="835" w:type="dxa"/>
            <w:vAlign w:val="center"/>
          </w:tcPr>
          <w:p>
            <w:pPr>
              <w:jc w:val="center"/>
            </w:pPr>
            <w:r>
              <w:rPr>
                <w:sz w:val="24"/>
              </w:rPr>
              <w:t>亿田智能</w:t>
            </w:r>
          </w:p>
        </w:tc>
        <w:tc>
          <w:tcPr>
            <w:tcW w:w="834" w:type="dxa"/>
            <w:vAlign w:val="center"/>
          </w:tcPr>
          <w:p>
            <w:pPr>
              <w:jc w:val="center"/>
            </w:pPr>
            <w:r>
              <w:rPr>
                <w:sz w:val="24"/>
              </w:rPr>
              <w:t>2020-11-24</w:t>
            </w:r>
          </w:p>
        </w:tc>
        <w:tc>
          <w:tcPr>
            <w:tcW w:w="835" w:type="dxa"/>
            <w:vAlign w:val="center"/>
          </w:tcPr>
          <w:p>
            <w:pPr>
              <w:jc w:val="center"/>
            </w:pPr>
            <w:r>
              <w:rPr>
                <w:sz w:val="24"/>
              </w:rPr>
              <w:t>2021-06-03</w:t>
            </w:r>
          </w:p>
        </w:tc>
        <w:tc>
          <w:tcPr>
            <w:tcW w:w="834" w:type="dxa"/>
            <w:vAlign w:val="center"/>
          </w:tcPr>
          <w:p>
            <w:pPr>
              <w:jc w:val="center"/>
            </w:pPr>
            <w:r>
              <w:rPr>
                <w:sz w:val="24"/>
              </w:rPr>
              <w:t>限售股</w:t>
            </w:r>
          </w:p>
        </w:tc>
        <w:tc>
          <w:tcPr>
            <w:tcW w:w="835" w:type="dxa"/>
            <w:vAlign w:val="center"/>
          </w:tcPr>
          <w:p>
            <w:pPr>
              <w:jc w:val="right"/>
            </w:pPr>
            <w:r>
              <w:rPr>
                <w:sz w:val="24"/>
              </w:rPr>
              <w:t>24.35</w:t>
            </w:r>
          </w:p>
        </w:tc>
        <w:tc>
          <w:tcPr>
            <w:tcW w:w="834" w:type="dxa"/>
            <w:vAlign w:val="center"/>
          </w:tcPr>
          <w:p>
            <w:pPr>
              <w:jc w:val="right"/>
            </w:pPr>
            <w:r>
              <w:rPr>
                <w:sz w:val="24"/>
              </w:rPr>
              <w:t>33.06</w:t>
            </w:r>
          </w:p>
        </w:tc>
        <w:tc>
          <w:tcPr>
            <w:tcW w:w="835" w:type="dxa"/>
            <w:vAlign w:val="center"/>
          </w:tcPr>
          <w:p>
            <w:pPr>
              <w:jc w:val="right"/>
            </w:pPr>
            <w:r>
              <w:rPr>
                <w:sz w:val="24"/>
              </w:rPr>
              <w:t>309</w:t>
            </w:r>
          </w:p>
        </w:tc>
        <w:tc>
          <w:tcPr>
            <w:tcW w:w="834" w:type="dxa"/>
            <w:vAlign w:val="center"/>
          </w:tcPr>
          <w:p>
            <w:pPr>
              <w:jc w:val="right"/>
            </w:pPr>
            <w:r>
              <w:rPr>
                <w:sz w:val="24"/>
              </w:rPr>
              <w:t>7,524.15</w:t>
            </w:r>
          </w:p>
        </w:tc>
        <w:tc>
          <w:tcPr>
            <w:tcW w:w="835" w:type="dxa"/>
            <w:vAlign w:val="center"/>
          </w:tcPr>
          <w:p>
            <w:pPr>
              <w:jc w:val="right"/>
            </w:pPr>
            <w:r>
              <w:rPr>
                <w:sz w:val="24"/>
              </w:rPr>
              <w:t>10,215.54</w:t>
            </w:r>
          </w:p>
        </w:tc>
        <w:tc>
          <w:tcPr>
            <w:tcW w:w="835" w:type="dxa"/>
            <w:vAlign w:val="center"/>
          </w:tcPr>
          <w:p>
            <w:pPr>
              <w:jc w:val="center"/>
            </w:pPr>
            <w:r>
              <w:rPr>
                <w:sz w:val="24"/>
              </w:rPr>
              <w:t>-</w:t>
            </w:r>
          </w:p>
        </w:tc>
      </w:tr>
      <w:tr>
        <w:tblPrEx>
          <w:tblCellMar>
            <w:top w:w="0" w:type="dxa"/>
            <w:left w:w="108" w:type="dxa"/>
            <w:bottom w:w="0" w:type="dxa"/>
            <w:right w:w="108" w:type="dxa"/>
          </w:tblCellMar>
        </w:tblPrEx>
        <w:tc>
          <w:tcPr>
            <w:tcW w:w="834" w:type="dxa"/>
            <w:vAlign w:val="center"/>
          </w:tcPr>
          <w:p>
            <w:pPr>
              <w:jc w:val="center"/>
            </w:pPr>
            <w:r>
              <w:rPr>
                <w:sz w:val="24"/>
              </w:rPr>
              <w:t>300917</w:t>
            </w:r>
          </w:p>
        </w:tc>
        <w:tc>
          <w:tcPr>
            <w:tcW w:w="835" w:type="dxa"/>
            <w:vAlign w:val="center"/>
          </w:tcPr>
          <w:p>
            <w:pPr>
              <w:jc w:val="center"/>
            </w:pPr>
            <w:r>
              <w:rPr>
                <w:sz w:val="24"/>
              </w:rPr>
              <w:t>特发服务</w:t>
            </w:r>
          </w:p>
        </w:tc>
        <w:tc>
          <w:tcPr>
            <w:tcW w:w="834" w:type="dxa"/>
            <w:vAlign w:val="center"/>
          </w:tcPr>
          <w:p>
            <w:pPr>
              <w:jc w:val="center"/>
            </w:pPr>
            <w:r>
              <w:rPr>
                <w:sz w:val="24"/>
              </w:rPr>
              <w:t>2020-12-14</w:t>
            </w:r>
          </w:p>
        </w:tc>
        <w:tc>
          <w:tcPr>
            <w:tcW w:w="835" w:type="dxa"/>
            <w:vAlign w:val="center"/>
          </w:tcPr>
          <w:p>
            <w:pPr>
              <w:jc w:val="center"/>
            </w:pPr>
            <w:r>
              <w:rPr>
                <w:sz w:val="24"/>
              </w:rPr>
              <w:t>2021-06-21</w:t>
            </w:r>
          </w:p>
        </w:tc>
        <w:tc>
          <w:tcPr>
            <w:tcW w:w="834" w:type="dxa"/>
            <w:vAlign w:val="center"/>
          </w:tcPr>
          <w:p>
            <w:pPr>
              <w:jc w:val="center"/>
            </w:pPr>
            <w:r>
              <w:rPr>
                <w:sz w:val="24"/>
              </w:rPr>
              <w:t>限售股</w:t>
            </w:r>
          </w:p>
        </w:tc>
        <w:tc>
          <w:tcPr>
            <w:tcW w:w="835" w:type="dxa"/>
            <w:vAlign w:val="center"/>
          </w:tcPr>
          <w:p>
            <w:pPr>
              <w:jc w:val="right"/>
            </w:pPr>
            <w:r>
              <w:rPr>
                <w:sz w:val="24"/>
              </w:rPr>
              <w:t>18.78</w:t>
            </w:r>
          </w:p>
        </w:tc>
        <w:tc>
          <w:tcPr>
            <w:tcW w:w="834" w:type="dxa"/>
            <w:vAlign w:val="center"/>
          </w:tcPr>
          <w:p>
            <w:pPr>
              <w:jc w:val="right"/>
            </w:pPr>
            <w:r>
              <w:rPr>
                <w:sz w:val="24"/>
              </w:rPr>
              <w:t>31.94</w:t>
            </w:r>
          </w:p>
        </w:tc>
        <w:tc>
          <w:tcPr>
            <w:tcW w:w="835" w:type="dxa"/>
            <w:vAlign w:val="center"/>
          </w:tcPr>
          <w:p>
            <w:pPr>
              <w:jc w:val="right"/>
            </w:pPr>
            <w:r>
              <w:rPr>
                <w:sz w:val="24"/>
              </w:rPr>
              <w:t>281</w:t>
            </w:r>
          </w:p>
        </w:tc>
        <w:tc>
          <w:tcPr>
            <w:tcW w:w="834" w:type="dxa"/>
            <w:vAlign w:val="center"/>
          </w:tcPr>
          <w:p>
            <w:pPr>
              <w:jc w:val="right"/>
            </w:pPr>
            <w:r>
              <w:rPr>
                <w:sz w:val="24"/>
              </w:rPr>
              <w:t>5,277.18</w:t>
            </w:r>
          </w:p>
        </w:tc>
        <w:tc>
          <w:tcPr>
            <w:tcW w:w="835" w:type="dxa"/>
            <w:vAlign w:val="center"/>
          </w:tcPr>
          <w:p>
            <w:pPr>
              <w:jc w:val="right"/>
            </w:pPr>
            <w:r>
              <w:rPr>
                <w:sz w:val="24"/>
              </w:rPr>
              <w:t>8,975.14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300918</w:t>
            </w:r>
          </w:p>
        </w:tc>
        <w:tc>
          <w:tcPr>
            <w:tcW w:w="835" w:type="dxa"/>
            <w:vAlign w:val="center"/>
          </w:tcPr>
          <w:p>
            <w:pPr>
              <w:jc w:val="center"/>
            </w:pPr>
            <w:r>
              <w:rPr>
                <w:sz w:val="24"/>
              </w:rPr>
              <w:t>南山智尚</w:t>
            </w:r>
          </w:p>
        </w:tc>
        <w:tc>
          <w:tcPr>
            <w:tcW w:w="834" w:type="dxa"/>
            <w:vAlign w:val="center"/>
          </w:tcPr>
          <w:p>
            <w:pPr>
              <w:jc w:val="center"/>
            </w:pPr>
            <w:r>
              <w:rPr>
                <w:sz w:val="24"/>
              </w:rPr>
              <w:t>2020-12-15</w:t>
            </w:r>
          </w:p>
        </w:tc>
        <w:tc>
          <w:tcPr>
            <w:tcW w:w="835" w:type="dxa"/>
            <w:vAlign w:val="center"/>
          </w:tcPr>
          <w:p>
            <w:pPr>
              <w:jc w:val="center"/>
            </w:pPr>
            <w:r>
              <w:rPr>
                <w:sz w:val="24"/>
              </w:rPr>
              <w:t>2021-06-22</w:t>
            </w:r>
          </w:p>
        </w:tc>
        <w:tc>
          <w:tcPr>
            <w:tcW w:w="834" w:type="dxa"/>
            <w:vAlign w:val="center"/>
          </w:tcPr>
          <w:p>
            <w:pPr>
              <w:jc w:val="center"/>
            </w:pPr>
            <w:r>
              <w:rPr>
                <w:sz w:val="24"/>
              </w:rPr>
              <w:t>限售股</w:t>
            </w:r>
          </w:p>
        </w:tc>
        <w:tc>
          <w:tcPr>
            <w:tcW w:w="835" w:type="dxa"/>
            <w:vAlign w:val="center"/>
          </w:tcPr>
          <w:p>
            <w:pPr>
              <w:jc w:val="right"/>
            </w:pPr>
            <w:r>
              <w:rPr>
                <w:sz w:val="24"/>
              </w:rPr>
              <w:t>4.97</w:t>
            </w:r>
          </w:p>
        </w:tc>
        <w:tc>
          <w:tcPr>
            <w:tcW w:w="834" w:type="dxa"/>
            <w:vAlign w:val="center"/>
          </w:tcPr>
          <w:p>
            <w:pPr>
              <w:jc w:val="right"/>
            </w:pPr>
            <w:r>
              <w:rPr>
                <w:sz w:val="24"/>
              </w:rPr>
              <w:t>8.94</w:t>
            </w:r>
          </w:p>
        </w:tc>
        <w:tc>
          <w:tcPr>
            <w:tcW w:w="835" w:type="dxa"/>
            <w:vAlign w:val="center"/>
          </w:tcPr>
          <w:p>
            <w:pPr>
              <w:jc w:val="right"/>
            </w:pPr>
            <w:r>
              <w:rPr>
                <w:sz w:val="24"/>
              </w:rPr>
              <w:t>1,063</w:t>
            </w:r>
          </w:p>
        </w:tc>
        <w:tc>
          <w:tcPr>
            <w:tcW w:w="834" w:type="dxa"/>
            <w:vAlign w:val="center"/>
          </w:tcPr>
          <w:p>
            <w:pPr>
              <w:jc w:val="right"/>
            </w:pPr>
            <w:r>
              <w:rPr>
                <w:sz w:val="24"/>
              </w:rPr>
              <w:t>5,283.11</w:t>
            </w:r>
          </w:p>
        </w:tc>
        <w:tc>
          <w:tcPr>
            <w:tcW w:w="835" w:type="dxa"/>
            <w:vAlign w:val="center"/>
          </w:tcPr>
          <w:p>
            <w:pPr>
              <w:jc w:val="right"/>
            </w:pPr>
            <w:r>
              <w:rPr>
                <w:sz w:val="24"/>
              </w:rPr>
              <w:t>9,503.22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300919</w:t>
            </w:r>
          </w:p>
        </w:tc>
        <w:tc>
          <w:tcPr>
            <w:tcW w:w="835" w:type="dxa"/>
            <w:vAlign w:val="center"/>
          </w:tcPr>
          <w:p>
            <w:pPr>
              <w:jc w:val="center"/>
            </w:pPr>
            <w:r>
              <w:rPr>
                <w:sz w:val="24"/>
              </w:rPr>
              <w:t>中伟股份</w:t>
            </w:r>
          </w:p>
        </w:tc>
        <w:tc>
          <w:tcPr>
            <w:tcW w:w="834" w:type="dxa"/>
            <w:vAlign w:val="center"/>
          </w:tcPr>
          <w:p>
            <w:pPr>
              <w:jc w:val="center"/>
            </w:pPr>
            <w:r>
              <w:rPr>
                <w:sz w:val="24"/>
              </w:rPr>
              <w:t>2020-12-15</w:t>
            </w:r>
          </w:p>
        </w:tc>
        <w:tc>
          <w:tcPr>
            <w:tcW w:w="835" w:type="dxa"/>
            <w:vAlign w:val="center"/>
          </w:tcPr>
          <w:p>
            <w:pPr>
              <w:jc w:val="center"/>
            </w:pPr>
            <w:r>
              <w:rPr>
                <w:sz w:val="24"/>
              </w:rPr>
              <w:t>2021-06-23</w:t>
            </w:r>
          </w:p>
        </w:tc>
        <w:tc>
          <w:tcPr>
            <w:tcW w:w="834" w:type="dxa"/>
            <w:vAlign w:val="center"/>
          </w:tcPr>
          <w:p>
            <w:pPr>
              <w:jc w:val="center"/>
            </w:pPr>
            <w:r>
              <w:rPr>
                <w:sz w:val="24"/>
              </w:rPr>
              <w:t>限售股</w:t>
            </w:r>
          </w:p>
        </w:tc>
        <w:tc>
          <w:tcPr>
            <w:tcW w:w="835" w:type="dxa"/>
            <w:vAlign w:val="center"/>
          </w:tcPr>
          <w:p>
            <w:pPr>
              <w:jc w:val="right"/>
            </w:pPr>
            <w:r>
              <w:rPr>
                <w:sz w:val="24"/>
              </w:rPr>
              <w:t>24.60</w:t>
            </w:r>
          </w:p>
        </w:tc>
        <w:tc>
          <w:tcPr>
            <w:tcW w:w="834" w:type="dxa"/>
            <w:vAlign w:val="center"/>
          </w:tcPr>
          <w:p>
            <w:pPr>
              <w:jc w:val="right"/>
            </w:pPr>
            <w:r>
              <w:rPr>
                <w:sz w:val="24"/>
              </w:rPr>
              <w:t>61.51</w:t>
            </w:r>
          </w:p>
        </w:tc>
        <w:tc>
          <w:tcPr>
            <w:tcW w:w="835" w:type="dxa"/>
            <w:vAlign w:val="center"/>
          </w:tcPr>
          <w:p>
            <w:pPr>
              <w:jc w:val="right"/>
            </w:pPr>
            <w:r>
              <w:rPr>
                <w:sz w:val="24"/>
              </w:rPr>
              <w:t>610</w:t>
            </w:r>
          </w:p>
        </w:tc>
        <w:tc>
          <w:tcPr>
            <w:tcW w:w="834" w:type="dxa"/>
            <w:vAlign w:val="center"/>
          </w:tcPr>
          <w:p>
            <w:pPr>
              <w:jc w:val="right"/>
            </w:pPr>
            <w:r>
              <w:rPr>
                <w:sz w:val="24"/>
              </w:rPr>
              <w:t>15,006.00</w:t>
            </w:r>
          </w:p>
        </w:tc>
        <w:tc>
          <w:tcPr>
            <w:tcW w:w="835" w:type="dxa"/>
            <w:vAlign w:val="center"/>
          </w:tcPr>
          <w:p>
            <w:pPr>
              <w:jc w:val="right"/>
            </w:pPr>
            <w:r>
              <w:rPr>
                <w:sz w:val="24"/>
              </w:rPr>
              <w:t>37,521.10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300922</w:t>
            </w:r>
          </w:p>
        </w:tc>
        <w:tc>
          <w:tcPr>
            <w:tcW w:w="835" w:type="dxa"/>
            <w:vAlign w:val="center"/>
          </w:tcPr>
          <w:p>
            <w:pPr>
              <w:jc w:val="center"/>
            </w:pPr>
            <w:r>
              <w:rPr>
                <w:sz w:val="24"/>
              </w:rPr>
              <w:t>天秦装备</w:t>
            </w:r>
          </w:p>
        </w:tc>
        <w:tc>
          <w:tcPr>
            <w:tcW w:w="834" w:type="dxa"/>
            <w:vAlign w:val="center"/>
          </w:tcPr>
          <w:p>
            <w:pPr>
              <w:jc w:val="center"/>
            </w:pPr>
            <w:r>
              <w:rPr>
                <w:sz w:val="24"/>
              </w:rPr>
              <w:t>2020-12-18</w:t>
            </w:r>
          </w:p>
        </w:tc>
        <w:tc>
          <w:tcPr>
            <w:tcW w:w="835" w:type="dxa"/>
            <w:vAlign w:val="center"/>
          </w:tcPr>
          <w:p>
            <w:pPr>
              <w:jc w:val="center"/>
            </w:pPr>
            <w:r>
              <w:rPr>
                <w:sz w:val="24"/>
              </w:rPr>
              <w:t>2021-06-25</w:t>
            </w:r>
          </w:p>
        </w:tc>
        <w:tc>
          <w:tcPr>
            <w:tcW w:w="834" w:type="dxa"/>
            <w:vAlign w:val="center"/>
          </w:tcPr>
          <w:p>
            <w:pPr>
              <w:jc w:val="center"/>
            </w:pPr>
            <w:r>
              <w:rPr>
                <w:sz w:val="24"/>
              </w:rPr>
              <w:t>限售股</w:t>
            </w:r>
          </w:p>
        </w:tc>
        <w:tc>
          <w:tcPr>
            <w:tcW w:w="835" w:type="dxa"/>
            <w:vAlign w:val="center"/>
          </w:tcPr>
          <w:p>
            <w:pPr>
              <w:jc w:val="right"/>
            </w:pPr>
            <w:r>
              <w:rPr>
                <w:sz w:val="24"/>
              </w:rPr>
              <w:t>16.05</w:t>
            </w:r>
          </w:p>
        </w:tc>
        <w:tc>
          <w:tcPr>
            <w:tcW w:w="834" w:type="dxa"/>
            <w:vAlign w:val="center"/>
          </w:tcPr>
          <w:p>
            <w:pPr>
              <w:jc w:val="right"/>
            </w:pPr>
            <w:r>
              <w:rPr>
                <w:sz w:val="24"/>
              </w:rPr>
              <w:t>31.58</w:t>
            </w:r>
          </w:p>
        </w:tc>
        <w:tc>
          <w:tcPr>
            <w:tcW w:w="835" w:type="dxa"/>
            <w:vAlign w:val="center"/>
          </w:tcPr>
          <w:p>
            <w:pPr>
              <w:jc w:val="right"/>
            </w:pPr>
            <w:r>
              <w:rPr>
                <w:sz w:val="24"/>
              </w:rPr>
              <w:t>287</w:t>
            </w:r>
          </w:p>
        </w:tc>
        <w:tc>
          <w:tcPr>
            <w:tcW w:w="834" w:type="dxa"/>
            <w:vAlign w:val="center"/>
          </w:tcPr>
          <w:p>
            <w:pPr>
              <w:jc w:val="right"/>
            </w:pPr>
            <w:r>
              <w:rPr>
                <w:sz w:val="24"/>
              </w:rPr>
              <w:t>4,606.35</w:t>
            </w:r>
          </w:p>
        </w:tc>
        <w:tc>
          <w:tcPr>
            <w:tcW w:w="835" w:type="dxa"/>
            <w:vAlign w:val="center"/>
          </w:tcPr>
          <w:p>
            <w:pPr>
              <w:jc w:val="right"/>
            </w:pPr>
            <w:r>
              <w:rPr>
                <w:sz w:val="24"/>
              </w:rPr>
              <w:t>9,063.46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300925</w:t>
            </w:r>
          </w:p>
        </w:tc>
        <w:tc>
          <w:tcPr>
            <w:tcW w:w="835" w:type="dxa"/>
            <w:vAlign w:val="center"/>
          </w:tcPr>
          <w:p>
            <w:pPr>
              <w:jc w:val="center"/>
            </w:pPr>
            <w:r>
              <w:rPr>
                <w:sz w:val="24"/>
              </w:rPr>
              <w:t>法本信息</w:t>
            </w:r>
          </w:p>
        </w:tc>
        <w:tc>
          <w:tcPr>
            <w:tcW w:w="834" w:type="dxa"/>
            <w:vAlign w:val="center"/>
          </w:tcPr>
          <w:p>
            <w:pPr>
              <w:jc w:val="center"/>
            </w:pPr>
            <w:r>
              <w:rPr>
                <w:sz w:val="24"/>
              </w:rPr>
              <w:t>2020-12-21</w:t>
            </w:r>
          </w:p>
        </w:tc>
        <w:tc>
          <w:tcPr>
            <w:tcW w:w="835" w:type="dxa"/>
            <w:vAlign w:val="center"/>
          </w:tcPr>
          <w:p>
            <w:pPr>
              <w:jc w:val="center"/>
            </w:pPr>
            <w:r>
              <w:rPr>
                <w:sz w:val="24"/>
              </w:rPr>
              <w:t>2021-06-30</w:t>
            </w:r>
          </w:p>
        </w:tc>
        <w:tc>
          <w:tcPr>
            <w:tcW w:w="834" w:type="dxa"/>
            <w:vAlign w:val="center"/>
          </w:tcPr>
          <w:p>
            <w:pPr>
              <w:jc w:val="center"/>
            </w:pPr>
            <w:r>
              <w:rPr>
                <w:sz w:val="24"/>
              </w:rPr>
              <w:t>限售股</w:t>
            </w:r>
          </w:p>
        </w:tc>
        <w:tc>
          <w:tcPr>
            <w:tcW w:w="835" w:type="dxa"/>
            <w:vAlign w:val="center"/>
          </w:tcPr>
          <w:p>
            <w:pPr>
              <w:jc w:val="right"/>
            </w:pPr>
            <w:r>
              <w:rPr>
                <w:sz w:val="24"/>
              </w:rPr>
              <w:t>20.08</w:t>
            </w:r>
          </w:p>
        </w:tc>
        <w:tc>
          <w:tcPr>
            <w:tcW w:w="834" w:type="dxa"/>
            <w:vAlign w:val="center"/>
          </w:tcPr>
          <w:p>
            <w:pPr>
              <w:jc w:val="right"/>
            </w:pPr>
            <w:r>
              <w:rPr>
                <w:sz w:val="24"/>
              </w:rPr>
              <w:t>37.33</w:t>
            </w:r>
          </w:p>
        </w:tc>
        <w:tc>
          <w:tcPr>
            <w:tcW w:w="835" w:type="dxa"/>
            <w:vAlign w:val="center"/>
          </w:tcPr>
          <w:p>
            <w:pPr>
              <w:jc w:val="right"/>
            </w:pPr>
            <w:r>
              <w:rPr>
                <w:sz w:val="24"/>
              </w:rPr>
              <w:t>353</w:t>
            </w:r>
          </w:p>
        </w:tc>
        <w:tc>
          <w:tcPr>
            <w:tcW w:w="834" w:type="dxa"/>
            <w:vAlign w:val="center"/>
          </w:tcPr>
          <w:p>
            <w:pPr>
              <w:jc w:val="right"/>
            </w:pPr>
            <w:r>
              <w:rPr>
                <w:sz w:val="24"/>
              </w:rPr>
              <w:t>7,088.24</w:t>
            </w:r>
          </w:p>
        </w:tc>
        <w:tc>
          <w:tcPr>
            <w:tcW w:w="835" w:type="dxa"/>
            <w:vAlign w:val="center"/>
          </w:tcPr>
          <w:p>
            <w:pPr>
              <w:jc w:val="right"/>
            </w:pPr>
            <w:r>
              <w:rPr>
                <w:sz w:val="24"/>
              </w:rPr>
              <w:t>13,177.49</w:t>
            </w:r>
          </w:p>
        </w:tc>
        <w:tc>
          <w:tcPr>
            <w:tcW w:w="835" w:type="dxa"/>
            <w:vAlign w:val="center"/>
          </w:tcPr>
          <w:p>
            <w:pPr>
              <w:jc w:val="center"/>
            </w:pPr>
            <w:r>
              <w:rPr>
                <w:sz w:val="24"/>
              </w:rPr>
              <w:t>-</w:t>
            </w:r>
          </w:p>
        </w:tc>
      </w:tr>
      <w:tr>
        <w:tc>
          <w:tcPr>
            <w:tcW w:w="834" w:type="dxa"/>
            <w:vAlign w:val="bottom"/>
          </w:tcPr>
          <w:p>
            <w:pPr>
              <w:jc w:val="center"/>
              <w:rPr>
                <w:sz w:val="24"/>
              </w:rPr>
            </w:pPr>
            <w:r>
              <w:rPr>
                <w:sz w:val="24"/>
              </w:rPr>
              <w:t>300926</w:t>
            </w:r>
          </w:p>
        </w:tc>
        <w:tc>
          <w:tcPr>
            <w:tcW w:w="835" w:type="dxa"/>
            <w:vAlign w:val="bottom"/>
          </w:tcPr>
          <w:p>
            <w:pPr>
              <w:jc w:val="center"/>
              <w:rPr>
                <w:sz w:val="24"/>
              </w:rPr>
            </w:pPr>
            <w:r>
              <w:rPr>
                <w:sz w:val="24"/>
              </w:rPr>
              <w:t>博俊科技</w:t>
            </w:r>
          </w:p>
        </w:tc>
        <w:tc>
          <w:tcPr>
            <w:tcW w:w="834" w:type="dxa"/>
            <w:vAlign w:val="bottom"/>
          </w:tcPr>
          <w:p>
            <w:pPr>
              <w:jc w:val="center"/>
              <w:rPr>
                <w:sz w:val="24"/>
              </w:rPr>
            </w:pPr>
            <w:r>
              <w:rPr>
                <w:sz w:val="24"/>
              </w:rPr>
              <w:t>2020-12-29</w:t>
            </w:r>
          </w:p>
        </w:tc>
        <w:tc>
          <w:tcPr>
            <w:tcW w:w="835" w:type="dxa"/>
            <w:vAlign w:val="bottom"/>
          </w:tcPr>
          <w:p>
            <w:pPr>
              <w:jc w:val="center"/>
              <w:rPr>
                <w:sz w:val="24"/>
              </w:rPr>
            </w:pPr>
            <w:r>
              <w:rPr>
                <w:sz w:val="24"/>
              </w:rPr>
              <w:t>2021-07-07</w:t>
            </w:r>
          </w:p>
        </w:tc>
        <w:tc>
          <w:tcPr>
            <w:tcW w:w="834" w:type="dxa"/>
            <w:vAlign w:val="bottom"/>
          </w:tcPr>
          <w:p>
            <w:pPr>
              <w:jc w:val="center"/>
              <w:rPr>
                <w:sz w:val="24"/>
              </w:rPr>
            </w:pPr>
            <w:r>
              <w:rPr>
                <w:sz w:val="24"/>
              </w:rPr>
              <w:t>新股未上市且限售股</w:t>
            </w:r>
          </w:p>
        </w:tc>
        <w:tc>
          <w:tcPr>
            <w:tcW w:w="835" w:type="dxa"/>
            <w:vAlign w:val="bottom"/>
          </w:tcPr>
          <w:p>
            <w:pPr>
              <w:jc w:val="center"/>
              <w:rPr>
                <w:sz w:val="24"/>
              </w:rPr>
            </w:pPr>
            <w:r>
              <w:rPr>
                <w:sz w:val="24"/>
              </w:rPr>
              <w:t>10.76</w:t>
            </w:r>
          </w:p>
        </w:tc>
        <w:tc>
          <w:tcPr>
            <w:tcW w:w="834" w:type="dxa"/>
            <w:vAlign w:val="bottom"/>
          </w:tcPr>
          <w:p>
            <w:pPr>
              <w:jc w:val="center"/>
              <w:rPr>
                <w:sz w:val="24"/>
              </w:rPr>
            </w:pPr>
            <w:r>
              <w:rPr>
                <w:sz w:val="24"/>
              </w:rPr>
              <w:t>10.76</w:t>
            </w:r>
          </w:p>
        </w:tc>
        <w:tc>
          <w:tcPr>
            <w:tcW w:w="835" w:type="dxa"/>
            <w:vAlign w:val="bottom"/>
          </w:tcPr>
          <w:p>
            <w:pPr>
              <w:jc w:val="center"/>
              <w:rPr>
                <w:sz w:val="24"/>
              </w:rPr>
            </w:pPr>
            <w:r>
              <w:rPr>
                <w:sz w:val="24"/>
              </w:rPr>
              <w:t>359</w:t>
            </w:r>
          </w:p>
        </w:tc>
        <w:tc>
          <w:tcPr>
            <w:tcW w:w="834" w:type="dxa"/>
            <w:vAlign w:val="bottom"/>
          </w:tcPr>
          <w:p>
            <w:pPr>
              <w:jc w:val="center"/>
              <w:rPr>
                <w:sz w:val="24"/>
              </w:rPr>
            </w:pPr>
            <w:r>
              <w:rPr>
                <w:sz w:val="24"/>
              </w:rPr>
              <w:t>3,862.84</w:t>
            </w:r>
          </w:p>
        </w:tc>
        <w:tc>
          <w:tcPr>
            <w:tcW w:w="835" w:type="dxa"/>
            <w:vAlign w:val="bottom"/>
          </w:tcPr>
          <w:p>
            <w:pPr>
              <w:jc w:val="center"/>
              <w:rPr>
                <w:sz w:val="24"/>
              </w:rPr>
            </w:pPr>
            <w:r>
              <w:rPr>
                <w:sz w:val="24"/>
              </w:rPr>
              <w:t>3,862.84</w:t>
            </w:r>
          </w:p>
        </w:tc>
        <w:tc>
          <w:tcPr>
            <w:tcW w:w="835" w:type="dxa"/>
            <w:vAlign w:val="bottom"/>
          </w:tcPr>
          <w:p>
            <w:pPr>
              <w:jc w:val="center"/>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bottom"/>
          </w:tcPr>
          <w:p>
            <w:pPr>
              <w:jc w:val="center"/>
              <w:rPr>
                <w:sz w:val="24"/>
              </w:rPr>
            </w:pPr>
            <w:r>
              <w:rPr>
                <w:sz w:val="24"/>
              </w:rPr>
              <w:t>300926</w:t>
            </w:r>
          </w:p>
        </w:tc>
        <w:tc>
          <w:tcPr>
            <w:tcW w:w="835" w:type="dxa"/>
            <w:vAlign w:val="bottom"/>
          </w:tcPr>
          <w:p>
            <w:pPr>
              <w:jc w:val="center"/>
              <w:rPr>
                <w:sz w:val="24"/>
              </w:rPr>
            </w:pPr>
            <w:r>
              <w:rPr>
                <w:sz w:val="24"/>
              </w:rPr>
              <w:t>博俊科技</w:t>
            </w:r>
          </w:p>
        </w:tc>
        <w:tc>
          <w:tcPr>
            <w:tcW w:w="834" w:type="dxa"/>
            <w:vAlign w:val="bottom"/>
          </w:tcPr>
          <w:p>
            <w:pPr>
              <w:jc w:val="center"/>
              <w:rPr>
                <w:sz w:val="24"/>
              </w:rPr>
            </w:pPr>
            <w:r>
              <w:rPr>
                <w:sz w:val="24"/>
              </w:rPr>
              <w:t>2020-12-29</w:t>
            </w:r>
          </w:p>
        </w:tc>
        <w:tc>
          <w:tcPr>
            <w:tcW w:w="835" w:type="dxa"/>
            <w:vAlign w:val="bottom"/>
          </w:tcPr>
          <w:p>
            <w:pPr>
              <w:jc w:val="center"/>
              <w:rPr>
                <w:sz w:val="24"/>
              </w:rPr>
            </w:pPr>
            <w:r>
              <w:rPr>
                <w:sz w:val="24"/>
              </w:rPr>
              <w:t>2021-01-07</w:t>
            </w:r>
          </w:p>
        </w:tc>
        <w:tc>
          <w:tcPr>
            <w:tcW w:w="834" w:type="dxa"/>
            <w:vAlign w:val="bottom"/>
          </w:tcPr>
          <w:p>
            <w:pPr>
              <w:jc w:val="center"/>
              <w:rPr>
                <w:sz w:val="24"/>
              </w:rPr>
            </w:pPr>
            <w:r>
              <w:rPr>
                <w:sz w:val="24"/>
              </w:rPr>
              <w:t>新股未上市</w:t>
            </w:r>
          </w:p>
        </w:tc>
        <w:tc>
          <w:tcPr>
            <w:tcW w:w="835" w:type="dxa"/>
            <w:vAlign w:val="bottom"/>
          </w:tcPr>
          <w:p>
            <w:pPr>
              <w:jc w:val="center"/>
              <w:rPr>
                <w:sz w:val="24"/>
              </w:rPr>
            </w:pPr>
            <w:r>
              <w:rPr>
                <w:sz w:val="24"/>
              </w:rPr>
              <w:t>10.76</w:t>
            </w:r>
          </w:p>
        </w:tc>
        <w:tc>
          <w:tcPr>
            <w:tcW w:w="834" w:type="dxa"/>
            <w:vAlign w:val="bottom"/>
          </w:tcPr>
          <w:p>
            <w:pPr>
              <w:jc w:val="center"/>
              <w:rPr>
                <w:sz w:val="24"/>
              </w:rPr>
            </w:pPr>
            <w:r>
              <w:rPr>
                <w:sz w:val="24"/>
              </w:rPr>
              <w:t>10.76</w:t>
            </w:r>
          </w:p>
        </w:tc>
        <w:tc>
          <w:tcPr>
            <w:tcW w:w="835" w:type="dxa"/>
            <w:vAlign w:val="bottom"/>
          </w:tcPr>
          <w:p>
            <w:pPr>
              <w:jc w:val="center"/>
              <w:rPr>
                <w:sz w:val="24"/>
              </w:rPr>
            </w:pPr>
            <w:r>
              <w:rPr>
                <w:sz w:val="24"/>
              </w:rPr>
              <w:t>3,225</w:t>
            </w:r>
          </w:p>
        </w:tc>
        <w:tc>
          <w:tcPr>
            <w:tcW w:w="834" w:type="dxa"/>
            <w:vAlign w:val="bottom"/>
          </w:tcPr>
          <w:p>
            <w:pPr>
              <w:jc w:val="center"/>
              <w:rPr>
                <w:sz w:val="24"/>
              </w:rPr>
            </w:pPr>
            <w:r>
              <w:rPr>
                <w:sz w:val="24"/>
              </w:rPr>
              <w:t>34,701.00</w:t>
            </w:r>
          </w:p>
        </w:tc>
        <w:tc>
          <w:tcPr>
            <w:tcW w:w="835" w:type="dxa"/>
            <w:vAlign w:val="bottom"/>
          </w:tcPr>
          <w:p>
            <w:pPr>
              <w:jc w:val="center"/>
              <w:rPr>
                <w:sz w:val="24"/>
              </w:rPr>
            </w:pPr>
            <w:r>
              <w:rPr>
                <w:sz w:val="24"/>
              </w:rPr>
              <w:t>34,701.00</w:t>
            </w:r>
          </w:p>
        </w:tc>
        <w:tc>
          <w:tcPr>
            <w:tcW w:w="835" w:type="dxa"/>
            <w:vAlign w:val="bottom"/>
          </w:tcPr>
          <w:p>
            <w:pPr>
              <w:jc w:val="center"/>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bottom"/>
          </w:tcPr>
          <w:p>
            <w:pPr>
              <w:jc w:val="center"/>
              <w:rPr>
                <w:sz w:val="24"/>
              </w:rPr>
            </w:pPr>
            <w:r>
              <w:rPr>
                <w:sz w:val="24"/>
              </w:rPr>
              <w:t>300927</w:t>
            </w:r>
          </w:p>
        </w:tc>
        <w:tc>
          <w:tcPr>
            <w:tcW w:w="835" w:type="dxa"/>
            <w:vAlign w:val="bottom"/>
          </w:tcPr>
          <w:p>
            <w:pPr>
              <w:jc w:val="center"/>
              <w:rPr>
                <w:sz w:val="24"/>
              </w:rPr>
            </w:pPr>
            <w:r>
              <w:rPr>
                <w:sz w:val="24"/>
              </w:rPr>
              <w:t>江天化学</w:t>
            </w:r>
          </w:p>
        </w:tc>
        <w:tc>
          <w:tcPr>
            <w:tcW w:w="834" w:type="dxa"/>
            <w:vAlign w:val="bottom"/>
          </w:tcPr>
          <w:p>
            <w:pPr>
              <w:jc w:val="center"/>
              <w:rPr>
                <w:sz w:val="24"/>
              </w:rPr>
            </w:pPr>
            <w:r>
              <w:rPr>
                <w:sz w:val="24"/>
              </w:rPr>
              <w:t>2020-12-29</w:t>
            </w:r>
          </w:p>
        </w:tc>
        <w:tc>
          <w:tcPr>
            <w:tcW w:w="835" w:type="dxa"/>
            <w:vAlign w:val="bottom"/>
          </w:tcPr>
          <w:p>
            <w:pPr>
              <w:jc w:val="center"/>
              <w:rPr>
                <w:sz w:val="24"/>
              </w:rPr>
            </w:pPr>
            <w:r>
              <w:rPr>
                <w:sz w:val="24"/>
              </w:rPr>
              <w:t>2021-07-07</w:t>
            </w:r>
          </w:p>
        </w:tc>
        <w:tc>
          <w:tcPr>
            <w:tcW w:w="834" w:type="dxa"/>
            <w:vAlign w:val="bottom"/>
          </w:tcPr>
          <w:p>
            <w:pPr>
              <w:jc w:val="center"/>
              <w:rPr>
                <w:sz w:val="24"/>
              </w:rPr>
            </w:pPr>
            <w:r>
              <w:rPr>
                <w:sz w:val="24"/>
              </w:rPr>
              <w:t>新股未上市且限售股</w:t>
            </w:r>
          </w:p>
        </w:tc>
        <w:tc>
          <w:tcPr>
            <w:tcW w:w="835" w:type="dxa"/>
            <w:vAlign w:val="bottom"/>
          </w:tcPr>
          <w:p>
            <w:pPr>
              <w:jc w:val="center"/>
              <w:rPr>
                <w:sz w:val="24"/>
              </w:rPr>
            </w:pPr>
            <w:r>
              <w:rPr>
                <w:sz w:val="24"/>
              </w:rPr>
              <w:t>13.39</w:t>
            </w:r>
          </w:p>
        </w:tc>
        <w:tc>
          <w:tcPr>
            <w:tcW w:w="834" w:type="dxa"/>
            <w:vAlign w:val="bottom"/>
          </w:tcPr>
          <w:p>
            <w:pPr>
              <w:jc w:val="center"/>
              <w:rPr>
                <w:sz w:val="24"/>
              </w:rPr>
            </w:pPr>
            <w:r>
              <w:rPr>
                <w:sz w:val="24"/>
              </w:rPr>
              <w:t>13.39</w:t>
            </w:r>
          </w:p>
        </w:tc>
        <w:tc>
          <w:tcPr>
            <w:tcW w:w="835" w:type="dxa"/>
            <w:vAlign w:val="bottom"/>
          </w:tcPr>
          <w:p>
            <w:pPr>
              <w:jc w:val="center"/>
              <w:rPr>
                <w:sz w:val="24"/>
              </w:rPr>
            </w:pPr>
            <w:r>
              <w:rPr>
                <w:sz w:val="24"/>
              </w:rPr>
              <w:t>217</w:t>
            </w:r>
          </w:p>
        </w:tc>
        <w:tc>
          <w:tcPr>
            <w:tcW w:w="834" w:type="dxa"/>
            <w:vAlign w:val="bottom"/>
          </w:tcPr>
          <w:p>
            <w:pPr>
              <w:jc w:val="center"/>
              <w:rPr>
                <w:sz w:val="24"/>
              </w:rPr>
            </w:pPr>
            <w:r>
              <w:rPr>
                <w:sz w:val="24"/>
              </w:rPr>
              <w:t>2,905.63</w:t>
            </w:r>
          </w:p>
        </w:tc>
        <w:tc>
          <w:tcPr>
            <w:tcW w:w="835" w:type="dxa"/>
            <w:vAlign w:val="bottom"/>
          </w:tcPr>
          <w:p>
            <w:pPr>
              <w:jc w:val="center"/>
              <w:rPr>
                <w:sz w:val="24"/>
              </w:rPr>
            </w:pPr>
            <w:r>
              <w:rPr>
                <w:sz w:val="24"/>
              </w:rPr>
              <w:t>2,905.63</w:t>
            </w:r>
          </w:p>
        </w:tc>
        <w:tc>
          <w:tcPr>
            <w:tcW w:w="835" w:type="dxa"/>
            <w:vAlign w:val="bottom"/>
          </w:tcPr>
          <w:p>
            <w:pPr>
              <w:jc w:val="center"/>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bottom"/>
          </w:tcPr>
          <w:p>
            <w:pPr>
              <w:jc w:val="center"/>
              <w:rPr>
                <w:sz w:val="24"/>
              </w:rPr>
            </w:pPr>
            <w:r>
              <w:rPr>
                <w:sz w:val="24"/>
              </w:rPr>
              <w:t>300927</w:t>
            </w:r>
          </w:p>
        </w:tc>
        <w:tc>
          <w:tcPr>
            <w:tcW w:w="835" w:type="dxa"/>
            <w:vAlign w:val="bottom"/>
          </w:tcPr>
          <w:p>
            <w:pPr>
              <w:jc w:val="center"/>
              <w:rPr>
                <w:sz w:val="24"/>
              </w:rPr>
            </w:pPr>
            <w:r>
              <w:rPr>
                <w:sz w:val="24"/>
              </w:rPr>
              <w:t>江天化学</w:t>
            </w:r>
          </w:p>
        </w:tc>
        <w:tc>
          <w:tcPr>
            <w:tcW w:w="834" w:type="dxa"/>
            <w:vAlign w:val="bottom"/>
          </w:tcPr>
          <w:p>
            <w:pPr>
              <w:jc w:val="center"/>
              <w:rPr>
                <w:sz w:val="24"/>
              </w:rPr>
            </w:pPr>
            <w:r>
              <w:rPr>
                <w:sz w:val="24"/>
              </w:rPr>
              <w:t>2020-12-29</w:t>
            </w:r>
          </w:p>
        </w:tc>
        <w:tc>
          <w:tcPr>
            <w:tcW w:w="835" w:type="dxa"/>
            <w:vAlign w:val="bottom"/>
          </w:tcPr>
          <w:p>
            <w:pPr>
              <w:jc w:val="center"/>
              <w:rPr>
                <w:sz w:val="24"/>
              </w:rPr>
            </w:pPr>
            <w:r>
              <w:rPr>
                <w:sz w:val="24"/>
              </w:rPr>
              <w:t>2021-01-07</w:t>
            </w:r>
          </w:p>
        </w:tc>
        <w:tc>
          <w:tcPr>
            <w:tcW w:w="834" w:type="dxa"/>
            <w:vAlign w:val="bottom"/>
          </w:tcPr>
          <w:p>
            <w:pPr>
              <w:jc w:val="center"/>
              <w:rPr>
                <w:sz w:val="24"/>
              </w:rPr>
            </w:pPr>
            <w:r>
              <w:rPr>
                <w:sz w:val="24"/>
              </w:rPr>
              <w:t>新股未上市</w:t>
            </w:r>
          </w:p>
        </w:tc>
        <w:tc>
          <w:tcPr>
            <w:tcW w:w="835" w:type="dxa"/>
            <w:vAlign w:val="bottom"/>
          </w:tcPr>
          <w:p>
            <w:pPr>
              <w:jc w:val="center"/>
              <w:rPr>
                <w:sz w:val="24"/>
              </w:rPr>
            </w:pPr>
            <w:r>
              <w:rPr>
                <w:sz w:val="24"/>
              </w:rPr>
              <w:t>13.39</w:t>
            </w:r>
          </w:p>
        </w:tc>
        <w:tc>
          <w:tcPr>
            <w:tcW w:w="834" w:type="dxa"/>
            <w:vAlign w:val="bottom"/>
          </w:tcPr>
          <w:p>
            <w:pPr>
              <w:jc w:val="center"/>
              <w:rPr>
                <w:sz w:val="24"/>
              </w:rPr>
            </w:pPr>
            <w:r>
              <w:rPr>
                <w:sz w:val="24"/>
              </w:rPr>
              <w:t>13.39</w:t>
            </w:r>
          </w:p>
        </w:tc>
        <w:tc>
          <w:tcPr>
            <w:tcW w:w="835" w:type="dxa"/>
            <w:vAlign w:val="bottom"/>
          </w:tcPr>
          <w:p>
            <w:pPr>
              <w:jc w:val="center"/>
              <w:rPr>
                <w:sz w:val="24"/>
              </w:rPr>
            </w:pPr>
            <w:r>
              <w:rPr>
                <w:sz w:val="24"/>
              </w:rPr>
              <w:t>1,946</w:t>
            </w:r>
          </w:p>
        </w:tc>
        <w:tc>
          <w:tcPr>
            <w:tcW w:w="834" w:type="dxa"/>
            <w:vAlign w:val="bottom"/>
          </w:tcPr>
          <w:p>
            <w:pPr>
              <w:jc w:val="center"/>
              <w:rPr>
                <w:sz w:val="24"/>
              </w:rPr>
            </w:pPr>
            <w:r>
              <w:rPr>
                <w:sz w:val="24"/>
              </w:rPr>
              <w:t>26,056.94</w:t>
            </w:r>
          </w:p>
        </w:tc>
        <w:tc>
          <w:tcPr>
            <w:tcW w:w="835" w:type="dxa"/>
            <w:vAlign w:val="bottom"/>
          </w:tcPr>
          <w:p>
            <w:pPr>
              <w:jc w:val="center"/>
              <w:rPr>
                <w:sz w:val="24"/>
              </w:rPr>
            </w:pPr>
            <w:r>
              <w:rPr>
                <w:sz w:val="24"/>
              </w:rPr>
              <w:t>26,056.94</w:t>
            </w:r>
          </w:p>
        </w:tc>
        <w:tc>
          <w:tcPr>
            <w:tcW w:w="835" w:type="dxa"/>
            <w:vAlign w:val="bottom"/>
          </w:tcPr>
          <w:p>
            <w:pPr>
              <w:jc w:val="center"/>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300999</w:t>
            </w:r>
          </w:p>
        </w:tc>
        <w:tc>
          <w:tcPr>
            <w:tcW w:w="835" w:type="dxa"/>
            <w:vAlign w:val="center"/>
          </w:tcPr>
          <w:p>
            <w:pPr>
              <w:jc w:val="center"/>
            </w:pPr>
            <w:r>
              <w:rPr>
                <w:sz w:val="24"/>
              </w:rPr>
              <w:t>金龙鱼</w:t>
            </w:r>
          </w:p>
        </w:tc>
        <w:tc>
          <w:tcPr>
            <w:tcW w:w="834" w:type="dxa"/>
            <w:vAlign w:val="center"/>
          </w:tcPr>
          <w:p>
            <w:pPr>
              <w:jc w:val="center"/>
            </w:pPr>
            <w:r>
              <w:rPr>
                <w:sz w:val="24"/>
              </w:rPr>
              <w:t>2020-09-29</w:t>
            </w:r>
          </w:p>
        </w:tc>
        <w:tc>
          <w:tcPr>
            <w:tcW w:w="835" w:type="dxa"/>
            <w:vAlign w:val="center"/>
          </w:tcPr>
          <w:p>
            <w:pPr>
              <w:jc w:val="center"/>
            </w:pPr>
            <w:r>
              <w:rPr>
                <w:sz w:val="24"/>
              </w:rPr>
              <w:t>2021-04-15</w:t>
            </w:r>
          </w:p>
        </w:tc>
        <w:tc>
          <w:tcPr>
            <w:tcW w:w="834" w:type="dxa"/>
            <w:vAlign w:val="center"/>
          </w:tcPr>
          <w:p>
            <w:pPr>
              <w:jc w:val="center"/>
            </w:pPr>
            <w:r>
              <w:rPr>
                <w:sz w:val="24"/>
              </w:rPr>
              <w:t>限售股</w:t>
            </w:r>
          </w:p>
        </w:tc>
        <w:tc>
          <w:tcPr>
            <w:tcW w:w="835" w:type="dxa"/>
            <w:vAlign w:val="center"/>
          </w:tcPr>
          <w:p>
            <w:pPr>
              <w:jc w:val="right"/>
            </w:pPr>
            <w:r>
              <w:rPr>
                <w:sz w:val="24"/>
              </w:rPr>
              <w:t>25.70</w:t>
            </w:r>
          </w:p>
        </w:tc>
        <w:tc>
          <w:tcPr>
            <w:tcW w:w="834" w:type="dxa"/>
            <w:vAlign w:val="center"/>
          </w:tcPr>
          <w:p>
            <w:pPr>
              <w:jc w:val="right"/>
            </w:pPr>
            <w:r>
              <w:rPr>
                <w:sz w:val="24"/>
              </w:rPr>
              <w:t>88.29</w:t>
            </w:r>
          </w:p>
        </w:tc>
        <w:tc>
          <w:tcPr>
            <w:tcW w:w="835" w:type="dxa"/>
            <w:vAlign w:val="center"/>
          </w:tcPr>
          <w:p>
            <w:pPr>
              <w:jc w:val="right"/>
            </w:pPr>
            <w:r>
              <w:rPr>
                <w:sz w:val="24"/>
              </w:rPr>
              <w:t>12,114</w:t>
            </w:r>
          </w:p>
        </w:tc>
        <w:tc>
          <w:tcPr>
            <w:tcW w:w="834" w:type="dxa"/>
            <w:vAlign w:val="center"/>
          </w:tcPr>
          <w:p>
            <w:pPr>
              <w:jc w:val="right"/>
            </w:pPr>
            <w:r>
              <w:rPr>
                <w:sz w:val="24"/>
              </w:rPr>
              <w:t>311,329.80</w:t>
            </w:r>
          </w:p>
        </w:tc>
        <w:tc>
          <w:tcPr>
            <w:tcW w:w="835" w:type="dxa"/>
            <w:vAlign w:val="center"/>
          </w:tcPr>
          <w:p>
            <w:pPr>
              <w:jc w:val="right"/>
            </w:pPr>
            <w:r>
              <w:rPr>
                <w:sz w:val="24"/>
              </w:rPr>
              <w:t>1,069,545.06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603613</w:t>
            </w:r>
          </w:p>
        </w:tc>
        <w:tc>
          <w:tcPr>
            <w:tcW w:w="835" w:type="dxa"/>
            <w:vAlign w:val="center"/>
          </w:tcPr>
          <w:p>
            <w:pPr>
              <w:jc w:val="center"/>
            </w:pPr>
            <w:r>
              <w:rPr>
                <w:sz w:val="24"/>
              </w:rPr>
              <w:t>国联股份</w:t>
            </w:r>
          </w:p>
        </w:tc>
        <w:tc>
          <w:tcPr>
            <w:tcW w:w="834" w:type="dxa"/>
            <w:vAlign w:val="center"/>
          </w:tcPr>
          <w:p>
            <w:pPr>
              <w:jc w:val="center"/>
            </w:pPr>
            <w:r>
              <w:rPr>
                <w:sz w:val="24"/>
              </w:rPr>
              <w:t>2020-12-02</w:t>
            </w:r>
          </w:p>
        </w:tc>
        <w:tc>
          <w:tcPr>
            <w:tcW w:w="835" w:type="dxa"/>
            <w:vAlign w:val="center"/>
          </w:tcPr>
          <w:p>
            <w:pPr>
              <w:jc w:val="center"/>
            </w:pPr>
            <w:r>
              <w:rPr>
                <w:sz w:val="24"/>
              </w:rPr>
              <w:t>2021-05-27</w:t>
            </w:r>
          </w:p>
        </w:tc>
        <w:tc>
          <w:tcPr>
            <w:tcW w:w="834" w:type="dxa"/>
            <w:vAlign w:val="center"/>
          </w:tcPr>
          <w:p>
            <w:pPr>
              <w:jc w:val="center"/>
            </w:pPr>
            <w:r>
              <w:rPr>
                <w:sz w:val="24"/>
              </w:rPr>
              <w:t>非公开发行</w:t>
            </w:r>
          </w:p>
        </w:tc>
        <w:tc>
          <w:tcPr>
            <w:tcW w:w="835" w:type="dxa"/>
            <w:vAlign w:val="center"/>
          </w:tcPr>
          <w:p>
            <w:pPr>
              <w:jc w:val="right"/>
            </w:pPr>
            <w:r>
              <w:rPr>
                <w:sz w:val="24"/>
              </w:rPr>
              <w:t>74.75</w:t>
            </w:r>
          </w:p>
        </w:tc>
        <w:tc>
          <w:tcPr>
            <w:tcW w:w="834" w:type="dxa"/>
            <w:vAlign w:val="center"/>
          </w:tcPr>
          <w:p>
            <w:pPr>
              <w:jc w:val="right"/>
            </w:pPr>
            <w:r>
              <w:rPr>
                <w:sz w:val="24"/>
              </w:rPr>
              <w:t>120.01</w:t>
            </w:r>
          </w:p>
        </w:tc>
        <w:tc>
          <w:tcPr>
            <w:tcW w:w="835" w:type="dxa"/>
            <w:vAlign w:val="center"/>
          </w:tcPr>
          <w:p>
            <w:pPr>
              <w:jc w:val="right"/>
            </w:pPr>
            <w:r>
              <w:rPr>
                <w:sz w:val="24"/>
              </w:rPr>
              <w:t>1,179,948</w:t>
            </w:r>
          </w:p>
        </w:tc>
        <w:tc>
          <w:tcPr>
            <w:tcW w:w="834" w:type="dxa"/>
            <w:vAlign w:val="center"/>
          </w:tcPr>
          <w:p>
            <w:pPr>
              <w:jc w:val="right"/>
            </w:pPr>
            <w:r>
              <w:rPr>
                <w:sz w:val="24"/>
              </w:rPr>
              <w:t>88,201,113.00</w:t>
            </w:r>
          </w:p>
        </w:tc>
        <w:tc>
          <w:tcPr>
            <w:tcW w:w="835" w:type="dxa"/>
            <w:vAlign w:val="center"/>
          </w:tcPr>
          <w:p>
            <w:pPr>
              <w:jc w:val="right"/>
            </w:pPr>
            <w:r>
              <w:rPr>
                <w:sz w:val="24"/>
              </w:rPr>
              <w:t>141,605,559.48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603613</w:t>
            </w:r>
          </w:p>
        </w:tc>
        <w:tc>
          <w:tcPr>
            <w:tcW w:w="835" w:type="dxa"/>
            <w:vAlign w:val="center"/>
          </w:tcPr>
          <w:p>
            <w:pPr>
              <w:jc w:val="center"/>
            </w:pPr>
            <w:r>
              <w:rPr>
                <w:sz w:val="24"/>
              </w:rPr>
              <w:t>国联股份</w:t>
            </w:r>
          </w:p>
        </w:tc>
        <w:tc>
          <w:tcPr>
            <w:tcW w:w="834" w:type="dxa"/>
            <w:vAlign w:val="center"/>
          </w:tcPr>
          <w:p>
            <w:pPr>
              <w:jc w:val="center"/>
            </w:pPr>
            <w:r>
              <w:rPr>
                <w:sz w:val="24"/>
              </w:rPr>
              <w:t>2020-12-07</w:t>
            </w:r>
          </w:p>
        </w:tc>
        <w:tc>
          <w:tcPr>
            <w:tcW w:w="835" w:type="dxa"/>
            <w:vAlign w:val="center"/>
          </w:tcPr>
          <w:p>
            <w:pPr>
              <w:jc w:val="center"/>
            </w:pPr>
            <w:r>
              <w:rPr>
                <w:sz w:val="24"/>
              </w:rPr>
              <w:t>2021-06-07</w:t>
            </w:r>
          </w:p>
        </w:tc>
        <w:tc>
          <w:tcPr>
            <w:tcW w:w="834" w:type="dxa"/>
            <w:vAlign w:val="center"/>
          </w:tcPr>
          <w:p>
            <w:pPr>
              <w:jc w:val="center"/>
            </w:pPr>
            <w:r>
              <w:rPr>
                <w:sz w:val="24"/>
              </w:rPr>
              <w:t>限售股</w:t>
            </w:r>
          </w:p>
        </w:tc>
        <w:tc>
          <w:tcPr>
            <w:tcW w:w="835" w:type="dxa"/>
            <w:vAlign w:val="center"/>
          </w:tcPr>
          <w:p>
            <w:pPr>
              <w:jc w:val="right"/>
            </w:pPr>
            <w:r>
              <w:rPr>
                <w:sz w:val="24"/>
              </w:rPr>
              <w:t>85.90</w:t>
            </w:r>
          </w:p>
        </w:tc>
        <w:tc>
          <w:tcPr>
            <w:tcW w:w="834" w:type="dxa"/>
            <w:vAlign w:val="center"/>
          </w:tcPr>
          <w:p>
            <w:pPr>
              <w:jc w:val="right"/>
            </w:pPr>
            <w:r>
              <w:rPr>
                <w:sz w:val="24"/>
              </w:rPr>
              <w:t>119.71</w:t>
            </w:r>
          </w:p>
        </w:tc>
        <w:tc>
          <w:tcPr>
            <w:tcW w:w="835" w:type="dxa"/>
            <w:vAlign w:val="center"/>
          </w:tcPr>
          <w:p>
            <w:pPr>
              <w:jc w:val="right"/>
            </w:pPr>
            <w:r>
              <w:rPr>
                <w:sz w:val="24"/>
              </w:rPr>
              <w:t>446,500</w:t>
            </w:r>
          </w:p>
        </w:tc>
        <w:tc>
          <w:tcPr>
            <w:tcW w:w="834" w:type="dxa"/>
            <w:vAlign w:val="center"/>
          </w:tcPr>
          <w:p>
            <w:pPr>
              <w:jc w:val="right"/>
            </w:pPr>
            <w:r>
              <w:rPr>
                <w:sz w:val="24"/>
              </w:rPr>
              <w:t>38,354,350.00</w:t>
            </w:r>
          </w:p>
        </w:tc>
        <w:tc>
          <w:tcPr>
            <w:tcW w:w="835" w:type="dxa"/>
            <w:vAlign w:val="center"/>
          </w:tcPr>
          <w:p>
            <w:pPr>
              <w:jc w:val="right"/>
            </w:pPr>
            <w:r>
              <w:rPr>
                <w:sz w:val="24"/>
              </w:rPr>
              <w:t>53,450,515.00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603658</w:t>
            </w:r>
          </w:p>
        </w:tc>
        <w:tc>
          <w:tcPr>
            <w:tcW w:w="835" w:type="dxa"/>
            <w:vAlign w:val="center"/>
          </w:tcPr>
          <w:p>
            <w:pPr>
              <w:jc w:val="center"/>
            </w:pPr>
            <w:r>
              <w:rPr>
                <w:sz w:val="24"/>
              </w:rPr>
              <w:t>安图生物</w:t>
            </w:r>
          </w:p>
        </w:tc>
        <w:tc>
          <w:tcPr>
            <w:tcW w:w="834" w:type="dxa"/>
            <w:vAlign w:val="center"/>
          </w:tcPr>
          <w:p>
            <w:pPr>
              <w:jc w:val="center"/>
            </w:pPr>
            <w:r>
              <w:rPr>
                <w:sz w:val="24"/>
              </w:rPr>
              <w:t>2020-07-16</w:t>
            </w:r>
          </w:p>
        </w:tc>
        <w:tc>
          <w:tcPr>
            <w:tcW w:w="835" w:type="dxa"/>
            <w:vAlign w:val="center"/>
          </w:tcPr>
          <w:p>
            <w:pPr>
              <w:jc w:val="center"/>
            </w:pPr>
            <w:r>
              <w:rPr>
                <w:sz w:val="24"/>
              </w:rPr>
              <w:t>2021-01-18</w:t>
            </w:r>
          </w:p>
        </w:tc>
        <w:tc>
          <w:tcPr>
            <w:tcW w:w="834" w:type="dxa"/>
            <w:vAlign w:val="center"/>
          </w:tcPr>
          <w:p>
            <w:pPr>
              <w:jc w:val="center"/>
            </w:pPr>
            <w:r>
              <w:rPr>
                <w:sz w:val="24"/>
              </w:rPr>
              <w:t>限售股</w:t>
            </w:r>
          </w:p>
        </w:tc>
        <w:tc>
          <w:tcPr>
            <w:tcW w:w="835" w:type="dxa"/>
            <w:vAlign w:val="center"/>
          </w:tcPr>
          <w:p>
            <w:pPr>
              <w:jc w:val="right"/>
            </w:pPr>
            <w:r>
              <w:rPr>
                <w:sz w:val="24"/>
              </w:rPr>
              <w:t>142.20</w:t>
            </w:r>
          </w:p>
        </w:tc>
        <w:tc>
          <w:tcPr>
            <w:tcW w:w="834" w:type="dxa"/>
            <w:vAlign w:val="center"/>
          </w:tcPr>
          <w:p>
            <w:pPr>
              <w:jc w:val="right"/>
            </w:pPr>
            <w:r>
              <w:rPr>
                <w:sz w:val="24"/>
              </w:rPr>
              <w:t>142.79</w:t>
            </w:r>
          </w:p>
        </w:tc>
        <w:tc>
          <w:tcPr>
            <w:tcW w:w="835" w:type="dxa"/>
            <w:vAlign w:val="center"/>
          </w:tcPr>
          <w:p>
            <w:pPr>
              <w:jc w:val="right"/>
            </w:pPr>
            <w:r>
              <w:rPr>
                <w:sz w:val="24"/>
              </w:rPr>
              <w:t>680,000</w:t>
            </w:r>
          </w:p>
        </w:tc>
        <w:tc>
          <w:tcPr>
            <w:tcW w:w="834" w:type="dxa"/>
            <w:vAlign w:val="center"/>
          </w:tcPr>
          <w:p>
            <w:pPr>
              <w:jc w:val="right"/>
            </w:pPr>
            <w:r>
              <w:rPr>
                <w:sz w:val="24"/>
              </w:rPr>
              <w:t>96,696,000.00</w:t>
            </w:r>
          </w:p>
        </w:tc>
        <w:tc>
          <w:tcPr>
            <w:tcW w:w="835" w:type="dxa"/>
            <w:vAlign w:val="center"/>
          </w:tcPr>
          <w:p>
            <w:pPr>
              <w:jc w:val="right"/>
            </w:pPr>
            <w:r>
              <w:rPr>
                <w:sz w:val="24"/>
              </w:rPr>
              <w:t>97,097,200.00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603866</w:t>
            </w:r>
          </w:p>
        </w:tc>
        <w:tc>
          <w:tcPr>
            <w:tcW w:w="835" w:type="dxa"/>
            <w:vAlign w:val="center"/>
          </w:tcPr>
          <w:p>
            <w:pPr>
              <w:jc w:val="center"/>
            </w:pPr>
            <w:r>
              <w:rPr>
                <w:sz w:val="24"/>
              </w:rPr>
              <w:t>桃李面包</w:t>
            </w:r>
          </w:p>
        </w:tc>
        <w:tc>
          <w:tcPr>
            <w:tcW w:w="834" w:type="dxa"/>
            <w:vAlign w:val="center"/>
          </w:tcPr>
          <w:p>
            <w:pPr>
              <w:jc w:val="center"/>
            </w:pPr>
            <w:r>
              <w:rPr>
                <w:sz w:val="24"/>
              </w:rPr>
              <w:t>2020-09-02</w:t>
            </w:r>
          </w:p>
        </w:tc>
        <w:tc>
          <w:tcPr>
            <w:tcW w:w="835" w:type="dxa"/>
            <w:vAlign w:val="center"/>
          </w:tcPr>
          <w:p>
            <w:pPr>
              <w:jc w:val="center"/>
            </w:pPr>
            <w:r>
              <w:rPr>
                <w:sz w:val="24"/>
              </w:rPr>
              <w:t>2021-03-02</w:t>
            </w:r>
          </w:p>
        </w:tc>
        <w:tc>
          <w:tcPr>
            <w:tcW w:w="834" w:type="dxa"/>
            <w:vAlign w:val="center"/>
          </w:tcPr>
          <w:p>
            <w:pPr>
              <w:jc w:val="center"/>
            </w:pPr>
            <w:r>
              <w:rPr>
                <w:sz w:val="24"/>
              </w:rPr>
              <w:t>限售股</w:t>
            </w:r>
          </w:p>
        </w:tc>
        <w:tc>
          <w:tcPr>
            <w:tcW w:w="835" w:type="dxa"/>
            <w:vAlign w:val="center"/>
          </w:tcPr>
          <w:p>
            <w:pPr>
              <w:jc w:val="right"/>
            </w:pPr>
            <w:r>
              <w:rPr>
                <w:sz w:val="24"/>
              </w:rPr>
              <w:t>59.13</w:t>
            </w:r>
          </w:p>
        </w:tc>
        <w:tc>
          <w:tcPr>
            <w:tcW w:w="834" w:type="dxa"/>
            <w:vAlign w:val="center"/>
          </w:tcPr>
          <w:p>
            <w:pPr>
              <w:jc w:val="right"/>
            </w:pPr>
            <w:r>
              <w:rPr>
                <w:sz w:val="24"/>
              </w:rPr>
              <w:t>57.29</w:t>
            </w:r>
          </w:p>
        </w:tc>
        <w:tc>
          <w:tcPr>
            <w:tcW w:w="835" w:type="dxa"/>
            <w:vAlign w:val="center"/>
          </w:tcPr>
          <w:p>
            <w:pPr>
              <w:jc w:val="right"/>
            </w:pPr>
            <w:r>
              <w:rPr>
                <w:sz w:val="24"/>
              </w:rPr>
              <w:t>580,000</w:t>
            </w:r>
          </w:p>
        </w:tc>
        <w:tc>
          <w:tcPr>
            <w:tcW w:w="834" w:type="dxa"/>
            <w:vAlign w:val="center"/>
          </w:tcPr>
          <w:p>
            <w:pPr>
              <w:jc w:val="right"/>
            </w:pPr>
            <w:r>
              <w:rPr>
                <w:sz w:val="24"/>
              </w:rPr>
              <w:t>34,295,400.00</w:t>
            </w:r>
          </w:p>
        </w:tc>
        <w:tc>
          <w:tcPr>
            <w:tcW w:w="835" w:type="dxa"/>
            <w:vAlign w:val="center"/>
          </w:tcPr>
          <w:p>
            <w:pPr>
              <w:jc w:val="right"/>
            </w:pPr>
            <w:r>
              <w:rPr>
                <w:sz w:val="24"/>
              </w:rPr>
              <w:t>33,228,200.00</w:t>
            </w:r>
          </w:p>
        </w:tc>
        <w:tc>
          <w:tcPr>
            <w:tcW w:w="835" w:type="dxa"/>
            <w:vAlign w:val="center"/>
          </w:tcPr>
          <w:p>
            <w:pPr>
              <w:jc w:val="center"/>
            </w:pPr>
            <w:r>
              <w:rPr>
                <w:sz w:val="24"/>
              </w:rPr>
              <w:t>-</w:t>
            </w:r>
          </w:p>
        </w:tc>
      </w:tr>
      <w:tr>
        <w:tblPrEx>
          <w:tblCellMar>
            <w:top w:w="0" w:type="dxa"/>
            <w:left w:w="108" w:type="dxa"/>
            <w:bottom w:w="0" w:type="dxa"/>
            <w:right w:w="108" w:type="dxa"/>
          </w:tblCellMar>
        </w:tblPrEx>
        <w:tc>
          <w:tcPr>
            <w:tcW w:w="834" w:type="dxa"/>
            <w:vAlign w:val="center"/>
          </w:tcPr>
          <w:p>
            <w:pPr>
              <w:jc w:val="center"/>
            </w:pPr>
            <w:r>
              <w:rPr>
                <w:sz w:val="24"/>
              </w:rPr>
              <w:t>605277</w:t>
            </w:r>
          </w:p>
        </w:tc>
        <w:tc>
          <w:tcPr>
            <w:tcW w:w="835" w:type="dxa"/>
            <w:vAlign w:val="center"/>
          </w:tcPr>
          <w:p>
            <w:pPr>
              <w:jc w:val="center"/>
            </w:pPr>
            <w:r>
              <w:rPr>
                <w:sz w:val="24"/>
              </w:rPr>
              <w:t>新亚电子</w:t>
            </w:r>
          </w:p>
        </w:tc>
        <w:tc>
          <w:tcPr>
            <w:tcW w:w="834" w:type="dxa"/>
            <w:vAlign w:val="center"/>
          </w:tcPr>
          <w:p>
            <w:pPr>
              <w:jc w:val="center"/>
            </w:pPr>
            <w:r>
              <w:rPr>
                <w:sz w:val="24"/>
              </w:rPr>
              <w:t>2020-12-25</w:t>
            </w:r>
          </w:p>
        </w:tc>
        <w:tc>
          <w:tcPr>
            <w:tcW w:w="835" w:type="dxa"/>
            <w:vAlign w:val="center"/>
          </w:tcPr>
          <w:p>
            <w:pPr>
              <w:jc w:val="center"/>
            </w:pPr>
            <w:r>
              <w:rPr>
                <w:sz w:val="24"/>
              </w:rPr>
              <w:t>2021-01-06</w:t>
            </w:r>
          </w:p>
        </w:tc>
        <w:tc>
          <w:tcPr>
            <w:tcW w:w="834" w:type="dxa"/>
            <w:vAlign w:val="center"/>
          </w:tcPr>
          <w:p>
            <w:pPr>
              <w:jc w:val="center"/>
            </w:pPr>
            <w:r>
              <w:rPr>
                <w:sz w:val="24"/>
              </w:rPr>
              <w:t>新股未上市</w:t>
            </w:r>
          </w:p>
        </w:tc>
        <w:tc>
          <w:tcPr>
            <w:tcW w:w="835" w:type="dxa"/>
            <w:vAlign w:val="center"/>
          </w:tcPr>
          <w:p>
            <w:pPr>
              <w:jc w:val="right"/>
            </w:pPr>
            <w:r>
              <w:rPr>
                <w:sz w:val="24"/>
              </w:rPr>
              <w:t>16.95</w:t>
            </w:r>
          </w:p>
        </w:tc>
        <w:tc>
          <w:tcPr>
            <w:tcW w:w="834" w:type="dxa"/>
            <w:vAlign w:val="center"/>
          </w:tcPr>
          <w:p>
            <w:pPr>
              <w:jc w:val="right"/>
            </w:pPr>
            <w:r>
              <w:rPr>
                <w:sz w:val="24"/>
              </w:rPr>
              <w:t>16.95</w:t>
            </w:r>
          </w:p>
        </w:tc>
        <w:tc>
          <w:tcPr>
            <w:tcW w:w="835" w:type="dxa"/>
            <w:vAlign w:val="center"/>
          </w:tcPr>
          <w:p>
            <w:pPr>
              <w:jc w:val="right"/>
            </w:pPr>
            <w:r>
              <w:rPr>
                <w:sz w:val="24"/>
              </w:rPr>
              <w:t>507</w:t>
            </w:r>
          </w:p>
        </w:tc>
        <w:tc>
          <w:tcPr>
            <w:tcW w:w="834" w:type="dxa"/>
            <w:vAlign w:val="center"/>
          </w:tcPr>
          <w:p>
            <w:pPr>
              <w:jc w:val="right"/>
            </w:pPr>
            <w:r>
              <w:rPr>
                <w:sz w:val="24"/>
              </w:rPr>
              <w:t>8,593.65</w:t>
            </w:r>
          </w:p>
        </w:tc>
        <w:tc>
          <w:tcPr>
            <w:tcW w:w="835" w:type="dxa"/>
            <w:vAlign w:val="center"/>
          </w:tcPr>
          <w:p>
            <w:pPr>
              <w:jc w:val="right"/>
            </w:pPr>
            <w:r>
              <w:rPr>
                <w:sz w:val="24"/>
              </w:rPr>
              <w:t>8,593.65</w:t>
            </w:r>
          </w:p>
        </w:tc>
        <w:tc>
          <w:tcPr>
            <w:tcW w:w="835" w:type="dxa"/>
            <w:vAlign w:val="center"/>
          </w:tcPr>
          <w:p>
            <w:pPr>
              <w:jc w:val="center"/>
            </w:pPr>
            <w:r>
              <w:rPr>
                <w:sz w:val="24"/>
              </w:rPr>
              <w:t>-</w:t>
            </w:r>
          </w:p>
        </w:tc>
      </w:tr>
      <w:tr>
        <w:tc>
          <w:tcPr>
            <w:tcW w:w="834" w:type="dxa"/>
            <w:vAlign w:val="center"/>
          </w:tcPr>
          <w:p>
            <w:pPr>
              <w:jc w:val="center"/>
            </w:pPr>
            <w:r>
              <w:rPr>
                <w:sz w:val="24"/>
              </w:rPr>
              <w:t>688008</w:t>
            </w:r>
          </w:p>
        </w:tc>
        <w:tc>
          <w:tcPr>
            <w:tcW w:w="835" w:type="dxa"/>
            <w:vAlign w:val="center"/>
          </w:tcPr>
          <w:p>
            <w:pPr>
              <w:jc w:val="center"/>
            </w:pPr>
            <w:r>
              <w:rPr>
                <w:sz w:val="24"/>
              </w:rPr>
              <w:t>澜起科技</w:t>
            </w:r>
          </w:p>
        </w:tc>
        <w:tc>
          <w:tcPr>
            <w:tcW w:w="834" w:type="dxa"/>
            <w:vAlign w:val="center"/>
          </w:tcPr>
          <w:p>
            <w:pPr>
              <w:jc w:val="center"/>
            </w:pPr>
            <w:r>
              <w:rPr>
                <w:sz w:val="24"/>
              </w:rPr>
              <w:t>2020-09-23</w:t>
            </w:r>
          </w:p>
        </w:tc>
        <w:tc>
          <w:tcPr>
            <w:tcW w:w="835" w:type="dxa"/>
            <w:vAlign w:val="center"/>
          </w:tcPr>
          <w:p>
            <w:pPr>
              <w:jc w:val="center"/>
            </w:pPr>
            <w:r>
              <w:rPr>
                <w:sz w:val="24"/>
              </w:rPr>
              <w:t>2021-03-23</w:t>
            </w:r>
          </w:p>
        </w:tc>
        <w:tc>
          <w:tcPr>
            <w:tcW w:w="834" w:type="dxa"/>
            <w:vAlign w:val="center"/>
          </w:tcPr>
          <w:p>
            <w:pPr>
              <w:jc w:val="center"/>
            </w:pPr>
            <w:r>
              <w:rPr>
                <w:sz w:val="24"/>
              </w:rPr>
              <w:t>限售股</w:t>
            </w:r>
          </w:p>
        </w:tc>
        <w:tc>
          <w:tcPr>
            <w:tcW w:w="835" w:type="dxa"/>
            <w:vAlign w:val="center"/>
          </w:tcPr>
          <w:p>
            <w:pPr>
              <w:jc w:val="right"/>
            </w:pPr>
            <w:r>
              <w:rPr>
                <w:sz w:val="24"/>
              </w:rPr>
              <w:t>76.03</w:t>
            </w:r>
          </w:p>
        </w:tc>
        <w:tc>
          <w:tcPr>
            <w:tcW w:w="834" w:type="dxa"/>
            <w:vAlign w:val="center"/>
          </w:tcPr>
          <w:p>
            <w:pPr>
              <w:jc w:val="right"/>
            </w:pPr>
            <w:r>
              <w:rPr>
                <w:sz w:val="24"/>
              </w:rPr>
              <w:t>78.90</w:t>
            </w:r>
          </w:p>
        </w:tc>
        <w:tc>
          <w:tcPr>
            <w:tcW w:w="835" w:type="dxa"/>
            <w:vAlign w:val="center"/>
          </w:tcPr>
          <w:p>
            <w:pPr>
              <w:jc w:val="right"/>
            </w:pPr>
            <w:r>
              <w:rPr>
                <w:sz w:val="24"/>
              </w:rPr>
              <w:t>820,000</w:t>
            </w:r>
          </w:p>
        </w:tc>
        <w:tc>
          <w:tcPr>
            <w:tcW w:w="834" w:type="dxa"/>
            <w:vAlign w:val="center"/>
          </w:tcPr>
          <w:p>
            <w:pPr>
              <w:jc w:val="right"/>
            </w:pPr>
            <w:r>
              <w:rPr>
                <w:sz w:val="24"/>
              </w:rPr>
              <w:t>62,344,600.00</w:t>
            </w:r>
          </w:p>
        </w:tc>
        <w:tc>
          <w:tcPr>
            <w:tcW w:w="835" w:type="dxa"/>
            <w:vAlign w:val="center"/>
          </w:tcPr>
          <w:p>
            <w:pPr>
              <w:jc w:val="right"/>
            </w:pPr>
            <w:r>
              <w:rPr>
                <w:sz w:val="24"/>
              </w:rPr>
              <w:t>64,698,000.00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688050</w:t>
            </w:r>
          </w:p>
        </w:tc>
        <w:tc>
          <w:tcPr>
            <w:tcW w:w="835" w:type="dxa"/>
            <w:vAlign w:val="center"/>
          </w:tcPr>
          <w:p>
            <w:pPr>
              <w:jc w:val="center"/>
            </w:pPr>
            <w:r>
              <w:rPr>
                <w:sz w:val="24"/>
              </w:rPr>
              <w:t>爱博医疗</w:t>
            </w:r>
          </w:p>
        </w:tc>
        <w:tc>
          <w:tcPr>
            <w:tcW w:w="834" w:type="dxa"/>
            <w:vAlign w:val="center"/>
          </w:tcPr>
          <w:p>
            <w:pPr>
              <w:jc w:val="center"/>
            </w:pPr>
            <w:r>
              <w:rPr>
                <w:sz w:val="24"/>
              </w:rPr>
              <w:t>2020-07-22</w:t>
            </w:r>
          </w:p>
        </w:tc>
        <w:tc>
          <w:tcPr>
            <w:tcW w:w="835" w:type="dxa"/>
            <w:vAlign w:val="center"/>
          </w:tcPr>
          <w:p>
            <w:pPr>
              <w:jc w:val="center"/>
            </w:pPr>
            <w:r>
              <w:rPr>
                <w:sz w:val="24"/>
              </w:rPr>
              <w:t>2021-01-29</w:t>
            </w:r>
          </w:p>
        </w:tc>
        <w:tc>
          <w:tcPr>
            <w:tcW w:w="834" w:type="dxa"/>
            <w:vAlign w:val="center"/>
          </w:tcPr>
          <w:p>
            <w:pPr>
              <w:jc w:val="center"/>
            </w:pPr>
            <w:r>
              <w:rPr>
                <w:sz w:val="24"/>
              </w:rPr>
              <w:t>限售股</w:t>
            </w:r>
          </w:p>
        </w:tc>
        <w:tc>
          <w:tcPr>
            <w:tcW w:w="835" w:type="dxa"/>
            <w:vAlign w:val="center"/>
          </w:tcPr>
          <w:p>
            <w:pPr>
              <w:jc w:val="right"/>
            </w:pPr>
            <w:r>
              <w:rPr>
                <w:sz w:val="24"/>
              </w:rPr>
              <w:t>33.55</w:t>
            </w:r>
          </w:p>
        </w:tc>
        <w:tc>
          <w:tcPr>
            <w:tcW w:w="834" w:type="dxa"/>
            <w:vAlign w:val="center"/>
          </w:tcPr>
          <w:p>
            <w:pPr>
              <w:jc w:val="right"/>
            </w:pPr>
            <w:r>
              <w:rPr>
                <w:sz w:val="24"/>
              </w:rPr>
              <w:t>168.63</w:t>
            </w:r>
          </w:p>
        </w:tc>
        <w:tc>
          <w:tcPr>
            <w:tcW w:w="835" w:type="dxa"/>
            <w:vAlign w:val="center"/>
          </w:tcPr>
          <w:p>
            <w:pPr>
              <w:jc w:val="right"/>
            </w:pPr>
            <w:r>
              <w:rPr>
                <w:sz w:val="24"/>
              </w:rPr>
              <w:t>3,520</w:t>
            </w:r>
          </w:p>
        </w:tc>
        <w:tc>
          <w:tcPr>
            <w:tcW w:w="834" w:type="dxa"/>
            <w:vAlign w:val="center"/>
          </w:tcPr>
          <w:p>
            <w:pPr>
              <w:jc w:val="right"/>
            </w:pPr>
            <w:r>
              <w:rPr>
                <w:sz w:val="24"/>
              </w:rPr>
              <w:t>118,096.00</w:t>
            </w:r>
          </w:p>
        </w:tc>
        <w:tc>
          <w:tcPr>
            <w:tcW w:w="835" w:type="dxa"/>
            <w:vAlign w:val="center"/>
          </w:tcPr>
          <w:p>
            <w:pPr>
              <w:jc w:val="right"/>
            </w:pPr>
            <w:r>
              <w:rPr>
                <w:sz w:val="24"/>
              </w:rPr>
              <w:t>593,577.60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688093</w:t>
            </w:r>
          </w:p>
        </w:tc>
        <w:tc>
          <w:tcPr>
            <w:tcW w:w="835" w:type="dxa"/>
            <w:vAlign w:val="center"/>
          </w:tcPr>
          <w:p>
            <w:pPr>
              <w:jc w:val="center"/>
            </w:pPr>
            <w:r>
              <w:rPr>
                <w:sz w:val="24"/>
              </w:rPr>
              <w:t>世华科技</w:t>
            </w:r>
          </w:p>
        </w:tc>
        <w:tc>
          <w:tcPr>
            <w:tcW w:w="834" w:type="dxa"/>
            <w:vAlign w:val="center"/>
          </w:tcPr>
          <w:p>
            <w:pPr>
              <w:jc w:val="center"/>
            </w:pPr>
            <w:r>
              <w:rPr>
                <w:sz w:val="24"/>
              </w:rPr>
              <w:t>2020-09-22</w:t>
            </w:r>
          </w:p>
        </w:tc>
        <w:tc>
          <w:tcPr>
            <w:tcW w:w="835" w:type="dxa"/>
            <w:vAlign w:val="center"/>
          </w:tcPr>
          <w:p>
            <w:pPr>
              <w:jc w:val="center"/>
            </w:pPr>
            <w:r>
              <w:rPr>
                <w:sz w:val="24"/>
              </w:rPr>
              <w:t>2021-03-30</w:t>
            </w:r>
          </w:p>
        </w:tc>
        <w:tc>
          <w:tcPr>
            <w:tcW w:w="834" w:type="dxa"/>
            <w:vAlign w:val="center"/>
          </w:tcPr>
          <w:p>
            <w:pPr>
              <w:jc w:val="center"/>
            </w:pPr>
            <w:r>
              <w:rPr>
                <w:sz w:val="24"/>
              </w:rPr>
              <w:t>限售股</w:t>
            </w:r>
          </w:p>
        </w:tc>
        <w:tc>
          <w:tcPr>
            <w:tcW w:w="835" w:type="dxa"/>
            <w:vAlign w:val="center"/>
          </w:tcPr>
          <w:p>
            <w:pPr>
              <w:jc w:val="right"/>
            </w:pPr>
            <w:r>
              <w:rPr>
                <w:sz w:val="24"/>
              </w:rPr>
              <w:t>17.55</w:t>
            </w:r>
          </w:p>
        </w:tc>
        <w:tc>
          <w:tcPr>
            <w:tcW w:w="834" w:type="dxa"/>
            <w:vAlign w:val="center"/>
          </w:tcPr>
          <w:p>
            <w:pPr>
              <w:jc w:val="right"/>
            </w:pPr>
            <w:r>
              <w:rPr>
                <w:sz w:val="24"/>
              </w:rPr>
              <w:t>23.63</w:t>
            </w:r>
          </w:p>
        </w:tc>
        <w:tc>
          <w:tcPr>
            <w:tcW w:w="835" w:type="dxa"/>
            <w:vAlign w:val="center"/>
          </w:tcPr>
          <w:p>
            <w:pPr>
              <w:jc w:val="right"/>
            </w:pPr>
            <w:r>
              <w:rPr>
                <w:sz w:val="24"/>
              </w:rPr>
              <w:t>4,595</w:t>
            </w:r>
          </w:p>
        </w:tc>
        <w:tc>
          <w:tcPr>
            <w:tcW w:w="834" w:type="dxa"/>
            <w:vAlign w:val="center"/>
          </w:tcPr>
          <w:p>
            <w:pPr>
              <w:jc w:val="right"/>
            </w:pPr>
            <w:r>
              <w:rPr>
                <w:sz w:val="24"/>
              </w:rPr>
              <w:t>80,642.25</w:t>
            </w:r>
          </w:p>
        </w:tc>
        <w:tc>
          <w:tcPr>
            <w:tcW w:w="835" w:type="dxa"/>
            <w:vAlign w:val="center"/>
          </w:tcPr>
          <w:p>
            <w:pPr>
              <w:jc w:val="right"/>
            </w:pPr>
            <w:r>
              <w:rPr>
                <w:sz w:val="24"/>
              </w:rPr>
              <w:t>108,579.85</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688309</w:t>
            </w:r>
          </w:p>
        </w:tc>
        <w:tc>
          <w:tcPr>
            <w:tcW w:w="835" w:type="dxa"/>
            <w:vAlign w:val="center"/>
          </w:tcPr>
          <w:p>
            <w:pPr>
              <w:jc w:val="center"/>
            </w:pPr>
            <w:r>
              <w:rPr>
                <w:sz w:val="24"/>
              </w:rPr>
              <w:t>恒誉环保</w:t>
            </w:r>
          </w:p>
        </w:tc>
        <w:tc>
          <w:tcPr>
            <w:tcW w:w="834" w:type="dxa"/>
            <w:vAlign w:val="center"/>
          </w:tcPr>
          <w:p>
            <w:pPr>
              <w:jc w:val="center"/>
            </w:pPr>
            <w:r>
              <w:rPr>
                <w:rFonts w:hint="eastAsia"/>
                <w:sz w:val="24"/>
              </w:rPr>
              <w:t>2020-07-07</w:t>
            </w:r>
          </w:p>
        </w:tc>
        <w:tc>
          <w:tcPr>
            <w:tcW w:w="835" w:type="dxa"/>
            <w:vAlign w:val="center"/>
          </w:tcPr>
          <w:p>
            <w:pPr>
              <w:jc w:val="center"/>
            </w:pPr>
            <w:r>
              <w:rPr>
                <w:sz w:val="24"/>
              </w:rPr>
              <w:t>2021-01-14</w:t>
            </w:r>
          </w:p>
        </w:tc>
        <w:tc>
          <w:tcPr>
            <w:tcW w:w="834" w:type="dxa"/>
            <w:vAlign w:val="center"/>
          </w:tcPr>
          <w:p>
            <w:pPr>
              <w:jc w:val="center"/>
            </w:pPr>
            <w:r>
              <w:rPr>
                <w:sz w:val="24"/>
              </w:rPr>
              <w:t>限售股</w:t>
            </w:r>
          </w:p>
        </w:tc>
        <w:tc>
          <w:tcPr>
            <w:tcW w:w="835" w:type="dxa"/>
            <w:vAlign w:val="center"/>
          </w:tcPr>
          <w:p>
            <w:pPr>
              <w:jc w:val="right"/>
            </w:pPr>
            <w:r>
              <w:rPr>
                <w:sz w:val="24"/>
              </w:rPr>
              <w:t>24.79</w:t>
            </w:r>
          </w:p>
        </w:tc>
        <w:tc>
          <w:tcPr>
            <w:tcW w:w="834" w:type="dxa"/>
            <w:vAlign w:val="center"/>
          </w:tcPr>
          <w:p>
            <w:pPr>
              <w:jc w:val="right"/>
            </w:pPr>
            <w:r>
              <w:rPr>
                <w:sz w:val="24"/>
              </w:rPr>
              <w:t>32.53</w:t>
            </w:r>
          </w:p>
        </w:tc>
        <w:tc>
          <w:tcPr>
            <w:tcW w:w="835" w:type="dxa"/>
            <w:vAlign w:val="center"/>
          </w:tcPr>
          <w:p>
            <w:pPr>
              <w:jc w:val="right"/>
            </w:pPr>
            <w:r>
              <w:rPr>
                <w:sz w:val="24"/>
              </w:rPr>
              <w:t>2,880</w:t>
            </w:r>
          </w:p>
        </w:tc>
        <w:tc>
          <w:tcPr>
            <w:tcW w:w="834" w:type="dxa"/>
            <w:vAlign w:val="center"/>
          </w:tcPr>
          <w:p>
            <w:pPr>
              <w:jc w:val="right"/>
            </w:pPr>
            <w:r>
              <w:rPr>
                <w:sz w:val="24"/>
              </w:rPr>
              <w:t>71,395.20</w:t>
            </w:r>
          </w:p>
        </w:tc>
        <w:tc>
          <w:tcPr>
            <w:tcW w:w="835" w:type="dxa"/>
            <w:vAlign w:val="center"/>
          </w:tcPr>
          <w:p>
            <w:pPr>
              <w:jc w:val="right"/>
            </w:pPr>
            <w:r>
              <w:rPr>
                <w:sz w:val="24"/>
              </w:rPr>
              <w:t>93,686.40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688390</w:t>
            </w:r>
          </w:p>
        </w:tc>
        <w:tc>
          <w:tcPr>
            <w:tcW w:w="835" w:type="dxa"/>
            <w:vAlign w:val="center"/>
          </w:tcPr>
          <w:p>
            <w:pPr>
              <w:jc w:val="center"/>
            </w:pPr>
            <w:r>
              <w:rPr>
                <w:sz w:val="24"/>
              </w:rPr>
              <w:t>固德威</w:t>
            </w:r>
          </w:p>
        </w:tc>
        <w:tc>
          <w:tcPr>
            <w:tcW w:w="834" w:type="dxa"/>
            <w:vAlign w:val="center"/>
          </w:tcPr>
          <w:p>
            <w:pPr>
              <w:jc w:val="center"/>
            </w:pPr>
            <w:r>
              <w:rPr>
                <w:sz w:val="24"/>
              </w:rPr>
              <w:t>2020-08-27</w:t>
            </w:r>
          </w:p>
        </w:tc>
        <w:tc>
          <w:tcPr>
            <w:tcW w:w="835" w:type="dxa"/>
            <w:vAlign w:val="center"/>
          </w:tcPr>
          <w:p>
            <w:pPr>
              <w:jc w:val="center"/>
            </w:pPr>
            <w:r>
              <w:rPr>
                <w:sz w:val="24"/>
              </w:rPr>
              <w:t>2021-03-04</w:t>
            </w:r>
          </w:p>
        </w:tc>
        <w:tc>
          <w:tcPr>
            <w:tcW w:w="834" w:type="dxa"/>
            <w:vAlign w:val="center"/>
          </w:tcPr>
          <w:p>
            <w:pPr>
              <w:jc w:val="center"/>
            </w:pPr>
            <w:r>
              <w:rPr>
                <w:sz w:val="24"/>
              </w:rPr>
              <w:t>限售股</w:t>
            </w:r>
          </w:p>
        </w:tc>
        <w:tc>
          <w:tcPr>
            <w:tcW w:w="835" w:type="dxa"/>
            <w:vAlign w:val="center"/>
          </w:tcPr>
          <w:p>
            <w:pPr>
              <w:jc w:val="right"/>
            </w:pPr>
            <w:r>
              <w:rPr>
                <w:sz w:val="24"/>
              </w:rPr>
              <w:t>37.93</w:t>
            </w:r>
          </w:p>
        </w:tc>
        <w:tc>
          <w:tcPr>
            <w:tcW w:w="834" w:type="dxa"/>
            <w:vAlign w:val="center"/>
          </w:tcPr>
          <w:p>
            <w:pPr>
              <w:jc w:val="right"/>
            </w:pPr>
            <w:r>
              <w:rPr>
                <w:sz w:val="24"/>
              </w:rPr>
              <w:t>221.72</w:t>
            </w:r>
          </w:p>
        </w:tc>
        <w:tc>
          <w:tcPr>
            <w:tcW w:w="835" w:type="dxa"/>
            <w:vAlign w:val="center"/>
          </w:tcPr>
          <w:p>
            <w:pPr>
              <w:jc w:val="right"/>
            </w:pPr>
            <w:r>
              <w:rPr>
                <w:sz w:val="24"/>
              </w:rPr>
              <w:t>2,585</w:t>
            </w:r>
          </w:p>
        </w:tc>
        <w:tc>
          <w:tcPr>
            <w:tcW w:w="834" w:type="dxa"/>
            <w:vAlign w:val="center"/>
          </w:tcPr>
          <w:p>
            <w:pPr>
              <w:jc w:val="right"/>
            </w:pPr>
            <w:r>
              <w:rPr>
                <w:sz w:val="24"/>
              </w:rPr>
              <w:t>98,049.05</w:t>
            </w:r>
          </w:p>
        </w:tc>
        <w:tc>
          <w:tcPr>
            <w:tcW w:w="835" w:type="dxa"/>
            <w:vAlign w:val="center"/>
          </w:tcPr>
          <w:p>
            <w:pPr>
              <w:jc w:val="right"/>
            </w:pPr>
            <w:r>
              <w:rPr>
                <w:sz w:val="24"/>
              </w:rPr>
              <w:t>573,146.20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688521</w:t>
            </w:r>
          </w:p>
        </w:tc>
        <w:tc>
          <w:tcPr>
            <w:tcW w:w="835" w:type="dxa"/>
            <w:vAlign w:val="center"/>
          </w:tcPr>
          <w:p>
            <w:pPr>
              <w:jc w:val="center"/>
            </w:pPr>
            <w:r>
              <w:rPr>
                <w:sz w:val="24"/>
              </w:rPr>
              <w:t>芯原股份</w:t>
            </w:r>
          </w:p>
        </w:tc>
        <w:tc>
          <w:tcPr>
            <w:tcW w:w="834" w:type="dxa"/>
            <w:vAlign w:val="center"/>
          </w:tcPr>
          <w:p>
            <w:pPr>
              <w:jc w:val="center"/>
            </w:pPr>
            <w:r>
              <w:rPr>
                <w:sz w:val="24"/>
              </w:rPr>
              <w:t>2020-08-11</w:t>
            </w:r>
          </w:p>
        </w:tc>
        <w:tc>
          <w:tcPr>
            <w:tcW w:w="835" w:type="dxa"/>
            <w:vAlign w:val="center"/>
          </w:tcPr>
          <w:p>
            <w:pPr>
              <w:jc w:val="center"/>
            </w:pPr>
            <w:r>
              <w:rPr>
                <w:sz w:val="24"/>
              </w:rPr>
              <w:t>2021-02-18</w:t>
            </w:r>
          </w:p>
        </w:tc>
        <w:tc>
          <w:tcPr>
            <w:tcW w:w="834" w:type="dxa"/>
            <w:vAlign w:val="center"/>
          </w:tcPr>
          <w:p>
            <w:pPr>
              <w:jc w:val="center"/>
            </w:pPr>
            <w:r>
              <w:rPr>
                <w:sz w:val="24"/>
              </w:rPr>
              <w:t>限售股</w:t>
            </w:r>
          </w:p>
        </w:tc>
        <w:tc>
          <w:tcPr>
            <w:tcW w:w="835" w:type="dxa"/>
            <w:vAlign w:val="center"/>
          </w:tcPr>
          <w:p>
            <w:pPr>
              <w:jc w:val="right"/>
            </w:pPr>
            <w:r>
              <w:rPr>
                <w:sz w:val="24"/>
              </w:rPr>
              <w:t>38.53</w:t>
            </w:r>
          </w:p>
        </w:tc>
        <w:tc>
          <w:tcPr>
            <w:tcW w:w="834" w:type="dxa"/>
            <w:vAlign w:val="center"/>
          </w:tcPr>
          <w:p>
            <w:pPr>
              <w:jc w:val="right"/>
            </w:pPr>
            <w:r>
              <w:rPr>
                <w:sz w:val="24"/>
              </w:rPr>
              <w:t>77.99</w:t>
            </w:r>
          </w:p>
        </w:tc>
        <w:tc>
          <w:tcPr>
            <w:tcW w:w="835" w:type="dxa"/>
            <w:vAlign w:val="center"/>
          </w:tcPr>
          <w:p>
            <w:pPr>
              <w:jc w:val="right"/>
            </w:pPr>
            <w:r>
              <w:rPr>
                <w:sz w:val="24"/>
              </w:rPr>
              <w:t>13,200</w:t>
            </w:r>
          </w:p>
        </w:tc>
        <w:tc>
          <w:tcPr>
            <w:tcW w:w="834" w:type="dxa"/>
            <w:vAlign w:val="center"/>
          </w:tcPr>
          <w:p>
            <w:pPr>
              <w:jc w:val="right"/>
            </w:pPr>
            <w:r>
              <w:rPr>
                <w:sz w:val="24"/>
              </w:rPr>
              <w:t>508,596.00</w:t>
            </w:r>
          </w:p>
        </w:tc>
        <w:tc>
          <w:tcPr>
            <w:tcW w:w="835" w:type="dxa"/>
            <w:vAlign w:val="center"/>
          </w:tcPr>
          <w:p>
            <w:pPr>
              <w:jc w:val="right"/>
            </w:pPr>
            <w:r>
              <w:rPr>
                <w:sz w:val="24"/>
              </w:rPr>
              <w:t>1,029,468.00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688569</w:t>
            </w:r>
          </w:p>
        </w:tc>
        <w:tc>
          <w:tcPr>
            <w:tcW w:w="835" w:type="dxa"/>
            <w:vAlign w:val="center"/>
          </w:tcPr>
          <w:p>
            <w:pPr>
              <w:jc w:val="center"/>
            </w:pPr>
            <w:r>
              <w:rPr>
                <w:sz w:val="24"/>
              </w:rPr>
              <w:t>铁科轨道</w:t>
            </w:r>
          </w:p>
        </w:tc>
        <w:tc>
          <w:tcPr>
            <w:tcW w:w="834" w:type="dxa"/>
            <w:vAlign w:val="center"/>
          </w:tcPr>
          <w:p>
            <w:pPr>
              <w:jc w:val="center"/>
            </w:pPr>
            <w:r>
              <w:rPr>
                <w:sz w:val="24"/>
              </w:rPr>
              <w:t>2020-08-21</w:t>
            </w:r>
          </w:p>
        </w:tc>
        <w:tc>
          <w:tcPr>
            <w:tcW w:w="835" w:type="dxa"/>
            <w:vAlign w:val="center"/>
          </w:tcPr>
          <w:p>
            <w:pPr>
              <w:jc w:val="center"/>
            </w:pPr>
            <w:r>
              <w:rPr>
                <w:sz w:val="24"/>
              </w:rPr>
              <w:t>2021-03-01</w:t>
            </w:r>
          </w:p>
        </w:tc>
        <w:tc>
          <w:tcPr>
            <w:tcW w:w="834" w:type="dxa"/>
            <w:vAlign w:val="center"/>
          </w:tcPr>
          <w:p>
            <w:pPr>
              <w:jc w:val="center"/>
            </w:pPr>
            <w:r>
              <w:rPr>
                <w:sz w:val="24"/>
              </w:rPr>
              <w:t>限售股</w:t>
            </w:r>
          </w:p>
        </w:tc>
        <w:tc>
          <w:tcPr>
            <w:tcW w:w="835" w:type="dxa"/>
            <w:vAlign w:val="center"/>
          </w:tcPr>
          <w:p>
            <w:pPr>
              <w:jc w:val="right"/>
            </w:pPr>
            <w:r>
              <w:rPr>
                <w:sz w:val="24"/>
              </w:rPr>
              <w:t>22.46</w:t>
            </w:r>
          </w:p>
        </w:tc>
        <w:tc>
          <w:tcPr>
            <w:tcW w:w="834" w:type="dxa"/>
            <w:vAlign w:val="center"/>
          </w:tcPr>
          <w:p>
            <w:pPr>
              <w:jc w:val="right"/>
            </w:pPr>
            <w:r>
              <w:rPr>
                <w:sz w:val="24"/>
              </w:rPr>
              <w:t>20.10</w:t>
            </w:r>
          </w:p>
        </w:tc>
        <w:tc>
          <w:tcPr>
            <w:tcW w:w="835" w:type="dxa"/>
            <w:vAlign w:val="center"/>
          </w:tcPr>
          <w:p>
            <w:pPr>
              <w:jc w:val="right"/>
            </w:pPr>
            <w:r>
              <w:rPr>
                <w:sz w:val="24"/>
              </w:rPr>
              <w:t>6,841</w:t>
            </w:r>
          </w:p>
        </w:tc>
        <w:tc>
          <w:tcPr>
            <w:tcW w:w="834" w:type="dxa"/>
            <w:vAlign w:val="center"/>
          </w:tcPr>
          <w:p>
            <w:pPr>
              <w:jc w:val="right"/>
            </w:pPr>
            <w:r>
              <w:rPr>
                <w:sz w:val="24"/>
              </w:rPr>
              <w:t>153,648.86</w:t>
            </w:r>
          </w:p>
        </w:tc>
        <w:tc>
          <w:tcPr>
            <w:tcW w:w="835" w:type="dxa"/>
            <w:vAlign w:val="center"/>
          </w:tcPr>
          <w:p>
            <w:pPr>
              <w:jc w:val="right"/>
            </w:pPr>
            <w:r>
              <w:rPr>
                <w:sz w:val="24"/>
              </w:rPr>
              <w:t>137,504.10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688577</w:t>
            </w:r>
          </w:p>
        </w:tc>
        <w:tc>
          <w:tcPr>
            <w:tcW w:w="835" w:type="dxa"/>
            <w:vAlign w:val="center"/>
          </w:tcPr>
          <w:p>
            <w:pPr>
              <w:jc w:val="center"/>
            </w:pPr>
            <w:r>
              <w:rPr>
                <w:sz w:val="24"/>
              </w:rPr>
              <w:t>浙海德曼</w:t>
            </w:r>
          </w:p>
        </w:tc>
        <w:tc>
          <w:tcPr>
            <w:tcW w:w="834" w:type="dxa"/>
            <w:vAlign w:val="center"/>
          </w:tcPr>
          <w:p>
            <w:pPr>
              <w:jc w:val="center"/>
            </w:pPr>
            <w:r>
              <w:rPr>
                <w:sz w:val="24"/>
              </w:rPr>
              <w:t>2020-09-08</w:t>
            </w:r>
          </w:p>
        </w:tc>
        <w:tc>
          <w:tcPr>
            <w:tcW w:w="835" w:type="dxa"/>
            <w:vAlign w:val="center"/>
          </w:tcPr>
          <w:p>
            <w:pPr>
              <w:jc w:val="center"/>
            </w:pPr>
            <w:r>
              <w:rPr>
                <w:sz w:val="24"/>
              </w:rPr>
              <w:t>2021-03-16</w:t>
            </w:r>
          </w:p>
        </w:tc>
        <w:tc>
          <w:tcPr>
            <w:tcW w:w="834" w:type="dxa"/>
            <w:vAlign w:val="center"/>
          </w:tcPr>
          <w:p>
            <w:pPr>
              <w:jc w:val="center"/>
            </w:pPr>
            <w:r>
              <w:rPr>
                <w:sz w:val="24"/>
              </w:rPr>
              <w:t>限售股</w:t>
            </w:r>
          </w:p>
        </w:tc>
        <w:tc>
          <w:tcPr>
            <w:tcW w:w="835" w:type="dxa"/>
            <w:vAlign w:val="center"/>
          </w:tcPr>
          <w:p>
            <w:pPr>
              <w:jc w:val="right"/>
            </w:pPr>
            <w:r>
              <w:rPr>
                <w:sz w:val="24"/>
              </w:rPr>
              <w:t>33.13</w:t>
            </w:r>
          </w:p>
        </w:tc>
        <w:tc>
          <w:tcPr>
            <w:tcW w:w="834" w:type="dxa"/>
            <w:vAlign w:val="center"/>
          </w:tcPr>
          <w:p>
            <w:pPr>
              <w:jc w:val="right"/>
            </w:pPr>
            <w:r>
              <w:rPr>
                <w:sz w:val="24"/>
              </w:rPr>
              <w:t>42.01</w:t>
            </w:r>
          </w:p>
        </w:tc>
        <w:tc>
          <w:tcPr>
            <w:tcW w:w="835" w:type="dxa"/>
            <w:vAlign w:val="center"/>
          </w:tcPr>
          <w:p>
            <w:pPr>
              <w:jc w:val="right"/>
            </w:pPr>
            <w:r>
              <w:rPr>
                <w:sz w:val="24"/>
              </w:rPr>
              <w:t>1,503</w:t>
            </w:r>
          </w:p>
        </w:tc>
        <w:tc>
          <w:tcPr>
            <w:tcW w:w="834" w:type="dxa"/>
            <w:vAlign w:val="center"/>
          </w:tcPr>
          <w:p>
            <w:pPr>
              <w:jc w:val="right"/>
            </w:pPr>
            <w:r>
              <w:rPr>
                <w:sz w:val="24"/>
              </w:rPr>
              <w:t>49,794.39</w:t>
            </w:r>
          </w:p>
        </w:tc>
        <w:tc>
          <w:tcPr>
            <w:tcW w:w="835" w:type="dxa"/>
            <w:vAlign w:val="center"/>
          </w:tcPr>
          <w:p>
            <w:pPr>
              <w:jc w:val="right"/>
            </w:pPr>
            <w:r>
              <w:rPr>
                <w:sz w:val="24"/>
              </w:rPr>
              <w:t>63,141.03</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688596</w:t>
            </w:r>
          </w:p>
        </w:tc>
        <w:tc>
          <w:tcPr>
            <w:tcW w:w="835" w:type="dxa"/>
            <w:vAlign w:val="center"/>
          </w:tcPr>
          <w:p>
            <w:pPr>
              <w:jc w:val="center"/>
            </w:pPr>
            <w:r>
              <w:rPr>
                <w:sz w:val="24"/>
              </w:rPr>
              <w:t>正帆科技</w:t>
            </w:r>
          </w:p>
        </w:tc>
        <w:tc>
          <w:tcPr>
            <w:tcW w:w="834" w:type="dxa"/>
            <w:vAlign w:val="center"/>
          </w:tcPr>
          <w:p>
            <w:pPr>
              <w:jc w:val="center"/>
            </w:pPr>
            <w:r>
              <w:rPr>
                <w:sz w:val="24"/>
              </w:rPr>
              <w:t>2020-08-12</w:t>
            </w:r>
          </w:p>
        </w:tc>
        <w:tc>
          <w:tcPr>
            <w:tcW w:w="835" w:type="dxa"/>
            <w:vAlign w:val="center"/>
          </w:tcPr>
          <w:p>
            <w:pPr>
              <w:jc w:val="center"/>
            </w:pPr>
            <w:r>
              <w:rPr>
                <w:sz w:val="24"/>
              </w:rPr>
              <w:t>2021-02-22</w:t>
            </w:r>
          </w:p>
        </w:tc>
        <w:tc>
          <w:tcPr>
            <w:tcW w:w="834" w:type="dxa"/>
            <w:vAlign w:val="center"/>
          </w:tcPr>
          <w:p>
            <w:pPr>
              <w:jc w:val="center"/>
            </w:pPr>
            <w:r>
              <w:rPr>
                <w:sz w:val="24"/>
              </w:rPr>
              <w:t>限售股</w:t>
            </w:r>
          </w:p>
        </w:tc>
        <w:tc>
          <w:tcPr>
            <w:tcW w:w="835" w:type="dxa"/>
            <w:vAlign w:val="center"/>
          </w:tcPr>
          <w:p>
            <w:pPr>
              <w:jc w:val="right"/>
            </w:pPr>
            <w:r>
              <w:rPr>
                <w:sz w:val="24"/>
              </w:rPr>
              <w:t>15.67</w:t>
            </w:r>
          </w:p>
        </w:tc>
        <w:tc>
          <w:tcPr>
            <w:tcW w:w="834" w:type="dxa"/>
            <w:vAlign w:val="center"/>
          </w:tcPr>
          <w:p>
            <w:pPr>
              <w:jc w:val="right"/>
            </w:pPr>
            <w:r>
              <w:rPr>
                <w:sz w:val="24"/>
              </w:rPr>
              <w:t>19.57</w:t>
            </w:r>
          </w:p>
        </w:tc>
        <w:tc>
          <w:tcPr>
            <w:tcW w:w="835" w:type="dxa"/>
            <w:vAlign w:val="center"/>
          </w:tcPr>
          <w:p>
            <w:pPr>
              <w:jc w:val="right"/>
            </w:pPr>
            <w:r>
              <w:rPr>
                <w:sz w:val="24"/>
              </w:rPr>
              <w:t>12,927</w:t>
            </w:r>
          </w:p>
        </w:tc>
        <w:tc>
          <w:tcPr>
            <w:tcW w:w="834" w:type="dxa"/>
            <w:vAlign w:val="center"/>
          </w:tcPr>
          <w:p>
            <w:pPr>
              <w:jc w:val="right"/>
            </w:pPr>
            <w:r>
              <w:rPr>
                <w:sz w:val="24"/>
              </w:rPr>
              <w:t>202,566.09</w:t>
            </w:r>
          </w:p>
        </w:tc>
        <w:tc>
          <w:tcPr>
            <w:tcW w:w="835" w:type="dxa"/>
            <w:vAlign w:val="center"/>
          </w:tcPr>
          <w:p>
            <w:pPr>
              <w:jc w:val="right"/>
            </w:pPr>
            <w:r>
              <w:rPr>
                <w:sz w:val="24"/>
              </w:rPr>
              <w:t>252,981.39</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688617</w:t>
            </w:r>
          </w:p>
        </w:tc>
        <w:tc>
          <w:tcPr>
            <w:tcW w:w="835" w:type="dxa"/>
            <w:vAlign w:val="center"/>
          </w:tcPr>
          <w:p>
            <w:pPr>
              <w:jc w:val="center"/>
            </w:pPr>
            <w:r>
              <w:rPr>
                <w:sz w:val="24"/>
              </w:rPr>
              <w:t>惠泰医疗</w:t>
            </w:r>
          </w:p>
        </w:tc>
        <w:tc>
          <w:tcPr>
            <w:tcW w:w="834" w:type="dxa"/>
            <w:vAlign w:val="center"/>
          </w:tcPr>
          <w:p>
            <w:pPr>
              <w:jc w:val="center"/>
            </w:pPr>
            <w:r>
              <w:rPr>
                <w:sz w:val="24"/>
              </w:rPr>
              <w:t>2020-12-30</w:t>
            </w:r>
          </w:p>
        </w:tc>
        <w:tc>
          <w:tcPr>
            <w:tcW w:w="835" w:type="dxa"/>
            <w:vAlign w:val="center"/>
          </w:tcPr>
          <w:p>
            <w:pPr>
              <w:jc w:val="center"/>
            </w:pPr>
            <w:r>
              <w:rPr>
                <w:sz w:val="24"/>
              </w:rPr>
              <w:t>2021-0</w:t>
            </w:r>
            <w:r>
              <w:rPr>
                <w:rFonts w:hint="eastAsia"/>
                <w:sz w:val="24"/>
              </w:rPr>
              <w:t>7</w:t>
            </w:r>
            <w:r>
              <w:rPr>
                <w:sz w:val="24"/>
              </w:rPr>
              <w:t>-07</w:t>
            </w:r>
          </w:p>
        </w:tc>
        <w:tc>
          <w:tcPr>
            <w:tcW w:w="834" w:type="dxa"/>
            <w:vAlign w:val="center"/>
          </w:tcPr>
          <w:p>
            <w:pPr>
              <w:jc w:val="center"/>
            </w:pPr>
            <w:r>
              <w:rPr>
                <w:rFonts w:hint="eastAsia"/>
                <w:sz w:val="24"/>
              </w:rPr>
              <w:t>新股未上市且限售股</w:t>
            </w:r>
          </w:p>
        </w:tc>
        <w:tc>
          <w:tcPr>
            <w:tcW w:w="835" w:type="dxa"/>
            <w:vAlign w:val="center"/>
          </w:tcPr>
          <w:p>
            <w:pPr>
              <w:jc w:val="right"/>
            </w:pPr>
            <w:r>
              <w:rPr>
                <w:sz w:val="24"/>
              </w:rPr>
              <w:t>74.46</w:t>
            </w:r>
          </w:p>
        </w:tc>
        <w:tc>
          <w:tcPr>
            <w:tcW w:w="834" w:type="dxa"/>
            <w:vAlign w:val="center"/>
          </w:tcPr>
          <w:p>
            <w:pPr>
              <w:jc w:val="right"/>
            </w:pPr>
            <w:r>
              <w:rPr>
                <w:sz w:val="24"/>
              </w:rPr>
              <w:t>74.46</w:t>
            </w:r>
          </w:p>
        </w:tc>
        <w:tc>
          <w:tcPr>
            <w:tcW w:w="835" w:type="dxa"/>
            <w:vAlign w:val="center"/>
          </w:tcPr>
          <w:p>
            <w:pPr>
              <w:jc w:val="right"/>
            </w:pPr>
            <w:r>
              <w:rPr>
                <w:sz w:val="24"/>
              </w:rPr>
              <w:t>1,673</w:t>
            </w:r>
          </w:p>
        </w:tc>
        <w:tc>
          <w:tcPr>
            <w:tcW w:w="834" w:type="dxa"/>
            <w:vAlign w:val="center"/>
          </w:tcPr>
          <w:p>
            <w:pPr>
              <w:jc w:val="right"/>
            </w:pPr>
            <w:r>
              <w:rPr>
                <w:sz w:val="24"/>
              </w:rPr>
              <w:t>124,571.58</w:t>
            </w:r>
          </w:p>
        </w:tc>
        <w:tc>
          <w:tcPr>
            <w:tcW w:w="835" w:type="dxa"/>
            <w:vAlign w:val="center"/>
          </w:tcPr>
          <w:p>
            <w:pPr>
              <w:jc w:val="right"/>
            </w:pPr>
            <w:r>
              <w:rPr>
                <w:sz w:val="24"/>
              </w:rPr>
              <w:t>124,571.58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688678</w:t>
            </w:r>
          </w:p>
        </w:tc>
        <w:tc>
          <w:tcPr>
            <w:tcW w:w="835" w:type="dxa"/>
            <w:vAlign w:val="center"/>
          </w:tcPr>
          <w:p>
            <w:pPr>
              <w:jc w:val="center"/>
            </w:pPr>
            <w:r>
              <w:rPr>
                <w:sz w:val="24"/>
              </w:rPr>
              <w:t>福立旺</w:t>
            </w:r>
          </w:p>
        </w:tc>
        <w:tc>
          <w:tcPr>
            <w:tcW w:w="834" w:type="dxa"/>
            <w:vAlign w:val="center"/>
          </w:tcPr>
          <w:p>
            <w:pPr>
              <w:jc w:val="center"/>
            </w:pPr>
            <w:r>
              <w:rPr>
                <w:sz w:val="24"/>
              </w:rPr>
              <w:t>2020-12-15</w:t>
            </w:r>
          </w:p>
        </w:tc>
        <w:tc>
          <w:tcPr>
            <w:tcW w:w="835" w:type="dxa"/>
            <w:vAlign w:val="center"/>
          </w:tcPr>
          <w:p>
            <w:pPr>
              <w:jc w:val="center"/>
            </w:pPr>
            <w:r>
              <w:rPr>
                <w:sz w:val="24"/>
              </w:rPr>
              <w:t>2021-06-23</w:t>
            </w:r>
          </w:p>
        </w:tc>
        <w:tc>
          <w:tcPr>
            <w:tcW w:w="834" w:type="dxa"/>
            <w:vAlign w:val="center"/>
          </w:tcPr>
          <w:p>
            <w:pPr>
              <w:jc w:val="center"/>
            </w:pPr>
            <w:r>
              <w:rPr>
                <w:sz w:val="24"/>
              </w:rPr>
              <w:t>限售股</w:t>
            </w:r>
          </w:p>
        </w:tc>
        <w:tc>
          <w:tcPr>
            <w:tcW w:w="835" w:type="dxa"/>
            <w:vAlign w:val="center"/>
          </w:tcPr>
          <w:p>
            <w:pPr>
              <w:jc w:val="right"/>
            </w:pPr>
            <w:r>
              <w:rPr>
                <w:sz w:val="24"/>
              </w:rPr>
              <w:t>18.05</w:t>
            </w:r>
          </w:p>
        </w:tc>
        <w:tc>
          <w:tcPr>
            <w:tcW w:w="834" w:type="dxa"/>
            <w:vAlign w:val="center"/>
          </w:tcPr>
          <w:p>
            <w:pPr>
              <w:jc w:val="right"/>
            </w:pPr>
            <w:r>
              <w:rPr>
                <w:sz w:val="24"/>
              </w:rPr>
              <w:t>19.25</w:t>
            </w:r>
          </w:p>
        </w:tc>
        <w:tc>
          <w:tcPr>
            <w:tcW w:w="835" w:type="dxa"/>
            <w:vAlign w:val="center"/>
          </w:tcPr>
          <w:p>
            <w:pPr>
              <w:jc w:val="right"/>
            </w:pPr>
            <w:r>
              <w:rPr>
                <w:sz w:val="24"/>
              </w:rPr>
              <w:t>4,198</w:t>
            </w:r>
          </w:p>
        </w:tc>
        <w:tc>
          <w:tcPr>
            <w:tcW w:w="834" w:type="dxa"/>
            <w:vAlign w:val="center"/>
          </w:tcPr>
          <w:p>
            <w:pPr>
              <w:jc w:val="right"/>
            </w:pPr>
            <w:r>
              <w:rPr>
                <w:sz w:val="24"/>
              </w:rPr>
              <w:t>75,773.90</w:t>
            </w:r>
          </w:p>
        </w:tc>
        <w:tc>
          <w:tcPr>
            <w:tcW w:w="835" w:type="dxa"/>
            <w:vAlign w:val="center"/>
          </w:tcPr>
          <w:p>
            <w:pPr>
              <w:jc w:val="right"/>
            </w:pPr>
            <w:r>
              <w:rPr>
                <w:sz w:val="24"/>
              </w:rPr>
              <w:t>80,811.50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688679</w:t>
            </w:r>
          </w:p>
        </w:tc>
        <w:tc>
          <w:tcPr>
            <w:tcW w:w="835" w:type="dxa"/>
            <w:vAlign w:val="center"/>
          </w:tcPr>
          <w:p>
            <w:pPr>
              <w:jc w:val="center"/>
            </w:pPr>
            <w:r>
              <w:rPr>
                <w:sz w:val="24"/>
              </w:rPr>
              <w:t>通源环境</w:t>
            </w:r>
          </w:p>
        </w:tc>
        <w:tc>
          <w:tcPr>
            <w:tcW w:w="834" w:type="dxa"/>
            <w:vAlign w:val="center"/>
          </w:tcPr>
          <w:p>
            <w:pPr>
              <w:jc w:val="center"/>
            </w:pPr>
            <w:r>
              <w:rPr>
                <w:sz w:val="24"/>
              </w:rPr>
              <w:t>2020-12-16</w:t>
            </w:r>
          </w:p>
        </w:tc>
        <w:tc>
          <w:tcPr>
            <w:tcW w:w="835" w:type="dxa"/>
            <w:vAlign w:val="center"/>
          </w:tcPr>
          <w:p>
            <w:pPr>
              <w:jc w:val="center"/>
            </w:pPr>
            <w:r>
              <w:rPr>
                <w:sz w:val="24"/>
              </w:rPr>
              <w:t>2021-06-25</w:t>
            </w:r>
          </w:p>
        </w:tc>
        <w:tc>
          <w:tcPr>
            <w:tcW w:w="834" w:type="dxa"/>
            <w:vAlign w:val="center"/>
          </w:tcPr>
          <w:p>
            <w:pPr>
              <w:jc w:val="center"/>
            </w:pPr>
            <w:r>
              <w:rPr>
                <w:sz w:val="24"/>
              </w:rPr>
              <w:t>限售股</w:t>
            </w:r>
          </w:p>
        </w:tc>
        <w:tc>
          <w:tcPr>
            <w:tcW w:w="835" w:type="dxa"/>
            <w:vAlign w:val="center"/>
          </w:tcPr>
          <w:p>
            <w:pPr>
              <w:jc w:val="right"/>
            </w:pPr>
            <w:r>
              <w:rPr>
                <w:sz w:val="24"/>
              </w:rPr>
              <w:t>12.05</w:t>
            </w:r>
          </w:p>
        </w:tc>
        <w:tc>
          <w:tcPr>
            <w:tcW w:w="834" w:type="dxa"/>
            <w:vAlign w:val="center"/>
          </w:tcPr>
          <w:p>
            <w:pPr>
              <w:jc w:val="right"/>
            </w:pPr>
            <w:r>
              <w:rPr>
                <w:sz w:val="24"/>
              </w:rPr>
              <w:t>13.49</w:t>
            </w:r>
          </w:p>
        </w:tc>
        <w:tc>
          <w:tcPr>
            <w:tcW w:w="835" w:type="dxa"/>
            <w:vAlign w:val="center"/>
          </w:tcPr>
          <w:p>
            <w:pPr>
              <w:jc w:val="right"/>
            </w:pPr>
            <w:r>
              <w:rPr>
                <w:sz w:val="24"/>
              </w:rPr>
              <w:t>3,139</w:t>
            </w:r>
          </w:p>
        </w:tc>
        <w:tc>
          <w:tcPr>
            <w:tcW w:w="834" w:type="dxa"/>
            <w:vAlign w:val="center"/>
          </w:tcPr>
          <w:p>
            <w:pPr>
              <w:jc w:val="right"/>
            </w:pPr>
            <w:r>
              <w:rPr>
                <w:sz w:val="24"/>
              </w:rPr>
              <w:t>37,824.95</w:t>
            </w:r>
          </w:p>
        </w:tc>
        <w:tc>
          <w:tcPr>
            <w:tcW w:w="835" w:type="dxa"/>
            <w:vAlign w:val="center"/>
          </w:tcPr>
          <w:p>
            <w:pPr>
              <w:jc w:val="right"/>
            </w:pPr>
            <w:r>
              <w:rPr>
                <w:sz w:val="24"/>
              </w:rPr>
              <w:t>42,345.11</w:t>
            </w:r>
          </w:p>
        </w:tc>
        <w:tc>
          <w:tcPr>
            <w:tcW w:w="835" w:type="dxa"/>
            <w:vAlign w:val="center"/>
          </w:tcPr>
          <w:p>
            <w:pPr>
              <w:jc w:val="center"/>
            </w:pPr>
            <w:r>
              <w:rPr>
                <w:sz w:val="24"/>
              </w:rPr>
              <w:t>-</w:t>
            </w:r>
          </w:p>
        </w:tc>
      </w:tr>
    </w:tbl>
    <w:p>
      <w:pPr>
        <w:tabs>
          <w:tab w:val="left" w:pos="426"/>
        </w:tabs>
        <w:spacing w:before="29" w:line="288" w:lineRule="auto"/>
        <w:jc w:val="left"/>
        <w:rPr>
          <w:kern w:val="0"/>
          <w:sz w:val="24"/>
        </w:rPr>
      </w:pPr>
      <w:r>
        <w:rPr>
          <w:kern w:val="0"/>
          <w:sz w:val="24"/>
        </w:rPr>
        <w:t>注：1、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pPr>
        <w:tabs>
          <w:tab w:val="left" w:pos="426"/>
        </w:tabs>
        <w:spacing w:before="29" w:line="288" w:lineRule="auto"/>
        <w:jc w:val="left"/>
        <w:rPr>
          <w:kern w:val="0"/>
          <w:sz w:val="24"/>
        </w:rPr>
      </w:pPr>
      <w:r>
        <w:rPr>
          <w:kern w:val="0"/>
          <w:sz w:val="24"/>
        </w:rPr>
        <w:t>2、本基金可作为特定投资者，认购首次公开发行股票时公司股东公开发售股份，所认购的股份自发行结束之日起12个月内不得转让。</w:t>
      </w:r>
    </w:p>
    <w:p>
      <w:pPr>
        <w:tabs>
          <w:tab w:val="left" w:pos="426"/>
        </w:tabs>
        <w:spacing w:before="29" w:line="288" w:lineRule="auto"/>
        <w:jc w:val="left"/>
        <w:rPr>
          <w:kern w:val="0"/>
          <w:sz w:val="24"/>
        </w:rPr>
      </w:pPr>
      <w:r>
        <w:rPr>
          <w:kern w:val="0"/>
          <w:sz w:val="24"/>
        </w:rPr>
        <w:t>3、本基金可作为特定投资者，参与上市公司公开或非公开发行股份认购。本基金可作为特定投资者所认购的2020年2月14日前发行完毕的非公开发行股份，自发行结束之日起12个月内不得转让。本基金所认购的2020年2月14日(含)后发行完毕的非公开发行股份，自发行结束之日起6个月内不得转让。本基金持有的上市公司非公开发行股份，采取集中竞价交易方式的，在任意连续90日内，减持股份的总数不得超过公司股份总数的1%，且自股份解除限售之日起12个月内，通过集中竞价交易减持的数量不得超过本基金持有该次非公开发行股份数量的50%；采取大宗交易方式的，在任意连续90日内，减持股份的总数不得超过公司股份总数的2%。本基金通过大宗交易方式受让的原上市公司大股东减持或者特定股东减持的股份，在受让后6个月内，不得转让所受让的股份。</w:t>
      </w:r>
    </w:p>
    <w:p>
      <w:pPr>
        <w:tabs>
          <w:tab w:val="left" w:pos="426"/>
        </w:tabs>
        <w:spacing w:before="29" w:line="288" w:lineRule="auto"/>
        <w:jc w:val="left"/>
        <w:rPr>
          <w:kern w:val="0"/>
          <w:sz w:val="24"/>
        </w:rPr>
      </w:pPr>
      <w:r>
        <w:rPr>
          <w:kern w:val="0"/>
          <w:sz w:val="24"/>
        </w:rPr>
        <w:t>4、本基金获配的科创板股票如经抽签方式确定需要锁定的，锁定期限为自发行人股票上市之日起6个月。本基金通过询价转让受让的股份，在受让后6个月内不得转让。</w:t>
      </w:r>
    </w:p>
    <w:p>
      <w:pPr>
        <w:tabs>
          <w:tab w:val="left" w:pos="426"/>
        </w:tabs>
        <w:spacing w:before="29" w:line="288" w:lineRule="auto"/>
        <w:jc w:val="left"/>
        <w:rPr>
          <w:kern w:val="0"/>
          <w:sz w:val="24"/>
        </w:rPr>
      </w:pPr>
      <w:r>
        <w:rPr>
          <w:kern w:val="0"/>
          <w:sz w:val="24"/>
        </w:rPr>
        <w:t>5、本基金可以通过</w:t>
      </w:r>
      <w:r>
        <w:rPr>
          <w:rFonts w:hint="eastAsia"/>
          <w:kern w:val="0"/>
          <w:sz w:val="24"/>
        </w:rPr>
        <w:t>网下</w:t>
      </w:r>
      <w:r>
        <w:rPr>
          <w:kern w:val="0"/>
          <w:sz w:val="24"/>
        </w:rPr>
        <w:t>发行获配的创业板股票。发行人和主承销商可以采用摇号限售方式或比例限售方式，安排获配的部分创业板股票设置不低于6个月的限售期。</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86" w:name="_Toc67596667"/>
      <w:r>
        <w:rPr>
          <w:rFonts w:ascii="Times New Roman" w:hAnsi="Times New Roman"/>
          <w:kern w:val="0"/>
          <w:szCs w:val="24"/>
        </w:rPr>
        <w:t>7.4.12.2</w:t>
      </w:r>
      <w:r>
        <w:rPr>
          <w:rFonts w:hint="eastAsia" w:ascii="Times New Roman" w:hAnsi="Times New Roman"/>
          <w:kern w:val="0"/>
          <w:szCs w:val="24"/>
        </w:rPr>
        <w:t>期末持有的暂时停牌等流通受限股票</w:t>
      </w:r>
      <w:bookmarkEnd w:id="186"/>
    </w:p>
    <w:p>
      <w:pPr>
        <w:tabs>
          <w:tab w:val="left" w:pos="426"/>
        </w:tabs>
        <w:spacing w:before="29" w:line="288" w:lineRule="auto"/>
        <w:jc w:val="left"/>
        <w:rPr>
          <w:kern w:val="0"/>
          <w:sz w:val="24"/>
        </w:rPr>
      </w:pPr>
      <w:r>
        <w:rPr>
          <w:kern w:val="0"/>
          <w:sz w:val="24"/>
        </w:rPr>
        <w:t>本基金本报告期末未持有暂时停牌等流通受限股票。</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87" w:name="_Toc67596668"/>
      <w:r>
        <w:rPr>
          <w:rFonts w:ascii="Times New Roman" w:hAnsi="Times New Roman"/>
          <w:kern w:val="0"/>
          <w:szCs w:val="24"/>
        </w:rPr>
        <w:t>7.4.12.3</w:t>
      </w:r>
      <w:r>
        <w:rPr>
          <w:rFonts w:hint="eastAsia" w:ascii="Times New Roman" w:hAnsi="Times New Roman"/>
          <w:kern w:val="0"/>
          <w:szCs w:val="24"/>
        </w:rPr>
        <w:t>期末债券正回购交易中作为抵押的债券</w:t>
      </w:r>
      <w:bookmarkEnd w:id="187"/>
    </w:p>
    <w:p>
      <w:pPr>
        <w:spacing w:before="29" w:line="288" w:lineRule="auto"/>
        <w:rPr>
          <w:color w:val="000000"/>
          <w:sz w:val="24"/>
        </w:rPr>
      </w:pPr>
      <w:r>
        <w:rPr>
          <w:color w:val="000000"/>
          <w:sz w:val="24"/>
        </w:rPr>
        <w:t>本基金本报告期末无从事债券正回购交易形成的卖出回购证券款余额。</w:t>
      </w:r>
    </w:p>
    <w:p>
      <w:pPr>
        <w:spacing w:before="29" w:line="288" w:lineRule="auto"/>
        <w:rPr>
          <w:color w:val="000000"/>
          <w:sz w:val="24"/>
        </w:rPr>
      </w:pPr>
    </w:p>
    <w:p>
      <w:pPr>
        <w:pStyle w:val="3"/>
        <w:spacing w:before="29" w:after="0" w:line="288" w:lineRule="auto"/>
        <w:rPr>
          <w:rFonts w:ascii="Times New Roman" w:hAnsi="Times New Roman"/>
          <w:kern w:val="0"/>
          <w:szCs w:val="24"/>
        </w:rPr>
      </w:pPr>
      <w:bookmarkStart w:id="188" w:name="_Toc67596669"/>
      <w:r>
        <w:rPr>
          <w:rFonts w:ascii="Times New Roman" w:hAnsi="Times New Roman"/>
          <w:kern w:val="0"/>
          <w:szCs w:val="24"/>
        </w:rPr>
        <w:t>7.4.13</w:t>
      </w:r>
      <w:r>
        <w:rPr>
          <w:rFonts w:hint="eastAsia" w:ascii="Times New Roman" w:hAnsi="Times New Roman"/>
          <w:kern w:val="0"/>
          <w:szCs w:val="24"/>
        </w:rPr>
        <w:t>金融工具风险及管理</w:t>
      </w:r>
      <w:bookmarkEnd w:id="188"/>
    </w:p>
    <w:p>
      <w:pPr>
        <w:pStyle w:val="3"/>
        <w:spacing w:before="29" w:after="0" w:line="288" w:lineRule="auto"/>
        <w:rPr>
          <w:rFonts w:ascii="Times New Roman" w:hAnsi="Times New Roman"/>
          <w:kern w:val="0"/>
          <w:szCs w:val="24"/>
        </w:rPr>
      </w:pPr>
      <w:bookmarkStart w:id="189" w:name="_Toc67596670"/>
      <w:r>
        <w:rPr>
          <w:rFonts w:ascii="Times New Roman" w:hAnsi="Times New Roman"/>
          <w:kern w:val="0"/>
          <w:szCs w:val="24"/>
        </w:rPr>
        <w:t>7.4.13.1</w:t>
      </w:r>
      <w:r>
        <w:rPr>
          <w:rFonts w:hint="eastAsia" w:ascii="Times New Roman" w:hAnsi="Times New Roman"/>
          <w:kern w:val="0"/>
          <w:szCs w:val="24"/>
        </w:rPr>
        <w:t>风险管理政策和组织架构</w:t>
      </w:r>
      <w:bookmarkEnd w:id="189"/>
    </w:p>
    <w:p>
      <w:pPr>
        <w:spacing w:before="29" w:line="288" w:lineRule="auto"/>
        <w:ind w:firstLine="480" w:firstLineChars="200"/>
        <w:rPr>
          <w:color w:val="000000"/>
          <w:sz w:val="24"/>
        </w:rPr>
      </w:pPr>
      <w:r>
        <w:rPr>
          <w:color w:val="000000"/>
          <w:sz w:val="24"/>
        </w:rPr>
        <w:t>本基金是一只混合型基金，其风险和预期收益高于债券型基金和货币市场基金，低于股票型基金。属于承担较高风险、预期收益较高的证券投资基金品种。本基金的投资范围为具有良好流动性的金融工具，包括国内依法发行上市的股票（含中小板、创业板及其他经中国证监会核准上市的股票、存托凭证）、债券、中期票据、货币市场工具、权证、资产支持证券、股指期货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pPr>
        <w:spacing w:before="29" w:line="288" w:lineRule="auto"/>
        <w:ind w:firstLine="480" w:firstLineChars="20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pPr>
        <w:spacing w:before="29" w:line="288" w:lineRule="auto"/>
        <w:ind w:firstLine="480" w:firstLineChars="20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pPr>
        <w:spacing w:before="29" w:line="288" w:lineRule="auto"/>
        <w:ind w:firstLine="480" w:firstLineChars="200"/>
        <w:rPr>
          <w:color w:val="000000"/>
          <w:sz w:val="24"/>
        </w:rPr>
      </w:pPr>
      <w:r>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pPr>
        <w:adjustRightInd w:val="0"/>
        <w:spacing w:line="360" w:lineRule="auto"/>
        <w:ind w:firstLine="420" w:firstLineChars="200"/>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90" w:name="_Toc67596671"/>
      <w:r>
        <w:rPr>
          <w:rFonts w:ascii="Times New Roman" w:hAnsi="Times New Roman"/>
          <w:kern w:val="0"/>
          <w:szCs w:val="24"/>
        </w:rPr>
        <w:t>7.4.13.2</w:t>
      </w:r>
      <w:r>
        <w:rPr>
          <w:rFonts w:hint="eastAsia" w:ascii="Times New Roman" w:hAnsi="Times New Roman"/>
          <w:kern w:val="0"/>
          <w:szCs w:val="24"/>
        </w:rPr>
        <w:t>信用风险</w:t>
      </w:r>
      <w:bookmarkEnd w:id="190"/>
    </w:p>
    <w:p>
      <w:pPr>
        <w:spacing w:before="29" w:line="288" w:lineRule="auto"/>
        <w:ind w:firstLine="480" w:firstLineChars="20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pPr>
        <w:spacing w:before="29" w:line="288" w:lineRule="auto"/>
        <w:ind w:firstLine="480" w:firstLineChars="200"/>
        <w:rPr>
          <w:color w:val="000000"/>
          <w:sz w:val="24"/>
        </w:rPr>
      </w:pPr>
      <w:r>
        <w:rPr>
          <w:color w:val="000000"/>
          <w:sz w:val="24"/>
        </w:rPr>
        <w:t>本基金的基金管理人在交易前对交易对手的资信状况进行了充分的评估。本基金的银行存款存放在本基金的托管人招商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pPr>
        <w:spacing w:before="29" w:line="288" w:lineRule="auto"/>
        <w:ind w:firstLine="480" w:firstLineChars="200"/>
        <w:rPr>
          <w:color w:val="000000"/>
          <w:sz w:val="24"/>
        </w:rPr>
      </w:pPr>
      <w:r>
        <w:rPr>
          <w:color w:val="000000"/>
          <w:sz w:val="24"/>
        </w:rPr>
        <w:t>本基金的基金管理人建立了信用风险管理流程，通过对投资品种信用等级评估来控制证券发行人的信用风险，且通过分散化投资以分散信用风险。于2020年12月31日，本基金未持有除国债、央行票据和政策性金融债以外的债券(2019年12月31日：无)。</w:t>
      </w:r>
    </w:p>
    <w:p>
      <w:pPr>
        <w:spacing w:line="360" w:lineRule="auto"/>
        <w:ind w:firstLine="420" w:firstLineChars="200"/>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91" w:name="_Toc67596672"/>
      <w:r>
        <w:rPr>
          <w:rFonts w:ascii="Times New Roman" w:hAnsi="Times New Roman"/>
          <w:kern w:val="0"/>
          <w:szCs w:val="24"/>
        </w:rPr>
        <w:t>7.4.13.3</w:t>
      </w:r>
      <w:r>
        <w:rPr>
          <w:rFonts w:hint="eastAsia" w:ascii="Times New Roman" w:hAnsi="Times New Roman"/>
          <w:kern w:val="0"/>
          <w:szCs w:val="24"/>
        </w:rPr>
        <w:t>流动性风险</w:t>
      </w:r>
      <w:bookmarkEnd w:id="191"/>
    </w:p>
    <w:p>
      <w:pPr>
        <w:spacing w:before="29" w:line="288" w:lineRule="auto"/>
        <w:ind w:firstLine="480" w:firstLineChars="20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pPr>
        <w:spacing w:before="29" w:line="288" w:lineRule="auto"/>
        <w:ind w:firstLine="480" w:firstLineChars="20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pPr>
        <w:spacing w:before="29" w:line="288" w:lineRule="auto"/>
        <w:ind w:firstLine="480" w:firstLineChars="200"/>
        <w:rPr>
          <w:color w:val="000000"/>
          <w:sz w:val="24"/>
        </w:rPr>
      </w:pPr>
      <w:r>
        <w:rPr>
          <w:color w:val="000000"/>
          <w:sz w:val="24"/>
        </w:rPr>
        <w:t>于2020年12月31日，本基金所承担的全部金融负债的合约约定到期日均为一个月以内且不计息，可赎回基金份额净值(所有者权益)无固定到期日且不计息，因此账面余额即为未折现的合约到期现金流量。</w:t>
      </w:r>
    </w:p>
    <w:p>
      <w:pPr>
        <w:spacing w:before="29" w:line="288" w:lineRule="auto"/>
        <w:ind w:firstLine="480" w:firstLineChars="200"/>
        <w:rPr>
          <w:color w:val="000000"/>
          <w:sz w:val="24"/>
        </w:rPr>
      </w:pPr>
      <w:r>
        <w:rPr>
          <w:color w:val="000000"/>
          <w:sz w:val="24"/>
        </w:rPr>
        <w:t>注：流动性受限资产、7个工作日可变现资产的计算口径见《公开募集开放式证券投资基金流动性风险管理规定》第四十条。</w:t>
      </w:r>
    </w:p>
    <w:p>
      <w:pPr>
        <w:spacing w:line="360" w:lineRule="auto"/>
        <w:ind w:firstLine="420" w:firstLineChars="200"/>
        <w:rPr>
          <w:rFonts w:asciiTheme="minorEastAsia" w:hAnsiTheme="minorEastAsia" w:eastAsiaTheme="minorEastAsia"/>
          <w:color w:val="000000"/>
          <w:szCs w:val="21"/>
        </w:rPr>
      </w:pPr>
    </w:p>
    <w:p>
      <w:pPr>
        <w:spacing w:before="156" w:beforeLines="50" w:line="360" w:lineRule="auto"/>
        <w:rPr>
          <w:rFonts w:eastAsiaTheme="minorEastAsia"/>
          <w:b/>
          <w:bCs/>
          <w:color w:val="000000" w:themeColor="text1"/>
          <w:sz w:val="24"/>
        </w:rPr>
      </w:pPr>
      <w:r>
        <w:rPr>
          <w:rFonts w:eastAsiaTheme="minorEastAsia"/>
          <w:b/>
          <w:bCs/>
          <w:color w:val="000000" w:themeColor="text1"/>
          <w:kern w:val="0"/>
          <w:sz w:val="24"/>
        </w:rPr>
        <w:t>7.4.13.3</w:t>
      </w:r>
      <w:r>
        <w:rPr>
          <w:rFonts w:hint="eastAsia" w:eastAsiaTheme="minorEastAsia"/>
          <w:b/>
          <w:bCs/>
          <w:color w:val="000000" w:themeColor="text1"/>
          <w:kern w:val="0"/>
          <w:sz w:val="24"/>
        </w:rPr>
        <w:t>.1</w:t>
      </w:r>
      <w:r>
        <w:rPr>
          <w:rFonts w:eastAsiaTheme="minorEastAsia"/>
          <w:b/>
          <w:bCs/>
          <w:color w:val="000000" w:themeColor="text1"/>
          <w:kern w:val="0"/>
          <w:sz w:val="24"/>
        </w:rPr>
        <w:t xml:space="preserve"> </w:t>
      </w:r>
      <w:r>
        <w:rPr>
          <w:rFonts w:hint="eastAsia" w:eastAsiaTheme="minorEastAsia"/>
          <w:b/>
          <w:bCs/>
          <w:color w:val="000000" w:themeColor="text1"/>
          <w:sz w:val="24"/>
        </w:rPr>
        <w:t>报告期内本基金组合资产的流动性风险分析</w:t>
      </w:r>
    </w:p>
    <w:p>
      <w:pPr>
        <w:widowControl/>
        <w:spacing w:line="360" w:lineRule="auto"/>
        <w:ind w:firstLine="480" w:firstLineChars="200"/>
        <w:rPr>
          <w:rFonts w:eastAsiaTheme="minorEastAsia"/>
          <w:color w:val="000000" w:themeColor="text1"/>
          <w:kern w:val="0"/>
          <w:sz w:val="24"/>
        </w:rPr>
      </w:pPr>
      <w:r>
        <w:rPr>
          <w:rFonts w:eastAsiaTheme="minorEastAsia"/>
          <w:color w:val="000000" w:themeColor="text1"/>
          <w:kern w:val="0"/>
          <w:sz w:val="24"/>
        </w:rPr>
        <w:t>本基金的基金管理人在基金运作过程中严格按照《公开募集证券投资基金运作管理办法》及《公开募集开放式证券投资基金流动性风险管理规定》(自2017年10月1日起施行)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pPr>
        <w:widowControl/>
        <w:spacing w:line="360" w:lineRule="auto"/>
        <w:ind w:firstLine="480" w:firstLineChars="200"/>
        <w:rPr>
          <w:rFonts w:eastAsiaTheme="minorEastAsia"/>
          <w:color w:val="000000" w:themeColor="text1"/>
          <w:kern w:val="0"/>
          <w:sz w:val="24"/>
        </w:rPr>
      </w:pPr>
      <w:r>
        <w:rPr>
          <w:rFonts w:eastAsiaTheme="minorEastAsia"/>
          <w:color w:val="000000" w:themeColor="text1"/>
          <w:kern w:val="0"/>
          <w:sz w:val="24"/>
        </w:rPr>
        <w:t>本基金投资于一家公司发行的证券市值不超过基金资产净值的10%，且本基金与由本基金的基金管理人管理的其他基金共同持有一家公司发行的证券不得超过该证券的10%。本基金与由本基金的基金管理人管理的其他开放式基金共同持有一家上市公司发行的可流通股票不得超过该上市公司可流通股票的15%，本基金与由本基金的基金管理人管理的全部投资组合持有一家上市公司发行的可流通股票，不得超过该上市公司可流通股票的30%(完全按照有关指数构成比例进行证券投资的开放式基金及中国证监会认定的特殊投资组合不受该比例限制)。</w:t>
      </w:r>
    </w:p>
    <w:p>
      <w:pPr>
        <w:widowControl/>
        <w:spacing w:line="360" w:lineRule="auto"/>
        <w:ind w:firstLine="480" w:firstLineChars="200"/>
        <w:rPr>
          <w:rFonts w:eastAsiaTheme="minorEastAsia"/>
          <w:color w:val="000000" w:themeColor="text1"/>
          <w:kern w:val="0"/>
          <w:sz w:val="24"/>
        </w:rPr>
      </w:pPr>
      <w:r>
        <w:rPr>
          <w:rFonts w:eastAsiaTheme="minorEastAsia"/>
          <w:color w:val="000000" w:themeColor="text1"/>
          <w:kern w:val="0"/>
          <w:sz w:val="24"/>
        </w:rPr>
        <w:t>本基金所持部分证券在证券交易所上市，其余亦可在银行间同业市场交易，部分基金资产流通暂时受限制不能自由转让的情况参见附注7.4.12。此外，本基金可通过卖出回购金融资产方式借入短期资金应对流动性需求，其上限一般不超过基金持有的债券投资的公允价值。本基金主动投资于流动性受限资产的市值合计不得超过基金资产净值的15%。</w:t>
      </w:r>
    </w:p>
    <w:p>
      <w:pPr>
        <w:widowControl/>
        <w:spacing w:line="360" w:lineRule="auto"/>
        <w:ind w:firstLine="480" w:firstLineChars="200"/>
        <w:rPr>
          <w:rFonts w:eastAsiaTheme="minorEastAsia"/>
          <w:color w:val="000000" w:themeColor="text1"/>
          <w:kern w:val="0"/>
          <w:sz w:val="24"/>
        </w:rPr>
      </w:pPr>
      <w:r>
        <w:rPr>
          <w:rFonts w:eastAsiaTheme="minorEastAsia"/>
          <w:color w:val="000000" w:themeColor="text1"/>
          <w:kern w:val="0"/>
          <w:sz w:val="24"/>
        </w:rPr>
        <w:t>本基金的基金管理人每日对基金组合资产中7个工作日可变现资产的可变现价值进行审慎评估与测算，确保每日确认的净赎回申请不得超过7个工作日可变现资产的可变现价值。</w:t>
      </w:r>
    </w:p>
    <w:p>
      <w:pPr>
        <w:widowControl/>
        <w:spacing w:line="360" w:lineRule="auto"/>
        <w:ind w:firstLine="480" w:firstLineChars="200"/>
        <w:rPr>
          <w:rFonts w:eastAsiaTheme="minorEastAsia"/>
          <w:color w:val="000000" w:themeColor="text1"/>
          <w:kern w:val="0"/>
          <w:sz w:val="24"/>
        </w:rPr>
      </w:pPr>
      <w:r>
        <w:rPr>
          <w:rFonts w:eastAsiaTheme="minorEastAsia"/>
          <w:color w:val="000000" w:themeColor="text1"/>
          <w:kern w:val="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pPr>
        <w:widowControl/>
        <w:spacing w:line="360" w:lineRule="auto"/>
        <w:ind w:firstLine="480" w:firstLineChars="200"/>
        <w:rPr>
          <w:rFonts w:eastAsiaTheme="minorEastAsia"/>
          <w:color w:val="000000" w:themeColor="text1"/>
          <w:kern w:val="0"/>
          <w:sz w:val="24"/>
        </w:rPr>
      </w:pPr>
      <w:r>
        <w:rPr>
          <w:rFonts w:eastAsiaTheme="minorEastAsia"/>
          <w:color w:val="000000" w:themeColor="text1"/>
          <w:kern w:val="0"/>
          <w:sz w:val="24"/>
        </w:rPr>
        <w:t>综合上述各项流动性指标的监测结果及流动性风险管理措施的实施，本基金在本报告期内流动性情况良好。</w:t>
      </w:r>
    </w:p>
    <w:p>
      <w:pPr>
        <w:widowControl/>
        <w:spacing w:line="360" w:lineRule="auto"/>
        <w:ind w:firstLine="420" w:firstLineChars="200"/>
        <w:rPr>
          <w:rFonts w:eastAsiaTheme="minorEastAsia"/>
          <w:color w:val="000000" w:themeColor="text1"/>
          <w:kern w:val="0"/>
          <w:szCs w:val="21"/>
        </w:rPr>
      </w:pPr>
    </w:p>
    <w:p>
      <w:pPr>
        <w:pStyle w:val="3"/>
        <w:spacing w:before="29" w:after="0" w:line="288" w:lineRule="auto"/>
        <w:rPr>
          <w:rFonts w:ascii="Times New Roman" w:hAnsi="Times New Roman"/>
          <w:kern w:val="0"/>
          <w:szCs w:val="24"/>
        </w:rPr>
      </w:pPr>
      <w:bookmarkStart w:id="192" w:name="_Toc67596673"/>
      <w:r>
        <w:rPr>
          <w:rFonts w:ascii="Times New Roman" w:hAnsi="Times New Roman"/>
          <w:kern w:val="0"/>
          <w:szCs w:val="24"/>
        </w:rPr>
        <w:t>7.4.13.4</w:t>
      </w:r>
      <w:r>
        <w:rPr>
          <w:rFonts w:hint="eastAsia" w:ascii="Times New Roman" w:hAnsi="Times New Roman"/>
          <w:kern w:val="0"/>
          <w:szCs w:val="24"/>
        </w:rPr>
        <w:t>市场风险</w:t>
      </w:r>
      <w:bookmarkEnd w:id="192"/>
    </w:p>
    <w:p>
      <w:pPr>
        <w:spacing w:before="29" w:line="288" w:lineRule="auto"/>
        <w:ind w:firstLine="480" w:firstLineChars="200"/>
        <w:rPr>
          <w:color w:val="000000"/>
          <w:sz w:val="24"/>
        </w:rPr>
      </w:pPr>
      <w:r>
        <w:rPr>
          <w:color w:val="000000"/>
          <w:sz w:val="24"/>
        </w:rPr>
        <w:t>市场风险是指基金所持金融工具的公允价值或未来现金流量因所处市场各类价格因素的变动而发生波动的风险，包括利率风险、外汇风险和其他价格风险。</w:t>
      </w:r>
    </w:p>
    <w:p>
      <w:pPr>
        <w:spacing w:line="360" w:lineRule="auto"/>
        <w:ind w:firstLine="420" w:firstLineChars="200"/>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93" w:name="_Toc67596674"/>
      <w:r>
        <w:rPr>
          <w:rFonts w:ascii="Times New Roman" w:hAnsi="Times New Roman"/>
          <w:kern w:val="0"/>
          <w:szCs w:val="24"/>
        </w:rPr>
        <w:t>7.4.13.4.1</w:t>
      </w:r>
      <w:r>
        <w:rPr>
          <w:rFonts w:hint="eastAsia" w:ascii="Times New Roman" w:hAnsi="Times New Roman"/>
          <w:kern w:val="0"/>
          <w:szCs w:val="24"/>
        </w:rPr>
        <w:t>利率风险</w:t>
      </w:r>
      <w:bookmarkEnd w:id="193"/>
    </w:p>
    <w:p>
      <w:pPr>
        <w:spacing w:before="29" w:line="288" w:lineRule="auto"/>
        <w:ind w:firstLine="480" w:firstLineChars="20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pPr>
        <w:spacing w:before="29" w:line="288" w:lineRule="auto"/>
        <w:ind w:firstLine="480" w:firstLineChars="200"/>
        <w:rPr>
          <w:color w:val="000000"/>
          <w:sz w:val="24"/>
        </w:rPr>
      </w:pPr>
      <w:r>
        <w:rPr>
          <w:color w:val="000000"/>
          <w:sz w:val="24"/>
        </w:rPr>
        <w:t>本基金的基金管理人定期对本基金面临的利率敏感性缺口进行监控，并通过调整投资组合的久期等方法对上述利率风险进行管理。</w:t>
      </w:r>
    </w:p>
    <w:p>
      <w:pPr>
        <w:spacing w:before="29" w:line="288" w:lineRule="auto"/>
        <w:ind w:firstLine="480" w:firstLineChars="200"/>
        <w:rPr>
          <w:color w:val="000000"/>
          <w:sz w:val="24"/>
        </w:rPr>
      </w:pPr>
      <w:r>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债券投资等。</w:t>
      </w:r>
    </w:p>
    <w:p>
      <w:pPr>
        <w:spacing w:before="29" w:line="288" w:lineRule="auto"/>
        <w:ind w:firstLine="480" w:firstLineChars="200"/>
        <w:rPr>
          <w:color w:val="000000"/>
          <w:sz w:val="24"/>
        </w:rPr>
      </w:pPr>
      <w:r>
        <w:rPr>
          <w:color w:val="000000"/>
          <w:sz w:val="24"/>
        </w:rPr>
        <w:tab/>
      </w:r>
    </w:p>
    <w:p>
      <w:pPr>
        <w:pStyle w:val="3"/>
        <w:spacing w:before="29" w:after="0" w:line="288" w:lineRule="auto"/>
        <w:rPr>
          <w:rFonts w:ascii="Times New Roman" w:hAnsi="Times New Roman"/>
          <w:kern w:val="0"/>
          <w:szCs w:val="24"/>
        </w:rPr>
      </w:pPr>
      <w:bookmarkStart w:id="194" w:name="_Toc67596675"/>
      <w:r>
        <w:rPr>
          <w:rFonts w:ascii="Times New Roman" w:hAnsi="Times New Roman"/>
          <w:kern w:val="0"/>
          <w:szCs w:val="24"/>
        </w:rPr>
        <w:t>7.4.13.4.1.1</w:t>
      </w:r>
      <w:r>
        <w:rPr>
          <w:rFonts w:hint="eastAsia" w:ascii="Times New Roman" w:hAnsi="Times New Roman"/>
          <w:kern w:val="0"/>
          <w:szCs w:val="24"/>
        </w:rPr>
        <w:t>利率风险敞口</w:t>
      </w:r>
      <w:bookmarkEnd w:id="194"/>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94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88"/>
        <w:gridCol w:w="1701"/>
        <w:gridCol w:w="1701"/>
        <w:gridCol w:w="1559"/>
        <w:gridCol w:w="1559"/>
        <w:gridCol w:w="1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jc w:val="center"/>
              <w:rPr>
                <w:b/>
                <w:sz w:val="18"/>
                <w:szCs w:val="18"/>
              </w:rPr>
            </w:pPr>
            <w:r>
              <w:rPr>
                <w:rFonts w:hint="eastAsia"/>
                <w:b/>
                <w:sz w:val="18"/>
                <w:szCs w:val="18"/>
              </w:rPr>
              <w:t>本期末</w:t>
            </w:r>
          </w:p>
          <w:p>
            <w:pPr>
              <w:spacing w:before="29" w:line="288" w:lineRule="auto"/>
              <w:jc w:val="center"/>
              <w:rPr>
                <w:b/>
                <w:sz w:val="18"/>
                <w:szCs w:val="18"/>
              </w:rPr>
            </w:pPr>
            <w:r>
              <w:rPr>
                <w:b/>
                <w:sz w:val="18"/>
                <w:szCs w:val="18"/>
              </w:rPr>
              <w:t>2020年12月31日</w:t>
            </w:r>
          </w:p>
        </w:tc>
        <w:tc>
          <w:tcPr>
            <w:tcW w:w="1701" w:type="dxa"/>
            <w:vAlign w:val="center"/>
          </w:tcPr>
          <w:p>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pPr>
              <w:spacing w:before="29" w:line="288" w:lineRule="auto"/>
              <w:jc w:val="center"/>
              <w:rPr>
                <w:b/>
                <w:sz w:val="18"/>
                <w:szCs w:val="18"/>
              </w:rPr>
            </w:pPr>
            <w:r>
              <w:rPr>
                <w:rFonts w:hint="eastAsia"/>
                <w:b/>
                <w:sz w:val="18"/>
                <w:szCs w:val="18"/>
              </w:rPr>
              <w:t>不计息</w:t>
            </w:r>
          </w:p>
        </w:tc>
        <w:tc>
          <w:tcPr>
            <w:tcW w:w="1301" w:type="dxa"/>
            <w:vAlign w:val="center"/>
          </w:tcPr>
          <w:p>
            <w:pPr>
              <w:spacing w:before="29" w:line="288" w:lineRule="auto"/>
              <w:jc w:val="center"/>
              <w:rPr>
                <w:b/>
                <w:sz w:val="18"/>
                <w:szCs w:val="18"/>
              </w:rPr>
            </w:pPr>
            <w:r>
              <w:rPr>
                <w:rFonts w:hint="eastAsia"/>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line="360" w:lineRule="auto"/>
              <w:rPr>
                <w:rFonts w:ascii="宋体" w:hAnsi="宋体"/>
                <w:color w:val="000000"/>
                <w:sz w:val="18"/>
                <w:szCs w:val="18"/>
              </w:rPr>
            </w:pPr>
            <w:r>
              <w:rPr>
                <w:rFonts w:hint="eastAsia" w:ascii="宋体" w:hAnsi="宋体"/>
                <w:color w:val="000000"/>
                <w:sz w:val="18"/>
                <w:szCs w:val="18"/>
              </w:rPr>
              <w:t>资产</w:t>
            </w:r>
          </w:p>
        </w:tc>
        <w:tc>
          <w:tcPr>
            <w:tcW w:w="1701" w:type="dxa"/>
            <w:vAlign w:val="center"/>
          </w:tcPr>
          <w:p>
            <w:pPr>
              <w:spacing w:line="360" w:lineRule="auto"/>
              <w:jc w:val="right"/>
              <w:rPr>
                <w:rFonts w:ascii="宋体" w:hAnsi="宋体"/>
                <w:color w:val="000000"/>
                <w:szCs w:val="21"/>
              </w:rPr>
            </w:pPr>
          </w:p>
        </w:tc>
        <w:tc>
          <w:tcPr>
            <w:tcW w:w="1701"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301" w:type="dxa"/>
            <w:vAlign w:val="center"/>
          </w:tcPr>
          <w:p>
            <w:pPr>
              <w:spacing w:line="360" w:lineRule="auto"/>
              <w:jc w:val="right"/>
              <w:rPr>
                <w:rFonts w:ascii="宋体" w:hAns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银行存款</w:t>
            </w:r>
          </w:p>
        </w:tc>
        <w:tc>
          <w:tcPr>
            <w:tcW w:w="1701" w:type="dxa"/>
            <w:vAlign w:val="center"/>
          </w:tcPr>
          <w:p>
            <w:pPr>
              <w:jc w:val="right"/>
            </w:pPr>
            <w:r>
              <w:rPr>
                <w:color w:val="000000"/>
                <w:sz w:val="18"/>
                <w:szCs w:val="18"/>
              </w:rPr>
              <w:t>642,157,002.53</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642,157,002.53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结算备付金</w:t>
            </w:r>
          </w:p>
        </w:tc>
        <w:tc>
          <w:tcPr>
            <w:tcW w:w="1701" w:type="dxa"/>
            <w:vAlign w:val="center"/>
          </w:tcPr>
          <w:p>
            <w:pPr>
              <w:jc w:val="right"/>
            </w:pPr>
            <w:r>
              <w:rPr>
                <w:color w:val="000000"/>
                <w:sz w:val="18"/>
                <w:szCs w:val="18"/>
              </w:rPr>
              <w:t>9,198,262.65</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9,198,262.65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存出保证金</w:t>
            </w:r>
          </w:p>
        </w:tc>
        <w:tc>
          <w:tcPr>
            <w:tcW w:w="1701" w:type="dxa"/>
            <w:vAlign w:val="center"/>
          </w:tcPr>
          <w:p>
            <w:pPr>
              <w:jc w:val="right"/>
            </w:pPr>
            <w:r>
              <w:rPr>
                <w:color w:val="000000"/>
                <w:sz w:val="18"/>
                <w:szCs w:val="18"/>
              </w:rPr>
              <w:t>2,021,332.53</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2,021,332.53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交易性金融资产</w:t>
            </w:r>
          </w:p>
        </w:tc>
        <w:tc>
          <w:tcPr>
            <w:tcW w:w="1701" w:type="dxa"/>
            <w:vAlign w:val="center"/>
          </w:tcPr>
          <w:p>
            <w:pPr>
              <w:jc w:val="right"/>
            </w:pPr>
            <w:r>
              <w:rPr>
                <w:color w:val="000000"/>
                <w:sz w:val="18"/>
                <w:szCs w:val="18"/>
              </w:rPr>
              <w:t>559,595,000.00</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10,564,264,561.18</w:t>
            </w:r>
          </w:p>
        </w:tc>
        <w:tc>
          <w:tcPr>
            <w:tcW w:w="1301" w:type="dxa"/>
            <w:vAlign w:val="center"/>
          </w:tcPr>
          <w:p>
            <w:pPr>
              <w:jc w:val="right"/>
            </w:pPr>
            <w:r>
              <w:rPr>
                <w:color w:val="000000"/>
                <w:sz w:val="18"/>
                <w:szCs w:val="18"/>
              </w:rPr>
              <w:t>11,123,859,561.18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应收证券清算款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74,159,088.59</w:t>
            </w:r>
          </w:p>
        </w:tc>
        <w:tc>
          <w:tcPr>
            <w:tcW w:w="1301" w:type="dxa"/>
            <w:vAlign w:val="center"/>
          </w:tcPr>
          <w:p>
            <w:pPr>
              <w:jc w:val="right"/>
            </w:pPr>
            <w:r>
              <w:rPr>
                <w:color w:val="000000"/>
                <w:sz w:val="18"/>
                <w:szCs w:val="18"/>
              </w:rPr>
              <w:t>74,159,088.59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应收利息</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5,182,479.64</w:t>
            </w:r>
          </w:p>
        </w:tc>
        <w:tc>
          <w:tcPr>
            <w:tcW w:w="1301" w:type="dxa"/>
            <w:vAlign w:val="center"/>
          </w:tcPr>
          <w:p>
            <w:pPr>
              <w:jc w:val="right"/>
            </w:pPr>
            <w:r>
              <w:rPr>
                <w:color w:val="000000"/>
                <w:sz w:val="18"/>
                <w:szCs w:val="18"/>
              </w:rPr>
              <w:t>5,182,479.64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应收申购款</w:t>
            </w:r>
          </w:p>
        </w:tc>
        <w:tc>
          <w:tcPr>
            <w:tcW w:w="1701" w:type="dxa"/>
            <w:vAlign w:val="center"/>
          </w:tcPr>
          <w:p>
            <w:pPr>
              <w:jc w:val="right"/>
            </w:pPr>
            <w:r>
              <w:rPr>
                <w:color w:val="000000"/>
                <w:sz w:val="18"/>
                <w:szCs w:val="18"/>
              </w:rPr>
              <w:t>202,713.30</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35,852,401.03</w:t>
            </w:r>
          </w:p>
        </w:tc>
        <w:tc>
          <w:tcPr>
            <w:tcW w:w="1301" w:type="dxa"/>
            <w:vAlign w:val="center"/>
          </w:tcPr>
          <w:p>
            <w:pPr>
              <w:jc w:val="right"/>
            </w:pPr>
            <w:r>
              <w:rPr>
                <w:color w:val="000000"/>
                <w:sz w:val="18"/>
                <w:szCs w:val="18"/>
              </w:rPr>
              <w:t>36,055,114.33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rFonts w:asciiTheme="minorEastAsia" w:hAnsiTheme="minorEastAsia" w:eastAsiaTheme="minorEastAsia"/>
                <w:color w:val="000000"/>
                <w:szCs w:val="21"/>
              </w:rPr>
            </w:pPr>
            <w:r>
              <w:rPr>
                <w:rFonts w:hint="eastAsia"/>
                <w:color w:val="000000"/>
                <w:sz w:val="18"/>
                <w:szCs w:val="18"/>
              </w:rPr>
              <w:t>资产总计</w:t>
            </w:r>
          </w:p>
        </w:tc>
        <w:tc>
          <w:tcPr>
            <w:tcW w:w="1701" w:type="dxa"/>
            <w:vAlign w:val="center"/>
          </w:tcPr>
          <w:p>
            <w:pPr>
              <w:spacing w:before="29" w:line="288" w:lineRule="auto"/>
              <w:jc w:val="right"/>
              <w:rPr>
                <w:sz w:val="18"/>
                <w:szCs w:val="18"/>
              </w:rPr>
            </w:pPr>
            <w:r>
              <w:rPr>
                <w:sz w:val="18"/>
                <w:szCs w:val="18"/>
              </w:rPr>
              <w:t>1,213,174,311.01</w:t>
            </w:r>
          </w:p>
        </w:tc>
        <w:tc>
          <w:tcPr>
            <w:tcW w:w="1701"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10,679,458,530.44</w:t>
            </w:r>
          </w:p>
        </w:tc>
        <w:tc>
          <w:tcPr>
            <w:tcW w:w="1301" w:type="dxa"/>
            <w:vAlign w:val="center"/>
          </w:tcPr>
          <w:p>
            <w:pPr>
              <w:spacing w:before="29" w:line="288" w:lineRule="auto"/>
              <w:jc w:val="right"/>
              <w:rPr>
                <w:sz w:val="18"/>
                <w:szCs w:val="18"/>
              </w:rPr>
            </w:pPr>
            <w:r>
              <w:rPr>
                <w:sz w:val="18"/>
                <w:szCs w:val="18"/>
              </w:rPr>
              <w:t>11,892,632,841.45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rFonts w:ascii="宋体" w:hAnsi="宋体"/>
                <w:color w:val="000000"/>
                <w:szCs w:val="21"/>
              </w:rPr>
            </w:pPr>
            <w:r>
              <w:rPr>
                <w:rFonts w:hint="eastAsia"/>
                <w:color w:val="000000"/>
                <w:sz w:val="18"/>
                <w:szCs w:val="18"/>
              </w:rPr>
              <w:t>负债</w:t>
            </w:r>
          </w:p>
        </w:tc>
        <w:tc>
          <w:tcPr>
            <w:tcW w:w="1701" w:type="dxa"/>
            <w:vAlign w:val="center"/>
          </w:tcPr>
          <w:p>
            <w:pPr>
              <w:spacing w:line="360" w:lineRule="auto"/>
              <w:jc w:val="right"/>
              <w:rPr>
                <w:rFonts w:ascii="宋体" w:hAnsi="宋体"/>
                <w:color w:val="0000FF"/>
                <w:kern w:val="0"/>
                <w:szCs w:val="21"/>
              </w:rPr>
            </w:pPr>
          </w:p>
        </w:tc>
        <w:tc>
          <w:tcPr>
            <w:tcW w:w="1701"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301" w:type="dxa"/>
            <w:vAlign w:val="center"/>
          </w:tcPr>
          <w:p>
            <w:pPr>
              <w:spacing w:line="360" w:lineRule="auto"/>
              <w:jc w:val="righ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应付赎回款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69,490,568.38</w:t>
            </w:r>
          </w:p>
        </w:tc>
        <w:tc>
          <w:tcPr>
            <w:tcW w:w="1301" w:type="dxa"/>
            <w:vAlign w:val="center"/>
          </w:tcPr>
          <w:p>
            <w:pPr>
              <w:jc w:val="right"/>
            </w:pPr>
            <w:r>
              <w:rPr>
                <w:color w:val="000000"/>
                <w:sz w:val="18"/>
                <w:szCs w:val="18"/>
              </w:rPr>
              <w:t>69,490,568.38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应付管理人报酬</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14,195,492.64</w:t>
            </w:r>
          </w:p>
        </w:tc>
        <w:tc>
          <w:tcPr>
            <w:tcW w:w="1301" w:type="dxa"/>
            <w:vAlign w:val="center"/>
          </w:tcPr>
          <w:p>
            <w:pPr>
              <w:jc w:val="right"/>
            </w:pPr>
            <w:r>
              <w:rPr>
                <w:color w:val="000000"/>
                <w:sz w:val="18"/>
                <w:szCs w:val="18"/>
              </w:rPr>
              <w:t>14,195,492.64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应付托管费</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2,365,915.45</w:t>
            </w:r>
          </w:p>
        </w:tc>
        <w:tc>
          <w:tcPr>
            <w:tcW w:w="1301" w:type="dxa"/>
            <w:vAlign w:val="center"/>
          </w:tcPr>
          <w:p>
            <w:pPr>
              <w:jc w:val="right"/>
            </w:pPr>
            <w:r>
              <w:rPr>
                <w:color w:val="000000"/>
                <w:sz w:val="18"/>
                <w:szCs w:val="18"/>
              </w:rPr>
              <w:t>2,365,915.45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应付交易费用</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6,783,363.54</w:t>
            </w:r>
          </w:p>
        </w:tc>
        <w:tc>
          <w:tcPr>
            <w:tcW w:w="1301" w:type="dxa"/>
            <w:vAlign w:val="center"/>
          </w:tcPr>
          <w:p>
            <w:pPr>
              <w:jc w:val="right"/>
            </w:pPr>
            <w:r>
              <w:rPr>
                <w:color w:val="000000"/>
                <w:sz w:val="18"/>
                <w:szCs w:val="18"/>
              </w:rPr>
              <w:t>6,783,363.54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应交税费</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5.17</w:t>
            </w:r>
          </w:p>
        </w:tc>
        <w:tc>
          <w:tcPr>
            <w:tcW w:w="1301" w:type="dxa"/>
            <w:vAlign w:val="center"/>
          </w:tcPr>
          <w:p>
            <w:pPr>
              <w:jc w:val="right"/>
            </w:pPr>
            <w:r>
              <w:rPr>
                <w:color w:val="000000"/>
                <w:sz w:val="18"/>
                <w:szCs w:val="18"/>
              </w:rPr>
              <w:t>5.17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其他负债</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404,660.90</w:t>
            </w:r>
          </w:p>
        </w:tc>
        <w:tc>
          <w:tcPr>
            <w:tcW w:w="1301" w:type="dxa"/>
            <w:vAlign w:val="center"/>
          </w:tcPr>
          <w:p>
            <w:pPr>
              <w:jc w:val="right"/>
            </w:pPr>
            <w:r>
              <w:rPr>
                <w:color w:val="000000"/>
                <w:sz w:val="18"/>
                <w:szCs w:val="18"/>
              </w:rPr>
              <w:t>404,660.90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color w:val="000000"/>
                <w:sz w:val="18"/>
                <w:szCs w:val="18"/>
              </w:rPr>
            </w:pPr>
            <w:r>
              <w:rPr>
                <w:rFonts w:hint="eastAsia"/>
                <w:color w:val="000000"/>
                <w:sz w:val="18"/>
                <w:szCs w:val="18"/>
              </w:rPr>
              <w:t>负债总计</w:t>
            </w:r>
          </w:p>
        </w:tc>
        <w:tc>
          <w:tcPr>
            <w:tcW w:w="1701" w:type="dxa"/>
            <w:vAlign w:val="center"/>
          </w:tcPr>
          <w:p>
            <w:pPr>
              <w:spacing w:before="29" w:line="288" w:lineRule="auto"/>
              <w:jc w:val="right"/>
              <w:rPr>
                <w:color w:val="000000"/>
                <w:sz w:val="18"/>
                <w:szCs w:val="18"/>
              </w:rPr>
            </w:pPr>
            <w:r>
              <w:rPr>
                <w:color w:val="000000"/>
                <w:sz w:val="18"/>
                <w:szCs w:val="18"/>
              </w:rPr>
              <w:t>-</w:t>
            </w:r>
          </w:p>
        </w:tc>
        <w:tc>
          <w:tcPr>
            <w:tcW w:w="1701"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ind w:right="180"/>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93,240,006.08</w:t>
            </w:r>
          </w:p>
        </w:tc>
        <w:tc>
          <w:tcPr>
            <w:tcW w:w="1301" w:type="dxa"/>
            <w:vAlign w:val="center"/>
          </w:tcPr>
          <w:p>
            <w:pPr>
              <w:spacing w:before="29" w:line="288" w:lineRule="auto"/>
              <w:jc w:val="right"/>
              <w:rPr>
                <w:color w:val="000000"/>
                <w:sz w:val="18"/>
                <w:szCs w:val="18"/>
              </w:rPr>
            </w:pPr>
            <w:r>
              <w:rPr>
                <w:color w:val="000000"/>
                <w:sz w:val="18"/>
                <w:szCs w:val="18"/>
              </w:rPr>
              <w:t>93,240,006.08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color w:val="000000"/>
                <w:sz w:val="18"/>
                <w:szCs w:val="18"/>
              </w:rPr>
            </w:pPr>
            <w:r>
              <w:rPr>
                <w:rFonts w:hint="eastAsia"/>
                <w:color w:val="000000"/>
                <w:sz w:val="18"/>
                <w:szCs w:val="18"/>
              </w:rPr>
              <w:t>利率敏感度缺口</w:t>
            </w:r>
          </w:p>
        </w:tc>
        <w:tc>
          <w:tcPr>
            <w:tcW w:w="1701" w:type="dxa"/>
            <w:vAlign w:val="center"/>
          </w:tcPr>
          <w:p>
            <w:pPr>
              <w:spacing w:before="29" w:line="288" w:lineRule="auto"/>
              <w:jc w:val="right"/>
              <w:rPr>
                <w:color w:val="000000"/>
                <w:sz w:val="18"/>
                <w:szCs w:val="18"/>
              </w:rPr>
            </w:pPr>
            <w:r>
              <w:rPr>
                <w:color w:val="000000"/>
                <w:sz w:val="18"/>
                <w:szCs w:val="18"/>
              </w:rPr>
              <w:t>1,213,174,311.01</w:t>
            </w:r>
          </w:p>
        </w:tc>
        <w:tc>
          <w:tcPr>
            <w:tcW w:w="1701"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10,586,218,524.36</w:t>
            </w:r>
          </w:p>
        </w:tc>
        <w:tc>
          <w:tcPr>
            <w:tcW w:w="1301" w:type="dxa"/>
            <w:vAlign w:val="center"/>
          </w:tcPr>
          <w:p>
            <w:pPr>
              <w:spacing w:before="29" w:line="288" w:lineRule="auto"/>
              <w:jc w:val="right"/>
              <w:rPr>
                <w:color w:val="000000"/>
                <w:sz w:val="18"/>
                <w:szCs w:val="18"/>
              </w:rPr>
            </w:pPr>
            <w:r>
              <w:rPr>
                <w:color w:val="000000"/>
                <w:sz w:val="18"/>
                <w:szCs w:val="18"/>
              </w:rPr>
              <w:t>11,799,392,835.37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jc w:val="center"/>
              <w:rPr>
                <w:b/>
                <w:sz w:val="18"/>
                <w:szCs w:val="18"/>
              </w:rPr>
            </w:pPr>
            <w:r>
              <w:rPr>
                <w:rFonts w:hint="eastAsia"/>
                <w:b/>
                <w:sz w:val="18"/>
                <w:szCs w:val="18"/>
              </w:rPr>
              <w:t>上年度末</w:t>
            </w:r>
          </w:p>
          <w:p>
            <w:pPr>
              <w:spacing w:before="29" w:line="288" w:lineRule="auto"/>
              <w:jc w:val="center"/>
              <w:rPr>
                <w:b/>
                <w:sz w:val="18"/>
                <w:szCs w:val="18"/>
              </w:rPr>
            </w:pPr>
            <w:r>
              <w:rPr>
                <w:b/>
                <w:sz w:val="18"/>
                <w:szCs w:val="18"/>
              </w:rPr>
              <w:t>2019年12月31日</w:t>
            </w:r>
          </w:p>
        </w:tc>
        <w:tc>
          <w:tcPr>
            <w:tcW w:w="1701" w:type="dxa"/>
            <w:vAlign w:val="center"/>
          </w:tcPr>
          <w:p>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pPr>
              <w:spacing w:before="29" w:line="288" w:lineRule="auto"/>
              <w:jc w:val="center"/>
              <w:rPr>
                <w:b/>
                <w:sz w:val="18"/>
                <w:szCs w:val="18"/>
              </w:rPr>
            </w:pPr>
            <w:r>
              <w:rPr>
                <w:rFonts w:hint="eastAsia"/>
                <w:b/>
                <w:sz w:val="18"/>
                <w:szCs w:val="18"/>
              </w:rPr>
              <w:t>不计息</w:t>
            </w:r>
          </w:p>
        </w:tc>
        <w:tc>
          <w:tcPr>
            <w:tcW w:w="1301" w:type="dxa"/>
            <w:vAlign w:val="center"/>
          </w:tcPr>
          <w:p>
            <w:pPr>
              <w:spacing w:before="29" w:line="288" w:lineRule="auto"/>
              <w:jc w:val="center"/>
              <w:rPr>
                <w:b/>
                <w:sz w:val="18"/>
                <w:szCs w:val="18"/>
              </w:rPr>
            </w:pPr>
            <w:r>
              <w:rPr>
                <w:rFonts w:hint="eastAsia"/>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color w:val="000000"/>
                <w:kern w:val="0"/>
                <w:sz w:val="24"/>
              </w:rPr>
            </w:pPr>
            <w:r>
              <w:rPr>
                <w:rFonts w:hint="eastAsia"/>
                <w:color w:val="000000"/>
                <w:sz w:val="18"/>
                <w:szCs w:val="18"/>
              </w:rPr>
              <w:t>资产</w:t>
            </w:r>
          </w:p>
        </w:tc>
        <w:tc>
          <w:tcPr>
            <w:tcW w:w="1701" w:type="dxa"/>
            <w:vAlign w:val="center"/>
          </w:tcPr>
          <w:p>
            <w:pPr>
              <w:widowControl/>
              <w:spacing w:before="29" w:line="288" w:lineRule="auto"/>
              <w:jc w:val="right"/>
              <w:rPr>
                <w:color w:val="000000"/>
                <w:kern w:val="0"/>
                <w:sz w:val="24"/>
              </w:rPr>
            </w:pPr>
          </w:p>
        </w:tc>
        <w:tc>
          <w:tcPr>
            <w:tcW w:w="1701" w:type="dxa"/>
            <w:vAlign w:val="center"/>
          </w:tcPr>
          <w:p>
            <w:pPr>
              <w:spacing w:line="360" w:lineRule="auto"/>
              <w:jc w:val="right"/>
              <w:rPr>
                <w:rFonts w:ascii="宋体" w:hAnsi="宋体"/>
                <w:b/>
                <w:color w:val="000000"/>
                <w:szCs w:val="21"/>
              </w:rPr>
            </w:pPr>
          </w:p>
        </w:tc>
        <w:tc>
          <w:tcPr>
            <w:tcW w:w="1559" w:type="dxa"/>
            <w:vAlign w:val="center"/>
          </w:tcPr>
          <w:p>
            <w:pPr>
              <w:spacing w:line="360" w:lineRule="auto"/>
              <w:jc w:val="right"/>
              <w:rPr>
                <w:rFonts w:ascii="宋体" w:hAnsi="宋体"/>
                <w:b/>
                <w:color w:val="000000"/>
                <w:szCs w:val="21"/>
              </w:rPr>
            </w:pPr>
          </w:p>
        </w:tc>
        <w:tc>
          <w:tcPr>
            <w:tcW w:w="1559" w:type="dxa"/>
            <w:vAlign w:val="center"/>
          </w:tcPr>
          <w:p>
            <w:pPr>
              <w:spacing w:line="360" w:lineRule="auto"/>
              <w:jc w:val="right"/>
              <w:rPr>
                <w:rFonts w:ascii="宋体" w:hAnsi="宋体"/>
                <w:b/>
                <w:color w:val="000000"/>
                <w:szCs w:val="21"/>
              </w:rPr>
            </w:pPr>
          </w:p>
        </w:tc>
        <w:tc>
          <w:tcPr>
            <w:tcW w:w="1301" w:type="dxa"/>
            <w:vAlign w:val="center"/>
          </w:tcPr>
          <w:p>
            <w:pPr>
              <w:spacing w:line="360" w:lineRule="auto"/>
              <w:jc w:val="right"/>
              <w:rPr>
                <w:rFonts w:ascii="宋体" w:hAns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银行存款</w:t>
            </w:r>
          </w:p>
        </w:tc>
        <w:tc>
          <w:tcPr>
            <w:tcW w:w="1701" w:type="dxa"/>
            <w:vAlign w:val="center"/>
          </w:tcPr>
          <w:p>
            <w:pPr>
              <w:jc w:val="right"/>
            </w:pPr>
            <w:r>
              <w:rPr>
                <w:color w:val="000000"/>
                <w:sz w:val="18"/>
                <w:szCs w:val="18"/>
              </w:rPr>
              <w:t>345,833,039.81</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345,833,039.81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结算备付金</w:t>
            </w:r>
          </w:p>
        </w:tc>
        <w:tc>
          <w:tcPr>
            <w:tcW w:w="1701" w:type="dxa"/>
            <w:vAlign w:val="center"/>
          </w:tcPr>
          <w:p>
            <w:pPr>
              <w:jc w:val="right"/>
            </w:pPr>
            <w:r>
              <w:rPr>
                <w:color w:val="000000"/>
                <w:sz w:val="18"/>
                <w:szCs w:val="18"/>
              </w:rPr>
              <w:t>22,091,505.56</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22,091,505.56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存出保证金</w:t>
            </w:r>
          </w:p>
        </w:tc>
        <w:tc>
          <w:tcPr>
            <w:tcW w:w="1701" w:type="dxa"/>
            <w:vAlign w:val="center"/>
          </w:tcPr>
          <w:p>
            <w:pPr>
              <w:jc w:val="right"/>
            </w:pPr>
            <w:r>
              <w:rPr>
                <w:color w:val="000000"/>
                <w:sz w:val="18"/>
                <w:szCs w:val="18"/>
              </w:rPr>
              <w:t>1,640,970.94</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1,640,970.94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交易性金融资产</w:t>
            </w:r>
          </w:p>
        </w:tc>
        <w:tc>
          <w:tcPr>
            <w:tcW w:w="1701" w:type="dxa"/>
            <w:vAlign w:val="center"/>
          </w:tcPr>
          <w:p>
            <w:pPr>
              <w:jc w:val="right"/>
            </w:pPr>
            <w:r>
              <w:rPr>
                <w:color w:val="000000"/>
                <w:sz w:val="18"/>
                <w:szCs w:val="18"/>
              </w:rPr>
              <w:t>290,440,000.00</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5,743,244,695.70</w:t>
            </w:r>
          </w:p>
        </w:tc>
        <w:tc>
          <w:tcPr>
            <w:tcW w:w="1301" w:type="dxa"/>
            <w:vAlign w:val="center"/>
          </w:tcPr>
          <w:p>
            <w:pPr>
              <w:jc w:val="right"/>
            </w:pPr>
            <w:r>
              <w:rPr>
                <w:color w:val="000000"/>
                <w:sz w:val="18"/>
                <w:szCs w:val="18"/>
              </w:rPr>
              <w:t>6,033,684,695.70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买入返售金融资产</w:t>
            </w:r>
          </w:p>
        </w:tc>
        <w:tc>
          <w:tcPr>
            <w:tcW w:w="1701" w:type="dxa"/>
            <w:vAlign w:val="center"/>
          </w:tcPr>
          <w:p>
            <w:pPr>
              <w:jc w:val="right"/>
            </w:pPr>
            <w:r>
              <w:rPr>
                <w:color w:val="000000"/>
                <w:sz w:val="18"/>
                <w:szCs w:val="18"/>
              </w:rPr>
              <w:t>485,001,567.50</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485,001,567.50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应收证券清算款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24,060,981.58</w:t>
            </w:r>
          </w:p>
        </w:tc>
        <w:tc>
          <w:tcPr>
            <w:tcW w:w="1301" w:type="dxa"/>
            <w:vAlign w:val="center"/>
          </w:tcPr>
          <w:p>
            <w:pPr>
              <w:jc w:val="right"/>
            </w:pPr>
            <w:r>
              <w:rPr>
                <w:color w:val="000000"/>
                <w:sz w:val="18"/>
                <w:szCs w:val="18"/>
              </w:rPr>
              <w:t>24,060,981.58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应收利息</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4,182,865.56</w:t>
            </w:r>
          </w:p>
        </w:tc>
        <w:tc>
          <w:tcPr>
            <w:tcW w:w="1301" w:type="dxa"/>
            <w:vAlign w:val="center"/>
          </w:tcPr>
          <w:p>
            <w:pPr>
              <w:jc w:val="right"/>
            </w:pPr>
            <w:r>
              <w:rPr>
                <w:color w:val="000000"/>
                <w:sz w:val="18"/>
                <w:szCs w:val="18"/>
              </w:rPr>
              <w:t>4,182,865.56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应收申购款</w:t>
            </w:r>
          </w:p>
        </w:tc>
        <w:tc>
          <w:tcPr>
            <w:tcW w:w="1701" w:type="dxa"/>
            <w:vAlign w:val="center"/>
          </w:tcPr>
          <w:p>
            <w:pPr>
              <w:jc w:val="right"/>
            </w:pPr>
            <w:r>
              <w:rPr>
                <w:color w:val="000000"/>
                <w:sz w:val="18"/>
                <w:szCs w:val="18"/>
              </w:rPr>
              <w:t>474,974.39</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40,656,065.82</w:t>
            </w:r>
          </w:p>
        </w:tc>
        <w:tc>
          <w:tcPr>
            <w:tcW w:w="1301" w:type="dxa"/>
            <w:vAlign w:val="center"/>
          </w:tcPr>
          <w:p>
            <w:pPr>
              <w:jc w:val="right"/>
            </w:pPr>
            <w:r>
              <w:rPr>
                <w:color w:val="000000"/>
                <w:sz w:val="18"/>
                <w:szCs w:val="18"/>
              </w:rPr>
              <w:t>41,131,040.21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rFonts w:ascii="宋体" w:hAnsi="宋体"/>
                <w:color w:val="000000"/>
                <w:szCs w:val="21"/>
              </w:rPr>
            </w:pPr>
            <w:r>
              <w:rPr>
                <w:rFonts w:hint="eastAsia"/>
                <w:color w:val="000000"/>
                <w:sz w:val="18"/>
                <w:szCs w:val="18"/>
              </w:rPr>
              <w:t>资产总计</w:t>
            </w:r>
          </w:p>
        </w:tc>
        <w:tc>
          <w:tcPr>
            <w:tcW w:w="1701" w:type="dxa"/>
            <w:vAlign w:val="center"/>
          </w:tcPr>
          <w:p>
            <w:pPr>
              <w:spacing w:before="29" w:line="288" w:lineRule="auto"/>
              <w:jc w:val="right"/>
              <w:rPr>
                <w:sz w:val="18"/>
                <w:szCs w:val="18"/>
              </w:rPr>
            </w:pPr>
            <w:r>
              <w:rPr>
                <w:sz w:val="18"/>
                <w:szCs w:val="18"/>
              </w:rPr>
              <w:t>1,145,482,058.20</w:t>
            </w:r>
          </w:p>
        </w:tc>
        <w:tc>
          <w:tcPr>
            <w:tcW w:w="1701"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5,812,144,608.66</w:t>
            </w:r>
          </w:p>
        </w:tc>
        <w:tc>
          <w:tcPr>
            <w:tcW w:w="1301" w:type="dxa"/>
            <w:vAlign w:val="center"/>
          </w:tcPr>
          <w:p>
            <w:pPr>
              <w:spacing w:before="29" w:line="288" w:lineRule="auto"/>
              <w:jc w:val="right"/>
              <w:rPr>
                <w:sz w:val="18"/>
                <w:szCs w:val="18"/>
              </w:rPr>
            </w:pPr>
            <w:r>
              <w:rPr>
                <w:sz w:val="18"/>
                <w:szCs w:val="18"/>
              </w:rPr>
              <w:t>6,957,626,666.86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jc w:val="center"/>
        </w:trPr>
        <w:tc>
          <w:tcPr>
            <w:tcW w:w="1588" w:type="dxa"/>
            <w:vAlign w:val="center"/>
          </w:tcPr>
          <w:p>
            <w:pPr>
              <w:spacing w:line="360" w:lineRule="auto"/>
              <w:rPr>
                <w:rFonts w:ascii="宋体" w:hAnsi="宋体"/>
                <w:color w:val="000000"/>
                <w:szCs w:val="21"/>
              </w:rPr>
            </w:pPr>
            <w:r>
              <w:rPr>
                <w:rFonts w:hint="eastAsia"/>
                <w:color w:val="000000"/>
                <w:sz w:val="18"/>
                <w:szCs w:val="18"/>
              </w:rPr>
              <w:t>负债</w:t>
            </w:r>
          </w:p>
        </w:tc>
        <w:tc>
          <w:tcPr>
            <w:tcW w:w="1701" w:type="dxa"/>
            <w:vAlign w:val="bottom"/>
          </w:tcPr>
          <w:p>
            <w:pPr>
              <w:spacing w:line="360" w:lineRule="auto"/>
              <w:jc w:val="right"/>
              <w:rPr>
                <w:rFonts w:ascii="宋体" w:hAnsi="宋体"/>
                <w:color w:val="0000FF"/>
                <w:kern w:val="0"/>
                <w:szCs w:val="21"/>
              </w:rPr>
            </w:pPr>
          </w:p>
        </w:tc>
        <w:tc>
          <w:tcPr>
            <w:tcW w:w="1701" w:type="dxa"/>
            <w:vAlign w:val="bottom"/>
          </w:tcPr>
          <w:p>
            <w:pPr>
              <w:spacing w:line="360" w:lineRule="auto"/>
              <w:jc w:val="right"/>
              <w:rPr>
                <w:rFonts w:ascii="宋体" w:hAnsi="宋体"/>
                <w:color w:val="000000"/>
                <w:szCs w:val="21"/>
              </w:rPr>
            </w:pPr>
          </w:p>
        </w:tc>
        <w:tc>
          <w:tcPr>
            <w:tcW w:w="1559" w:type="dxa"/>
            <w:vAlign w:val="bottom"/>
          </w:tcPr>
          <w:p>
            <w:pPr>
              <w:spacing w:line="360" w:lineRule="auto"/>
              <w:jc w:val="right"/>
              <w:rPr>
                <w:rFonts w:ascii="宋体" w:hAnsi="宋体"/>
                <w:color w:val="000000"/>
                <w:szCs w:val="21"/>
              </w:rPr>
            </w:pPr>
          </w:p>
        </w:tc>
        <w:tc>
          <w:tcPr>
            <w:tcW w:w="1559" w:type="dxa"/>
            <w:vAlign w:val="bottom"/>
          </w:tcPr>
          <w:p>
            <w:pPr>
              <w:spacing w:line="360" w:lineRule="auto"/>
              <w:jc w:val="right"/>
              <w:rPr>
                <w:rFonts w:ascii="宋体" w:hAnsi="宋体"/>
                <w:color w:val="000000"/>
                <w:szCs w:val="21"/>
              </w:rPr>
            </w:pPr>
          </w:p>
        </w:tc>
        <w:tc>
          <w:tcPr>
            <w:tcW w:w="1301" w:type="dxa"/>
            <w:vAlign w:val="bottom"/>
          </w:tcPr>
          <w:p>
            <w:pPr>
              <w:spacing w:line="360" w:lineRule="auto"/>
              <w:jc w:val="righ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应付证券清算款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71,195,016.63</w:t>
            </w:r>
          </w:p>
        </w:tc>
        <w:tc>
          <w:tcPr>
            <w:tcW w:w="1301" w:type="dxa"/>
            <w:vAlign w:val="center"/>
          </w:tcPr>
          <w:p>
            <w:pPr>
              <w:jc w:val="right"/>
            </w:pPr>
            <w:r>
              <w:rPr>
                <w:color w:val="000000"/>
                <w:sz w:val="18"/>
                <w:szCs w:val="18"/>
              </w:rPr>
              <w:t>71,195,016.63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应付赎回款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61,187,051.44</w:t>
            </w:r>
          </w:p>
        </w:tc>
        <w:tc>
          <w:tcPr>
            <w:tcW w:w="1301" w:type="dxa"/>
            <w:vAlign w:val="center"/>
          </w:tcPr>
          <w:p>
            <w:pPr>
              <w:jc w:val="right"/>
            </w:pPr>
            <w:r>
              <w:rPr>
                <w:color w:val="000000"/>
                <w:sz w:val="18"/>
                <w:szCs w:val="18"/>
              </w:rPr>
              <w:t>61,187,051.44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应付管理人报酬</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8,257,695.47</w:t>
            </w:r>
          </w:p>
        </w:tc>
        <w:tc>
          <w:tcPr>
            <w:tcW w:w="1301" w:type="dxa"/>
            <w:vAlign w:val="center"/>
          </w:tcPr>
          <w:p>
            <w:pPr>
              <w:jc w:val="right"/>
            </w:pPr>
            <w:r>
              <w:rPr>
                <w:color w:val="000000"/>
                <w:sz w:val="18"/>
                <w:szCs w:val="18"/>
              </w:rPr>
              <w:t>8,257,695.47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应付托管费</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1,376,282.57</w:t>
            </w:r>
          </w:p>
        </w:tc>
        <w:tc>
          <w:tcPr>
            <w:tcW w:w="1301" w:type="dxa"/>
            <w:vAlign w:val="center"/>
          </w:tcPr>
          <w:p>
            <w:pPr>
              <w:jc w:val="right"/>
            </w:pPr>
            <w:r>
              <w:rPr>
                <w:color w:val="000000"/>
                <w:sz w:val="18"/>
                <w:szCs w:val="18"/>
              </w:rPr>
              <w:t>1,376,282.57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应付交易费用</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5,938,415.58</w:t>
            </w:r>
          </w:p>
        </w:tc>
        <w:tc>
          <w:tcPr>
            <w:tcW w:w="1301" w:type="dxa"/>
            <w:vAlign w:val="center"/>
          </w:tcPr>
          <w:p>
            <w:pPr>
              <w:jc w:val="right"/>
            </w:pPr>
            <w:r>
              <w:rPr>
                <w:color w:val="000000"/>
                <w:sz w:val="18"/>
                <w:szCs w:val="18"/>
              </w:rPr>
              <w:t>5,938,415.58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88" w:type="dxa"/>
            <w:vAlign w:val="center"/>
          </w:tcPr>
          <w:p>
            <w:pPr>
              <w:jc w:val="center"/>
            </w:pPr>
            <w:r>
              <w:rPr>
                <w:color w:val="000000"/>
                <w:sz w:val="18"/>
                <w:szCs w:val="18"/>
              </w:rPr>
              <w:t>应交税费</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2,930.37</w:t>
            </w:r>
          </w:p>
        </w:tc>
        <w:tc>
          <w:tcPr>
            <w:tcW w:w="1301" w:type="dxa"/>
            <w:vAlign w:val="center"/>
          </w:tcPr>
          <w:p>
            <w:pPr>
              <w:jc w:val="right"/>
            </w:pPr>
            <w:r>
              <w:rPr>
                <w:color w:val="000000"/>
                <w:sz w:val="18"/>
                <w:szCs w:val="18"/>
              </w:rPr>
              <w:t>2,930.37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其他负债</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295,703.73</w:t>
            </w:r>
          </w:p>
        </w:tc>
        <w:tc>
          <w:tcPr>
            <w:tcW w:w="1301" w:type="dxa"/>
            <w:vAlign w:val="center"/>
          </w:tcPr>
          <w:p>
            <w:pPr>
              <w:jc w:val="right"/>
            </w:pPr>
            <w:r>
              <w:rPr>
                <w:color w:val="000000"/>
                <w:sz w:val="18"/>
                <w:szCs w:val="18"/>
              </w:rPr>
              <w:t>295,703.73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jc w:val="center"/>
        </w:trPr>
        <w:tc>
          <w:tcPr>
            <w:tcW w:w="1588" w:type="dxa"/>
            <w:vAlign w:val="center"/>
          </w:tcPr>
          <w:p>
            <w:pPr>
              <w:spacing w:before="29" w:line="288" w:lineRule="auto"/>
              <w:rPr>
                <w:color w:val="000000"/>
                <w:sz w:val="18"/>
                <w:szCs w:val="18"/>
              </w:rPr>
            </w:pPr>
            <w:r>
              <w:rPr>
                <w:rFonts w:hint="eastAsia"/>
                <w:color w:val="000000"/>
                <w:sz w:val="18"/>
                <w:szCs w:val="18"/>
              </w:rPr>
              <w:t>负债总计</w:t>
            </w:r>
          </w:p>
        </w:tc>
        <w:tc>
          <w:tcPr>
            <w:tcW w:w="1701" w:type="dxa"/>
            <w:vAlign w:val="center"/>
          </w:tcPr>
          <w:p>
            <w:pPr>
              <w:spacing w:before="29" w:line="288" w:lineRule="auto"/>
              <w:jc w:val="right"/>
              <w:rPr>
                <w:color w:val="000000"/>
                <w:sz w:val="18"/>
                <w:szCs w:val="18"/>
              </w:rPr>
            </w:pPr>
            <w:r>
              <w:rPr>
                <w:rFonts w:hint="eastAsia"/>
                <w:color w:val="000000"/>
                <w:sz w:val="18"/>
                <w:szCs w:val="18"/>
              </w:rPr>
              <w:t>-</w:t>
            </w:r>
          </w:p>
        </w:tc>
        <w:tc>
          <w:tcPr>
            <w:tcW w:w="1701"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148,253,095.79</w:t>
            </w:r>
          </w:p>
        </w:tc>
        <w:tc>
          <w:tcPr>
            <w:tcW w:w="1301" w:type="dxa"/>
            <w:vAlign w:val="center"/>
          </w:tcPr>
          <w:p>
            <w:pPr>
              <w:spacing w:before="29" w:line="288" w:lineRule="auto"/>
              <w:jc w:val="right"/>
              <w:rPr>
                <w:color w:val="000000"/>
                <w:sz w:val="18"/>
                <w:szCs w:val="18"/>
              </w:rPr>
            </w:pPr>
            <w:r>
              <w:rPr>
                <w:rFonts w:hint="eastAsia"/>
                <w:color w:val="000000"/>
                <w:sz w:val="18"/>
                <w:szCs w:val="18"/>
              </w:rPr>
              <w:t>148,253,095.79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jc w:val="center"/>
        </w:trPr>
        <w:tc>
          <w:tcPr>
            <w:tcW w:w="1588" w:type="dxa"/>
            <w:vAlign w:val="center"/>
          </w:tcPr>
          <w:p>
            <w:pPr>
              <w:spacing w:before="29" w:line="288" w:lineRule="auto"/>
              <w:rPr>
                <w:color w:val="000000"/>
                <w:sz w:val="18"/>
                <w:szCs w:val="18"/>
              </w:rPr>
            </w:pPr>
            <w:r>
              <w:rPr>
                <w:rFonts w:hint="eastAsia"/>
                <w:color w:val="000000"/>
                <w:sz w:val="18"/>
                <w:szCs w:val="18"/>
              </w:rPr>
              <w:t>利率敏感度缺口</w:t>
            </w:r>
          </w:p>
        </w:tc>
        <w:tc>
          <w:tcPr>
            <w:tcW w:w="1701" w:type="dxa"/>
            <w:vAlign w:val="center"/>
          </w:tcPr>
          <w:p>
            <w:pPr>
              <w:spacing w:before="29" w:line="288" w:lineRule="auto"/>
              <w:jc w:val="right"/>
              <w:rPr>
                <w:color w:val="000000"/>
                <w:sz w:val="18"/>
                <w:szCs w:val="18"/>
              </w:rPr>
            </w:pPr>
            <w:r>
              <w:rPr>
                <w:color w:val="000000"/>
                <w:sz w:val="18"/>
                <w:szCs w:val="18"/>
              </w:rPr>
              <w:t>1,145,482,058.20</w:t>
            </w:r>
          </w:p>
        </w:tc>
        <w:tc>
          <w:tcPr>
            <w:tcW w:w="1701"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5,663,891,512.87</w:t>
            </w:r>
          </w:p>
        </w:tc>
        <w:tc>
          <w:tcPr>
            <w:tcW w:w="1301" w:type="dxa"/>
            <w:vAlign w:val="center"/>
          </w:tcPr>
          <w:p>
            <w:pPr>
              <w:spacing w:before="29" w:line="288" w:lineRule="auto"/>
              <w:jc w:val="right"/>
              <w:rPr>
                <w:color w:val="000000"/>
                <w:sz w:val="18"/>
                <w:szCs w:val="18"/>
              </w:rPr>
            </w:pPr>
            <w:r>
              <w:rPr>
                <w:color w:val="000000"/>
                <w:sz w:val="18"/>
                <w:szCs w:val="18"/>
              </w:rPr>
              <w:t>6,809,373,571.07</w:t>
            </w:r>
          </w:p>
        </w:tc>
      </w:tr>
    </w:tbl>
    <w:p>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95" w:name="_Toc67596676"/>
      <w:r>
        <w:rPr>
          <w:rFonts w:ascii="Times New Roman" w:hAnsi="Times New Roman"/>
          <w:kern w:val="0"/>
          <w:szCs w:val="24"/>
        </w:rPr>
        <w:t>7.4.13.4.1.2</w:t>
      </w:r>
      <w:r>
        <w:rPr>
          <w:rFonts w:hint="eastAsia" w:ascii="Times New Roman" w:hAnsi="Times New Roman"/>
          <w:kern w:val="0"/>
          <w:szCs w:val="24"/>
        </w:rPr>
        <w:t>利率风险的敏感性分析</w:t>
      </w:r>
      <w:bookmarkEnd w:id="195"/>
    </w:p>
    <w:p>
      <w:pPr>
        <w:tabs>
          <w:tab w:val="left" w:pos="426"/>
        </w:tabs>
        <w:spacing w:before="29" w:line="288" w:lineRule="auto"/>
        <w:jc w:val="left"/>
        <w:rPr>
          <w:kern w:val="0"/>
          <w:sz w:val="24"/>
        </w:rPr>
      </w:pPr>
      <w:r>
        <w:rPr>
          <w:kern w:val="0"/>
          <w:sz w:val="24"/>
        </w:rPr>
        <w:t xml:space="preserve">    于2020年12月31日，本基金持有的交易性债券投资公允价值占基金资产净值的比例为4.74%（2019年12月31日：4.27%），因此市场利率的变动对于本基金资产净值无重大影响（2019年12月31日：同）。</w:t>
      </w:r>
    </w:p>
    <w:p>
      <w:pPr>
        <w:spacing w:line="360" w:lineRule="auto"/>
        <w:ind w:firstLine="420"/>
        <w:rPr>
          <w:rFonts w:asciiTheme="minorEastAsia" w:hAnsiTheme="minorEastAsia" w:eastAsiaTheme="minorEastAsia"/>
          <w:color w:val="000000"/>
          <w:szCs w:val="21"/>
        </w:rPr>
      </w:pPr>
      <w:r>
        <w:rPr>
          <w:rFonts w:asciiTheme="minorEastAsia" w:hAnsiTheme="minorEastAsia" w:eastAsiaTheme="minorEastAsia"/>
          <w:color w:val="000000"/>
          <w:szCs w:val="21"/>
        </w:rPr>
        <w:tab/>
      </w:r>
    </w:p>
    <w:p>
      <w:pPr>
        <w:pStyle w:val="3"/>
        <w:spacing w:before="29" w:after="0" w:line="288" w:lineRule="auto"/>
        <w:rPr>
          <w:rFonts w:ascii="Times New Roman" w:hAnsi="Times New Roman"/>
          <w:kern w:val="0"/>
          <w:szCs w:val="24"/>
        </w:rPr>
      </w:pPr>
      <w:bookmarkStart w:id="196" w:name="_Toc67596677"/>
      <w:r>
        <w:rPr>
          <w:rFonts w:ascii="Times New Roman" w:hAnsi="Times New Roman"/>
          <w:kern w:val="0"/>
          <w:szCs w:val="24"/>
        </w:rPr>
        <w:t>7.4.13.4.2</w:t>
      </w:r>
      <w:r>
        <w:rPr>
          <w:rFonts w:hint="eastAsia" w:ascii="Times New Roman" w:hAnsi="Times New Roman"/>
          <w:kern w:val="0"/>
          <w:szCs w:val="24"/>
        </w:rPr>
        <w:t>外汇风险</w:t>
      </w:r>
      <w:bookmarkEnd w:id="196"/>
    </w:p>
    <w:p>
      <w:pPr>
        <w:spacing w:before="29" w:line="288" w:lineRule="auto"/>
        <w:ind w:firstLine="480" w:firstLineChars="200"/>
        <w:rPr>
          <w:color w:val="000000"/>
          <w:sz w:val="24"/>
        </w:rPr>
      </w:pPr>
      <w:r>
        <w:rPr>
          <w:color w:val="000000"/>
          <w:sz w:val="24"/>
        </w:rPr>
        <w:t>外汇风险是指金融工具的公允价值或未来现金流量因外汇汇率变动而发生波动的风险。本基金的所有资产及负债以人民币计价，因此无重大外汇风险。</w:t>
      </w:r>
    </w:p>
    <w:p>
      <w:pPr>
        <w:spacing w:line="360" w:lineRule="auto"/>
        <w:ind w:firstLine="420" w:firstLineChars="2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197" w:name="_Toc67596678"/>
      <w:r>
        <w:rPr>
          <w:rFonts w:ascii="Times New Roman" w:hAnsi="Times New Roman"/>
          <w:kern w:val="0"/>
          <w:szCs w:val="24"/>
        </w:rPr>
        <w:t>7.4.13.4.3</w:t>
      </w:r>
      <w:r>
        <w:rPr>
          <w:rFonts w:hint="eastAsia" w:ascii="Times New Roman" w:hAnsi="Times New Roman"/>
          <w:kern w:val="0"/>
          <w:szCs w:val="24"/>
        </w:rPr>
        <w:t>其他价格风险</w:t>
      </w:r>
      <w:bookmarkEnd w:id="197"/>
    </w:p>
    <w:p>
      <w:pPr>
        <w:spacing w:before="29" w:line="288" w:lineRule="auto"/>
        <w:ind w:firstLine="480" w:firstLineChars="20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pPr>
        <w:spacing w:before="29" w:line="288" w:lineRule="auto"/>
        <w:ind w:firstLine="480" w:firstLineChars="200"/>
        <w:rPr>
          <w:color w:val="000000"/>
          <w:sz w:val="24"/>
        </w:rPr>
      </w:pPr>
      <w:r>
        <w:rPr>
          <w:color w:val="000000"/>
          <w:sz w:val="24"/>
        </w:rPr>
        <w:t>本基金的基金管理人在构建和管理投资组合的过程中，采用“自上而下”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pPr>
        <w:spacing w:before="29" w:line="288" w:lineRule="auto"/>
        <w:ind w:firstLine="480" w:firstLineChars="200"/>
        <w:rPr>
          <w:color w:val="000000"/>
          <w:sz w:val="24"/>
        </w:rPr>
      </w:pPr>
      <w:r>
        <w:rPr>
          <w:color w:val="000000"/>
          <w:sz w:val="24"/>
        </w:rPr>
        <w:t>本基金通过投资组合的分散化降低其他价格风险。本基金投资组合中股票资产（含存托凭证）占基金资产的60%-95%，其中投资于经过严格品质筛选、未来预期成长性良好的公司股票不低于非现金基金资产的80%；其余资产投资于债券、中期票据、货币市场工具、权证、资产支持证券、股指期货以及法律法规或中国证监会允许基金投资的其他证券品种；每个交易日日终在扣除股指期货合约需缴纳的交易保证金后，基金保留的现金或者投资于到期日在一年以内的政府债券的比例合计不低于基金资产净值的5%，其中现金不包括结算备付金、存出保证金和应收申购款等。此外，本基金的基金管理人每日对本基金所持有的证券价格实施监控，定期运用多种定量方法对基金进行风险度量，来测试本基金面临的潜在价格风险，及时可靠地对风险进行跟踪和控制。</w:t>
      </w:r>
    </w:p>
    <w:p>
      <w:pPr>
        <w:spacing w:line="360" w:lineRule="auto"/>
        <w:ind w:firstLine="422" w:firstLineChars="200"/>
        <w:rPr>
          <w:rFonts w:asciiTheme="minorEastAsia" w:hAnsiTheme="minorEastAsia" w:eastAsiaTheme="minorEastAsia"/>
          <w:b/>
          <w:bCs/>
          <w:color w:val="000000"/>
          <w:szCs w:val="21"/>
        </w:rPr>
      </w:pPr>
    </w:p>
    <w:p>
      <w:pPr>
        <w:pStyle w:val="3"/>
        <w:spacing w:before="29" w:after="0" w:line="288" w:lineRule="auto"/>
        <w:rPr>
          <w:rFonts w:ascii="Times New Roman" w:hAnsi="Times New Roman"/>
          <w:kern w:val="0"/>
          <w:szCs w:val="24"/>
        </w:rPr>
      </w:pPr>
      <w:bookmarkStart w:id="198" w:name="_Toc67596679"/>
      <w:r>
        <w:rPr>
          <w:rFonts w:ascii="Times New Roman" w:hAnsi="Times New Roman"/>
          <w:kern w:val="0"/>
          <w:szCs w:val="24"/>
        </w:rPr>
        <w:t>7.4.13.4.3.1</w:t>
      </w:r>
      <w:r>
        <w:rPr>
          <w:rFonts w:hint="eastAsia" w:ascii="Times New Roman" w:hAnsi="Times New Roman"/>
          <w:kern w:val="0"/>
          <w:szCs w:val="24"/>
        </w:rPr>
        <w:t>其他价格风险敞口</w:t>
      </w:r>
      <w:bookmarkEnd w:id="198"/>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19"/>
        <w:gridCol w:w="1843"/>
        <w:gridCol w:w="1097"/>
        <w:gridCol w:w="1879"/>
        <w:gridCol w:w="10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restart"/>
            <w:vAlign w:val="center"/>
          </w:tcPr>
          <w:p>
            <w:pPr>
              <w:spacing w:before="29" w:line="288" w:lineRule="auto"/>
              <w:jc w:val="center"/>
              <w:rPr>
                <w:color w:val="000000"/>
                <w:sz w:val="24"/>
              </w:rPr>
            </w:pPr>
            <w:r>
              <w:rPr>
                <w:rFonts w:hint="eastAsia"/>
                <w:color w:val="000000"/>
                <w:sz w:val="24"/>
              </w:rPr>
              <w:t>项目</w:t>
            </w:r>
          </w:p>
        </w:tc>
        <w:tc>
          <w:tcPr>
            <w:tcW w:w="2940" w:type="dxa"/>
            <w:gridSpan w:val="2"/>
            <w:vAlign w:val="center"/>
          </w:tcPr>
          <w:p>
            <w:pPr>
              <w:spacing w:before="29" w:line="288" w:lineRule="auto"/>
              <w:jc w:val="center"/>
              <w:rPr>
                <w:color w:val="000000"/>
                <w:sz w:val="24"/>
              </w:rPr>
            </w:pPr>
            <w:r>
              <w:rPr>
                <w:rFonts w:hint="eastAsia"/>
                <w:color w:val="000000"/>
                <w:sz w:val="24"/>
              </w:rPr>
              <w:t>本期末</w:t>
            </w:r>
          </w:p>
          <w:p>
            <w:pPr>
              <w:spacing w:before="29" w:line="288" w:lineRule="auto"/>
              <w:jc w:val="center"/>
              <w:rPr>
                <w:color w:val="000000"/>
                <w:sz w:val="24"/>
              </w:rPr>
            </w:pPr>
            <w:r>
              <w:rPr>
                <w:color w:val="000000"/>
                <w:sz w:val="24"/>
              </w:rPr>
              <w:t>2020年12月31日</w:t>
            </w:r>
          </w:p>
        </w:tc>
        <w:tc>
          <w:tcPr>
            <w:tcW w:w="2941" w:type="dxa"/>
            <w:gridSpan w:val="2"/>
            <w:vAlign w:val="center"/>
          </w:tcPr>
          <w:p>
            <w:pPr>
              <w:spacing w:before="29" w:line="288" w:lineRule="auto"/>
              <w:jc w:val="center"/>
              <w:rPr>
                <w:color w:val="000000"/>
                <w:sz w:val="24"/>
              </w:rPr>
            </w:pPr>
            <w:r>
              <w:rPr>
                <w:rFonts w:hint="eastAsia"/>
                <w:color w:val="000000"/>
                <w:sz w:val="24"/>
              </w:rPr>
              <w:t>上年度末</w:t>
            </w:r>
          </w:p>
          <w:p>
            <w:pPr>
              <w:spacing w:before="29" w:line="288" w:lineRule="auto"/>
              <w:jc w:val="center"/>
              <w:rPr>
                <w:color w:val="000000"/>
                <w:sz w:val="24"/>
              </w:rPr>
            </w:pPr>
            <w:r>
              <w:rPr>
                <w:color w:val="00000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119" w:type="dxa"/>
            <w:vMerge w:val="continue"/>
            <w:vAlign w:val="center"/>
          </w:tcPr>
          <w:p>
            <w:pPr>
              <w:spacing w:before="29" w:line="288" w:lineRule="auto"/>
              <w:jc w:val="center"/>
              <w:rPr>
                <w:color w:val="000000"/>
                <w:sz w:val="24"/>
              </w:rPr>
            </w:pPr>
          </w:p>
        </w:tc>
        <w:tc>
          <w:tcPr>
            <w:tcW w:w="1843" w:type="dxa"/>
            <w:vAlign w:val="center"/>
          </w:tcPr>
          <w:p>
            <w:pPr>
              <w:spacing w:before="29" w:line="288" w:lineRule="auto"/>
              <w:ind w:right="142"/>
              <w:jc w:val="center"/>
              <w:rPr>
                <w:color w:val="000000"/>
                <w:sz w:val="24"/>
              </w:rPr>
            </w:pPr>
            <w:r>
              <w:rPr>
                <w:rFonts w:hint="eastAsia"/>
                <w:color w:val="000000"/>
                <w:sz w:val="24"/>
              </w:rPr>
              <w:t>公允价值</w:t>
            </w:r>
          </w:p>
        </w:tc>
        <w:tc>
          <w:tcPr>
            <w:tcW w:w="1097" w:type="dxa"/>
            <w:vAlign w:val="center"/>
          </w:tcPr>
          <w:p>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c>
          <w:tcPr>
            <w:tcW w:w="1879" w:type="dxa"/>
            <w:vAlign w:val="center"/>
          </w:tcPr>
          <w:p>
            <w:pPr>
              <w:spacing w:before="29" w:line="288" w:lineRule="auto"/>
              <w:ind w:right="113"/>
              <w:jc w:val="center"/>
              <w:rPr>
                <w:color w:val="000000"/>
                <w:sz w:val="24"/>
              </w:rPr>
            </w:pPr>
            <w:r>
              <w:rPr>
                <w:rFonts w:hint="eastAsia"/>
                <w:color w:val="000000"/>
                <w:sz w:val="24"/>
              </w:rPr>
              <w:t>公允价值</w:t>
            </w:r>
          </w:p>
        </w:tc>
        <w:tc>
          <w:tcPr>
            <w:tcW w:w="1062" w:type="dxa"/>
            <w:vAlign w:val="center"/>
          </w:tcPr>
          <w:p>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119" w:type="dxa"/>
            <w:vAlign w:val="center"/>
          </w:tcPr>
          <w:p>
            <w:pPr>
              <w:spacing w:before="29" w:line="288" w:lineRule="auto"/>
              <w:jc w:val="left"/>
              <w:rPr>
                <w:color w:val="000000"/>
                <w:sz w:val="24"/>
              </w:rPr>
            </w:pPr>
            <w:r>
              <w:rPr>
                <w:rFonts w:hint="eastAsia"/>
                <w:color w:val="000000"/>
                <w:sz w:val="24"/>
              </w:rPr>
              <w:t>交易性金融资产－股票投资</w:t>
            </w:r>
          </w:p>
        </w:tc>
        <w:tc>
          <w:tcPr>
            <w:tcW w:w="1843" w:type="dxa"/>
            <w:vAlign w:val="center"/>
          </w:tcPr>
          <w:p>
            <w:pPr>
              <w:spacing w:before="29" w:line="288" w:lineRule="auto"/>
              <w:jc w:val="right"/>
              <w:rPr>
                <w:kern w:val="0"/>
                <w:sz w:val="24"/>
              </w:rPr>
            </w:pPr>
            <w:r>
              <w:rPr>
                <w:kern w:val="0"/>
                <w:sz w:val="24"/>
              </w:rPr>
              <w:t>10,564,264,561.18</w:t>
            </w:r>
          </w:p>
        </w:tc>
        <w:tc>
          <w:tcPr>
            <w:tcW w:w="1097" w:type="dxa"/>
            <w:vAlign w:val="center"/>
          </w:tcPr>
          <w:p>
            <w:pPr>
              <w:spacing w:before="29" w:line="288" w:lineRule="auto"/>
              <w:jc w:val="right"/>
              <w:rPr>
                <w:kern w:val="0"/>
                <w:sz w:val="24"/>
              </w:rPr>
            </w:pPr>
            <w:r>
              <w:rPr>
                <w:kern w:val="0"/>
                <w:sz w:val="24"/>
              </w:rPr>
              <w:t>89.53</w:t>
            </w:r>
          </w:p>
        </w:tc>
        <w:tc>
          <w:tcPr>
            <w:tcW w:w="1879" w:type="dxa"/>
            <w:vAlign w:val="center"/>
          </w:tcPr>
          <w:p>
            <w:pPr>
              <w:spacing w:before="29" w:line="288" w:lineRule="auto"/>
              <w:jc w:val="right"/>
              <w:rPr>
                <w:kern w:val="0"/>
                <w:sz w:val="24"/>
              </w:rPr>
            </w:pPr>
            <w:r>
              <w:rPr>
                <w:kern w:val="0"/>
                <w:sz w:val="24"/>
              </w:rPr>
              <w:t>5,743,244,695.70</w:t>
            </w:r>
          </w:p>
        </w:tc>
        <w:tc>
          <w:tcPr>
            <w:tcW w:w="1062" w:type="dxa"/>
            <w:vAlign w:val="center"/>
          </w:tcPr>
          <w:p>
            <w:pPr>
              <w:spacing w:before="29" w:line="288" w:lineRule="auto"/>
              <w:jc w:val="right"/>
              <w:rPr>
                <w:kern w:val="0"/>
                <w:sz w:val="24"/>
              </w:rPr>
            </w:pPr>
            <w:r>
              <w:rPr>
                <w:kern w:val="0"/>
                <w:sz w:val="24"/>
              </w:rPr>
              <w:t>84.34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交易性金融资产－基金投资</w:t>
            </w:r>
          </w:p>
        </w:tc>
        <w:tc>
          <w:tcPr>
            <w:tcW w:w="1843" w:type="dxa"/>
            <w:vAlign w:val="center"/>
          </w:tcPr>
          <w:p>
            <w:pPr>
              <w:spacing w:before="29" w:line="288" w:lineRule="auto"/>
              <w:jc w:val="right"/>
              <w:rPr>
                <w:kern w:val="0"/>
                <w:sz w:val="24"/>
              </w:rPr>
            </w:pPr>
            <w:r>
              <w:rPr>
                <w:kern w:val="0"/>
                <w:sz w:val="24"/>
              </w:rPr>
              <w:t>-</w:t>
            </w:r>
          </w:p>
        </w:tc>
        <w:tc>
          <w:tcPr>
            <w:tcW w:w="1097" w:type="dxa"/>
            <w:vAlign w:val="center"/>
          </w:tcPr>
          <w:p>
            <w:pPr>
              <w:spacing w:before="29" w:line="288" w:lineRule="auto"/>
              <w:jc w:val="right"/>
              <w:rPr>
                <w:kern w:val="0"/>
                <w:sz w:val="24"/>
              </w:rPr>
            </w:pPr>
            <w:r>
              <w:rPr>
                <w:kern w:val="0"/>
                <w:sz w:val="24"/>
              </w:rPr>
              <w:t>-</w:t>
            </w:r>
          </w:p>
        </w:tc>
        <w:tc>
          <w:tcPr>
            <w:tcW w:w="1879" w:type="dxa"/>
            <w:vAlign w:val="center"/>
          </w:tcPr>
          <w:p>
            <w:pPr>
              <w:spacing w:before="29" w:line="288" w:lineRule="auto"/>
              <w:jc w:val="right"/>
              <w:rPr>
                <w:kern w:val="0"/>
                <w:sz w:val="24"/>
              </w:rPr>
            </w:pPr>
            <w:r>
              <w:rPr>
                <w:kern w:val="0"/>
                <w:sz w:val="24"/>
              </w:rPr>
              <w:t>-</w:t>
            </w:r>
          </w:p>
        </w:tc>
        <w:tc>
          <w:tcPr>
            <w:tcW w:w="1062"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交易性金融资产－贵金属投资</w:t>
            </w:r>
          </w:p>
        </w:tc>
        <w:tc>
          <w:tcPr>
            <w:tcW w:w="1843" w:type="dxa"/>
            <w:vAlign w:val="center"/>
          </w:tcPr>
          <w:p>
            <w:pPr>
              <w:spacing w:before="29" w:line="288" w:lineRule="auto"/>
              <w:jc w:val="right"/>
              <w:rPr>
                <w:kern w:val="0"/>
                <w:sz w:val="24"/>
              </w:rPr>
            </w:pPr>
            <w:r>
              <w:rPr>
                <w:rFonts w:hint="eastAsia"/>
                <w:kern w:val="0"/>
                <w:sz w:val="24"/>
              </w:rPr>
              <w:t>-</w:t>
            </w:r>
          </w:p>
        </w:tc>
        <w:tc>
          <w:tcPr>
            <w:tcW w:w="1097" w:type="dxa"/>
            <w:vAlign w:val="center"/>
          </w:tcPr>
          <w:p>
            <w:pPr>
              <w:spacing w:before="29" w:line="288" w:lineRule="auto"/>
              <w:jc w:val="right"/>
              <w:rPr>
                <w:kern w:val="0"/>
                <w:sz w:val="24"/>
              </w:rPr>
            </w:pPr>
            <w:r>
              <w:rPr>
                <w:rFonts w:hint="eastAsia"/>
                <w:kern w:val="0"/>
                <w:sz w:val="24"/>
              </w:rPr>
              <w:t>-</w:t>
            </w:r>
          </w:p>
        </w:tc>
        <w:tc>
          <w:tcPr>
            <w:tcW w:w="1879" w:type="dxa"/>
            <w:vAlign w:val="center"/>
          </w:tcPr>
          <w:p>
            <w:pPr>
              <w:spacing w:before="29" w:line="288" w:lineRule="auto"/>
              <w:jc w:val="right"/>
              <w:rPr>
                <w:kern w:val="0"/>
                <w:sz w:val="24"/>
              </w:rPr>
            </w:pPr>
            <w:r>
              <w:rPr>
                <w:rFonts w:hint="eastAsia"/>
                <w:kern w:val="0"/>
                <w:sz w:val="24"/>
              </w:rPr>
              <w:t>-</w:t>
            </w:r>
          </w:p>
        </w:tc>
        <w:tc>
          <w:tcPr>
            <w:tcW w:w="1062" w:type="dxa"/>
            <w:vAlign w:val="center"/>
          </w:tcPr>
          <w:p>
            <w:pPr>
              <w:spacing w:before="29" w:line="288" w:lineRule="auto"/>
              <w:jc w:val="right"/>
              <w:rPr>
                <w:kern w:val="0"/>
                <w:sz w:val="24"/>
              </w:rPr>
            </w:pPr>
            <w:r>
              <w:rPr>
                <w:rFonts w:hint="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119" w:type="dxa"/>
            <w:vAlign w:val="center"/>
          </w:tcPr>
          <w:p>
            <w:pPr>
              <w:spacing w:before="29" w:line="288" w:lineRule="auto"/>
              <w:jc w:val="left"/>
              <w:rPr>
                <w:color w:val="000000"/>
                <w:sz w:val="24"/>
              </w:rPr>
            </w:pPr>
            <w:r>
              <w:rPr>
                <w:rFonts w:hint="eastAsia"/>
                <w:color w:val="000000"/>
                <w:sz w:val="24"/>
              </w:rPr>
              <w:t>衍生金融资产－权证投资</w:t>
            </w:r>
          </w:p>
        </w:tc>
        <w:tc>
          <w:tcPr>
            <w:tcW w:w="1843" w:type="dxa"/>
            <w:vAlign w:val="center"/>
          </w:tcPr>
          <w:p>
            <w:pPr>
              <w:spacing w:before="29" w:line="288" w:lineRule="auto"/>
              <w:jc w:val="right"/>
              <w:rPr>
                <w:kern w:val="0"/>
                <w:sz w:val="24"/>
              </w:rPr>
            </w:pPr>
            <w:r>
              <w:rPr>
                <w:kern w:val="0"/>
                <w:sz w:val="24"/>
              </w:rPr>
              <w:t>-</w:t>
            </w:r>
          </w:p>
        </w:tc>
        <w:tc>
          <w:tcPr>
            <w:tcW w:w="1097" w:type="dxa"/>
            <w:vAlign w:val="center"/>
          </w:tcPr>
          <w:p>
            <w:pPr>
              <w:spacing w:before="29" w:line="288" w:lineRule="auto"/>
              <w:jc w:val="right"/>
              <w:rPr>
                <w:kern w:val="0"/>
                <w:sz w:val="24"/>
              </w:rPr>
            </w:pPr>
            <w:r>
              <w:rPr>
                <w:kern w:val="0"/>
                <w:sz w:val="24"/>
              </w:rPr>
              <w:t>-</w:t>
            </w:r>
          </w:p>
        </w:tc>
        <w:tc>
          <w:tcPr>
            <w:tcW w:w="1879" w:type="dxa"/>
            <w:vAlign w:val="center"/>
          </w:tcPr>
          <w:p>
            <w:pPr>
              <w:spacing w:before="29" w:line="288" w:lineRule="auto"/>
              <w:jc w:val="right"/>
              <w:rPr>
                <w:kern w:val="0"/>
                <w:sz w:val="24"/>
              </w:rPr>
            </w:pPr>
            <w:r>
              <w:rPr>
                <w:kern w:val="0"/>
                <w:sz w:val="24"/>
              </w:rPr>
              <w:t>-</w:t>
            </w:r>
          </w:p>
        </w:tc>
        <w:tc>
          <w:tcPr>
            <w:tcW w:w="1062"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color w:val="000000"/>
                <w:sz w:val="24"/>
              </w:rPr>
            </w:pPr>
            <w:r>
              <w:rPr>
                <w:rFonts w:hint="eastAsia"/>
                <w:color w:val="000000"/>
                <w:sz w:val="24"/>
              </w:rPr>
              <w:t>其他</w:t>
            </w:r>
          </w:p>
        </w:tc>
        <w:tc>
          <w:tcPr>
            <w:tcW w:w="1843" w:type="dxa"/>
            <w:vAlign w:val="center"/>
          </w:tcPr>
          <w:p>
            <w:pPr>
              <w:spacing w:before="29" w:line="288" w:lineRule="auto"/>
              <w:jc w:val="right"/>
              <w:rPr>
                <w:kern w:val="0"/>
                <w:sz w:val="24"/>
              </w:rPr>
            </w:pPr>
            <w:r>
              <w:rPr>
                <w:kern w:val="0"/>
                <w:sz w:val="24"/>
              </w:rPr>
              <w:t>-</w:t>
            </w:r>
          </w:p>
        </w:tc>
        <w:tc>
          <w:tcPr>
            <w:tcW w:w="1097" w:type="dxa"/>
            <w:vAlign w:val="center"/>
          </w:tcPr>
          <w:p>
            <w:pPr>
              <w:spacing w:before="29" w:line="288" w:lineRule="auto"/>
              <w:jc w:val="right"/>
              <w:rPr>
                <w:kern w:val="0"/>
                <w:sz w:val="24"/>
              </w:rPr>
            </w:pPr>
            <w:r>
              <w:rPr>
                <w:kern w:val="0"/>
                <w:sz w:val="24"/>
              </w:rPr>
              <w:t>-</w:t>
            </w:r>
          </w:p>
        </w:tc>
        <w:tc>
          <w:tcPr>
            <w:tcW w:w="1879" w:type="dxa"/>
            <w:vAlign w:val="center"/>
          </w:tcPr>
          <w:p>
            <w:pPr>
              <w:spacing w:before="29" w:line="288" w:lineRule="auto"/>
              <w:jc w:val="right"/>
              <w:rPr>
                <w:kern w:val="0"/>
                <w:sz w:val="24"/>
              </w:rPr>
            </w:pPr>
            <w:r>
              <w:rPr>
                <w:kern w:val="0"/>
                <w:sz w:val="24"/>
              </w:rPr>
              <w:t>-</w:t>
            </w:r>
          </w:p>
        </w:tc>
        <w:tc>
          <w:tcPr>
            <w:tcW w:w="1062"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119" w:type="dxa"/>
            <w:vAlign w:val="center"/>
          </w:tcPr>
          <w:p>
            <w:pPr>
              <w:spacing w:before="29" w:line="288" w:lineRule="auto"/>
              <w:jc w:val="left"/>
              <w:rPr>
                <w:color w:val="000000"/>
                <w:sz w:val="24"/>
              </w:rPr>
            </w:pPr>
            <w:r>
              <w:rPr>
                <w:rFonts w:hint="eastAsia"/>
                <w:color w:val="000000"/>
                <w:sz w:val="24"/>
              </w:rPr>
              <w:t>合计</w:t>
            </w:r>
          </w:p>
        </w:tc>
        <w:tc>
          <w:tcPr>
            <w:tcW w:w="1843" w:type="dxa"/>
            <w:vAlign w:val="center"/>
          </w:tcPr>
          <w:p>
            <w:pPr>
              <w:spacing w:before="29" w:line="288" w:lineRule="auto"/>
              <w:jc w:val="right"/>
              <w:rPr>
                <w:kern w:val="0"/>
                <w:sz w:val="24"/>
              </w:rPr>
            </w:pPr>
            <w:r>
              <w:rPr>
                <w:kern w:val="0"/>
                <w:sz w:val="24"/>
              </w:rPr>
              <w:t>10,564,264,561.18</w:t>
            </w:r>
          </w:p>
        </w:tc>
        <w:tc>
          <w:tcPr>
            <w:tcW w:w="1097" w:type="dxa"/>
            <w:vAlign w:val="center"/>
          </w:tcPr>
          <w:p>
            <w:pPr>
              <w:spacing w:before="29" w:line="288" w:lineRule="auto"/>
              <w:jc w:val="right"/>
              <w:rPr>
                <w:kern w:val="0"/>
                <w:sz w:val="24"/>
              </w:rPr>
            </w:pPr>
            <w:r>
              <w:rPr>
                <w:kern w:val="0"/>
                <w:sz w:val="24"/>
              </w:rPr>
              <w:t>89.53</w:t>
            </w:r>
          </w:p>
        </w:tc>
        <w:tc>
          <w:tcPr>
            <w:tcW w:w="1879" w:type="dxa"/>
            <w:vAlign w:val="center"/>
          </w:tcPr>
          <w:p>
            <w:pPr>
              <w:spacing w:before="29" w:line="288" w:lineRule="auto"/>
              <w:jc w:val="right"/>
              <w:rPr>
                <w:kern w:val="0"/>
                <w:sz w:val="24"/>
              </w:rPr>
            </w:pPr>
            <w:r>
              <w:rPr>
                <w:kern w:val="0"/>
                <w:sz w:val="24"/>
              </w:rPr>
              <w:t>5,743,244,695.70</w:t>
            </w:r>
          </w:p>
        </w:tc>
        <w:tc>
          <w:tcPr>
            <w:tcW w:w="1062" w:type="dxa"/>
            <w:vAlign w:val="center"/>
          </w:tcPr>
          <w:p>
            <w:pPr>
              <w:spacing w:before="29" w:line="288" w:lineRule="auto"/>
              <w:jc w:val="right"/>
              <w:rPr>
                <w:kern w:val="0"/>
                <w:sz w:val="24"/>
              </w:rPr>
            </w:pPr>
            <w:r>
              <w:rPr>
                <w:kern w:val="0"/>
                <w:sz w:val="24"/>
              </w:rPr>
              <w:t>84.34</w:t>
            </w:r>
          </w:p>
        </w:tc>
      </w:tr>
    </w:tbl>
    <w:p>
      <w:pPr>
        <w:spacing w:line="360" w:lineRule="auto"/>
        <w:ind w:firstLine="420" w:firstLineChars="200"/>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99" w:name="_Toc67596680"/>
      <w:r>
        <w:rPr>
          <w:rFonts w:ascii="Times New Roman" w:hAnsi="Times New Roman"/>
          <w:kern w:val="0"/>
          <w:szCs w:val="24"/>
        </w:rPr>
        <w:t>7.4.13.4.3.2</w:t>
      </w:r>
      <w:r>
        <w:rPr>
          <w:rFonts w:hint="eastAsia" w:ascii="Times New Roman" w:hAnsi="Times New Roman"/>
          <w:kern w:val="0"/>
          <w:szCs w:val="24"/>
        </w:rPr>
        <w:t>其他价格风险的敏感性分析</w:t>
      </w:r>
      <w:bookmarkEnd w:id="199"/>
    </w:p>
    <w:tbl>
      <w:tblPr>
        <w:tblStyle w:val="31"/>
        <w:tblW w:w="907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3969"/>
        <w:gridCol w:w="2126"/>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jc w:val="left"/>
            </w:pPr>
            <w:r>
              <w:rPr>
                <w:bCs/>
                <w:color w:val="000000"/>
                <w:sz w:val="24"/>
              </w:rPr>
              <w:t>假设</w:t>
            </w:r>
          </w:p>
        </w:tc>
        <w:tc>
          <w:tcPr>
            <w:tcW w:w="8221" w:type="dxa"/>
            <w:gridSpan w:val="3"/>
            <w:vAlign w:val="center"/>
          </w:tcPr>
          <w:p>
            <w:pPr>
              <w:jc w:val="center"/>
            </w:pPr>
            <w:r>
              <w:rPr>
                <w:bCs/>
                <w:color w:val="000000"/>
                <w:sz w:val="24"/>
              </w:rPr>
              <w:t>除业绩比较基准（附注7.4.1）以外的其他市场变量保持不变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restart"/>
            <w:vAlign w:val="center"/>
          </w:tcPr>
          <w:p>
            <w:pPr>
              <w:widowControl/>
              <w:autoSpaceDE w:val="0"/>
              <w:autoSpaceDN w:val="0"/>
              <w:spacing w:before="29" w:line="288" w:lineRule="auto"/>
              <w:ind w:right="-15"/>
              <w:jc w:val="center"/>
              <w:textAlignment w:val="bottom"/>
              <w:rPr>
                <w:bCs/>
                <w:color w:val="000000"/>
                <w:sz w:val="24"/>
              </w:rPr>
            </w:pPr>
            <w:r>
              <w:rPr>
                <w:rFonts w:hint="eastAsia"/>
                <w:bCs/>
                <w:color w:val="000000"/>
                <w:sz w:val="24"/>
              </w:rPr>
              <w:t>分析</w:t>
            </w:r>
            <w:r>
              <w:rPr>
                <w:bCs/>
                <w:color w:val="000000"/>
                <w:sz w:val="24"/>
              </w:rPr>
              <w:t xml:space="preserve"> </w:t>
            </w:r>
          </w:p>
        </w:tc>
        <w:tc>
          <w:tcPr>
            <w:tcW w:w="3969" w:type="dxa"/>
            <w:vMerge w:val="restart"/>
            <w:vAlign w:val="center"/>
          </w:tcPr>
          <w:p>
            <w:pPr>
              <w:widowControl/>
              <w:autoSpaceDE w:val="0"/>
              <w:autoSpaceDN w:val="0"/>
              <w:spacing w:before="29" w:line="288" w:lineRule="auto"/>
              <w:ind w:right="-15"/>
              <w:jc w:val="center"/>
              <w:textAlignment w:val="bottom"/>
              <w:rPr>
                <w:bCs/>
                <w:color w:val="000000"/>
                <w:sz w:val="24"/>
              </w:rPr>
            </w:pPr>
            <w:r>
              <w:rPr>
                <w:rFonts w:hint="eastAsia"/>
                <w:bCs/>
                <w:color w:val="000000"/>
                <w:sz w:val="24"/>
              </w:rPr>
              <w:t>相关风险变量的变动</w:t>
            </w:r>
          </w:p>
        </w:tc>
        <w:tc>
          <w:tcPr>
            <w:tcW w:w="4252" w:type="dxa"/>
            <w:gridSpan w:val="2"/>
            <w:vAlign w:val="center"/>
          </w:tcPr>
          <w:p>
            <w:pPr>
              <w:widowControl/>
              <w:autoSpaceDE w:val="0"/>
              <w:autoSpaceDN w:val="0"/>
              <w:spacing w:before="29" w:line="288" w:lineRule="auto"/>
              <w:ind w:right="-15"/>
              <w:jc w:val="center"/>
              <w:textAlignment w:val="bottom"/>
              <w:rPr>
                <w:bCs/>
                <w:color w:val="000000"/>
                <w:sz w:val="24"/>
              </w:rPr>
            </w:pPr>
            <w:r>
              <w:rPr>
                <w:rFonts w:hint="eastAsia"/>
                <w:bCs/>
                <w:color w:val="000000"/>
                <w:sz w:val="24"/>
              </w:rPr>
              <w:t>对资产负债表日基金资产净值的</w:t>
            </w:r>
          </w:p>
          <w:p>
            <w:pPr>
              <w:widowControl/>
              <w:autoSpaceDE w:val="0"/>
              <w:autoSpaceDN w:val="0"/>
              <w:spacing w:before="29" w:line="288" w:lineRule="auto"/>
              <w:ind w:right="-15"/>
              <w:jc w:val="center"/>
              <w:textAlignment w:val="bottom"/>
              <w:rPr>
                <w:bCs/>
                <w:color w:val="000000"/>
                <w:sz w:val="24"/>
              </w:rPr>
            </w:pPr>
            <w:r>
              <w:rPr>
                <w:rFonts w:hint="eastAsia"/>
                <w:bCs/>
                <w:color w:val="000000"/>
                <w:sz w:val="24"/>
              </w:rPr>
              <w:t>影响金额（单位：人民币万元）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vMerge w:val="continue"/>
            <w:vAlign w:val="center"/>
          </w:tcPr>
          <w:p>
            <w:pPr>
              <w:widowControl/>
              <w:autoSpaceDE w:val="0"/>
              <w:autoSpaceDN w:val="0"/>
              <w:spacing w:before="29" w:line="288" w:lineRule="auto"/>
              <w:ind w:right="-15"/>
              <w:jc w:val="center"/>
              <w:textAlignment w:val="bottom"/>
              <w:rPr>
                <w:bCs/>
                <w:color w:val="000000"/>
                <w:sz w:val="24"/>
              </w:rPr>
            </w:pPr>
          </w:p>
        </w:tc>
        <w:tc>
          <w:tcPr>
            <w:tcW w:w="3969" w:type="dxa"/>
            <w:vMerge w:val="continue"/>
            <w:vAlign w:val="center"/>
          </w:tcPr>
          <w:p>
            <w:pPr>
              <w:widowControl/>
              <w:autoSpaceDE w:val="0"/>
              <w:autoSpaceDN w:val="0"/>
              <w:spacing w:before="29" w:line="288" w:lineRule="auto"/>
              <w:ind w:right="-15"/>
              <w:jc w:val="center"/>
              <w:textAlignment w:val="bottom"/>
              <w:rPr>
                <w:bCs/>
                <w:color w:val="000000"/>
                <w:sz w:val="24"/>
              </w:rPr>
            </w:pPr>
          </w:p>
        </w:tc>
        <w:tc>
          <w:tcPr>
            <w:tcW w:w="2126" w:type="dxa"/>
          </w:tcPr>
          <w:p>
            <w:pPr>
              <w:autoSpaceDE w:val="0"/>
              <w:autoSpaceDN w:val="0"/>
              <w:spacing w:before="29" w:line="288" w:lineRule="auto"/>
              <w:ind w:right="-15" w:firstLine="840" w:firstLineChars="350"/>
              <w:jc w:val="center"/>
              <w:textAlignment w:val="bottom"/>
              <w:rPr>
                <w:bCs/>
                <w:color w:val="000000"/>
                <w:sz w:val="24"/>
              </w:rPr>
            </w:pPr>
            <w:r>
              <w:rPr>
                <w:rFonts w:hint="eastAsia"/>
                <w:bCs/>
                <w:color w:val="000000"/>
                <w:sz w:val="24"/>
              </w:rPr>
              <w:t>本期末</w:t>
            </w:r>
          </w:p>
          <w:p>
            <w:pPr>
              <w:autoSpaceDE w:val="0"/>
              <w:autoSpaceDN w:val="0"/>
              <w:spacing w:before="29" w:line="288" w:lineRule="auto"/>
              <w:ind w:right="-15"/>
              <w:jc w:val="center"/>
              <w:textAlignment w:val="bottom"/>
              <w:rPr>
                <w:bCs/>
                <w:color w:val="000000"/>
                <w:sz w:val="24"/>
              </w:rPr>
            </w:pPr>
            <w:r>
              <w:rPr>
                <w:bCs/>
                <w:color w:val="000000"/>
                <w:sz w:val="24"/>
              </w:rPr>
              <w:t>2020年12月31日</w:t>
            </w:r>
          </w:p>
        </w:tc>
        <w:tc>
          <w:tcPr>
            <w:tcW w:w="2126" w:type="dxa"/>
          </w:tcPr>
          <w:p>
            <w:pPr>
              <w:autoSpaceDE w:val="0"/>
              <w:autoSpaceDN w:val="0"/>
              <w:spacing w:before="29" w:line="288" w:lineRule="auto"/>
              <w:ind w:right="-15" w:firstLine="720" w:firstLineChars="300"/>
              <w:jc w:val="center"/>
              <w:textAlignment w:val="bottom"/>
              <w:rPr>
                <w:bCs/>
                <w:color w:val="000000"/>
                <w:sz w:val="24"/>
              </w:rPr>
            </w:pPr>
            <w:r>
              <w:rPr>
                <w:rFonts w:hint="eastAsia"/>
                <w:bCs/>
                <w:color w:val="000000"/>
                <w:sz w:val="24"/>
              </w:rPr>
              <w:t>上年度末</w:t>
            </w:r>
          </w:p>
          <w:p>
            <w:pPr>
              <w:autoSpaceDE w:val="0"/>
              <w:autoSpaceDN w:val="0"/>
              <w:spacing w:before="29" w:line="288" w:lineRule="auto"/>
              <w:ind w:right="-15"/>
              <w:jc w:val="center"/>
              <w:textAlignment w:val="bottom"/>
              <w:rPr>
                <w:bCs/>
                <w:color w:val="000000"/>
                <w:sz w:val="24"/>
              </w:rPr>
            </w:pPr>
            <w:r>
              <w:rPr>
                <w:bCs/>
                <w:color w:val="00000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continue"/>
          </w:tcPr>
          <w:p/>
        </w:tc>
        <w:tc>
          <w:tcPr>
            <w:tcW w:w="3969" w:type="dxa"/>
            <w:vAlign w:val="center"/>
          </w:tcPr>
          <w:p>
            <w:r>
              <w:rPr>
                <w:color w:val="000000"/>
                <w:sz w:val="24"/>
              </w:rPr>
              <w:t>1.业绩比较基准（附注7.4.1）上涨5%</w:t>
            </w:r>
          </w:p>
        </w:tc>
        <w:tc>
          <w:tcPr>
            <w:tcW w:w="2126" w:type="dxa"/>
            <w:vAlign w:val="center"/>
          </w:tcPr>
          <w:p>
            <w:pPr>
              <w:jc w:val="right"/>
            </w:pPr>
            <w:r>
              <w:rPr>
                <w:color w:val="000000"/>
                <w:sz w:val="24"/>
              </w:rPr>
              <w:t>增加约61,039</w:t>
            </w:r>
          </w:p>
        </w:tc>
        <w:tc>
          <w:tcPr>
            <w:tcW w:w="2126" w:type="dxa"/>
            <w:vAlign w:val="center"/>
          </w:tcPr>
          <w:p>
            <w:pPr>
              <w:jc w:val="right"/>
            </w:pPr>
            <w:r>
              <w:rPr>
                <w:color w:val="000000"/>
                <w:sz w:val="24"/>
              </w:rPr>
              <w:t>增加约33,241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continue"/>
          </w:tcPr>
          <w:p/>
        </w:tc>
        <w:tc>
          <w:tcPr>
            <w:tcW w:w="3969" w:type="dxa"/>
            <w:vAlign w:val="center"/>
          </w:tcPr>
          <w:p>
            <w:r>
              <w:rPr>
                <w:color w:val="000000"/>
                <w:sz w:val="24"/>
              </w:rPr>
              <w:t>2.业绩比较基准（附注7.4.1）下降5%</w:t>
            </w:r>
          </w:p>
        </w:tc>
        <w:tc>
          <w:tcPr>
            <w:tcW w:w="2126" w:type="dxa"/>
            <w:vAlign w:val="center"/>
          </w:tcPr>
          <w:p>
            <w:pPr>
              <w:jc w:val="right"/>
            </w:pPr>
            <w:r>
              <w:rPr>
                <w:color w:val="000000"/>
                <w:sz w:val="24"/>
              </w:rPr>
              <w:t>减少约61,039</w:t>
            </w:r>
          </w:p>
        </w:tc>
        <w:tc>
          <w:tcPr>
            <w:tcW w:w="2126" w:type="dxa"/>
            <w:vAlign w:val="center"/>
          </w:tcPr>
          <w:p>
            <w:pPr>
              <w:jc w:val="right"/>
            </w:pPr>
            <w:r>
              <w:rPr>
                <w:color w:val="000000"/>
                <w:sz w:val="24"/>
              </w:rPr>
              <w:t>减少约33,241</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200" w:name="_Toc67596681"/>
      <w:r>
        <w:rPr>
          <w:rFonts w:ascii="Times New Roman" w:hAnsi="Times New Roman"/>
          <w:kern w:val="0"/>
          <w:szCs w:val="24"/>
        </w:rPr>
        <w:t>7.4.14</w:t>
      </w:r>
      <w:r>
        <w:rPr>
          <w:rFonts w:hint="eastAsia" w:ascii="Times New Roman" w:hAnsi="Times New Roman"/>
          <w:kern w:val="0"/>
          <w:szCs w:val="24"/>
        </w:rPr>
        <w:t>有助于理解和分析会计报表需要说明的其他事项</w:t>
      </w:r>
      <w:bookmarkEnd w:id="200"/>
    </w:p>
    <w:p>
      <w:pPr>
        <w:spacing w:before="29" w:line="288" w:lineRule="auto"/>
        <w:ind w:firstLine="480" w:firstLineChars="200"/>
        <w:rPr>
          <w:color w:val="000000"/>
          <w:sz w:val="24"/>
        </w:rPr>
      </w:pPr>
      <w:r>
        <w:rPr>
          <w:color w:val="000000"/>
          <w:sz w:val="24"/>
        </w:rPr>
        <w:t>(1) 公允价值</w:t>
      </w:r>
    </w:p>
    <w:p>
      <w:pPr>
        <w:spacing w:before="29" w:line="288" w:lineRule="auto"/>
        <w:ind w:firstLine="480" w:firstLineChars="200"/>
        <w:rPr>
          <w:color w:val="000000"/>
          <w:sz w:val="24"/>
        </w:rPr>
      </w:pPr>
      <w:r>
        <w:rPr>
          <w:color w:val="000000"/>
          <w:sz w:val="24"/>
        </w:rPr>
        <w:t>(a)  金融工具公允价值计量的方法</w:t>
      </w:r>
    </w:p>
    <w:p>
      <w:pPr>
        <w:spacing w:before="29" w:line="288" w:lineRule="auto"/>
        <w:ind w:firstLine="480" w:firstLineChars="200"/>
        <w:rPr>
          <w:color w:val="000000"/>
          <w:sz w:val="24"/>
        </w:rPr>
      </w:pPr>
      <w:r>
        <w:rPr>
          <w:color w:val="000000"/>
          <w:sz w:val="24"/>
        </w:rPr>
        <w:t>公允价值计量结果所属的层次，由对公允价值计量整体而言具有重要意义的输入值所属的最低层次决定：</w:t>
      </w:r>
    </w:p>
    <w:p>
      <w:pPr>
        <w:spacing w:before="29" w:line="288" w:lineRule="auto"/>
        <w:ind w:firstLine="480" w:firstLineChars="200"/>
        <w:rPr>
          <w:color w:val="000000"/>
          <w:sz w:val="24"/>
        </w:rPr>
      </w:pPr>
      <w:r>
        <w:rPr>
          <w:color w:val="000000"/>
          <w:sz w:val="24"/>
        </w:rPr>
        <w:t>第一层次：相同资产或负债在活跃市场上未经调整的报价。</w:t>
      </w:r>
    </w:p>
    <w:p>
      <w:pPr>
        <w:spacing w:before="29" w:line="288" w:lineRule="auto"/>
        <w:ind w:firstLine="480" w:firstLineChars="200"/>
        <w:rPr>
          <w:color w:val="000000"/>
          <w:sz w:val="24"/>
        </w:rPr>
      </w:pPr>
      <w:r>
        <w:rPr>
          <w:color w:val="000000"/>
          <w:sz w:val="24"/>
        </w:rPr>
        <w:t>第二层次：除第一层次输入值外相关资产或负债直接或间接可观察的输入值。</w:t>
      </w:r>
    </w:p>
    <w:p>
      <w:pPr>
        <w:spacing w:before="29" w:line="288" w:lineRule="auto"/>
        <w:ind w:firstLine="480" w:firstLineChars="200"/>
        <w:rPr>
          <w:color w:val="000000"/>
          <w:sz w:val="24"/>
        </w:rPr>
      </w:pPr>
      <w:r>
        <w:rPr>
          <w:color w:val="000000"/>
          <w:sz w:val="24"/>
        </w:rPr>
        <w:t>第三层次：相关资产或负债的不可观察输入值。</w:t>
      </w:r>
    </w:p>
    <w:p>
      <w:pPr>
        <w:spacing w:before="29" w:line="288" w:lineRule="auto"/>
        <w:ind w:firstLine="480" w:firstLineChars="200"/>
        <w:rPr>
          <w:color w:val="000000"/>
          <w:sz w:val="24"/>
        </w:rPr>
      </w:pPr>
      <w:r>
        <w:rPr>
          <w:color w:val="000000"/>
          <w:sz w:val="24"/>
        </w:rPr>
        <w:t>(b)  持续的以公允价值计量的金融工具</w:t>
      </w:r>
    </w:p>
    <w:p>
      <w:pPr>
        <w:spacing w:before="29" w:line="288" w:lineRule="auto"/>
        <w:ind w:firstLine="480" w:firstLineChars="200"/>
        <w:rPr>
          <w:color w:val="000000"/>
          <w:sz w:val="24"/>
        </w:rPr>
      </w:pPr>
      <w:r>
        <w:rPr>
          <w:color w:val="000000"/>
          <w:sz w:val="24"/>
        </w:rPr>
        <w:t>(i)  各层次金融工具公允价值</w:t>
      </w:r>
    </w:p>
    <w:p>
      <w:pPr>
        <w:spacing w:before="29" w:line="288" w:lineRule="auto"/>
        <w:ind w:firstLine="480" w:firstLineChars="200"/>
        <w:rPr>
          <w:color w:val="000000"/>
          <w:sz w:val="24"/>
        </w:rPr>
      </w:pPr>
      <w:r>
        <w:rPr>
          <w:color w:val="000000"/>
          <w:sz w:val="24"/>
        </w:rPr>
        <w:t>于2020年12月31日，本基金持有的以公允价值计量且其变动计入当期损益的金融资产中属于第一层次的余额为9,472,925,996.34元，属于第二层次的余额为1,650,933,564.84元，无属于第三层次的余额(2019年12月31日：第一层次5,536,638,285.10元，第二层次497,046,410.60元，无第三层次)。</w:t>
      </w:r>
    </w:p>
    <w:p>
      <w:pPr>
        <w:spacing w:before="29" w:line="288" w:lineRule="auto"/>
        <w:ind w:firstLine="480" w:firstLineChars="200"/>
        <w:rPr>
          <w:color w:val="000000"/>
          <w:sz w:val="24"/>
        </w:rPr>
      </w:pPr>
      <w:r>
        <w:rPr>
          <w:color w:val="000000"/>
          <w:sz w:val="24"/>
        </w:rPr>
        <w:t>(ii)  公允价值所属层次间的重大变动</w:t>
      </w:r>
    </w:p>
    <w:p>
      <w:pPr>
        <w:spacing w:before="29" w:line="288" w:lineRule="auto"/>
        <w:ind w:firstLine="480" w:firstLineChars="200"/>
        <w:rPr>
          <w:color w:val="000000"/>
          <w:sz w:val="24"/>
        </w:rPr>
      </w:pPr>
      <w:r>
        <w:rPr>
          <w:color w:val="000000"/>
          <w:sz w:val="24"/>
        </w:rPr>
        <w:t>本基金以导致各层次之间转换的事项发生日为确认各层次之间转换的时点。</w:t>
      </w:r>
    </w:p>
    <w:p>
      <w:pPr>
        <w:spacing w:before="29" w:line="288" w:lineRule="auto"/>
        <w:ind w:firstLine="480" w:firstLineChars="200"/>
        <w:rPr>
          <w:color w:val="000000"/>
          <w:sz w:val="24"/>
        </w:rPr>
      </w:pPr>
      <w:r>
        <w:rPr>
          <w:color w:val="000000"/>
          <w:sz w:val="24"/>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pPr>
        <w:spacing w:before="29" w:line="288" w:lineRule="auto"/>
        <w:ind w:firstLine="480" w:firstLineChars="200"/>
        <w:rPr>
          <w:color w:val="000000"/>
          <w:sz w:val="24"/>
        </w:rPr>
      </w:pPr>
      <w:r>
        <w:rPr>
          <w:color w:val="000000"/>
          <w:sz w:val="24"/>
        </w:rPr>
        <w:t>(iii)  第三层次公允价值余额和本期变动金额</w:t>
      </w:r>
    </w:p>
    <w:p>
      <w:pPr>
        <w:spacing w:before="29" w:line="288" w:lineRule="auto"/>
        <w:ind w:firstLine="480" w:firstLineChars="200"/>
        <w:rPr>
          <w:color w:val="000000"/>
          <w:sz w:val="24"/>
        </w:rPr>
      </w:pPr>
      <w:r>
        <w:rPr>
          <w:color w:val="000000"/>
          <w:sz w:val="24"/>
        </w:rPr>
        <w:t>无。</w:t>
      </w:r>
    </w:p>
    <w:p>
      <w:pPr>
        <w:spacing w:before="29" w:line="288" w:lineRule="auto"/>
        <w:ind w:firstLine="480" w:firstLineChars="200"/>
        <w:rPr>
          <w:color w:val="000000"/>
          <w:sz w:val="24"/>
        </w:rPr>
      </w:pPr>
      <w:r>
        <w:rPr>
          <w:color w:val="000000"/>
          <w:sz w:val="24"/>
        </w:rPr>
        <w:t>(c)  非持续的以公允价值计量的金融工具</w:t>
      </w:r>
    </w:p>
    <w:p>
      <w:pPr>
        <w:spacing w:before="29" w:line="288" w:lineRule="auto"/>
        <w:ind w:firstLine="480" w:firstLineChars="200"/>
        <w:rPr>
          <w:color w:val="000000"/>
          <w:sz w:val="24"/>
        </w:rPr>
      </w:pPr>
      <w:r>
        <w:rPr>
          <w:color w:val="000000"/>
          <w:sz w:val="24"/>
        </w:rPr>
        <w:t>于2020年12月31日，本基金未持有非持续的以公允价值计量的金融资产(2019年12月31日：同)。</w:t>
      </w:r>
    </w:p>
    <w:p>
      <w:pPr>
        <w:spacing w:before="29" w:line="288" w:lineRule="auto"/>
        <w:ind w:firstLine="480" w:firstLineChars="200"/>
        <w:rPr>
          <w:color w:val="000000"/>
          <w:sz w:val="24"/>
        </w:rPr>
      </w:pPr>
      <w:r>
        <w:rPr>
          <w:color w:val="000000"/>
          <w:sz w:val="24"/>
        </w:rPr>
        <w:t>(d)  不以公允价值计量的金融工具</w:t>
      </w:r>
    </w:p>
    <w:p>
      <w:pPr>
        <w:spacing w:before="29" w:line="288" w:lineRule="auto"/>
        <w:ind w:firstLine="480" w:firstLineChars="200"/>
        <w:rPr>
          <w:color w:val="000000"/>
          <w:sz w:val="24"/>
        </w:rPr>
      </w:pPr>
      <w:r>
        <w:rPr>
          <w:color w:val="000000"/>
          <w:sz w:val="24"/>
        </w:rPr>
        <w:t>不以公允价值计量的金融资产和负债主要包括应收款项和其他金融负债，其账面价值与公允价值相差很小。</w:t>
      </w:r>
    </w:p>
    <w:p>
      <w:pPr>
        <w:spacing w:before="29" w:line="288" w:lineRule="auto"/>
        <w:ind w:firstLine="480" w:firstLineChars="200"/>
        <w:rPr>
          <w:color w:val="000000"/>
          <w:sz w:val="24"/>
        </w:rPr>
      </w:pPr>
      <w:r>
        <w:rPr>
          <w:color w:val="000000"/>
          <w:sz w:val="24"/>
        </w:rPr>
        <w:t>(2) 除公允价值外，截至资产负债表日本基金无需要说明的其他重要事项。</w:t>
      </w:r>
    </w:p>
    <w:p>
      <w:pPr>
        <w:spacing w:before="29" w:line="288" w:lineRule="auto"/>
        <w:ind w:firstLine="480" w:firstLineChars="200"/>
        <w:rPr>
          <w:color w:val="000000"/>
          <w:sz w:val="24"/>
        </w:rPr>
      </w:pPr>
    </w:p>
    <w:p>
      <w:pPr>
        <w:pStyle w:val="2"/>
        <w:keepNext/>
        <w:keepLines/>
        <w:widowControl w:val="0"/>
        <w:spacing w:before="312" w:beforeLines="100" w:after="312" w:afterLines="100" w:line="288" w:lineRule="auto"/>
        <w:jc w:val="center"/>
        <w:rPr>
          <w:b/>
          <w:color w:val="000000"/>
          <w:szCs w:val="24"/>
        </w:rPr>
      </w:pPr>
      <w:bookmarkStart w:id="201" w:name="_Toc361324877"/>
      <w:bookmarkStart w:id="202" w:name="_Toc225498272"/>
      <w:bookmarkStart w:id="203" w:name="_Toc67596682"/>
      <w:r>
        <w:rPr>
          <w:rFonts w:hint="eastAsia"/>
          <w:b/>
          <w:color w:val="000000"/>
          <w:szCs w:val="24"/>
        </w:rPr>
        <w:t>§</w:t>
      </w:r>
      <w:r>
        <w:rPr>
          <w:b/>
          <w:color w:val="000000"/>
          <w:szCs w:val="24"/>
        </w:rPr>
        <w:t>8</w:t>
      </w:r>
      <w:r>
        <w:rPr>
          <w:rFonts w:hint="eastAsia"/>
          <w:b/>
          <w:color w:val="000000"/>
          <w:szCs w:val="24"/>
        </w:rPr>
        <w:t>投资组合报告</w:t>
      </w:r>
      <w:bookmarkEnd w:id="201"/>
      <w:bookmarkEnd w:id="202"/>
      <w:bookmarkEnd w:id="203"/>
    </w:p>
    <w:p>
      <w:pPr>
        <w:pStyle w:val="3"/>
        <w:spacing w:before="0" w:after="0"/>
        <w:rPr>
          <w:rFonts w:ascii="Times New Roman" w:hAnsi="Times New Roman" w:eastAsiaTheme="minorEastAsia"/>
          <w:color w:val="000000" w:themeColor="text1"/>
          <w:kern w:val="0"/>
          <w:szCs w:val="24"/>
        </w:rPr>
      </w:pPr>
      <w:bookmarkStart w:id="204" w:name="_Toc374374955"/>
      <w:bookmarkStart w:id="205" w:name="_Toc225498273"/>
      <w:bookmarkStart w:id="206" w:name="_Toc361324878"/>
      <w:bookmarkStart w:id="207" w:name="_Toc67596683"/>
      <w:r>
        <w:rPr>
          <w:rFonts w:ascii="Times New Roman" w:hAnsi="Times New Roman" w:eastAsiaTheme="minorEastAsia"/>
          <w:bCs w:val="0"/>
          <w:color w:val="000000" w:themeColor="text1"/>
          <w:kern w:val="0"/>
          <w:szCs w:val="24"/>
        </w:rPr>
        <w:t xml:space="preserve">8.1 </w:t>
      </w:r>
      <w:r>
        <w:rPr>
          <w:rFonts w:ascii="Times New Roman" w:hAnsi="Times New Roman" w:eastAsiaTheme="minorEastAsia"/>
          <w:color w:val="000000" w:themeColor="text1"/>
          <w:kern w:val="0"/>
          <w:szCs w:val="24"/>
        </w:rPr>
        <w:t>期末基金资产组合情况</w:t>
      </w:r>
      <w:bookmarkEnd w:id="204"/>
      <w:bookmarkEnd w:id="205"/>
      <w:bookmarkEnd w:id="206"/>
      <w:bookmarkEnd w:id="207"/>
    </w:p>
    <w:p>
      <w:pPr>
        <w:autoSpaceDE w:val="0"/>
        <w:autoSpaceDN w:val="0"/>
        <w:adjustRightInd w:val="0"/>
        <w:spacing w:before="29" w:line="360" w:lineRule="auto"/>
        <w:ind w:left="15"/>
        <w:jc w:val="right"/>
        <w:rPr>
          <w:rFonts w:eastAsiaTheme="minorEastAsia"/>
          <w:color w:val="000000" w:themeColor="text1"/>
          <w:kern w:val="0"/>
          <w:sz w:val="24"/>
        </w:rPr>
      </w:pPr>
      <w:r>
        <w:rPr>
          <w:rFonts w:eastAsiaTheme="minorEastAsia"/>
          <w:color w:val="000000" w:themeColor="text1"/>
          <w:sz w:val="24"/>
        </w:rPr>
        <w:t>金额单位：人民币元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0"/>
        <w:gridCol w:w="2748"/>
        <w:gridCol w:w="2551"/>
        <w:gridCol w:w="26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序号</w:t>
            </w:r>
          </w:p>
        </w:tc>
        <w:tc>
          <w:tcPr>
            <w:tcW w:w="2748"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项目</w:t>
            </w:r>
          </w:p>
        </w:tc>
        <w:tc>
          <w:tcPr>
            <w:tcW w:w="2551"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金额</w:t>
            </w:r>
          </w:p>
        </w:tc>
        <w:tc>
          <w:tcPr>
            <w:tcW w:w="2621"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占基金总资产的比例</w:t>
            </w:r>
            <w:r>
              <w:rPr>
                <w:rFonts w:hint="eastAsia" w:eastAsiaTheme="minorEastAsia"/>
                <w:color w:val="000000" w:themeColor="text1"/>
                <w:sz w:val="24"/>
              </w:rPr>
              <w:t>(</w:t>
            </w:r>
            <w:r>
              <w:rPr>
                <w:rFonts w:eastAsiaTheme="minorEastAsia"/>
                <w:color w:val="000000" w:themeColor="text1"/>
                <w:sz w:val="24"/>
              </w:rPr>
              <w:t>%</w:t>
            </w:r>
            <w:r>
              <w:rPr>
                <w:rFonts w:hint="eastAsia"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1</w:t>
            </w:r>
          </w:p>
        </w:tc>
        <w:tc>
          <w:tcPr>
            <w:tcW w:w="2748" w:type="dxa"/>
            <w:vAlign w:val="center"/>
          </w:tcPr>
          <w:p>
            <w:pPr>
              <w:spacing w:line="276" w:lineRule="auto"/>
              <w:ind w:left="105" w:leftChars="50"/>
              <w:rPr>
                <w:rFonts w:eastAsiaTheme="minorEastAsia"/>
                <w:color w:val="000000" w:themeColor="text1"/>
                <w:sz w:val="24"/>
              </w:rPr>
            </w:pPr>
            <w:r>
              <w:rPr>
                <w:rFonts w:eastAsiaTheme="minorEastAsia"/>
                <w:color w:val="000000" w:themeColor="text1"/>
                <w:sz w:val="24"/>
              </w:rPr>
              <w:t>权益投资</w:t>
            </w:r>
          </w:p>
        </w:tc>
        <w:tc>
          <w:tcPr>
            <w:tcW w:w="255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10,564,264,561.18</w:t>
            </w:r>
          </w:p>
        </w:tc>
        <w:tc>
          <w:tcPr>
            <w:tcW w:w="262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88.83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 w:val="24"/>
              </w:rPr>
            </w:pPr>
          </w:p>
        </w:tc>
        <w:tc>
          <w:tcPr>
            <w:tcW w:w="2748" w:type="dxa"/>
            <w:vAlign w:val="center"/>
          </w:tcPr>
          <w:p>
            <w:pPr>
              <w:spacing w:line="276" w:lineRule="auto"/>
              <w:ind w:left="105" w:leftChars="50"/>
              <w:rPr>
                <w:rFonts w:eastAsiaTheme="minorEastAsia"/>
                <w:color w:val="000000" w:themeColor="text1"/>
                <w:sz w:val="24"/>
              </w:rPr>
            </w:pPr>
            <w:r>
              <w:rPr>
                <w:rFonts w:eastAsiaTheme="minorEastAsia"/>
                <w:color w:val="000000" w:themeColor="text1"/>
                <w:sz w:val="24"/>
              </w:rPr>
              <w:t>其中：股票</w:t>
            </w:r>
          </w:p>
        </w:tc>
        <w:tc>
          <w:tcPr>
            <w:tcW w:w="255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10,564,264,561.18</w:t>
            </w:r>
          </w:p>
        </w:tc>
        <w:tc>
          <w:tcPr>
            <w:tcW w:w="262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88.83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 w:val="24"/>
              </w:rPr>
            </w:pPr>
            <w:r>
              <w:rPr>
                <w:rFonts w:hint="eastAsia" w:eastAsiaTheme="minorEastAsia"/>
                <w:color w:val="000000" w:themeColor="text1"/>
                <w:sz w:val="24"/>
              </w:rPr>
              <w:t>2</w:t>
            </w:r>
          </w:p>
        </w:tc>
        <w:tc>
          <w:tcPr>
            <w:tcW w:w="2748" w:type="dxa"/>
            <w:vAlign w:val="center"/>
          </w:tcPr>
          <w:p>
            <w:pPr>
              <w:spacing w:line="276" w:lineRule="auto"/>
              <w:ind w:left="105" w:leftChars="50"/>
              <w:rPr>
                <w:rFonts w:eastAsiaTheme="minorEastAsia"/>
                <w:color w:val="000000" w:themeColor="text1"/>
                <w:sz w:val="24"/>
              </w:rPr>
            </w:pPr>
            <w:r>
              <w:rPr>
                <w:rFonts w:hint="eastAsia" w:eastAsiaTheme="minorEastAsia"/>
                <w:color w:val="000000" w:themeColor="text1"/>
                <w:sz w:val="24"/>
              </w:rPr>
              <w:t>基金投资</w:t>
            </w:r>
          </w:p>
        </w:tc>
        <w:tc>
          <w:tcPr>
            <w:tcW w:w="2551" w:type="dxa"/>
            <w:vAlign w:val="center"/>
          </w:tcPr>
          <w:p>
            <w:pPr>
              <w:spacing w:before="29" w:line="276" w:lineRule="auto"/>
              <w:ind w:left="17"/>
              <w:jc w:val="right"/>
              <w:rPr>
                <w:rFonts w:eastAsiaTheme="minorEastAsia"/>
                <w:color w:val="000000" w:themeColor="text1"/>
                <w:sz w:val="24"/>
              </w:rPr>
            </w:pPr>
            <w:r>
              <w:rPr>
                <w:rFonts w:hint="eastAsia" w:eastAsiaTheme="minorEastAsia"/>
                <w:color w:val="000000" w:themeColor="text1"/>
                <w:sz w:val="24"/>
              </w:rPr>
              <w:t>-</w:t>
            </w:r>
          </w:p>
        </w:tc>
        <w:tc>
          <w:tcPr>
            <w:tcW w:w="2621" w:type="dxa"/>
            <w:vAlign w:val="center"/>
          </w:tcPr>
          <w:p>
            <w:pPr>
              <w:spacing w:before="29" w:line="276" w:lineRule="auto"/>
              <w:ind w:left="17"/>
              <w:jc w:val="right"/>
              <w:rPr>
                <w:rFonts w:eastAsiaTheme="minorEastAsia"/>
                <w:color w:val="000000" w:themeColor="text1"/>
                <w:sz w:val="24"/>
              </w:rPr>
            </w:pPr>
            <w:r>
              <w:rPr>
                <w:rFonts w:hint="eastAsia"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 w:val="24"/>
              </w:rPr>
            </w:pPr>
            <w:r>
              <w:rPr>
                <w:rFonts w:hint="eastAsia" w:eastAsiaTheme="minorEastAsia"/>
                <w:color w:val="000000" w:themeColor="text1"/>
                <w:sz w:val="24"/>
              </w:rPr>
              <w:t>3</w:t>
            </w:r>
          </w:p>
        </w:tc>
        <w:tc>
          <w:tcPr>
            <w:tcW w:w="2748" w:type="dxa"/>
            <w:vAlign w:val="center"/>
          </w:tcPr>
          <w:p>
            <w:pPr>
              <w:spacing w:line="276" w:lineRule="auto"/>
              <w:ind w:left="105" w:leftChars="50"/>
              <w:rPr>
                <w:rFonts w:eastAsiaTheme="minorEastAsia"/>
                <w:color w:val="000000" w:themeColor="text1"/>
                <w:sz w:val="24"/>
              </w:rPr>
            </w:pPr>
            <w:r>
              <w:rPr>
                <w:rFonts w:eastAsiaTheme="minorEastAsia"/>
                <w:color w:val="000000" w:themeColor="text1"/>
                <w:sz w:val="24"/>
              </w:rPr>
              <w:t>固定收益投资</w:t>
            </w:r>
          </w:p>
        </w:tc>
        <w:tc>
          <w:tcPr>
            <w:tcW w:w="255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559,595,000.00</w:t>
            </w:r>
          </w:p>
        </w:tc>
        <w:tc>
          <w:tcPr>
            <w:tcW w:w="262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4.71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 w:val="24"/>
              </w:rPr>
            </w:pPr>
          </w:p>
        </w:tc>
        <w:tc>
          <w:tcPr>
            <w:tcW w:w="2748" w:type="dxa"/>
            <w:vAlign w:val="center"/>
          </w:tcPr>
          <w:p>
            <w:pPr>
              <w:spacing w:line="276" w:lineRule="auto"/>
              <w:ind w:left="105" w:leftChars="50"/>
              <w:rPr>
                <w:rFonts w:eastAsiaTheme="minorEastAsia"/>
                <w:color w:val="000000" w:themeColor="text1"/>
                <w:sz w:val="24"/>
              </w:rPr>
            </w:pPr>
            <w:r>
              <w:rPr>
                <w:rFonts w:eastAsiaTheme="minorEastAsia"/>
                <w:color w:val="000000" w:themeColor="text1"/>
                <w:sz w:val="24"/>
              </w:rPr>
              <w:t>其中：债券</w:t>
            </w:r>
          </w:p>
        </w:tc>
        <w:tc>
          <w:tcPr>
            <w:tcW w:w="255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559,595,000.00</w:t>
            </w:r>
          </w:p>
        </w:tc>
        <w:tc>
          <w:tcPr>
            <w:tcW w:w="262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4.71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 w:val="24"/>
              </w:rPr>
            </w:pPr>
          </w:p>
        </w:tc>
        <w:tc>
          <w:tcPr>
            <w:tcW w:w="2748" w:type="dxa"/>
            <w:vAlign w:val="center"/>
          </w:tcPr>
          <w:p>
            <w:pPr>
              <w:spacing w:line="276" w:lineRule="auto"/>
              <w:ind w:left="105" w:leftChars="50" w:firstLine="720" w:firstLineChars="300"/>
              <w:rPr>
                <w:rFonts w:eastAsiaTheme="minorEastAsia"/>
                <w:color w:val="000000" w:themeColor="text1"/>
                <w:sz w:val="24"/>
              </w:rPr>
            </w:pPr>
            <w:r>
              <w:rPr>
                <w:rFonts w:eastAsiaTheme="minorEastAsia"/>
                <w:color w:val="000000" w:themeColor="text1"/>
                <w:sz w:val="24"/>
              </w:rPr>
              <w:t>资产支持证券</w:t>
            </w:r>
          </w:p>
        </w:tc>
        <w:tc>
          <w:tcPr>
            <w:tcW w:w="255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w:t>
            </w:r>
          </w:p>
        </w:tc>
        <w:tc>
          <w:tcPr>
            <w:tcW w:w="262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 w:val="24"/>
              </w:rPr>
            </w:pPr>
            <w:r>
              <w:rPr>
                <w:rFonts w:hint="eastAsia" w:eastAsiaTheme="minorEastAsia"/>
                <w:color w:val="000000" w:themeColor="text1"/>
                <w:sz w:val="24"/>
              </w:rPr>
              <w:t>4</w:t>
            </w:r>
          </w:p>
        </w:tc>
        <w:tc>
          <w:tcPr>
            <w:tcW w:w="2748" w:type="dxa"/>
            <w:vAlign w:val="center"/>
          </w:tcPr>
          <w:p>
            <w:pPr>
              <w:spacing w:line="276" w:lineRule="auto"/>
              <w:ind w:left="105" w:leftChars="50"/>
              <w:rPr>
                <w:rFonts w:eastAsiaTheme="minorEastAsia"/>
                <w:color w:val="000000" w:themeColor="text1"/>
                <w:sz w:val="24"/>
              </w:rPr>
            </w:pPr>
            <w:r>
              <w:rPr>
                <w:rFonts w:eastAsiaTheme="minorEastAsia"/>
                <w:color w:val="000000" w:themeColor="text1"/>
                <w:sz w:val="24"/>
              </w:rPr>
              <w:t>贵金属投资</w:t>
            </w:r>
          </w:p>
        </w:tc>
        <w:tc>
          <w:tcPr>
            <w:tcW w:w="255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w:t>
            </w:r>
          </w:p>
        </w:tc>
        <w:tc>
          <w:tcPr>
            <w:tcW w:w="262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 w:val="24"/>
              </w:rPr>
            </w:pPr>
            <w:r>
              <w:rPr>
                <w:rFonts w:hint="eastAsia" w:eastAsiaTheme="minorEastAsia"/>
                <w:color w:val="000000" w:themeColor="text1"/>
                <w:sz w:val="24"/>
              </w:rPr>
              <w:t>5</w:t>
            </w:r>
          </w:p>
        </w:tc>
        <w:tc>
          <w:tcPr>
            <w:tcW w:w="2748" w:type="dxa"/>
            <w:vAlign w:val="center"/>
          </w:tcPr>
          <w:p>
            <w:pPr>
              <w:spacing w:line="276" w:lineRule="auto"/>
              <w:ind w:left="105" w:leftChars="50"/>
              <w:rPr>
                <w:rFonts w:eastAsiaTheme="minorEastAsia"/>
                <w:color w:val="000000" w:themeColor="text1"/>
                <w:sz w:val="24"/>
              </w:rPr>
            </w:pPr>
            <w:r>
              <w:rPr>
                <w:rFonts w:eastAsiaTheme="minorEastAsia"/>
                <w:color w:val="000000" w:themeColor="text1"/>
                <w:sz w:val="24"/>
              </w:rPr>
              <w:t>金融衍生品投资</w:t>
            </w:r>
          </w:p>
        </w:tc>
        <w:tc>
          <w:tcPr>
            <w:tcW w:w="255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w:t>
            </w:r>
          </w:p>
        </w:tc>
        <w:tc>
          <w:tcPr>
            <w:tcW w:w="262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 w:val="24"/>
              </w:rPr>
            </w:pPr>
            <w:r>
              <w:rPr>
                <w:rFonts w:hint="eastAsia" w:eastAsiaTheme="minorEastAsia"/>
                <w:color w:val="000000" w:themeColor="text1"/>
                <w:sz w:val="24"/>
              </w:rPr>
              <w:t>6</w:t>
            </w:r>
          </w:p>
        </w:tc>
        <w:tc>
          <w:tcPr>
            <w:tcW w:w="2748" w:type="dxa"/>
            <w:vAlign w:val="center"/>
          </w:tcPr>
          <w:p>
            <w:pPr>
              <w:spacing w:line="276" w:lineRule="auto"/>
              <w:ind w:left="105" w:leftChars="50"/>
              <w:rPr>
                <w:rFonts w:eastAsiaTheme="minorEastAsia"/>
                <w:color w:val="000000" w:themeColor="text1"/>
                <w:sz w:val="24"/>
              </w:rPr>
            </w:pPr>
            <w:r>
              <w:rPr>
                <w:rFonts w:eastAsiaTheme="minorEastAsia"/>
                <w:color w:val="000000" w:themeColor="text1"/>
                <w:sz w:val="24"/>
              </w:rPr>
              <w:t>买入返售金融资产</w:t>
            </w:r>
          </w:p>
        </w:tc>
        <w:tc>
          <w:tcPr>
            <w:tcW w:w="255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w:t>
            </w:r>
          </w:p>
        </w:tc>
        <w:tc>
          <w:tcPr>
            <w:tcW w:w="262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 w:val="24"/>
              </w:rPr>
            </w:pPr>
          </w:p>
        </w:tc>
        <w:tc>
          <w:tcPr>
            <w:tcW w:w="2748" w:type="dxa"/>
            <w:vAlign w:val="center"/>
          </w:tcPr>
          <w:p>
            <w:pPr>
              <w:spacing w:line="276" w:lineRule="auto"/>
              <w:ind w:left="105" w:leftChars="50"/>
              <w:rPr>
                <w:rFonts w:eastAsiaTheme="minorEastAsia"/>
                <w:color w:val="000000" w:themeColor="text1"/>
                <w:sz w:val="24"/>
              </w:rPr>
            </w:pPr>
            <w:r>
              <w:rPr>
                <w:rFonts w:eastAsiaTheme="minorEastAsia"/>
                <w:color w:val="000000" w:themeColor="text1"/>
                <w:sz w:val="24"/>
              </w:rPr>
              <w:t>其中：买断式回购的买入返售金融资产</w:t>
            </w:r>
          </w:p>
        </w:tc>
        <w:tc>
          <w:tcPr>
            <w:tcW w:w="255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w:t>
            </w:r>
          </w:p>
        </w:tc>
        <w:tc>
          <w:tcPr>
            <w:tcW w:w="262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080" w:type="dxa"/>
            <w:vAlign w:val="center"/>
          </w:tcPr>
          <w:p>
            <w:pPr>
              <w:spacing w:line="276" w:lineRule="auto"/>
              <w:jc w:val="center"/>
              <w:rPr>
                <w:rFonts w:eastAsiaTheme="minorEastAsia"/>
                <w:color w:val="000000" w:themeColor="text1"/>
                <w:sz w:val="24"/>
              </w:rPr>
            </w:pPr>
            <w:r>
              <w:rPr>
                <w:rFonts w:hint="eastAsia" w:eastAsiaTheme="minorEastAsia"/>
                <w:color w:val="000000" w:themeColor="text1"/>
                <w:sz w:val="24"/>
              </w:rPr>
              <w:t>7</w:t>
            </w:r>
          </w:p>
        </w:tc>
        <w:tc>
          <w:tcPr>
            <w:tcW w:w="2748" w:type="dxa"/>
            <w:vAlign w:val="center"/>
          </w:tcPr>
          <w:p>
            <w:pPr>
              <w:spacing w:line="276" w:lineRule="auto"/>
              <w:ind w:left="105" w:leftChars="50"/>
              <w:rPr>
                <w:rFonts w:eastAsiaTheme="minorEastAsia"/>
                <w:color w:val="000000" w:themeColor="text1"/>
                <w:sz w:val="24"/>
              </w:rPr>
            </w:pPr>
            <w:r>
              <w:rPr>
                <w:rFonts w:eastAsiaTheme="minorEastAsia"/>
                <w:color w:val="000000" w:themeColor="text1"/>
                <w:sz w:val="24"/>
              </w:rPr>
              <w:t>银行存款和结算备付金合计</w:t>
            </w:r>
          </w:p>
        </w:tc>
        <w:tc>
          <w:tcPr>
            <w:tcW w:w="255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651,355,265.18</w:t>
            </w:r>
          </w:p>
        </w:tc>
        <w:tc>
          <w:tcPr>
            <w:tcW w:w="2621" w:type="dxa"/>
            <w:vAlign w:val="center"/>
          </w:tcPr>
          <w:p>
            <w:pPr>
              <w:spacing w:before="29" w:line="276" w:lineRule="auto"/>
              <w:ind w:left="17"/>
              <w:jc w:val="right"/>
              <w:rPr>
                <w:rFonts w:eastAsiaTheme="minorEastAsia"/>
                <w:color w:val="000000" w:themeColor="text1"/>
                <w:sz w:val="24"/>
              </w:rPr>
            </w:pPr>
            <w:r>
              <w:rPr>
                <w:rFonts w:eastAsiaTheme="minorEastAsia"/>
                <w:color w:val="000000" w:themeColor="text1"/>
                <w:sz w:val="24"/>
              </w:rPr>
              <w:t>5.48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080" w:type="dxa"/>
            <w:vAlign w:val="center"/>
          </w:tcPr>
          <w:p>
            <w:pPr>
              <w:spacing w:before="29" w:line="276" w:lineRule="auto"/>
              <w:ind w:left="17"/>
              <w:jc w:val="center"/>
              <w:rPr>
                <w:rFonts w:eastAsiaTheme="minorEastAsia"/>
                <w:color w:val="000000" w:themeColor="text1"/>
                <w:sz w:val="24"/>
              </w:rPr>
            </w:pPr>
            <w:r>
              <w:rPr>
                <w:rFonts w:eastAsiaTheme="minorEastAsia"/>
                <w:color w:val="000000" w:themeColor="text1"/>
                <w:sz w:val="24"/>
              </w:rPr>
              <w:t>8</w:t>
            </w:r>
          </w:p>
        </w:tc>
        <w:tc>
          <w:tcPr>
            <w:tcW w:w="2748" w:type="dxa"/>
            <w:vAlign w:val="center"/>
          </w:tcPr>
          <w:p>
            <w:pPr>
              <w:spacing w:line="276" w:lineRule="auto"/>
              <w:ind w:left="105" w:leftChars="50"/>
              <w:rPr>
                <w:rFonts w:eastAsiaTheme="minorEastAsia"/>
                <w:color w:val="000000" w:themeColor="text1"/>
                <w:sz w:val="24"/>
              </w:rPr>
            </w:pPr>
            <w:r>
              <w:rPr>
                <w:rFonts w:eastAsiaTheme="minorEastAsia"/>
                <w:color w:val="000000" w:themeColor="text1"/>
                <w:sz w:val="24"/>
              </w:rPr>
              <w:t>其他各项资产</w:t>
            </w:r>
          </w:p>
        </w:tc>
        <w:tc>
          <w:tcPr>
            <w:tcW w:w="2551" w:type="dxa"/>
            <w:vAlign w:val="center"/>
          </w:tcPr>
          <w:p>
            <w:pPr>
              <w:spacing w:line="276" w:lineRule="auto"/>
              <w:jc w:val="right"/>
              <w:rPr>
                <w:rFonts w:eastAsiaTheme="minorEastAsia"/>
                <w:color w:val="000000" w:themeColor="text1"/>
                <w:sz w:val="24"/>
              </w:rPr>
            </w:pPr>
            <w:r>
              <w:rPr>
                <w:rFonts w:eastAsiaTheme="minorEastAsia"/>
                <w:color w:val="000000" w:themeColor="text1"/>
                <w:sz w:val="24"/>
              </w:rPr>
              <w:t>117,418,015.09</w:t>
            </w:r>
          </w:p>
        </w:tc>
        <w:tc>
          <w:tcPr>
            <w:tcW w:w="2621" w:type="dxa"/>
            <w:vAlign w:val="center"/>
          </w:tcPr>
          <w:p>
            <w:pPr>
              <w:spacing w:line="276" w:lineRule="auto"/>
              <w:jc w:val="right"/>
              <w:rPr>
                <w:rFonts w:eastAsiaTheme="minorEastAsia"/>
                <w:color w:val="000000" w:themeColor="text1"/>
                <w:sz w:val="24"/>
              </w:rPr>
            </w:pPr>
            <w:r>
              <w:rPr>
                <w:rFonts w:eastAsiaTheme="minorEastAsia"/>
                <w:color w:val="000000" w:themeColor="text1"/>
                <w:sz w:val="24"/>
              </w:rPr>
              <w:t>0.99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before="29" w:line="276" w:lineRule="auto"/>
              <w:ind w:left="17"/>
              <w:jc w:val="center"/>
              <w:rPr>
                <w:rFonts w:eastAsiaTheme="minorEastAsia"/>
                <w:color w:val="000000" w:themeColor="text1"/>
                <w:sz w:val="24"/>
              </w:rPr>
            </w:pPr>
            <w:r>
              <w:rPr>
                <w:rFonts w:eastAsiaTheme="minorEastAsia"/>
                <w:color w:val="000000" w:themeColor="text1"/>
                <w:sz w:val="24"/>
              </w:rPr>
              <w:t>9</w:t>
            </w:r>
          </w:p>
        </w:tc>
        <w:tc>
          <w:tcPr>
            <w:tcW w:w="2748" w:type="dxa"/>
            <w:vAlign w:val="center"/>
          </w:tcPr>
          <w:p>
            <w:pPr>
              <w:spacing w:line="276" w:lineRule="auto"/>
              <w:ind w:left="105" w:leftChars="50"/>
              <w:rPr>
                <w:rFonts w:eastAsiaTheme="minorEastAsia"/>
                <w:color w:val="000000" w:themeColor="text1"/>
                <w:sz w:val="24"/>
              </w:rPr>
            </w:pPr>
            <w:r>
              <w:rPr>
                <w:rFonts w:eastAsiaTheme="minorEastAsia"/>
                <w:color w:val="000000" w:themeColor="text1"/>
                <w:sz w:val="24"/>
              </w:rPr>
              <w:t>合计</w:t>
            </w:r>
          </w:p>
        </w:tc>
        <w:tc>
          <w:tcPr>
            <w:tcW w:w="2551" w:type="dxa"/>
            <w:vAlign w:val="center"/>
          </w:tcPr>
          <w:p>
            <w:pPr>
              <w:spacing w:line="276" w:lineRule="auto"/>
              <w:jc w:val="right"/>
              <w:rPr>
                <w:rFonts w:eastAsiaTheme="minorEastAsia"/>
                <w:color w:val="000000" w:themeColor="text1"/>
                <w:sz w:val="24"/>
              </w:rPr>
            </w:pPr>
            <w:r>
              <w:rPr>
                <w:rFonts w:eastAsiaTheme="minorEastAsia"/>
                <w:color w:val="000000" w:themeColor="text1"/>
                <w:sz w:val="24"/>
              </w:rPr>
              <w:t>11,892,632,841.45</w:t>
            </w:r>
          </w:p>
        </w:tc>
        <w:tc>
          <w:tcPr>
            <w:tcW w:w="2621" w:type="dxa"/>
            <w:vAlign w:val="center"/>
          </w:tcPr>
          <w:p>
            <w:pPr>
              <w:spacing w:line="276" w:lineRule="auto"/>
              <w:jc w:val="right"/>
              <w:rPr>
                <w:rFonts w:eastAsiaTheme="minorEastAsia"/>
                <w:color w:val="000000" w:themeColor="text1"/>
                <w:sz w:val="24"/>
              </w:rPr>
            </w:pPr>
            <w:r>
              <w:rPr>
                <w:rFonts w:eastAsiaTheme="minorEastAsia"/>
                <w:color w:val="000000" w:themeColor="text1"/>
                <w:sz w:val="24"/>
              </w:rPr>
              <w:t>100.00</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08" w:name="_Toc225498274"/>
      <w:bookmarkStart w:id="209" w:name="_Toc67596684"/>
      <w:bookmarkStart w:id="210" w:name="_Toc361324879"/>
      <w:r>
        <w:rPr>
          <w:rFonts w:ascii="Times New Roman" w:hAnsi="Times New Roman"/>
          <w:kern w:val="0"/>
          <w:szCs w:val="24"/>
        </w:rPr>
        <w:t>8.2</w:t>
      </w:r>
      <w:r>
        <w:rPr>
          <w:rFonts w:hint="eastAsia" w:ascii="Times New Roman" w:hAnsi="Times New Roman"/>
          <w:kern w:val="0"/>
          <w:szCs w:val="24"/>
        </w:rPr>
        <w:t>期末按行业分类的股票投资组合</w:t>
      </w:r>
      <w:bookmarkEnd w:id="208"/>
      <w:bookmarkEnd w:id="209"/>
      <w:bookmarkEnd w:id="210"/>
    </w:p>
    <w:p>
      <w:pPr>
        <w:spacing w:before="29" w:line="288" w:lineRule="auto"/>
        <w:rPr>
          <w:rFonts w:eastAsiaTheme="minorEastAsia"/>
          <w:b/>
          <w:sz w:val="24"/>
        </w:rPr>
      </w:pPr>
      <w:r>
        <w:rPr>
          <w:rFonts w:eastAsiaTheme="minorEastAsia"/>
          <w:b/>
          <w:sz w:val="24"/>
        </w:rPr>
        <w:t>8.2.1</w:t>
      </w:r>
      <w:r>
        <w:rPr>
          <w:rFonts w:hint="eastAsia" w:eastAsiaTheme="minorEastAsia"/>
          <w:b/>
          <w:sz w:val="24"/>
        </w:rPr>
        <w:t>报告期末按行业分类的境内股票投资组合</w:t>
      </w:r>
    </w:p>
    <w:p>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7"/>
        <w:gridCol w:w="3713"/>
        <w:gridCol w:w="2714"/>
        <w:gridCol w:w="17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代码</w:t>
            </w:r>
          </w:p>
        </w:tc>
        <w:tc>
          <w:tcPr>
            <w:tcW w:w="3685"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行业类别</w:t>
            </w:r>
          </w:p>
        </w:tc>
        <w:tc>
          <w:tcPr>
            <w:tcW w:w="2693"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01"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A</w:t>
            </w:r>
          </w:p>
        </w:tc>
        <w:tc>
          <w:tcPr>
            <w:tcW w:w="3685" w:type="dxa"/>
            <w:vAlign w:val="center"/>
          </w:tcPr>
          <w:p>
            <w:pPr>
              <w:spacing w:before="29" w:line="288" w:lineRule="auto"/>
              <w:rPr>
                <w:sz w:val="24"/>
              </w:rPr>
            </w:pPr>
            <w:r>
              <w:rPr>
                <w:rFonts w:hint="eastAsia"/>
                <w:sz w:val="24"/>
              </w:rPr>
              <w:t>农、林、牧、渔业</w:t>
            </w:r>
          </w:p>
        </w:tc>
        <w:tc>
          <w:tcPr>
            <w:tcW w:w="2693" w:type="dxa"/>
            <w:vAlign w:val="center"/>
          </w:tcPr>
          <w:p>
            <w:pPr>
              <w:spacing w:before="29" w:line="288" w:lineRule="auto"/>
              <w:jc w:val="right"/>
              <w:rPr>
                <w:color w:val="000000"/>
                <w:kern w:val="0"/>
                <w:sz w:val="24"/>
              </w:rPr>
            </w:pPr>
            <w:r>
              <w:rPr>
                <w:color w:val="000000"/>
                <w:kern w:val="0"/>
                <w:sz w:val="24"/>
              </w:rPr>
              <w:t>947,478.00</w:t>
            </w:r>
          </w:p>
        </w:tc>
        <w:tc>
          <w:tcPr>
            <w:tcW w:w="1701" w:type="dxa"/>
            <w:vAlign w:val="center"/>
          </w:tcPr>
          <w:p>
            <w:pPr>
              <w:spacing w:before="29" w:line="288" w:lineRule="auto"/>
              <w:jc w:val="right"/>
              <w:rPr>
                <w:color w:val="000000"/>
                <w:kern w:val="0"/>
                <w:sz w:val="24"/>
              </w:rPr>
            </w:pPr>
            <w:r>
              <w:rPr>
                <w:color w:val="000000"/>
                <w:kern w:val="0"/>
                <w:sz w:val="24"/>
              </w:rPr>
              <w:t>0.01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B</w:t>
            </w:r>
          </w:p>
        </w:tc>
        <w:tc>
          <w:tcPr>
            <w:tcW w:w="3685" w:type="dxa"/>
            <w:vAlign w:val="center"/>
          </w:tcPr>
          <w:p>
            <w:pPr>
              <w:spacing w:before="29" w:line="288" w:lineRule="auto"/>
              <w:rPr>
                <w:sz w:val="24"/>
              </w:rPr>
            </w:pPr>
            <w:r>
              <w:rPr>
                <w:rFonts w:hint="eastAsia"/>
                <w:sz w:val="24"/>
              </w:rPr>
              <w:t>采矿业</w:t>
            </w:r>
          </w:p>
        </w:tc>
        <w:tc>
          <w:tcPr>
            <w:tcW w:w="2693" w:type="dxa"/>
            <w:vAlign w:val="center"/>
          </w:tcPr>
          <w:p>
            <w:pPr>
              <w:spacing w:before="29" w:line="288" w:lineRule="auto"/>
              <w:jc w:val="right"/>
              <w:rPr>
                <w:color w:val="000000"/>
                <w:kern w:val="0"/>
                <w:sz w:val="24"/>
              </w:rPr>
            </w:pPr>
            <w:r>
              <w:rPr>
                <w:color w:val="000000"/>
                <w:kern w:val="0"/>
                <w:sz w:val="24"/>
              </w:rPr>
              <w:t>172,725,634.89</w:t>
            </w:r>
          </w:p>
        </w:tc>
        <w:tc>
          <w:tcPr>
            <w:tcW w:w="1701" w:type="dxa"/>
            <w:vAlign w:val="center"/>
          </w:tcPr>
          <w:p>
            <w:pPr>
              <w:spacing w:before="29" w:line="288" w:lineRule="auto"/>
              <w:jc w:val="right"/>
              <w:rPr>
                <w:color w:val="000000"/>
                <w:kern w:val="0"/>
                <w:sz w:val="24"/>
              </w:rPr>
            </w:pPr>
            <w:r>
              <w:rPr>
                <w:color w:val="000000"/>
                <w:kern w:val="0"/>
                <w:sz w:val="24"/>
              </w:rPr>
              <w:t>1.46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C</w:t>
            </w:r>
          </w:p>
        </w:tc>
        <w:tc>
          <w:tcPr>
            <w:tcW w:w="3685" w:type="dxa"/>
            <w:vAlign w:val="center"/>
          </w:tcPr>
          <w:p>
            <w:pPr>
              <w:spacing w:before="29" w:line="288" w:lineRule="auto"/>
              <w:rPr>
                <w:sz w:val="24"/>
              </w:rPr>
            </w:pPr>
            <w:r>
              <w:rPr>
                <w:rFonts w:hint="eastAsia"/>
                <w:sz w:val="24"/>
              </w:rPr>
              <w:t>制造业</w:t>
            </w:r>
          </w:p>
        </w:tc>
        <w:tc>
          <w:tcPr>
            <w:tcW w:w="2693" w:type="dxa"/>
            <w:vAlign w:val="center"/>
          </w:tcPr>
          <w:p>
            <w:pPr>
              <w:spacing w:before="29" w:line="288" w:lineRule="auto"/>
              <w:jc w:val="right"/>
              <w:rPr>
                <w:color w:val="000000"/>
                <w:kern w:val="0"/>
                <w:sz w:val="24"/>
              </w:rPr>
            </w:pPr>
            <w:r>
              <w:rPr>
                <w:color w:val="000000"/>
                <w:kern w:val="0"/>
                <w:sz w:val="24"/>
              </w:rPr>
              <w:t>6,596,401,103.62</w:t>
            </w:r>
          </w:p>
        </w:tc>
        <w:tc>
          <w:tcPr>
            <w:tcW w:w="1701" w:type="dxa"/>
            <w:vAlign w:val="center"/>
          </w:tcPr>
          <w:p>
            <w:pPr>
              <w:spacing w:before="29" w:line="288" w:lineRule="auto"/>
              <w:jc w:val="right"/>
              <w:rPr>
                <w:color w:val="000000"/>
                <w:kern w:val="0"/>
                <w:sz w:val="24"/>
              </w:rPr>
            </w:pPr>
            <w:r>
              <w:rPr>
                <w:color w:val="000000"/>
                <w:kern w:val="0"/>
                <w:sz w:val="24"/>
              </w:rPr>
              <w:t>55.90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D</w:t>
            </w:r>
          </w:p>
        </w:tc>
        <w:tc>
          <w:tcPr>
            <w:tcW w:w="3685" w:type="dxa"/>
            <w:vAlign w:val="center"/>
          </w:tcPr>
          <w:p>
            <w:pPr>
              <w:spacing w:before="29" w:line="288" w:lineRule="auto"/>
              <w:rPr>
                <w:sz w:val="24"/>
              </w:rPr>
            </w:pPr>
            <w:r>
              <w:rPr>
                <w:rFonts w:hint="eastAsia"/>
                <w:sz w:val="24"/>
              </w:rPr>
              <w:t>电力、热力、燃气及水生产和供应业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E</w:t>
            </w:r>
          </w:p>
        </w:tc>
        <w:tc>
          <w:tcPr>
            <w:tcW w:w="3685" w:type="dxa"/>
            <w:vAlign w:val="center"/>
          </w:tcPr>
          <w:p>
            <w:pPr>
              <w:spacing w:before="29" w:line="288" w:lineRule="auto"/>
              <w:rPr>
                <w:sz w:val="24"/>
              </w:rPr>
            </w:pPr>
            <w:r>
              <w:rPr>
                <w:rFonts w:hint="eastAsia"/>
                <w:sz w:val="24"/>
              </w:rPr>
              <w:t>建筑业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F</w:t>
            </w:r>
          </w:p>
        </w:tc>
        <w:tc>
          <w:tcPr>
            <w:tcW w:w="3685" w:type="dxa"/>
            <w:vAlign w:val="center"/>
          </w:tcPr>
          <w:p>
            <w:pPr>
              <w:spacing w:before="29" w:line="288" w:lineRule="auto"/>
              <w:rPr>
                <w:sz w:val="24"/>
              </w:rPr>
            </w:pPr>
            <w:r>
              <w:rPr>
                <w:rFonts w:hint="eastAsia"/>
                <w:sz w:val="24"/>
              </w:rPr>
              <w:t>批发和零售业</w:t>
            </w:r>
          </w:p>
        </w:tc>
        <w:tc>
          <w:tcPr>
            <w:tcW w:w="2693" w:type="dxa"/>
            <w:vAlign w:val="center"/>
          </w:tcPr>
          <w:p>
            <w:pPr>
              <w:spacing w:before="29" w:line="288" w:lineRule="auto"/>
              <w:jc w:val="right"/>
              <w:rPr>
                <w:color w:val="000000"/>
                <w:kern w:val="0"/>
                <w:sz w:val="24"/>
              </w:rPr>
            </w:pPr>
            <w:r>
              <w:rPr>
                <w:color w:val="000000"/>
                <w:kern w:val="0"/>
                <w:sz w:val="24"/>
              </w:rPr>
              <w:t>16,322.72</w:t>
            </w:r>
          </w:p>
        </w:tc>
        <w:tc>
          <w:tcPr>
            <w:tcW w:w="1701" w:type="dxa"/>
            <w:vAlign w:val="center"/>
          </w:tcPr>
          <w:p>
            <w:pPr>
              <w:spacing w:before="29" w:line="288" w:lineRule="auto"/>
              <w:jc w:val="right"/>
              <w:rPr>
                <w:color w:val="000000"/>
                <w:kern w:val="0"/>
                <w:sz w:val="24"/>
              </w:rPr>
            </w:pPr>
            <w:r>
              <w:rPr>
                <w:color w:val="000000"/>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G</w:t>
            </w:r>
          </w:p>
        </w:tc>
        <w:tc>
          <w:tcPr>
            <w:tcW w:w="3685" w:type="dxa"/>
            <w:vAlign w:val="center"/>
          </w:tcPr>
          <w:p>
            <w:pPr>
              <w:spacing w:before="29" w:line="288" w:lineRule="auto"/>
              <w:rPr>
                <w:sz w:val="24"/>
              </w:rPr>
            </w:pPr>
            <w:r>
              <w:rPr>
                <w:rFonts w:hint="eastAsia"/>
                <w:sz w:val="24"/>
              </w:rPr>
              <w:t>交通运输、仓储和邮政业</w:t>
            </w:r>
          </w:p>
        </w:tc>
        <w:tc>
          <w:tcPr>
            <w:tcW w:w="2693" w:type="dxa"/>
            <w:vAlign w:val="center"/>
          </w:tcPr>
          <w:p>
            <w:pPr>
              <w:spacing w:before="29" w:line="288" w:lineRule="auto"/>
              <w:jc w:val="right"/>
              <w:rPr>
                <w:color w:val="000000"/>
                <w:kern w:val="0"/>
                <w:sz w:val="24"/>
              </w:rPr>
            </w:pPr>
            <w:r>
              <w:rPr>
                <w:color w:val="000000"/>
                <w:kern w:val="0"/>
                <w:sz w:val="24"/>
              </w:rPr>
              <w:t>1,133,691,980.65</w:t>
            </w:r>
          </w:p>
        </w:tc>
        <w:tc>
          <w:tcPr>
            <w:tcW w:w="1701" w:type="dxa"/>
            <w:vAlign w:val="center"/>
          </w:tcPr>
          <w:p>
            <w:pPr>
              <w:spacing w:before="29" w:line="288" w:lineRule="auto"/>
              <w:jc w:val="right"/>
              <w:rPr>
                <w:color w:val="000000"/>
                <w:kern w:val="0"/>
                <w:sz w:val="24"/>
              </w:rPr>
            </w:pPr>
            <w:r>
              <w:rPr>
                <w:color w:val="000000"/>
                <w:kern w:val="0"/>
                <w:sz w:val="24"/>
              </w:rPr>
              <w:t>9.61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H</w:t>
            </w:r>
          </w:p>
        </w:tc>
        <w:tc>
          <w:tcPr>
            <w:tcW w:w="3685" w:type="dxa"/>
            <w:vAlign w:val="center"/>
          </w:tcPr>
          <w:p>
            <w:pPr>
              <w:spacing w:before="29" w:line="288" w:lineRule="auto"/>
              <w:rPr>
                <w:sz w:val="24"/>
              </w:rPr>
            </w:pPr>
            <w:r>
              <w:rPr>
                <w:rFonts w:hint="eastAsia"/>
                <w:sz w:val="24"/>
              </w:rPr>
              <w:t>住宿和餐饮业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I</w:t>
            </w:r>
          </w:p>
        </w:tc>
        <w:tc>
          <w:tcPr>
            <w:tcW w:w="3685" w:type="dxa"/>
            <w:vAlign w:val="center"/>
          </w:tcPr>
          <w:p>
            <w:pPr>
              <w:spacing w:before="29" w:line="288" w:lineRule="auto"/>
              <w:rPr>
                <w:sz w:val="24"/>
              </w:rPr>
            </w:pPr>
            <w:r>
              <w:rPr>
                <w:rFonts w:hint="eastAsia"/>
                <w:sz w:val="24"/>
              </w:rPr>
              <w:t>信息传输、软件和信息技术服务业</w:t>
            </w:r>
          </w:p>
        </w:tc>
        <w:tc>
          <w:tcPr>
            <w:tcW w:w="2693" w:type="dxa"/>
            <w:vAlign w:val="center"/>
          </w:tcPr>
          <w:p>
            <w:pPr>
              <w:spacing w:before="29" w:line="288" w:lineRule="auto"/>
              <w:jc w:val="right"/>
              <w:rPr>
                <w:color w:val="000000"/>
                <w:kern w:val="0"/>
                <w:sz w:val="24"/>
              </w:rPr>
            </w:pPr>
            <w:r>
              <w:rPr>
                <w:color w:val="000000"/>
                <w:kern w:val="0"/>
                <w:sz w:val="24"/>
              </w:rPr>
              <w:t>700,560,392.17</w:t>
            </w:r>
          </w:p>
        </w:tc>
        <w:tc>
          <w:tcPr>
            <w:tcW w:w="1701" w:type="dxa"/>
            <w:vAlign w:val="center"/>
          </w:tcPr>
          <w:p>
            <w:pPr>
              <w:spacing w:before="29" w:line="288" w:lineRule="auto"/>
              <w:jc w:val="right"/>
              <w:rPr>
                <w:color w:val="000000"/>
                <w:kern w:val="0"/>
                <w:sz w:val="24"/>
              </w:rPr>
            </w:pPr>
            <w:r>
              <w:rPr>
                <w:color w:val="000000"/>
                <w:kern w:val="0"/>
                <w:sz w:val="24"/>
              </w:rPr>
              <w:t>5.94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J</w:t>
            </w:r>
          </w:p>
        </w:tc>
        <w:tc>
          <w:tcPr>
            <w:tcW w:w="3685" w:type="dxa"/>
            <w:vAlign w:val="center"/>
          </w:tcPr>
          <w:p>
            <w:pPr>
              <w:spacing w:before="29" w:line="288" w:lineRule="auto"/>
              <w:rPr>
                <w:sz w:val="24"/>
              </w:rPr>
            </w:pPr>
            <w:r>
              <w:rPr>
                <w:rFonts w:hint="eastAsia"/>
                <w:sz w:val="24"/>
              </w:rPr>
              <w:t>金融业</w:t>
            </w:r>
          </w:p>
        </w:tc>
        <w:tc>
          <w:tcPr>
            <w:tcW w:w="2693" w:type="dxa"/>
            <w:vAlign w:val="center"/>
          </w:tcPr>
          <w:p>
            <w:pPr>
              <w:spacing w:before="29" w:line="288" w:lineRule="auto"/>
              <w:jc w:val="right"/>
              <w:rPr>
                <w:color w:val="000000"/>
                <w:kern w:val="0"/>
                <w:sz w:val="24"/>
              </w:rPr>
            </w:pPr>
            <w:r>
              <w:rPr>
                <w:color w:val="000000"/>
                <w:kern w:val="0"/>
                <w:sz w:val="24"/>
              </w:rPr>
              <w:t>560,273,232.94</w:t>
            </w:r>
          </w:p>
        </w:tc>
        <w:tc>
          <w:tcPr>
            <w:tcW w:w="1701" w:type="dxa"/>
            <w:vAlign w:val="center"/>
          </w:tcPr>
          <w:p>
            <w:pPr>
              <w:spacing w:before="29" w:line="288" w:lineRule="auto"/>
              <w:jc w:val="right"/>
              <w:rPr>
                <w:color w:val="000000"/>
                <w:kern w:val="0"/>
                <w:sz w:val="24"/>
              </w:rPr>
            </w:pPr>
            <w:r>
              <w:rPr>
                <w:color w:val="000000"/>
                <w:kern w:val="0"/>
                <w:sz w:val="24"/>
              </w:rPr>
              <w:t>4.75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K</w:t>
            </w:r>
          </w:p>
        </w:tc>
        <w:tc>
          <w:tcPr>
            <w:tcW w:w="3685" w:type="dxa"/>
            <w:vAlign w:val="center"/>
          </w:tcPr>
          <w:p>
            <w:pPr>
              <w:spacing w:before="29" w:line="288" w:lineRule="auto"/>
              <w:rPr>
                <w:sz w:val="24"/>
              </w:rPr>
            </w:pPr>
            <w:r>
              <w:rPr>
                <w:rFonts w:hint="eastAsia"/>
                <w:sz w:val="24"/>
              </w:rPr>
              <w:t>房地产业</w:t>
            </w:r>
          </w:p>
        </w:tc>
        <w:tc>
          <w:tcPr>
            <w:tcW w:w="2693" w:type="dxa"/>
            <w:vAlign w:val="center"/>
          </w:tcPr>
          <w:p>
            <w:pPr>
              <w:spacing w:before="29" w:line="288" w:lineRule="auto"/>
              <w:jc w:val="right"/>
              <w:rPr>
                <w:color w:val="000000"/>
                <w:kern w:val="0"/>
                <w:sz w:val="24"/>
              </w:rPr>
            </w:pPr>
            <w:r>
              <w:rPr>
                <w:color w:val="000000"/>
                <w:kern w:val="0"/>
                <w:sz w:val="24"/>
              </w:rPr>
              <w:t>564,720,471.33</w:t>
            </w:r>
          </w:p>
        </w:tc>
        <w:tc>
          <w:tcPr>
            <w:tcW w:w="1701" w:type="dxa"/>
            <w:vAlign w:val="center"/>
          </w:tcPr>
          <w:p>
            <w:pPr>
              <w:spacing w:before="29" w:line="288" w:lineRule="auto"/>
              <w:jc w:val="right"/>
              <w:rPr>
                <w:color w:val="000000"/>
                <w:kern w:val="0"/>
                <w:sz w:val="24"/>
              </w:rPr>
            </w:pPr>
            <w:r>
              <w:rPr>
                <w:color w:val="000000"/>
                <w:kern w:val="0"/>
                <w:sz w:val="24"/>
              </w:rPr>
              <w:t>4.79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L</w:t>
            </w:r>
          </w:p>
        </w:tc>
        <w:tc>
          <w:tcPr>
            <w:tcW w:w="3685" w:type="dxa"/>
            <w:vAlign w:val="center"/>
          </w:tcPr>
          <w:p>
            <w:pPr>
              <w:spacing w:before="29" w:line="288" w:lineRule="auto"/>
              <w:rPr>
                <w:sz w:val="24"/>
              </w:rPr>
            </w:pPr>
            <w:r>
              <w:rPr>
                <w:rFonts w:hint="eastAsia"/>
                <w:sz w:val="24"/>
              </w:rPr>
              <w:t>租赁和商务服务业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M</w:t>
            </w:r>
          </w:p>
        </w:tc>
        <w:tc>
          <w:tcPr>
            <w:tcW w:w="3685" w:type="dxa"/>
            <w:vAlign w:val="center"/>
          </w:tcPr>
          <w:p>
            <w:pPr>
              <w:spacing w:before="29" w:line="288" w:lineRule="auto"/>
              <w:rPr>
                <w:sz w:val="24"/>
              </w:rPr>
            </w:pPr>
            <w:r>
              <w:rPr>
                <w:rFonts w:hint="eastAsia"/>
                <w:sz w:val="24"/>
              </w:rPr>
              <w:t>科学研究和技术服务业</w:t>
            </w:r>
          </w:p>
        </w:tc>
        <w:tc>
          <w:tcPr>
            <w:tcW w:w="2693" w:type="dxa"/>
            <w:vAlign w:val="center"/>
          </w:tcPr>
          <w:p>
            <w:pPr>
              <w:spacing w:before="29" w:line="288" w:lineRule="auto"/>
              <w:jc w:val="right"/>
              <w:rPr>
                <w:color w:val="000000"/>
                <w:kern w:val="0"/>
                <w:sz w:val="24"/>
              </w:rPr>
            </w:pPr>
            <w:r>
              <w:rPr>
                <w:color w:val="000000"/>
                <w:kern w:val="0"/>
                <w:sz w:val="24"/>
              </w:rPr>
              <w:t>488,148,915.44</w:t>
            </w:r>
          </w:p>
        </w:tc>
        <w:tc>
          <w:tcPr>
            <w:tcW w:w="1701" w:type="dxa"/>
            <w:vAlign w:val="center"/>
          </w:tcPr>
          <w:p>
            <w:pPr>
              <w:spacing w:before="29" w:line="288" w:lineRule="auto"/>
              <w:jc w:val="right"/>
              <w:rPr>
                <w:color w:val="000000"/>
                <w:kern w:val="0"/>
                <w:sz w:val="24"/>
              </w:rPr>
            </w:pPr>
            <w:r>
              <w:rPr>
                <w:color w:val="000000"/>
                <w:kern w:val="0"/>
                <w:sz w:val="24"/>
              </w:rPr>
              <w:t>4.14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N</w:t>
            </w:r>
          </w:p>
        </w:tc>
        <w:tc>
          <w:tcPr>
            <w:tcW w:w="3685" w:type="dxa"/>
            <w:vAlign w:val="center"/>
          </w:tcPr>
          <w:p>
            <w:pPr>
              <w:spacing w:before="29" w:line="288" w:lineRule="auto"/>
              <w:rPr>
                <w:sz w:val="24"/>
              </w:rPr>
            </w:pPr>
            <w:r>
              <w:rPr>
                <w:rFonts w:hint="eastAsia"/>
                <w:sz w:val="24"/>
              </w:rPr>
              <w:t>水利、环境和公共设施管理业</w:t>
            </w:r>
          </w:p>
        </w:tc>
        <w:tc>
          <w:tcPr>
            <w:tcW w:w="2693" w:type="dxa"/>
            <w:vAlign w:val="center"/>
          </w:tcPr>
          <w:p>
            <w:pPr>
              <w:spacing w:before="29" w:line="288" w:lineRule="auto"/>
              <w:jc w:val="right"/>
              <w:rPr>
                <w:color w:val="000000"/>
                <w:kern w:val="0"/>
                <w:sz w:val="24"/>
              </w:rPr>
            </w:pPr>
            <w:r>
              <w:rPr>
                <w:color w:val="000000"/>
                <w:kern w:val="0"/>
                <w:sz w:val="24"/>
              </w:rPr>
              <w:t>71,435.07</w:t>
            </w:r>
          </w:p>
        </w:tc>
        <w:tc>
          <w:tcPr>
            <w:tcW w:w="1701" w:type="dxa"/>
            <w:vAlign w:val="center"/>
          </w:tcPr>
          <w:p>
            <w:pPr>
              <w:spacing w:before="29" w:line="288" w:lineRule="auto"/>
              <w:jc w:val="right"/>
              <w:rPr>
                <w:color w:val="000000"/>
                <w:kern w:val="0"/>
                <w:sz w:val="24"/>
              </w:rPr>
            </w:pPr>
            <w:r>
              <w:rPr>
                <w:color w:val="000000"/>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O</w:t>
            </w:r>
          </w:p>
        </w:tc>
        <w:tc>
          <w:tcPr>
            <w:tcW w:w="3685" w:type="dxa"/>
            <w:vAlign w:val="center"/>
          </w:tcPr>
          <w:p>
            <w:pPr>
              <w:spacing w:before="29" w:line="288" w:lineRule="auto"/>
              <w:rPr>
                <w:sz w:val="24"/>
              </w:rPr>
            </w:pPr>
            <w:r>
              <w:rPr>
                <w:rFonts w:hint="eastAsia"/>
                <w:sz w:val="24"/>
              </w:rPr>
              <w:t>居民服务、修理和其他服务业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P</w:t>
            </w:r>
          </w:p>
        </w:tc>
        <w:tc>
          <w:tcPr>
            <w:tcW w:w="3685" w:type="dxa"/>
            <w:vAlign w:val="center"/>
          </w:tcPr>
          <w:p>
            <w:pPr>
              <w:spacing w:before="29" w:line="288" w:lineRule="auto"/>
              <w:rPr>
                <w:sz w:val="24"/>
              </w:rPr>
            </w:pPr>
            <w:r>
              <w:rPr>
                <w:rFonts w:hint="eastAsia"/>
                <w:sz w:val="24"/>
              </w:rPr>
              <w:t>教育</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Q</w:t>
            </w:r>
          </w:p>
        </w:tc>
        <w:tc>
          <w:tcPr>
            <w:tcW w:w="3685" w:type="dxa"/>
            <w:vAlign w:val="center"/>
          </w:tcPr>
          <w:p>
            <w:pPr>
              <w:spacing w:before="29" w:line="288" w:lineRule="auto"/>
              <w:rPr>
                <w:sz w:val="24"/>
              </w:rPr>
            </w:pPr>
            <w:r>
              <w:rPr>
                <w:rFonts w:hint="eastAsia"/>
                <w:sz w:val="24"/>
              </w:rPr>
              <w:t>卫生和社会工作</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R</w:t>
            </w:r>
          </w:p>
        </w:tc>
        <w:tc>
          <w:tcPr>
            <w:tcW w:w="3685" w:type="dxa"/>
            <w:vAlign w:val="center"/>
          </w:tcPr>
          <w:p>
            <w:pPr>
              <w:spacing w:before="29" w:line="288" w:lineRule="auto"/>
              <w:rPr>
                <w:sz w:val="24"/>
              </w:rPr>
            </w:pPr>
            <w:r>
              <w:rPr>
                <w:rFonts w:hint="eastAsia"/>
                <w:sz w:val="24"/>
              </w:rPr>
              <w:t>文化、体育和娱乐业</w:t>
            </w:r>
          </w:p>
        </w:tc>
        <w:tc>
          <w:tcPr>
            <w:tcW w:w="2693" w:type="dxa"/>
            <w:vAlign w:val="center"/>
          </w:tcPr>
          <w:p>
            <w:pPr>
              <w:spacing w:before="29" w:line="288" w:lineRule="auto"/>
              <w:jc w:val="right"/>
              <w:rPr>
                <w:color w:val="000000"/>
                <w:kern w:val="0"/>
                <w:sz w:val="24"/>
              </w:rPr>
            </w:pPr>
            <w:r>
              <w:rPr>
                <w:color w:val="000000"/>
                <w:kern w:val="0"/>
                <w:sz w:val="24"/>
              </w:rPr>
              <w:t>346,707,594.35</w:t>
            </w:r>
          </w:p>
        </w:tc>
        <w:tc>
          <w:tcPr>
            <w:tcW w:w="1701" w:type="dxa"/>
            <w:vAlign w:val="center"/>
          </w:tcPr>
          <w:p>
            <w:pPr>
              <w:spacing w:before="29" w:line="288" w:lineRule="auto"/>
              <w:jc w:val="right"/>
              <w:rPr>
                <w:color w:val="000000"/>
                <w:kern w:val="0"/>
                <w:sz w:val="24"/>
              </w:rPr>
            </w:pPr>
            <w:r>
              <w:rPr>
                <w:color w:val="000000"/>
                <w:kern w:val="0"/>
                <w:sz w:val="24"/>
              </w:rPr>
              <w:t>2.94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S</w:t>
            </w:r>
          </w:p>
        </w:tc>
        <w:tc>
          <w:tcPr>
            <w:tcW w:w="3685" w:type="dxa"/>
            <w:vAlign w:val="center"/>
          </w:tcPr>
          <w:p>
            <w:pPr>
              <w:spacing w:before="29" w:line="288" w:lineRule="auto"/>
              <w:rPr>
                <w:sz w:val="24"/>
              </w:rPr>
            </w:pPr>
            <w:r>
              <w:rPr>
                <w:rFonts w:hint="eastAsia"/>
                <w:sz w:val="24"/>
              </w:rPr>
              <w:t>综合</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p>
        </w:tc>
        <w:tc>
          <w:tcPr>
            <w:tcW w:w="3685" w:type="dxa"/>
            <w:vAlign w:val="center"/>
          </w:tcPr>
          <w:p>
            <w:pPr>
              <w:spacing w:before="29" w:line="288" w:lineRule="auto"/>
              <w:rPr>
                <w:sz w:val="24"/>
              </w:rPr>
            </w:pPr>
            <w:r>
              <w:rPr>
                <w:rFonts w:hint="eastAsia"/>
                <w:sz w:val="24"/>
              </w:rPr>
              <w:t>合计</w:t>
            </w:r>
          </w:p>
        </w:tc>
        <w:tc>
          <w:tcPr>
            <w:tcW w:w="2693" w:type="dxa"/>
            <w:vAlign w:val="center"/>
          </w:tcPr>
          <w:p>
            <w:pPr>
              <w:spacing w:before="29" w:line="288" w:lineRule="auto"/>
              <w:jc w:val="right"/>
              <w:rPr>
                <w:color w:val="000000"/>
                <w:kern w:val="0"/>
                <w:sz w:val="24"/>
              </w:rPr>
            </w:pPr>
            <w:r>
              <w:rPr>
                <w:color w:val="000000"/>
                <w:kern w:val="0"/>
                <w:sz w:val="24"/>
              </w:rPr>
              <w:t>10,564,264,561.18</w:t>
            </w:r>
          </w:p>
        </w:tc>
        <w:tc>
          <w:tcPr>
            <w:tcW w:w="1701" w:type="dxa"/>
            <w:vAlign w:val="center"/>
          </w:tcPr>
          <w:p>
            <w:pPr>
              <w:spacing w:before="29" w:line="288" w:lineRule="auto"/>
              <w:jc w:val="right"/>
              <w:rPr>
                <w:color w:val="000000"/>
                <w:kern w:val="0"/>
                <w:sz w:val="24"/>
              </w:rPr>
            </w:pPr>
            <w:r>
              <w:rPr>
                <w:color w:val="000000"/>
                <w:kern w:val="0"/>
                <w:sz w:val="24"/>
              </w:rPr>
              <w:t>89.53</w:t>
            </w:r>
          </w:p>
        </w:tc>
      </w:tr>
    </w:tbl>
    <w:p>
      <w:pPr>
        <w:pStyle w:val="4"/>
      </w:pPr>
    </w:p>
    <w:p>
      <w:pPr>
        <w:tabs>
          <w:tab w:val="left" w:pos="426"/>
        </w:tabs>
        <w:spacing w:before="29" w:line="288" w:lineRule="auto"/>
        <w:jc w:val="left"/>
        <w:rPr>
          <w:rFonts w:asciiTheme="minorEastAsia" w:hAnsiTheme="minorEastAsia" w:eastAsiaTheme="minorEastAsia"/>
          <w:color w:val="000000"/>
          <w:szCs w:val="21"/>
        </w:rPr>
      </w:pPr>
      <w:r>
        <w:rPr>
          <w:rFonts w:eastAsiaTheme="minorEastAsia"/>
          <w:b/>
          <w:sz w:val="24"/>
        </w:rPr>
        <w:t>8.2.2</w:t>
      </w:r>
      <w:r>
        <w:rPr>
          <w:rFonts w:hint="eastAsia" w:eastAsiaTheme="minorEastAsia"/>
          <w:b/>
          <w:sz w:val="24"/>
        </w:rPr>
        <w:t>报告期末按行业分类的港股通投资股票投资组合</w:t>
      </w:r>
    </w:p>
    <w:p>
      <w:pPr>
        <w:widowControl/>
        <w:autoSpaceDE w:val="0"/>
        <w:autoSpaceDN w:val="0"/>
        <w:spacing w:before="29" w:line="288" w:lineRule="auto"/>
        <w:ind w:right="-15"/>
        <w:textAlignment w:val="bottom"/>
        <w:rPr>
          <w:color w:val="000000"/>
          <w:sz w:val="24"/>
        </w:rPr>
      </w:pPr>
      <w:r>
        <w:rPr>
          <w:color w:val="000000"/>
          <w:sz w:val="24"/>
        </w:rPr>
        <w:t>本基金本报告期末未持有通过港股通投资的股票。</w:t>
      </w:r>
    </w:p>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211" w:name="_Toc67596685"/>
      <w:bookmarkStart w:id="212" w:name="_Toc361324881"/>
      <w:r>
        <w:rPr>
          <w:rFonts w:ascii="Times New Roman" w:hAnsi="Times New Roman"/>
          <w:kern w:val="0"/>
          <w:szCs w:val="24"/>
        </w:rPr>
        <w:t>8.3</w:t>
      </w:r>
      <w:r>
        <w:rPr>
          <w:rFonts w:hint="eastAsia" w:ascii="Times New Roman" w:hAnsi="Times New Roman"/>
          <w:kern w:val="0"/>
          <w:szCs w:val="24"/>
        </w:rPr>
        <w:t>期末按公允价值占基金资产净值比例大小排序的所有股票投资明细</w:t>
      </w:r>
      <w:bookmarkEnd w:id="211"/>
      <w:bookmarkEnd w:id="212"/>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1701"/>
        <w:gridCol w:w="1559"/>
        <w:gridCol w:w="1932"/>
        <w:gridCol w:w="1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adjustRightInd w:val="0"/>
              <w:snapToGrid w:val="0"/>
              <w:spacing w:before="29" w:line="288" w:lineRule="auto"/>
              <w:jc w:val="center"/>
              <w:rPr>
                <w:sz w:val="24"/>
              </w:rPr>
            </w:pPr>
            <w:r>
              <w:rPr>
                <w:rFonts w:hint="eastAsia"/>
                <w:sz w:val="24"/>
              </w:rPr>
              <w:t>序号</w:t>
            </w:r>
          </w:p>
        </w:tc>
        <w:tc>
          <w:tcPr>
            <w:tcW w:w="1276" w:type="dxa"/>
            <w:vAlign w:val="center"/>
          </w:tcPr>
          <w:p>
            <w:pPr>
              <w:adjustRightInd w:val="0"/>
              <w:snapToGrid w:val="0"/>
              <w:spacing w:before="29" w:line="288" w:lineRule="auto"/>
              <w:jc w:val="center"/>
              <w:rPr>
                <w:sz w:val="24"/>
              </w:rPr>
            </w:pPr>
            <w:r>
              <w:rPr>
                <w:rFonts w:hint="eastAsia"/>
                <w:sz w:val="24"/>
              </w:rPr>
              <w:t>股票代码</w:t>
            </w:r>
          </w:p>
        </w:tc>
        <w:tc>
          <w:tcPr>
            <w:tcW w:w="1701" w:type="dxa"/>
            <w:vAlign w:val="center"/>
          </w:tcPr>
          <w:p>
            <w:pPr>
              <w:adjustRightInd w:val="0"/>
              <w:snapToGrid w:val="0"/>
              <w:spacing w:before="29" w:line="288" w:lineRule="auto"/>
              <w:jc w:val="center"/>
              <w:rPr>
                <w:sz w:val="24"/>
              </w:rPr>
            </w:pPr>
            <w:r>
              <w:rPr>
                <w:rFonts w:hint="eastAsia"/>
                <w:sz w:val="24"/>
              </w:rPr>
              <w:t>股票名称</w:t>
            </w:r>
          </w:p>
        </w:tc>
        <w:tc>
          <w:tcPr>
            <w:tcW w:w="1559" w:type="dxa"/>
            <w:vAlign w:val="center"/>
          </w:tcPr>
          <w:p>
            <w:pPr>
              <w:adjustRightInd w:val="0"/>
              <w:snapToGrid w:val="0"/>
              <w:spacing w:before="29" w:line="288" w:lineRule="auto"/>
              <w:jc w:val="center"/>
              <w:rPr>
                <w:sz w:val="24"/>
              </w:rPr>
            </w:pPr>
            <w:r>
              <w:rPr>
                <w:rFonts w:hint="eastAsia"/>
                <w:sz w:val="24"/>
              </w:rPr>
              <w:t>数量</w:t>
            </w:r>
            <w:r>
              <w:rPr>
                <w:sz w:val="24"/>
              </w:rPr>
              <w:t>(</w:t>
            </w:r>
            <w:r>
              <w:rPr>
                <w:rFonts w:hint="eastAsia"/>
                <w:sz w:val="24"/>
              </w:rPr>
              <w:t>股</w:t>
            </w:r>
            <w:r>
              <w:rPr>
                <w:sz w:val="24"/>
              </w:rPr>
              <w:t>)</w:t>
            </w:r>
          </w:p>
        </w:tc>
        <w:tc>
          <w:tcPr>
            <w:tcW w:w="1932" w:type="dxa"/>
            <w:vAlign w:val="center"/>
          </w:tcPr>
          <w:p>
            <w:pPr>
              <w:autoSpaceDE w:val="0"/>
              <w:autoSpaceDN w:val="0"/>
              <w:adjustRightInd w:val="0"/>
              <w:snapToGrid w:val="0"/>
              <w:spacing w:before="29" w:line="288" w:lineRule="auto"/>
              <w:jc w:val="center"/>
              <w:rPr>
                <w:sz w:val="24"/>
              </w:rPr>
            </w:pPr>
            <w:r>
              <w:rPr>
                <w:rFonts w:hint="eastAsia"/>
                <w:sz w:val="24"/>
              </w:rPr>
              <w:t>公允价值</w:t>
            </w:r>
          </w:p>
        </w:tc>
        <w:tc>
          <w:tcPr>
            <w:tcW w:w="1612" w:type="dxa"/>
            <w:vAlign w:val="center"/>
          </w:tcPr>
          <w:p>
            <w:pPr>
              <w:adjustRightInd w:val="0"/>
              <w:snapToGrid w:val="0"/>
              <w:spacing w:before="29" w:line="288" w:lineRule="auto"/>
              <w:jc w:val="center"/>
              <w:rPr>
                <w:sz w:val="24"/>
              </w:rPr>
            </w:pPr>
            <w:r>
              <w:rPr>
                <w:rFonts w:hint="eastAsia"/>
                <w:sz w:val="24"/>
              </w:rPr>
              <w:t>占基金资产净值比例</w:t>
            </w:r>
            <w:r>
              <w:rPr>
                <w:sz w:val="24"/>
              </w:rPr>
              <w:t>(</w:t>
            </w:r>
            <w:r>
              <w:rPr>
                <w:rFonts w:hint="eastAsia"/>
                <w:sz w:val="24"/>
              </w:rPr>
              <w:t>％</w:t>
            </w:r>
            <w:r>
              <w:rPr>
                <w:sz w:val="24"/>
              </w:rPr>
              <w:t>)</w:t>
            </w:r>
          </w:p>
        </w:tc>
      </w:tr>
      <w:tr>
        <w:tblPrEx>
          <w:tblCellMar>
            <w:top w:w="0" w:type="dxa"/>
            <w:left w:w="108" w:type="dxa"/>
            <w:bottom w:w="0" w:type="dxa"/>
            <w:right w:w="108" w:type="dxa"/>
          </w:tblCellMar>
        </w:tblPrEx>
        <w:trPr>
          <w:jc w:val="center"/>
        </w:trPr>
        <w:tc>
          <w:tcPr>
            <w:tcW w:w="817" w:type="dxa"/>
            <w:vAlign w:val="center"/>
          </w:tcPr>
          <w:p>
            <w:pPr>
              <w:jc w:val="center"/>
            </w:pPr>
            <w:r>
              <w:rPr>
                <w:color w:val="000000"/>
                <w:sz w:val="24"/>
              </w:rPr>
              <w:t>1</w:t>
            </w:r>
          </w:p>
        </w:tc>
        <w:tc>
          <w:tcPr>
            <w:tcW w:w="1276" w:type="dxa"/>
            <w:vAlign w:val="center"/>
          </w:tcPr>
          <w:p>
            <w:pPr>
              <w:jc w:val="center"/>
            </w:pPr>
            <w:r>
              <w:rPr>
                <w:color w:val="000000"/>
                <w:sz w:val="24"/>
              </w:rPr>
              <w:t>002352</w:t>
            </w:r>
          </w:p>
        </w:tc>
        <w:tc>
          <w:tcPr>
            <w:tcW w:w="1701" w:type="dxa"/>
            <w:vAlign w:val="center"/>
          </w:tcPr>
          <w:p>
            <w:pPr>
              <w:jc w:val="center"/>
            </w:pPr>
            <w:r>
              <w:rPr>
                <w:color w:val="000000"/>
                <w:sz w:val="24"/>
              </w:rPr>
              <w:t>顺丰控股</w:t>
            </w:r>
          </w:p>
        </w:tc>
        <w:tc>
          <w:tcPr>
            <w:tcW w:w="1559" w:type="dxa"/>
            <w:vAlign w:val="center"/>
          </w:tcPr>
          <w:p>
            <w:pPr>
              <w:jc w:val="right"/>
            </w:pPr>
            <w:r>
              <w:rPr>
                <w:color w:val="000000"/>
                <w:sz w:val="24"/>
              </w:rPr>
              <w:t>12,888,999</w:t>
            </w:r>
          </w:p>
        </w:tc>
        <w:tc>
          <w:tcPr>
            <w:tcW w:w="1932" w:type="dxa"/>
            <w:vAlign w:val="center"/>
          </w:tcPr>
          <w:p>
            <w:pPr>
              <w:jc w:val="right"/>
            </w:pPr>
            <w:r>
              <w:rPr>
                <w:color w:val="000000"/>
                <w:sz w:val="24"/>
              </w:rPr>
              <w:t>1,133,671,981.77</w:t>
            </w:r>
          </w:p>
        </w:tc>
        <w:tc>
          <w:tcPr>
            <w:tcW w:w="1612" w:type="dxa"/>
            <w:vAlign w:val="center"/>
          </w:tcPr>
          <w:p>
            <w:pPr>
              <w:jc w:val="right"/>
            </w:pPr>
            <w:r>
              <w:rPr>
                <w:color w:val="000000"/>
                <w:sz w:val="24"/>
              </w:rPr>
              <w:t>9.61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w:t>
            </w:r>
          </w:p>
        </w:tc>
        <w:tc>
          <w:tcPr>
            <w:tcW w:w="1276" w:type="dxa"/>
            <w:vAlign w:val="center"/>
          </w:tcPr>
          <w:p>
            <w:pPr>
              <w:jc w:val="center"/>
            </w:pPr>
            <w:r>
              <w:rPr>
                <w:color w:val="000000"/>
                <w:sz w:val="24"/>
              </w:rPr>
              <w:t>002271</w:t>
            </w:r>
          </w:p>
        </w:tc>
        <w:tc>
          <w:tcPr>
            <w:tcW w:w="1701" w:type="dxa"/>
            <w:vAlign w:val="center"/>
          </w:tcPr>
          <w:p>
            <w:pPr>
              <w:jc w:val="center"/>
            </w:pPr>
            <w:r>
              <w:rPr>
                <w:color w:val="000000"/>
                <w:sz w:val="24"/>
              </w:rPr>
              <w:t>东方雨虹</w:t>
            </w:r>
          </w:p>
        </w:tc>
        <w:tc>
          <w:tcPr>
            <w:tcW w:w="1559" w:type="dxa"/>
            <w:vAlign w:val="center"/>
          </w:tcPr>
          <w:p>
            <w:pPr>
              <w:jc w:val="right"/>
            </w:pPr>
            <w:r>
              <w:rPr>
                <w:color w:val="000000"/>
                <w:sz w:val="24"/>
              </w:rPr>
              <w:t>22,821,845</w:t>
            </w:r>
          </w:p>
        </w:tc>
        <w:tc>
          <w:tcPr>
            <w:tcW w:w="1932" w:type="dxa"/>
            <w:vAlign w:val="center"/>
          </w:tcPr>
          <w:p>
            <w:pPr>
              <w:jc w:val="right"/>
            </w:pPr>
            <w:r>
              <w:rPr>
                <w:color w:val="000000"/>
                <w:sz w:val="24"/>
              </w:rPr>
              <w:t>885,487,586.00</w:t>
            </w:r>
          </w:p>
        </w:tc>
        <w:tc>
          <w:tcPr>
            <w:tcW w:w="1612" w:type="dxa"/>
            <w:vAlign w:val="center"/>
          </w:tcPr>
          <w:p>
            <w:pPr>
              <w:jc w:val="right"/>
            </w:pPr>
            <w:r>
              <w:rPr>
                <w:color w:val="000000"/>
                <w:sz w:val="24"/>
              </w:rPr>
              <w:t>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w:t>
            </w:r>
          </w:p>
        </w:tc>
        <w:tc>
          <w:tcPr>
            <w:tcW w:w="1276" w:type="dxa"/>
            <w:vAlign w:val="center"/>
          </w:tcPr>
          <w:p>
            <w:pPr>
              <w:jc w:val="center"/>
            </w:pPr>
            <w:r>
              <w:rPr>
                <w:color w:val="000000"/>
                <w:sz w:val="24"/>
              </w:rPr>
              <w:t>603517</w:t>
            </w:r>
          </w:p>
        </w:tc>
        <w:tc>
          <w:tcPr>
            <w:tcW w:w="1701" w:type="dxa"/>
            <w:vAlign w:val="center"/>
          </w:tcPr>
          <w:p>
            <w:pPr>
              <w:jc w:val="center"/>
            </w:pPr>
            <w:r>
              <w:rPr>
                <w:color w:val="000000"/>
                <w:sz w:val="24"/>
              </w:rPr>
              <w:t>绝味食品</w:t>
            </w:r>
          </w:p>
        </w:tc>
        <w:tc>
          <w:tcPr>
            <w:tcW w:w="1559" w:type="dxa"/>
            <w:vAlign w:val="center"/>
          </w:tcPr>
          <w:p>
            <w:pPr>
              <w:jc w:val="right"/>
            </w:pPr>
            <w:r>
              <w:rPr>
                <w:color w:val="000000"/>
                <w:sz w:val="24"/>
              </w:rPr>
              <w:t>9,678,495</w:t>
            </w:r>
          </w:p>
        </w:tc>
        <w:tc>
          <w:tcPr>
            <w:tcW w:w="1932" w:type="dxa"/>
            <w:vAlign w:val="center"/>
          </w:tcPr>
          <w:p>
            <w:pPr>
              <w:jc w:val="right"/>
            </w:pPr>
            <w:r>
              <w:rPr>
                <w:color w:val="000000"/>
                <w:sz w:val="24"/>
              </w:rPr>
              <w:t>750,470,502.30</w:t>
            </w:r>
          </w:p>
        </w:tc>
        <w:tc>
          <w:tcPr>
            <w:tcW w:w="1612" w:type="dxa"/>
            <w:vAlign w:val="center"/>
          </w:tcPr>
          <w:p>
            <w:pPr>
              <w:jc w:val="right"/>
            </w:pPr>
            <w:r>
              <w:rPr>
                <w:color w:val="000000"/>
                <w:sz w:val="24"/>
              </w:rPr>
              <w:t>6.36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w:t>
            </w:r>
          </w:p>
        </w:tc>
        <w:tc>
          <w:tcPr>
            <w:tcW w:w="1276" w:type="dxa"/>
            <w:vAlign w:val="center"/>
          </w:tcPr>
          <w:p>
            <w:pPr>
              <w:jc w:val="center"/>
            </w:pPr>
            <w:r>
              <w:rPr>
                <w:color w:val="000000"/>
                <w:sz w:val="24"/>
              </w:rPr>
              <w:t>002493</w:t>
            </w:r>
          </w:p>
        </w:tc>
        <w:tc>
          <w:tcPr>
            <w:tcW w:w="1701" w:type="dxa"/>
            <w:vAlign w:val="center"/>
          </w:tcPr>
          <w:p>
            <w:pPr>
              <w:jc w:val="center"/>
            </w:pPr>
            <w:r>
              <w:rPr>
                <w:color w:val="000000"/>
                <w:sz w:val="24"/>
              </w:rPr>
              <w:t>荣盛石化</w:t>
            </w:r>
          </w:p>
        </w:tc>
        <w:tc>
          <w:tcPr>
            <w:tcW w:w="1559" w:type="dxa"/>
            <w:vAlign w:val="center"/>
          </w:tcPr>
          <w:p>
            <w:pPr>
              <w:jc w:val="right"/>
            </w:pPr>
            <w:r>
              <w:rPr>
                <w:color w:val="000000"/>
                <w:sz w:val="24"/>
              </w:rPr>
              <w:t>24,851,644</w:t>
            </w:r>
          </w:p>
        </w:tc>
        <w:tc>
          <w:tcPr>
            <w:tcW w:w="1932" w:type="dxa"/>
            <w:vAlign w:val="center"/>
          </w:tcPr>
          <w:p>
            <w:pPr>
              <w:jc w:val="right"/>
            </w:pPr>
            <w:r>
              <w:rPr>
                <w:color w:val="000000"/>
                <w:sz w:val="24"/>
              </w:rPr>
              <w:t>678,970,768.36</w:t>
            </w:r>
          </w:p>
        </w:tc>
        <w:tc>
          <w:tcPr>
            <w:tcW w:w="1612" w:type="dxa"/>
            <w:vAlign w:val="center"/>
          </w:tcPr>
          <w:p>
            <w:pPr>
              <w:jc w:val="right"/>
            </w:pPr>
            <w:r>
              <w:rPr>
                <w:color w:val="000000"/>
                <w:sz w:val="24"/>
              </w:rPr>
              <w:t>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w:t>
            </w:r>
          </w:p>
        </w:tc>
        <w:tc>
          <w:tcPr>
            <w:tcW w:w="1276" w:type="dxa"/>
            <w:vAlign w:val="center"/>
          </w:tcPr>
          <w:p>
            <w:pPr>
              <w:jc w:val="center"/>
            </w:pPr>
            <w:r>
              <w:rPr>
                <w:color w:val="000000"/>
                <w:sz w:val="24"/>
              </w:rPr>
              <w:t>600519</w:t>
            </w:r>
          </w:p>
        </w:tc>
        <w:tc>
          <w:tcPr>
            <w:tcW w:w="1701" w:type="dxa"/>
            <w:vAlign w:val="center"/>
          </w:tcPr>
          <w:p>
            <w:pPr>
              <w:jc w:val="center"/>
            </w:pPr>
            <w:r>
              <w:rPr>
                <w:color w:val="000000"/>
                <w:sz w:val="24"/>
              </w:rPr>
              <w:t>贵州茅台</w:t>
            </w:r>
          </w:p>
        </w:tc>
        <w:tc>
          <w:tcPr>
            <w:tcW w:w="1559" w:type="dxa"/>
            <w:vAlign w:val="center"/>
          </w:tcPr>
          <w:p>
            <w:pPr>
              <w:jc w:val="right"/>
            </w:pPr>
            <w:r>
              <w:rPr>
                <w:color w:val="000000"/>
                <w:sz w:val="24"/>
              </w:rPr>
              <w:t>324,461</w:t>
            </w:r>
          </w:p>
        </w:tc>
        <w:tc>
          <w:tcPr>
            <w:tcW w:w="1932" w:type="dxa"/>
            <w:vAlign w:val="center"/>
          </w:tcPr>
          <w:p>
            <w:pPr>
              <w:jc w:val="right"/>
            </w:pPr>
            <w:r>
              <w:rPr>
                <w:color w:val="000000"/>
                <w:sz w:val="24"/>
              </w:rPr>
              <w:t>648,273,078.00</w:t>
            </w:r>
          </w:p>
        </w:tc>
        <w:tc>
          <w:tcPr>
            <w:tcW w:w="1612" w:type="dxa"/>
            <w:vAlign w:val="center"/>
          </w:tcPr>
          <w:p>
            <w:pPr>
              <w:jc w:val="right"/>
            </w:pPr>
            <w:r>
              <w:rPr>
                <w:color w:val="000000"/>
                <w:sz w:val="24"/>
              </w:rPr>
              <w:t>5.49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w:t>
            </w:r>
          </w:p>
        </w:tc>
        <w:tc>
          <w:tcPr>
            <w:tcW w:w="1276" w:type="dxa"/>
            <w:vAlign w:val="center"/>
          </w:tcPr>
          <w:p>
            <w:pPr>
              <w:jc w:val="center"/>
            </w:pPr>
            <w:r>
              <w:rPr>
                <w:color w:val="000000"/>
                <w:sz w:val="24"/>
              </w:rPr>
              <w:t>002841</w:t>
            </w:r>
          </w:p>
        </w:tc>
        <w:tc>
          <w:tcPr>
            <w:tcW w:w="1701" w:type="dxa"/>
            <w:vAlign w:val="center"/>
          </w:tcPr>
          <w:p>
            <w:pPr>
              <w:jc w:val="center"/>
            </w:pPr>
            <w:r>
              <w:rPr>
                <w:color w:val="000000"/>
                <w:sz w:val="24"/>
              </w:rPr>
              <w:t>视源股份</w:t>
            </w:r>
          </w:p>
        </w:tc>
        <w:tc>
          <w:tcPr>
            <w:tcW w:w="1559" w:type="dxa"/>
            <w:vAlign w:val="center"/>
          </w:tcPr>
          <w:p>
            <w:pPr>
              <w:jc w:val="right"/>
            </w:pPr>
            <w:r>
              <w:rPr>
                <w:color w:val="000000"/>
                <w:sz w:val="24"/>
              </w:rPr>
              <w:t>5,029,383</w:t>
            </w:r>
          </w:p>
        </w:tc>
        <w:tc>
          <w:tcPr>
            <w:tcW w:w="1932" w:type="dxa"/>
            <w:vAlign w:val="center"/>
          </w:tcPr>
          <w:p>
            <w:pPr>
              <w:jc w:val="right"/>
            </w:pPr>
            <w:r>
              <w:rPr>
                <w:color w:val="000000"/>
                <w:sz w:val="24"/>
              </w:rPr>
              <w:t>578,529,926.49</w:t>
            </w:r>
          </w:p>
        </w:tc>
        <w:tc>
          <w:tcPr>
            <w:tcW w:w="1612" w:type="dxa"/>
            <w:vAlign w:val="center"/>
          </w:tcPr>
          <w:p>
            <w:pPr>
              <w:jc w:val="right"/>
            </w:pPr>
            <w:r>
              <w:rPr>
                <w:color w:val="000000"/>
                <w:sz w:val="24"/>
              </w:rPr>
              <w:t>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w:t>
            </w:r>
          </w:p>
        </w:tc>
        <w:tc>
          <w:tcPr>
            <w:tcW w:w="1276" w:type="dxa"/>
            <w:vAlign w:val="center"/>
          </w:tcPr>
          <w:p>
            <w:pPr>
              <w:jc w:val="center"/>
            </w:pPr>
            <w:r>
              <w:rPr>
                <w:color w:val="000000"/>
                <w:sz w:val="24"/>
              </w:rPr>
              <w:t>002049</w:t>
            </w:r>
          </w:p>
        </w:tc>
        <w:tc>
          <w:tcPr>
            <w:tcW w:w="1701" w:type="dxa"/>
            <w:vAlign w:val="center"/>
          </w:tcPr>
          <w:p>
            <w:pPr>
              <w:jc w:val="center"/>
            </w:pPr>
            <w:r>
              <w:rPr>
                <w:color w:val="000000"/>
                <w:sz w:val="24"/>
              </w:rPr>
              <w:t>紫光国微</w:t>
            </w:r>
          </w:p>
        </w:tc>
        <w:tc>
          <w:tcPr>
            <w:tcW w:w="1559" w:type="dxa"/>
            <w:vAlign w:val="center"/>
          </w:tcPr>
          <w:p>
            <w:pPr>
              <w:jc w:val="right"/>
            </w:pPr>
            <w:r>
              <w:rPr>
                <w:color w:val="000000"/>
                <w:sz w:val="24"/>
              </w:rPr>
              <w:t>4,319,486</w:t>
            </w:r>
          </w:p>
        </w:tc>
        <w:tc>
          <w:tcPr>
            <w:tcW w:w="1932" w:type="dxa"/>
            <w:vAlign w:val="center"/>
          </w:tcPr>
          <w:p>
            <w:pPr>
              <w:jc w:val="right"/>
            </w:pPr>
            <w:r>
              <w:rPr>
                <w:color w:val="000000"/>
                <w:sz w:val="24"/>
              </w:rPr>
              <w:t>577,990,421.66</w:t>
            </w:r>
          </w:p>
        </w:tc>
        <w:tc>
          <w:tcPr>
            <w:tcW w:w="1612" w:type="dxa"/>
            <w:vAlign w:val="center"/>
          </w:tcPr>
          <w:p>
            <w:pPr>
              <w:jc w:val="right"/>
            </w:pPr>
            <w:r>
              <w:rPr>
                <w:color w:val="000000"/>
                <w:sz w:val="24"/>
              </w:rPr>
              <w:t>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w:t>
            </w:r>
          </w:p>
        </w:tc>
        <w:tc>
          <w:tcPr>
            <w:tcW w:w="1276" w:type="dxa"/>
            <w:vAlign w:val="center"/>
          </w:tcPr>
          <w:p>
            <w:pPr>
              <w:jc w:val="center"/>
            </w:pPr>
            <w:r>
              <w:rPr>
                <w:color w:val="000000"/>
                <w:sz w:val="24"/>
              </w:rPr>
              <w:t>601318</w:t>
            </w:r>
          </w:p>
        </w:tc>
        <w:tc>
          <w:tcPr>
            <w:tcW w:w="1701" w:type="dxa"/>
            <w:vAlign w:val="center"/>
          </w:tcPr>
          <w:p>
            <w:pPr>
              <w:jc w:val="center"/>
            </w:pPr>
            <w:r>
              <w:rPr>
                <w:color w:val="000000"/>
                <w:sz w:val="24"/>
              </w:rPr>
              <w:t>中国平安</w:t>
            </w:r>
          </w:p>
        </w:tc>
        <w:tc>
          <w:tcPr>
            <w:tcW w:w="1559" w:type="dxa"/>
            <w:vAlign w:val="center"/>
          </w:tcPr>
          <w:p>
            <w:pPr>
              <w:jc w:val="right"/>
            </w:pPr>
            <w:r>
              <w:rPr>
                <w:color w:val="000000"/>
                <w:sz w:val="24"/>
              </w:rPr>
              <w:t>6,441,403</w:t>
            </w:r>
          </w:p>
        </w:tc>
        <w:tc>
          <w:tcPr>
            <w:tcW w:w="1932" w:type="dxa"/>
            <w:vAlign w:val="center"/>
          </w:tcPr>
          <w:p>
            <w:pPr>
              <w:jc w:val="right"/>
            </w:pPr>
            <w:r>
              <w:rPr>
                <w:color w:val="000000"/>
                <w:sz w:val="24"/>
              </w:rPr>
              <w:t>560,273,232.94</w:t>
            </w:r>
          </w:p>
        </w:tc>
        <w:tc>
          <w:tcPr>
            <w:tcW w:w="1612" w:type="dxa"/>
            <w:vAlign w:val="center"/>
          </w:tcPr>
          <w:p>
            <w:pPr>
              <w:jc w:val="right"/>
            </w:pPr>
            <w:r>
              <w:rPr>
                <w:color w:val="000000"/>
                <w:sz w:val="24"/>
              </w:rPr>
              <w:t>4.75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w:t>
            </w:r>
          </w:p>
        </w:tc>
        <w:tc>
          <w:tcPr>
            <w:tcW w:w="1276" w:type="dxa"/>
            <w:vAlign w:val="center"/>
          </w:tcPr>
          <w:p>
            <w:pPr>
              <w:jc w:val="center"/>
            </w:pPr>
            <w:r>
              <w:rPr>
                <w:color w:val="000000"/>
                <w:sz w:val="24"/>
              </w:rPr>
              <w:t>002415</w:t>
            </w:r>
          </w:p>
        </w:tc>
        <w:tc>
          <w:tcPr>
            <w:tcW w:w="1701" w:type="dxa"/>
            <w:vAlign w:val="center"/>
          </w:tcPr>
          <w:p>
            <w:pPr>
              <w:jc w:val="center"/>
            </w:pPr>
            <w:r>
              <w:rPr>
                <w:color w:val="000000"/>
                <w:sz w:val="24"/>
              </w:rPr>
              <w:t>海康威视</w:t>
            </w:r>
          </w:p>
        </w:tc>
        <w:tc>
          <w:tcPr>
            <w:tcW w:w="1559" w:type="dxa"/>
            <w:vAlign w:val="center"/>
          </w:tcPr>
          <w:p>
            <w:pPr>
              <w:jc w:val="right"/>
            </w:pPr>
            <w:r>
              <w:rPr>
                <w:color w:val="000000"/>
                <w:sz w:val="24"/>
              </w:rPr>
              <w:t>10,613,628</w:t>
            </w:r>
          </w:p>
        </w:tc>
        <w:tc>
          <w:tcPr>
            <w:tcW w:w="1932" w:type="dxa"/>
            <w:vAlign w:val="center"/>
          </w:tcPr>
          <w:p>
            <w:pPr>
              <w:jc w:val="right"/>
            </w:pPr>
            <w:r>
              <w:rPr>
                <w:color w:val="000000"/>
                <w:sz w:val="24"/>
              </w:rPr>
              <w:t>514,867,094.28</w:t>
            </w:r>
          </w:p>
        </w:tc>
        <w:tc>
          <w:tcPr>
            <w:tcW w:w="1612" w:type="dxa"/>
            <w:vAlign w:val="center"/>
          </w:tcPr>
          <w:p>
            <w:pPr>
              <w:jc w:val="right"/>
            </w:pPr>
            <w:r>
              <w:rPr>
                <w:color w:val="000000"/>
                <w:sz w:val="24"/>
              </w:rPr>
              <w:t>4.36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10</w:t>
            </w:r>
          </w:p>
        </w:tc>
        <w:tc>
          <w:tcPr>
            <w:tcW w:w="1276" w:type="dxa"/>
            <w:vAlign w:val="center"/>
          </w:tcPr>
          <w:p>
            <w:pPr>
              <w:jc w:val="center"/>
            </w:pPr>
            <w:r>
              <w:rPr>
                <w:color w:val="000000"/>
                <w:sz w:val="24"/>
              </w:rPr>
              <w:t>603259</w:t>
            </w:r>
          </w:p>
        </w:tc>
        <w:tc>
          <w:tcPr>
            <w:tcW w:w="1701" w:type="dxa"/>
            <w:vAlign w:val="center"/>
          </w:tcPr>
          <w:p>
            <w:pPr>
              <w:jc w:val="center"/>
            </w:pPr>
            <w:r>
              <w:rPr>
                <w:color w:val="000000"/>
                <w:sz w:val="24"/>
              </w:rPr>
              <w:t>药明康德</w:t>
            </w:r>
          </w:p>
        </w:tc>
        <w:tc>
          <w:tcPr>
            <w:tcW w:w="1559" w:type="dxa"/>
            <w:vAlign w:val="center"/>
          </w:tcPr>
          <w:p>
            <w:pPr>
              <w:jc w:val="right"/>
            </w:pPr>
            <w:r>
              <w:rPr>
                <w:color w:val="000000"/>
                <w:sz w:val="24"/>
              </w:rPr>
              <w:t>3,623,317</w:t>
            </w:r>
          </w:p>
        </w:tc>
        <w:tc>
          <w:tcPr>
            <w:tcW w:w="1932" w:type="dxa"/>
            <w:vAlign w:val="center"/>
          </w:tcPr>
          <w:p>
            <w:pPr>
              <w:jc w:val="right"/>
            </w:pPr>
            <w:r>
              <w:rPr>
                <w:color w:val="000000"/>
                <w:sz w:val="24"/>
              </w:rPr>
              <w:t>488,133,266.24</w:t>
            </w:r>
          </w:p>
        </w:tc>
        <w:tc>
          <w:tcPr>
            <w:tcW w:w="1612" w:type="dxa"/>
            <w:vAlign w:val="center"/>
          </w:tcPr>
          <w:p>
            <w:pPr>
              <w:jc w:val="right"/>
            </w:pPr>
            <w:r>
              <w:rPr>
                <w:color w:val="000000"/>
                <w:sz w:val="24"/>
              </w:rPr>
              <w:t>4.14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11</w:t>
            </w:r>
          </w:p>
        </w:tc>
        <w:tc>
          <w:tcPr>
            <w:tcW w:w="1276" w:type="dxa"/>
            <w:vAlign w:val="center"/>
          </w:tcPr>
          <w:p>
            <w:pPr>
              <w:jc w:val="center"/>
            </w:pPr>
            <w:r>
              <w:rPr>
                <w:color w:val="000000"/>
                <w:sz w:val="24"/>
              </w:rPr>
              <w:t>000733</w:t>
            </w:r>
          </w:p>
        </w:tc>
        <w:tc>
          <w:tcPr>
            <w:tcW w:w="1701" w:type="dxa"/>
            <w:vAlign w:val="center"/>
          </w:tcPr>
          <w:p>
            <w:pPr>
              <w:jc w:val="center"/>
            </w:pPr>
            <w:r>
              <w:rPr>
                <w:color w:val="000000"/>
                <w:sz w:val="24"/>
              </w:rPr>
              <w:t>振华科技</w:t>
            </w:r>
          </w:p>
        </w:tc>
        <w:tc>
          <w:tcPr>
            <w:tcW w:w="1559" w:type="dxa"/>
            <w:vAlign w:val="center"/>
          </w:tcPr>
          <w:p>
            <w:pPr>
              <w:jc w:val="right"/>
            </w:pPr>
            <w:r>
              <w:rPr>
                <w:color w:val="000000"/>
                <w:sz w:val="24"/>
              </w:rPr>
              <w:t>7,227,777</w:t>
            </w:r>
          </w:p>
        </w:tc>
        <w:tc>
          <w:tcPr>
            <w:tcW w:w="1932" w:type="dxa"/>
            <w:vAlign w:val="center"/>
          </w:tcPr>
          <w:p>
            <w:pPr>
              <w:jc w:val="right"/>
            </w:pPr>
            <w:r>
              <w:rPr>
                <w:color w:val="000000"/>
                <w:sz w:val="24"/>
              </w:rPr>
              <w:t>425,354,676.45</w:t>
            </w:r>
          </w:p>
        </w:tc>
        <w:tc>
          <w:tcPr>
            <w:tcW w:w="1612" w:type="dxa"/>
            <w:vAlign w:val="center"/>
          </w:tcPr>
          <w:p>
            <w:pPr>
              <w:jc w:val="right"/>
            </w:pPr>
            <w:r>
              <w:rPr>
                <w:color w:val="000000"/>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12</w:t>
            </w:r>
          </w:p>
        </w:tc>
        <w:tc>
          <w:tcPr>
            <w:tcW w:w="1276" w:type="dxa"/>
            <w:vAlign w:val="center"/>
          </w:tcPr>
          <w:p>
            <w:pPr>
              <w:jc w:val="center"/>
            </w:pPr>
            <w:r>
              <w:rPr>
                <w:color w:val="000000"/>
                <w:sz w:val="24"/>
              </w:rPr>
              <w:t>601155</w:t>
            </w:r>
          </w:p>
        </w:tc>
        <w:tc>
          <w:tcPr>
            <w:tcW w:w="1701" w:type="dxa"/>
            <w:vAlign w:val="center"/>
          </w:tcPr>
          <w:p>
            <w:pPr>
              <w:jc w:val="center"/>
            </w:pPr>
            <w:r>
              <w:rPr>
                <w:color w:val="000000"/>
                <w:sz w:val="24"/>
              </w:rPr>
              <w:t>新城控股</w:t>
            </w:r>
          </w:p>
        </w:tc>
        <w:tc>
          <w:tcPr>
            <w:tcW w:w="1559" w:type="dxa"/>
            <w:vAlign w:val="center"/>
          </w:tcPr>
          <w:p>
            <w:pPr>
              <w:jc w:val="right"/>
            </w:pPr>
            <w:r>
              <w:rPr>
                <w:color w:val="000000"/>
                <w:sz w:val="24"/>
              </w:rPr>
              <w:t>10,381,603</w:t>
            </w:r>
          </w:p>
        </w:tc>
        <w:tc>
          <w:tcPr>
            <w:tcW w:w="1932" w:type="dxa"/>
            <w:vAlign w:val="center"/>
          </w:tcPr>
          <w:p>
            <w:pPr>
              <w:jc w:val="right"/>
            </w:pPr>
            <w:r>
              <w:rPr>
                <w:color w:val="000000"/>
                <w:sz w:val="24"/>
              </w:rPr>
              <w:t>361,591,232.49</w:t>
            </w:r>
          </w:p>
        </w:tc>
        <w:tc>
          <w:tcPr>
            <w:tcW w:w="1612" w:type="dxa"/>
            <w:vAlign w:val="center"/>
          </w:tcPr>
          <w:p>
            <w:pPr>
              <w:jc w:val="right"/>
            </w:pPr>
            <w:r>
              <w:rPr>
                <w:color w:val="000000"/>
                <w:sz w:val="24"/>
              </w:rPr>
              <w:t>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13</w:t>
            </w:r>
          </w:p>
        </w:tc>
        <w:tc>
          <w:tcPr>
            <w:tcW w:w="1276" w:type="dxa"/>
            <w:vAlign w:val="center"/>
          </w:tcPr>
          <w:p>
            <w:pPr>
              <w:jc w:val="center"/>
            </w:pPr>
            <w:r>
              <w:rPr>
                <w:color w:val="000000"/>
                <w:sz w:val="24"/>
              </w:rPr>
              <w:t>603613</w:t>
            </w:r>
          </w:p>
        </w:tc>
        <w:tc>
          <w:tcPr>
            <w:tcW w:w="1701" w:type="dxa"/>
            <w:vAlign w:val="center"/>
          </w:tcPr>
          <w:p>
            <w:pPr>
              <w:jc w:val="center"/>
            </w:pPr>
            <w:r>
              <w:rPr>
                <w:color w:val="000000"/>
                <w:sz w:val="24"/>
              </w:rPr>
              <w:t>国联股份</w:t>
            </w:r>
          </w:p>
        </w:tc>
        <w:tc>
          <w:tcPr>
            <w:tcW w:w="1559" w:type="dxa"/>
            <w:vAlign w:val="center"/>
          </w:tcPr>
          <w:p>
            <w:pPr>
              <w:jc w:val="right"/>
            </w:pPr>
            <w:r>
              <w:rPr>
                <w:color w:val="000000"/>
                <w:sz w:val="24"/>
              </w:rPr>
              <w:t>2,891,882</w:t>
            </w:r>
          </w:p>
        </w:tc>
        <w:tc>
          <w:tcPr>
            <w:tcW w:w="1932" w:type="dxa"/>
            <w:vAlign w:val="center"/>
          </w:tcPr>
          <w:p>
            <w:pPr>
              <w:jc w:val="right"/>
            </w:pPr>
            <w:r>
              <w:rPr>
                <w:color w:val="000000"/>
                <w:sz w:val="24"/>
              </w:rPr>
              <w:t>357,132,861.20</w:t>
            </w:r>
          </w:p>
        </w:tc>
        <w:tc>
          <w:tcPr>
            <w:tcW w:w="1612" w:type="dxa"/>
            <w:vAlign w:val="center"/>
          </w:tcPr>
          <w:p>
            <w:pPr>
              <w:jc w:val="right"/>
            </w:pPr>
            <w:r>
              <w:rPr>
                <w:color w:val="000000"/>
                <w:sz w:val="24"/>
              </w:rPr>
              <w:t>3.03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14</w:t>
            </w:r>
          </w:p>
        </w:tc>
        <w:tc>
          <w:tcPr>
            <w:tcW w:w="1276" w:type="dxa"/>
            <w:vAlign w:val="center"/>
          </w:tcPr>
          <w:p>
            <w:pPr>
              <w:jc w:val="center"/>
            </w:pPr>
            <w:r>
              <w:rPr>
                <w:color w:val="000000"/>
                <w:sz w:val="24"/>
              </w:rPr>
              <w:t>300144</w:t>
            </w:r>
          </w:p>
        </w:tc>
        <w:tc>
          <w:tcPr>
            <w:tcW w:w="1701" w:type="dxa"/>
            <w:vAlign w:val="center"/>
          </w:tcPr>
          <w:p>
            <w:pPr>
              <w:jc w:val="center"/>
            </w:pPr>
            <w:r>
              <w:rPr>
                <w:color w:val="000000"/>
                <w:sz w:val="24"/>
              </w:rPr>
              <w:t>宋城演艺</w:t>
            </w:r>
          </w:p>
        </w:tc>
        <w:tc>
          <w:tcPr>
            <w:tcW w:w="1559" w:type="dxa"/>
            <w:vAlign w:val="center"/>
          </w:tcPr>
          <w:p>
            <w:pPr>
              <w:jc w:val="right"/>
            </w:pPr>
            <w:r>
              <w:rPr>
                <w:color w:val="000000"/>
                <w:sz w:val="24"/>
              </w:rPr>
              <w:t>20,002,389</w:t>
            </w:r>
          </w:p>
        </w:tc>
        <w:tc>
          <w:tcPr>
            <w:tcW w:w="1932" w:type="dxa"/>
            <w:vAlign w:val="center"/>
          </w:tcPr>
          <w:p>
            <w:pPr>
              <w:jc w:val="right"/>
            </w:pPr>
            <w:r>
              <w:rPr>
                <w:color w:val="000000"/>
                <w:sz w:val="24"/>
              </w:rPr>
              <w:t>346,659,333.08</w:t>
            </w:r>
          </w:p>
        </w:tc>
        <w:tc>
          <w:tcPr>
            <w:tcW w:w="1612" w:type="dxa"/>
            <w:vAlign w:val="center"/>
          </w:tcPr>
          <w:p>
            <w:pPr>
              <w:jc w:val="right"/>
            </w:pPr>
            <w:r>
              <w:rPr>
                <w:color w:val="000000"/>
                <w:sz w:val="24"/>
              </w:rPr>
              <w:t>2.94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15</w:t>
            </w:r>
          </w:p>
        </w:tc>
        <w:tc>
          <w:tcPr>
            <w:tcW w:w="1276" w:type="dxa"/>
            <w:vAlign w:val="center"/>
          </w:tcPr>
          <w:p>
            <w:pPr>
              <w:jc w:val="center"/>
            </w:pPr>
            <w:r>
              <w:rPr>
                <w:color w:val="000000"/>
                <w:sz w:val="24"/>
              </w:rPr>
              <w:t>601233</w:t>
            </w:r>
          </w:p>
        </w:tc>
        <w:tc>
          <w:tcPr>
            <w:tcW w:w="1701" w:type="dxa"/>
            <w:vAlign w:val="center"/>
          </w:tcPr>
          <w:p>
            <w:pPr>
              <w:jc w:val="center"/>
            </w:pPr>
            <w:r>
              <w:rPr>
                <w:color w:val="000000"/>
                <w:sz w:val="24"/>
              </w:rPr>
              <w:t>桐昆股份</w:t>
            </w:r>
          </w:p>
        </w:tc>
        <w:tc>
          <w:tcPr>
            <w:tcW w:w="1559" w:type="dxa"/>
            <w:vAlign w:val="center"/>
          </w:tcPr>
          <w:p>
            <w:pPr>
              <w:jc w:val="right"/>
            </w:pPr>
            <w:r>
              <w:rPr>
                <w:color w:val="000000"/>
                <w:sz w:val="24"/>
              </w:rPr>
              <w:t>16,055,216</w:t>
            </w:r>
          </w:p>
        </w:tc>
        <w:tc>
          <w:tcPr>
            <w:tcW w:w="1932" w:type="dxa"/>
            <w:vAlign w:val="center"/>
          </w:tcPr>
          <w:p>
            <w:pPr>
              <w:jc w:val="right"/>
            </w:pPr>
            <w:r>
              <w:rPr>
                <w:color w:val="000000"/>
                <w:sz w:val="24"/>
              </w:rPr>
              <w:t>330,576,897.44</w:t>
            </w:r>
          </w:p>
        </w:tc>
        <w:tc>
          <w:tcPr>
            <w:tcW w:w="1612" w:type="dxa"/>
            <w:vAlign w:val="center"/>
          </w:tcPr>
          <w:p>
            <w:pPr>
              <w:jc w:val="right"/>
            </w:pPr>
            <w:r>
              <w:rPr>
                <w:color w:val="000000"/>
                <w:sz w:val="24"/>
              </w:rPr>
              <w:t>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vAlign w:val="center"/>
          </w:tcPr>
          <w:p>
            <w:pPr>
              <w:jc w:val="center"/>
            </w:pPr>
            <w:r>
              <w:rPr>
                <w:color w:val="000000"/>
                <w:sz w:val="24"/>
              </w:rPr>
              <w:t>16</w:t>
            </w:r>
          </w:p>
        </w:tc>
        <w:tc>
          <w:tcPr>
            <w:tcW w:w="1276" w:type="dxa"/>
            <w:vAlign w:val="center"/>
          </w:tcPr>
          <w:p>
            <w:pPr>
              <w:jc w:val="center"/>
            </w:pPr>
            <w:r>
              <w:rPr>
                <w:color w:val="000000"/>
                <w:sz w:val="24"/>
              </w:rPr>
              <w:t>002230</w:t>
            </w:r>
          </w:p>
        </w:tc>
        <w:tc>
          <w:tcPr>
            <w:tcW w:w="1701" w:type="dxa"/>
            <w:vAlign w:val="center"/>
          </w:tcPr>
          <w:p>
            <w:pPr>
              <w:jc w:val="center"/>
            </w:pPr>
            <w:r>
              <w:rPr>
                <w:color w:val="000000"/>
                <w:sz w:val="24"/>
              </w:rPr>
              <w:t>科大讯飞</w:t>
            </w:r>
          </w:p>
        </w:tc>
        <w:tc>
          <w:tcPr>
            <w:tcW w:w="1559" w:type="dxa"/>
            <w:vAlign w:val="center"/>
          </w:tcPr>
          <w:p>
            <w:pPr>
              <w:jc w:val="right"/>
            </w:pPr>
            <w:r>
              <w:rPr>
                <w:color w:val="000000"/>
                <w:sz w:val="24"/>
              </w:rPr>
              <w:t>7,683,622</w:t>
            </w:r>
          </w:p>
        </w:tc>
        <w:tc>
          <w:tcPr>
            <w:tcW w:w="1932" w:type="dxa"/>
            <w:vAlign w:val="center"/>
          </w:tcPr>
          <w:p>
            <w:pPr>
              <w:jc w:val="right"/>
            </w:pPr>
            <w:r>
              <w:rPr>
                <w:color w:val="000000"/>
                <w:sz w:val="24"/>
              </w:rPr>
              <w:t>314,029,631.14</w:t>
            </w:r>
          </w:p>
        </w:tc>
        <w:tc>
          <w:tcPr>
            <w:tcW w:w="1612" w:type="dxa"/>
            <w:vAlign w:val="center"/>
          </w:tcPr>
          <w:p>
            <w:pPr>
              <w:jc w:val="right"/>
            </w:pPr>
            <w:r>
              <w:rPr>
                <w:color w:val="000000"/>
                <w:sz w:val="24"/>
              </w:rPr>
              <w:t>2.66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17</w:t>
            </w:r>
          </w:p>
        </w:tc>
        <w:tc>
          <w:tcPr>
            <w:tcW w:w="1276" w:type="dxa"/>
            <w:vAlign w:val="center"/>
          </w:tcPr>
          <w:p>
            <w:pPr>
              <w:jc w:val="center"/>
            </w:pPr>
            <w:r>
              <w:rPr>
                <w:color w:val="000000"/>
                <w:sz w:val="24"/>
              </w:rPr>
              <w:t>001914</w:t>
            </w:r>
          </w:p>
        </w:tc>
        <w:tc>
          <w:tcPr>
            <w:tcW w:w="1701" w:type="dxa"/>
            <w:vAlign w:val="center"/>
          </w:tcPr>
          <w:p>
            <w:pPr>
              <w:jc w:val="center"/>
            </w:pPr>
            <w:r>
              <w:rPr>
                <w:color w:val="000000"/>
                <w:sz w:val="24"/>
              </w:rPr>
              <w:t>招商积余</w:t>
            </w:r>
          </w:p>
        </w:tc>
        <w:tc>
          <w:tcPr>
            <w:tcW w:w="1559" w:type="dxa"/>
            <w:vAlign w:val="center"/>
          </w:tcPr>
          <w:p>
            <w:pPr>
              <w:jc w:val="right"/>
            </w:pPr>
            <w:r>
              <w:rPr>
                <w:color w:val="000000"/>
                <w:sz w:val="24"/>
              </w:rPr>
              <w:t>9,434,290</w:t>
            </w:r>
          </w:p>
        </w:tc>
        <w:tc>
          <w:tcPr>
            <w:tcW w:w="1932" w:type="dxa"/>
            <w:vAlign w:val="center"/>
          </w:tcPr>
          <w:p>
            <w:pPr>
              <w:jc w:val="right"/>
            </w:pPr>
            <w:r>
              <w:rPr>
                <w:color w:val="000000"/>
                <w:sz w:val="24"/>
              </w:rPr>
              <w:t>203,120,263.70</w:t>
            </w:r>
          </w:p>
        </w:tc>
        <w:tc>
          <w:tcPr>
            <w:tcW w:w="1612" w:type="dxa"/>
            <w:vAlign w:val="center"/>
          </w:tcPr>
          <w:p>
            <w:pPr>
              <w:jc w:val="right"/>
            </w:pPr>
            <w:r>
              <w:rPr>
                <w:color w:val="000000"/>
                <w:sz w:val="24"/>
              </w:rPr>
              <w:t>1.72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18</w:t>
            </w:r>
          </w:p>
        </w:tc>
        <w:tc>
          <w:tcPr>
            <w:tcW w:w="1276" w:type="dxa"/>
            <w:vAlign w:val="center"/>
          </w:tcPr>
          <w:p>
            <w:pPr>
              <w:jc w:val="center"/>
            </w:pPr>
            <w:r>
              <w:rPr>
                <w:color w:val="000000"/>
                <w:sz w:val="24"/>
              </w:rPr>
              <w:t>002311</w:t>
            </w:r>
          </w:p>
        </w:tc>
        <w:tc>
          <w:tcPr>
            <w:tcW w:w="1701" w:type="dxa"/>
            <w:vAlign w:val="center"/>
          </w:tcPr>
          <w:p>
            <w:pPr>
              <w:jc w:val="center"/>
            </w:pPr>
            <w:r>
              <w:rPr>
                <w:color w:val="000000"/>
                <w:sz w:val="24"/>
              </w:rPr>
              <w:t>海大集团</w:t>
            </w:r>
          </w:p>
        </w:tc>
        <w:tc>
          <w:tcPr>
            <w:tcW w:w="1559" w:type="dxa"/>
            <w:vAlign w:val="center"/>
          </w:tcPr>
          <w:p>
            <w:pPr>
              <w:jc w:val="right"/>
            </w:pPr>
            <w:r>
              <w:rPr>
                <w:color w:val="000000"/>
                <w:sz w:val="24"/>
              </w:rPr>
              <w:t>2,929,944</w:t>
            </w:r>
          </w:p>
        </w:tc>
        <w:tc>
          <w:tcPr>
            <w:tcW w:w="1932" w:type="dxa"/>
            <w:vAlign w:val="center"/>
          </w:tcPr>
          <w:p>
            <w:pPr>
              <w:jc w:val="right"/>
            </w:pPr>
            <w:r>
              <w:rPr>
                <w:color w:val="000000"/>
                <w:sz w:val="24"/>
              </w:rPr>
              <w:t>191,911,332.00</w:t>
            </w:r>
          </w:p>
        </w:tc>
        <w:tc>
          <w:tcPr>
            <w:tcW w:w="1612" w:type="dxa"/>
            <w:vAlign w:val="center"/>
          </w:tcPr>
          <w:p>
            <w:pPr>
              <w:jc w:val="right"/>
            </w:pPr>
            <w:r>
              <w:rPr>
                <w:color w:val="000000"/>
                <w:sz w:val="24"/>
              </w:rPr>
              <w:t>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19</w:t>
            </w:r>
          </w:p>
        </w:tc>
        <w:tc>
          <w:tcPr>
            <w:tcW w:w="1276" w:type="dxa"/>
            <w:vAlign w:val="center"/>
          </w:tcPr>
          <w:p>
            <w:pPr>
              <w:jc w:val="center"/>
            </w:pPr>
            <w:r>
              <w:rPr>
                <w:color w:val="000000"/>
                <w:sz w:val="24"/>
              </w:rPr>
              <w:t>688301</w:t>
            </w:r>
          </w:p>
        </w:tc>
        <w:tc>
          <w:tcPr>
            <w:tcW w:w="1701" w:type="dxa"/>
            <w:vAlign w:val="center"/>
          </w:tcPr>
          <w:p>
            <w:pPr>
              <w:jc w:val="center"/>
            </w:pPr>
            <w:r>
              <w:rPr>
                <w:color w:val="000000"/>
                <w:sz w:val="24"/>
              </w:rPr>
              <w:t>奕瑞科技</w:t>
            </w:r>
          </w:p>
        </w:tc>
        <w:tc>
          <w:tcPr>
            <w:tcW w:w="1559" w:type="dxa"/>
            <w:vAlign w:val="center"/>
          </w:tcPr>
          <w:p>
            <w:pPr>
              <w:jc w:val="right"/>
            </w:pPr>
            <w:r>
              <w:rPr>
                <w:color w:val="000000"/>
                <w:sz w:val="24"/>
              </w:rPr>
              <w:t>1,064,444</w:t>
            </w:r>
          </w:p>
        </w:tc>
        <w:tc>
          <w:tcPr>
            <w:tcW w:w="1932" w:type="dxa"/>
            <w:vAlign w:val="center"/>
          </w:tcPr>
          <w:p>
            <w:pPr>
              <w:jc w:val="right"/>
            </w:pPr>
            <w:r>
              <w:rPr>
                <w:color w:val="000000"/>
                <w:sz w:val="24"/>
              </w:rPr>
              <w:t>182,754,390.36</w:t>
            </w:r>
          </w:p>
        </w:tc>
        <w:tc>
          <w:tcPr>
            <w:tcW w:w="1612" w:type="dxa"/>
            <w:vAlign w:val="center"/>
          </w:tcPr>
          <w:p>
            <w:pPr>
              <w:jc w:val="right"/>
            </w:pPr>
            <w:r>
              <w:rPr>
                <w:color w:val="000000"/>
                <w:sz w:val="24"/>
              </w:rPr>
              <w:t>1.55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20</w:t>
            </w:r>
          </w:p>
        </w:tc>
        <w:tc>
          <w:tcPr>
            <w:tcW w:w="1276" w:type="dxa"/>
            <w:vAlign w:val="center"/>
          </w:tcPr>
          <w:p>
            <w:pPr>
              <w:jc w:val="center"/>
            </w:pPr>
            <w:r>
              <w:rPr>
                <w:color w:val="000000"/>
                <w:sz w:val="24"/>
              </w:rPr>
              <w:t>601899</w:t>
            </w:r>
          </w:p>
        </w:tc>
        <w:tc>
          <w:tcPr>
            <w:tcW w:w="1701" w:type="dxa"/>
            <w:vAlign w:val="center"/>
          </w:tcPr>
          <w:p>
            <w:pPr>
              <w:jc w:val="center"/>
            </w:pPr>
            <w:r>
              <w:rPr>
                <w:color w:val="000000"/>
                <w:sz w:val="24"/>
              </w:rPr>
              <w:t>紫金矿业</w:t>
            </w:r>
          </w:p>
        </w:tc>
        <w:tc>
          <w:tcPr>
            <w:tcW w:w="1559" w:type="dxa"/>
            <w:vAlign w:val="center"/>
          </w:tcPr>
          <w:p>
            <w:pPr>
              <w:jc w:val="right"/>
            </w:pPr>
            <w:r>
              <w:rPr>
                <w:color w:val="000000"/>
                <w:sz w:val="24"/>
              </w:rPr>
              <w:t>18,592,641</w:t>
            </w:r>
          </w:p>
        </w:tc>
        <w:tc>
          <w:tcPr>
            <w:tcW w:w="1932" w:type="dxa"/>
            <w:vAlign w:val="center"/>
          </w:tcPr>
          <w:p>
            <w:pPr>
              <w:jc w:val="right"/>
            </w:pPr>
            <w:r>
              <w:rPr>
                <w:color w:val="000000"/>
                <w:sz w:val="24"/>
              </w:rPr>
              <w:t>172,725,634.89</w:t>
            </w:r>
          </w:p>
        </w:tc>
        <w:tc>
          <w:tcPr>
            <w:tcW w:w="1612" w:type="dxa"/>
            <w:vAlign w:val="center"/>
          </w:tcPr>
          <w:p>
            <w:pPr>
              <w:jc w:val="right"/>
            </w:pPr>
            <w:r>
              <w:rPr>
                <w:color w:val="000000"/>
                <w:sz w:val="24"/>
              </w:rPr>
              <w:t>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21</w:t>
            </w:r>
          </w:p>
        </w:tc>
        <w:tc>
          <w:tcPr>
            <w:tcW w:w="1276" w:type="dxa"/>
            <w:vAlign w:val="center"/>
          </w:tcPr>
          <w:p>
            <w:pPr>
              <w:jc w:val="center"/>
            </w:pPr>
            <w:r>
              <w:rPr>
                <w:color w:val="000000"/>
                <w:sz w:val="24"/>
              </w:rPr>
              <w:t>002475</w:t>
            </w:r>
          </w:p>
        </w:tc>
        <w:tc>
          <w:tcPr>
            <w:tcW w:w="1701" w:type="dxa"/>
            <w:vAlign w:val="center"/>
          </w:tcPr>
          <w:p>
            <w:pPr>
              <w:jc w:val="center"/>
            </w:pPr>
            <w:r>
              <w:rPr>
                <w:color w:val="000000"/>
                <w:sz w:val="24"/>
              </w:rPr>
              <w:t>立讯精密</w:t>
            </w:r>
          </w:p>
        </w:tc>
        <w:tc>
          <w:tcPr>
            <w:tcW w:w="1559" w:type="dxa"/>
            <w:vAlign w:val="center"/>
          </w:tcPr>
          <w:p>
            <w:pPr>
              <w:jc w:val="right"/>
            </w:pPr>
            <w:r>
              <w:rPr>
                <w:color w:val="000000"/>
                <w:sz w:val="24"/>
              </w:rPr>
              <w:t>2,954,353</w:t>
            </w:r>
          </w:p>
        </w:tc>
        <w:tc>
          <w:tcPr>
            <w:tcW w:w="1932" w:type="dxa"/>
            <w:vAlign w:val="center"/>
          </w:tcPr>
          <w:p>
            <w:pPr>
              <w:jc w:val="right"/>
            </w:pPr>
            <w:r>
              <w:rPr>
                <w:color w:val="000000"/>
                <w:sz w:val="24"/>
              </w:rPr>
              <w:t>165,798,290.36</w:t>
            </w:r>
          </w:p>
        </w:tc>
        <w:tc>
          <w:tcPr>
            <w:tcW w:w="1612" w:type="dxa"/>
            <w:vAlign w:val="center"/>
          </w:tcPr>
          <w:p>
            <w:pPr>
              <w:jc w:val="right"/>
            </w:pPr>
            <w:r>
              <w:rPr>
                <w:color w:val="000000"/>
                <w:sz w:val="24"/>
              </w:rPr>
              <w:t>1.41</w:t>
            </w:r>
          </w:p>
        </w:tc>
      </w:tr>
      <w:tr>
        <w:tblPrEx>
          <w:tblCellMar>
            <w:top w:w="0" w:type="dxa"/>
            <w:left w:w="108" w:type="dxa"/>
            <w:bottom w:w="0" w:type="dxa"/>
            <w:right w:w="108" w:type="dxa"/>
          </w:tblCellMar>
        </w:tblPrEx>
        <w:trPr>
          <w:jc w:val="center"/>
        </w:trPr>
        <w:tc>
          <w:tcPr>
            <w:tcW w:w="817" w:type="dxa"/>
            <w:vAlign w:val="center"/>
          </w:tcPr>
          <w:p>
            <w:pPr>
              <w:jc w:val="center"/>
            </w:pPr>
            <w:r>
              <w:rPr>
                <w:color w:val="000000"/>
                <w:sz w:val="24"/>
              </w:rPr>
              <w:t>22</w:t>
            </w:r>
          </w:p>
        </w:tc>
        <w:tc>
          <w:tcPr>
            <w:tcW w:w="1276" w:type="dxa"/>
            <w:vAlign w:val="center"/>
          </w:tcPr>
          <w:p>
            <w:pPr>
              <w:jc w:val="center"/>
            </w:pPr>
            <w:r>
              <w:rPr>
                <w:color w:val="000000"/>
                <w:sz w:val="24"/>
              </w:rPr>
              <w:t>600346</w:t>
            </w:r>
          </w:p>
        </w:tc>
        <w:tc>
          <w:tcPr>
            <w:tcW w:w="1701" w:type="dxa"/>
            <w:vAlign w:val="center"/>
          </w:tcPr>
          <w:p>
            <w:pPr>
              <w:jc w:val="center"/>
            </w:pPr>
            <w:r>
              <w:rPr>
                <w:color w:val="000000"/>
                <w:sz w:val="24"/>
              </w:rPr>
              <w:t>恒力石化</w:t>
            </w:r>
          </w:p>
        </w:tc>
        <w:tc>
          <w:tcPr>
            <w:tcW w:w="1559" w:type="dxa"/>
            <w:vAlign w:val="center"/>
          </w:tcPr>
          <w:p>
            <w:pPr>
              <w:jc w:val="right"/>
            </w:pPr>
            <w:r>
              <w:rPr>
                <w:color w:val="000000"/>
                <w:sz w:val="24"/>
              </w:rPr>
              <w:t>5,102,196</w:t>
            </w:r>
          </w:p>
        </w:tc>
        <w:tc>
          <w:tcPr>
            <w:tcW w:w="1932" w:type="dxa"/>
            <w:vAlign w:val="center"/>
          </w:tcPr>
          <w:p>
            <w:pPr>
              <w:jc w:val="right"/>
            </w:pPr>
            <w:r>
              <w:rPr>
                <w:color w:val="000000"/>
                <w:sz w:val="24"/>
              </w:rPr>
              <w:t>142,708,422.12</w:t>
            </w:r>
          </w:p>
        </w:tc>
        <w:tc>
          <w:tcPr>
            <w:tcW w:w="1612" w:type="dxa"/>
            <w:vAlign w:val="center"/>
          </w:tcPr>
          <w:p>
            <w:pPr>
              <w:jc w:val="right"/>
            </w:pPr>
            <w:r>
              <w:rPr>
                <w:color w:val="000000"/>
                <w:sz w:val="24"/>
              </w:rPr>
              <w:t>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23</w:t>
            </w:r>
          </w:p>
        </w:tc>
        <w:tc>
          <w:tcPr>
            <w:tcW w:w="1276" w:type="dxa"/>
            <w:vAlign w:val="center"/>
          </w:tcPr>
          <w:p>
            <w:pPr>
              <w:jc w:val="center"/>
            </w:pPr>
            <w:r>
              <w:rPr>
                <w:color w:val="000000"/>
                <w:sz w:val="24"/>
              </w:rPr>
              <w:t>002459</w:t>
            </w:r>
          </w:p>
        </w:tc>
        <w:tc>
          <w:tcPr>
            <w:tcW w:w="1701" w:type="dxa"/>
            <w:vAlign w:val="center"/>
          </w:tcPr>
          <w:p>
            <w:pPr>
              <w:jc w:val="center"/>
            </w:pPr>
            <w:r>
              <w:rPr>
                <w:color w:val="000000"/>
                <w:sz w:val="24"/>
              </w:rPr>
              <w:t>晶澳科技</w:t>
            </w:r>
          </w:p>
        </w:tc>
        <w:tc>
          <w:tcPr>
            <w:tcW w:w="1559" w:type="dxa"/>
            <w:vAlign w:val="center"/>
          </w:tcPr>
          <w:p>
            <w:pPr>
              <w:jc w:val="right"/>
            </w:pPr>
            <w:r>
              <w:rPr>
                <w:color w:val="000000"/>
                <w:sz w:val="24"/>
              </w:rPr>
              <w:t>3,004,695</w:t>
            </w:r>
          </w:p>
        </w:tc>
        <w:tc>
          <w:tcPr>
            <w:tcW w:w="1932" w:type="dxa"/>
            <w:vAlign w:val="center"/>
          </w:tcPr>
          <w:p>
            <w:pPr>
              <w:jc w:val="right"/>
            </w:pPr>
            <w:r>
              <w:rPr>
                <w:color w:val="000000"/>
                <w:sz w:val="24"/>
              </w:rPr>
              <w:t>110,753,057.70</w:t>
            </w:r>
          </w:p>
        </w:tc>
        <w:tc>
          <w:tcPr>
            <w:tcW w:w="1612" w:type="dxa"/>
            <w:vAlign w:val="center"/>
          </w:tcPr>
          <w:p>
            <w:pPr>
              <w:jc w:val="right"/>
            </w:pPr>
            <w:r>
              <w:rPr>
                <w:color w:val="000000"/>
                <w:sz w:val="24"/>
              </w:rPr>
              <w:t>0.94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24</w:t>
            </w:r>
          </w:p>
        </w:tc>
        <w:tc>
          <w:tcPr>
            <w:tcW w:w="1276" w:type="dxa"/>
            <w:vAlign w:val="center"/>
          </w:tcPr>
          <w:p>
            <w:pPr>
              <w:jc w:val="center"/>
            </w:pPr>
            <w:r>
              <w:rPr>
                <w:color w:val="000000"/>
                <w:sz w:val="24"/>
              </w:rPr>
              <w:t>603658</w:t>
            </w:r>
          </w:p>
        </w:tc>
        <w:tc>
          <w:tcPr>
            <w:tcW w:w="1701" w:type="dxa"/>
            <w:vAlign w:val="center"/>
          </w:tcPr>
          <w:p>
            <w:pPr>
              <w:jc w:val="center"/>
            </w:pPr>
            <w:r>
              <w:rPr>
                <w:color w:val="000000"/>
                <w:sz w:val="24"/>
              </w:rPr>
              <w:t>安图生物</w:t>
            </w:r>
          </w:p>
        </w:tc>
        <w:tc>
          <w:tcPr>
            <w:tcW w:w="1559" w:type="dxa"/>
            <w:vAlign w:val="center"/>
          </w:tcPr>
          <w:p>
            <w:pPr>
              <w:jc w:val="right"/>
            </w:pPr>
            <w:r>
              <w:rPr>
                <w:color w:val="000000"/>
                <w:sz w:val="24"/>
              </w:rPr>
              <w:t>680,000</w:t>
            </w:r>
          </w:p>
        </w:tc>
        <w:tc>
          <w:tcPr>
            <w:tcW w:w="1932" w:type="dxa"/>
            <w:vAlign w:val="center"/>
          </w:tcPr>
          <w:p>
            <w:pPr>
              <w:jc w:val="right"/>
            </w:pPr>
            <w:r>
              <w:rPr>
                <w:color w:val="000000"/>
                <w:sz w:val="24"/>
              </w:rPr>
              <w:t>97,097,200.00</w:t>
            </w:r>
          </w:p>
        </w:tc>
        <w:tc>
          <w:tcPr>
            <w:tcW w:w="1612" w:type="dxa"/>
            <w:vAlign w:val="center"/>
          </w:tcPr>
          <w:p>
            <w:pPr>
              <w:jc w:val="right"/>
            </w:pPr>
            <w:r>
              <w:rPr>
                <w:color w:val="000000"/>
                <w:sz w:val="24"/>
              </w:rPr>
              <w:t>0.82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25</w:t>
            </w:r>
          </w:p>
        </w:tc>
        <w:tc>
          <w:tcPr>
            <w:tcW w:w="1276" w:type="dxa"/>
            <w:vAlign w:val="center"/>
          </w:tcPr>
          <w:p>
            <w:pPr>
              <w:jc w:val="center"/>
            </w:pPr>
            <w:r>
              <w:rPr>
                <w:color w:val="000000"/>
                <w:sz w:val="24"/>
              </w:rPr>
              <w:t>605123</w:t>
            </w:r>
          </w:p>
        </w:tc>
        <w:tc>
          <w:tcPr>
            <w:tcW w:w="1701" w:type="dxa"/>
            <w:vAlign w:val="center"/>
          </w:tcPr>
          <w:p>
            <w:pPr>
              <w:jc w:val="center"/>
            </w:pPr>
            <w:r>
              <w:rPr>
                <w:color w:val="000000"/>
                <w:sz w:val="24"/>
              </w:rPr>
              <w:t>派克新材</w:t>
            </w:r>
          </w:p>
        </w:tc>
        <w:tc>
          <w:tcPr>
            <w:tcW w:w="1559" w:type="dxa"/>
            <w:vAlign w:val="center"/>
          </w:tcPr>
          <w:p>
            <w:pPr>
              <w:jc w:val="right"/>
            </w:pPr>
            <w:r>
              <w:rPr>
                <w:color w:val="000000"/>
                <w:sz w:val="24"/>
              </w:rPr>
              <w:t>999,396</w:t>
            </w:r>
          </w:p>
        </w:tc>
        <w:tc>
          <w:tcPr>
            <w:tcW w:w="1932" w:type="dxa"/>
            <w:vAlign w:val="center"/>
          </w:tcPr>
          <w:p>
            <w:pPr>
              <w:jc w:val="right"/>
            </w:pPr>
            <w:r>
              <w:rPr>
                <w:color w:val="000000"/>
                <w:sz w:val="24"/>
              </w:rPr>
              <w:t>80,311,462.56</w:t>
            </w:r>
          </w:p>
        </w:tc>
        <w:tc>
          <w:tcPr>
            <w:tcW w:w="1612" w:type="dxa"/>
            <w:vAlign w:val="center"/>
          </w:tcPr>
          <w:p>
            <w:pPr>
              <w:jc w:val="right"/>
            </w:pPr>
            <w:r>
              <w:rPr>
                <w:color w:val="000000"/>
                <w:sz w:val="24"/>
              </w:rPr>
              <w:t>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26</w:t>
            </w:r>
          </w:p>
        </w:tc>
        <w:tc>
          <w:tcPr>
            <w:tcW w:w="1276" w:type="dxa"/>
            <w:vAlign w:val="center"/>
          </w:tcPr>
          <w:p>
            <w:pPr>
              <w:jc w:val="center"/>
            </w:pPr>
            <w:r>
              <w:rPr>
                <w:color w:val="000000"/>
                <w:sz w:val="24"/>
              </w:rPr>
              <w:t>688008</w:t>
            </w:r>
          </w:p>
        </w:tc>
        <w:tc>
          <w:tcPr>
            <w:tcW w:w="1701" w:type="dxa"/>
            <w:vAlign w:val="center"/>
          </w:tcPr>
          <w:p>
            <w:pPr>
              <w:jc w:val="center"/>
            </w:pPr>
            <w:r>
              <w:rPr>
                <w:color w:val="000000"/>
                <w:sz w:val="24"/>
              </w:rPr>
              <w:t>澜起科技</w:t>
            </w:r>
          </w:p>
        </w:tc>
        <w:tc>
          <w:tcPr>
            <w:tcW w:w="1559" w:type="dxa"/>
            <w:vAlign w:val="center"/>
          </w:tcPr>
          <w:p>
            <w:pPr>
              <w:jc w:val="right"/>
            </w:pPr>
            <w:r>
              <w:rPr>
                <w:color w:val="000000"/>
                <w:sz w:val="24"/>
              </w:rPr>
              <w:t>820,000</w:t>
            </w:r>
          </w:p>
        </w:tc>
        <w:tc>
          <w:tcPr>
            <w:tcW w:w="1932" w:type="dxa"/>
            <w:vAlign w:val="center"/>
          </w:tcPr>
          <w:p>
            <w:pPr>
              <w:jc w:val="right"/>
            </w:pPr>
            <w:r>
              <w:rPr>
                <w:color w:val="000000"/>
                <w:sz w:val="24"/>
              </w:rPr>
              <w:t>64,698,000.00</w:t>
            </w:r>
          </w:p>
        </w:tc>
        <w:tc>
          <w:tcPr>
            <w:tcW w:w="1612" w:type="dxa"/>
            <w:vAlign w:val="center"/>
          </w:tcPr>
          <w:p>
            <w:pPr>
              <w:jc w:val="right"/>
            </w:pPr>
            <w:r>
              <w:rPr>
                <w:color w:val="000000"/>
                <w:sz w:val="24"/>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27</w:t>
            </w:r>
          </w:p>
        </w:tc>
        <w:tc>
          <w:tcPr>
            <w:tcW w:w="1276" w:type="dxa"/>
            <w:vAlign w:val="center"/>
          </w:tcPr>
          <w:p>
            <w:pPr>
              <w:jc w:val="center"/>
            </w:pPr>
            <w:r>
              <w:rPr>
                <w:color w:val="000000"/>
                <w:sz w:val="24"/>
              </w:rPr>
              <w:t>601717</w:t>
            </w:r>
          </w:p>
        </w:tc>
        <w:tc>
          <w:tcPr>
            <w:tcW w:w="1701" w:type="dxa"/>
            <w:vAlign w:val="center"/>
          </w:tcPr>
          <w:p>
            <w:pPr>
              <w:jc w:val="center"/>
            </w:pPr>
            <w:r>
              <w:rPr>
                <w:color w:val="000000"/>
                <w:sz w:val="24"/>
              </w:rPr>
              <w:t>郑煤机</w:t>
            </w:r>
          </w:p>
        </w:tc>
        <w:tc>
          <w:tcPr>
            <w:tcW w:w="1559" w:type="dxa"/>
            <w:vAlign w:val="center"/>
          </w:tcPr>
          <w:p>
            <w:pPr>
              <w:jc w:val="right"/>
            </w:pPr>
            <w:r>
              <w:rPr>
                <w:color w:val="000000"/>
                <w:sz w:val="24"/>
              </w:rPr>
              <w:t>5,114,770</w:t>
            </w:r>
          </w:p>
        </w:tc>
        <w:tc>
          <w:tcPr>
            <w:tcW w:w="1932" w:type="dxa"/>
            <w:vAlign w:val="center"/>
          </w:tcPr>
          <w:p>
            <w:pPr>
              <w:jc w:val="right"/>
            </w:pPr>
            <w:r>
              <w:rPr>
                <w:color w:val="000000"/>
                <w:sz w:val="24"/>
              </w:rPr>
              <w:t>55,904,436.10</w:t>
            </w:r>
          </w:p>
        </w:tc>
        <w:tc>
          <w:tcPr>
            <w:tcW w:w="1612" w:type="dxa"/>
            <w:vAlign w:val="center"/>
          </w:tcPr>
          <w:p>
            <w:pPr>
              <w:jc w:val="right"/>
            </w:pPr>
            <w:r>
              <w:rPr>
                <w:color w:val="000000"/>
                <w:sz w:val="24"/>
              </w:rPr>
              <w:t>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28</w:t>
            </w:r>
          </w:p>
        </w:tc>
        <w:tc>
          <w:tcPr>
            <w:tcW w:w="1276" w:type="dxa"/>
            <w:vAlign w:val="center"/>
          </w:tcPr>
          <w:p>
            <w:pPr>
              <w:jc w:val="center"/>
            </w:pPr>
            <w:r>
              <w:rPr>
                <w:color w:val="000000"/>
                <w:sz w:val="24"/>
              </w:rPr>
              <w:t>300767</w:t>
            </w:r>
          </w:p>
        </w:tc>
        <w:tc>
          <w:tcPr>
            <w:tcW w:w="1701" w:type="dxa"/>
            <w:vAlign w:val="center"/>
          </w:tcPr>
          <w:p>
            <w:pPr>
              <w:jc w:val="center"/>
            </w:pPr>
            <w:r>
              <w:rPr>
                <w:color w:val="000000"/>
                <w:sz w:val="24"/>
              </w:rPr>
              <w:t>震安科技</w:t>
            </w:r>
          </w:p>
        </w:tc>
        <w:tc>
          <w:tcPr>
            <w:tcW w:w="1559" w:type="dxa"/>
            <w:vAlign w:val="center"/>
          </w:tcPr>
          <w:p>
            <w:pPr>
              <w:jc w:val="right"/>
            </w:pPr>
            <w:r>
              <w:rPr>
                <w:color w:val="000000"/>
                <w:sz w:val="24"/>
              </w:rPr>
              <w:t>784,000</w:t>
            </w:r>
          </w:p>
        </w:tc>
        <w:tc>
          <w:tcPr>
            <w:tcW w:w="1932" w:type="dxa"/>
            <w:vAlign w:val="center"/>
          </w:tcPr>
          <w:p>
            <w:pPr>
              <w:jc w:val="right"/>
            </w:pPr>
            <w:r>
              <w:rPr>
                <w:color w:val="000000"/>
                <w:sz w:val="24"/>
              </w:rPr>
              <w:t>53,978,400.00</w:t>
            </w:r>
          </w:p>
        </w:tc>
        <w:tc>
          <w:tcPr>
            <w:tcW w:w="1612" w:type="dxa"/>
            <w:vAlign w:val="center"/>
          </w:tcPr>
          <w:p>
            <w:pPr>
              <w:jc w:val="right"/>
            </w:pPr>
            <w:r>
              <w:rPr>
                <w:color w:val="000000"/>
                <w:sz w:val="24"/>
              </w:rPr>
              <w:t>0.46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29</w:t>
            </w:r>
          </w:p>
        </w:tc>
        <w:tc>
          <w:tcPr>
            <w:tcW w:w="1276" w:type="dxa"/>
            <w:vAlign w:val="center"/>
          </w:tcPr>
          <w:p>
            <w:pPr>
              <w:jc w:val="center"/>
            </w:pPr>
            <w:r>
              <w:rPr>
                <w:color w:val="000000"/>
                <w:sz w:val="24"/>
              </w:rPr>
              <w:t>603866</w:t>
            </w:r>
          </w:p>
        </w:tc>
        <w:tc>
          <w:tcPr>
            <w:tcW w:w="1701" w:type="dxa"/>
            <w:vAlign w:val="center"/>
          </w:tcPr>
          <w:p>
            <w:pPr>
              <w:jc w:val="center"/>
            </w:pPr>
            <w:r>
              <w:rPr>
                <w:color w:val="000000"/>
                <w:sz w:val="24"/>
              </w:rPr>
              <w:t>桃李面包</w:t>
            </w:r>
          </w:p>
        </w:tc>
        <w:tc>
          <w:tcPr>
            <w:tcW w:w="1559" w:type="dxa"/>
            <w:vAlign w:val="center"/>
          </w:tcPr>
          <w:p>
            <w:pPr>
              <w:jc w:val="right"/>
            </w:pPr>
            <w:r>
              <w:rPr>
                <w:color w:val="000000"/>
                <w:sz w:val="24"/>
              </w:rPr>
              <w:t>580,000</w:t>
            </w:r>
          </w:p>
        </w:tc>
        <w:tc>
          <w:tcPr>
            <w:tcW w:w="1932" w:type="dxa"/>
            <w:vAlign w:val="center"/>
          </w:tcPr>
          <w:p>
            <w:pPr>
              <w:jc w:val="right"/>
            </w:pPr>
            <w:r>
              <w:rPr>
                <w:color w:val="000000"/>
                <w:sz w:val="24"/>
              </w:rPr>
              <w:t>33,228,200.00</w:t>
            </w:r>
          </w:p>
        </w:tc>
        <w:tc>
          <w:tcPr>
            <w:tcW w:w="1612" w:type="dxa"/>
            <w:vAlign w:val="center"/>
          </w:tcPr>
          <w:p>
            <w:pPr>
              <w:jc w:val="right"/>
            </w:pPr>
            <w:r>
              <w:rPr>
                <w:color w:val="000000"/>
                <w:sz w:val="24"/>
              </w:rPr>
              <w:t>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30</w:t>
            </w:r>
          </w:p>
        </w:tc>
        <w:tc>
          <w:tcPr>
            <w:tcW w:w="1276" w:type="dxa"/>
            <w:vAlign w:val="center"/>
          </w:tcPr>
          <w:p>
            <w:pPr>
              <w:jc w:val="center"/>
            </w:pPr>
            <w:r>
              <w:rPr>
                <w:color w:val="000000"/>
                <w:sz w:val="24"/>
              </w:rPr>
              <w:t>300559</w:t>
            </w:r>
          </w:p>
        </w:tc>
        <w:tc>
          <w:tcPr>
            <w:tcW w:w="1701" w:type="dxa"/>
            <w:vAlign w:val="center"/>
          </w:tcPr>
          <w:p>
            <w:pPr>
              <w:jc w:val="center"/>
            </w:pPr>
            <w:r>
              <w:rPr>
                <w:color w:val="000000"/>
                <w:sz w:val="24"/>
              </w:rPr>
              <w:t>佳发教育</w:t>
            </w:r>
          </w:p>
        </w:tc>
        <w:tc>
          <w:tcPr>
            <w:tcW w:w="1559" w:type="dxa"/>
            <w:vAlign w:val="center"/>
          </w:tcPr>
          <w:p>
            <w:pPr>
              <w:jc w:val="right"/>
            </w:pPr>
            <w:r>
              <w:rPr>
                <w:color w:val="000000"/>
                <w:sz w:val="24"/>
              </w:rPr>
              <w:t>2,100,000</w:t>
            </w:r>
          </w:p>
        </w:tc>
        <w:tc>
          <w:tcPr>
            <w:tcW w:w="1932" w:type="dxa"/>
            <w:vAlign w:val="center"/>
          </w:tcPr>
          <w:p>
            <w:pPr>
              <w:jc w:val="right"/>
            </w:pPr>
            <w:r>
              <w:rPr>
                <w:color w:val="000000"/>
                <w:sz w:val="24"/>
              </w:rPr>
              <w:t>28,140,000.00</w:t>
            </w:r>
          </w:p>
        </w:tc>
        <w:tc>
          <w:tcPr>
            <w:tcW w:w="1612" w:type="dxa"/>
            <w:vAlign w:val="center"/>
          </w:tcPr>
          <w:p>
            <w:pPr>
              <w:jc w:val="right"/>
            </w:pPr>
            <w:r>
              <w:rPr>
                <w:color w:val="000000"/>
                <w:sz w:val="24"/>
              </w:rPr>
              <w:t>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31</w:t>
            </w:r>
          </w:p>
        </w:tc>
        <w:tc>
          <w:tcPr>
            <w:tcW w:w="1276" w:type="dxa"/>
            <w:vAlign w:val="center"/>
          </w:tcPr>
          <w:p>
            <w:pPr>
              <w:jc w:val="center"/>
            </w:pPr>
            <w:r>
              <w:rPr>
                <w:color w:val="000000"/>
                <w:sz w:val="24"/>
              </w:rPr>
              <w:t>600522</w:t>
            </w:r>
          </w:p>
        </w:tc>
        <w:tc>
          <w:tcPr>
            <w:tcW w:w="1701" w:type="dxa"/>
            <w:vAlign w:val="center"/>
          </w:tcPr>
          <w:p>
            <w:pPr>
              <w:jc w:val="center"/>
            </w:pPr>
            <w:r>
              <w:rPr>
                <w:color w:val="000000"/>
                <w:sz w:val="24"/>
              </w:rPr>
              <w:t>中天科技</w:t>
            </w:r>
          </w:p>
        </w:tc>
        <w:tc>
          <w:tcPr>
            <w:tcW w:w="1559" w:type="dxa"/>
            <w:vAlign w:val="center"/>
          </w:tcPr>
          <w:p>
            <w:pPr>
              <w:jc w:val="right"/>
            </w:pPr>
            <w:r>
              <w:rPr>
                <w:color w:val="000000"/>
                <w:sz w:val="24"/>
              </w:rPr>
              <w:t>1,912,044</w:t>
            </w:r>
          </w:p>
        </w:tc>
        <w:tc>
          <w:tcPr>
            <w:tcW w:w="1932" w:type="dxa"/>
            <w:vAlign w:val="center"/>
          </w:tcPr>
          <w:p>
            <w:pPr>
              <w:jc w:val="right"/>
            </w:pPr>
            <w:r>
              <w:rPr>
                <w:color w:val="000000"/>
                <w:sz w:val="24"/>
              </w:rPr>
              <w:t>20,726,556.96</w:t>
            </w:r>
          </w:p>
        </w:tc>
        <w:tc>
          <w:tcPr>
            <w:tcW w:w="1612" w:type="dxa"/>
            <w:vAlign w:val="center"/>
          </w:tcPr>
          <w:p>
            <w:pPr>
              <w:jc w:val="right"/>
            </w:pPr>
            <w:r>
              <w:rPr>
                <w:color w:val="000000"/>
                <w:sz w:val="24"/>
              </w:rPr>
              <w:t>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32</w:t>
            </w:r>
          </w:p>
        </w:tc>
        <w:tc>
          <w:tcPr>
            <w:tcW w:w="1276" w:type="dxa"/>
            <w:vAlign w:val="center"/>
          </w:tcPr>
          <w:p>
            <w:pPr>
              <w:jc w:val="center"/>
            </w:pPr>
            <w:r>
              <w:rPr>
                <w:color w:val="000000"/>
                <w:sz w:val="24"/>
              </w:rPr>
              <w:t>300999</w:t>
            </w:r>
          </w:p>
        </w:tc>
        <w:tc>
          <w:tcPr>
            <w:tcW w:w="1701" w:type="dxa"/>
            <w:vAlign w:val="center"/>
          </w:tcPr>
          <w:p>
            <w:pPr>
              <w:jc w:val="center"/>
            </w:pPr>
            <w:r>
              <w:rPr>
                <w:color w:val="000000"/>
                <w:sz w:val="24"/>
              </w:rPr>
              <w:t>金龙鱼</w:t>
            </w:r>
          </w:p>
        </w:tc>
        <w:tc>
          <w:tcPr>
            <w:tcW w:w="1559" w:type="dxa"/>
            <w:vAlign w:val="center"/>
          </w:tcPr>
          <w:p>
            <w:pPr>
              <w:jc w:val="right"/>
            </w:pPr>
            <w:r>
              <w:rPr>
                <w:color w:val="000000"/>
                <w:sz w:val="24"/>
              </w:rPr>
              <w:t>12,114</w:t>
            </w:r>
          </w:p>
        </w:tc>
        <w:tc>
          <w:tcPr>
            <w:tcW w:w="1932" w:type="dxa"/>
            <w:vAlign w:val="center"/>
          </w:tcPr>
          <w:p>
            <w:pPr>
              <w:jc w:val="right"/>
            </w:pPr>
            <w:r>
              <w:rPr>
                <w:color w:val="000000"/>
                <w:sz w:val="24"/>
              </w:rPr>
              <w:t>1,069,545.06</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33</w:t>
            </w:r>
          </w:p>
        </w:tc>
        <w:tc>
          <w:tcPr>
            <w:tcW w:w="1276" w:type="dxa"/>
            <w:vAlign w:val="center"/>
          </w:tcPr>
          <w:p>
            <w:pPr>
              <w:jc w:val="center"/>
            </w:pPr>
            <w:r>
              <w:rPr>
                <w:color w:val="000000"/>
                <w:sz w:val="24"/>
              </w:rPr>
              <w:t>688521</w:t>
            </w:r>
          </w:p>
        </w:tc>
        <w:tc>
          <w:tcPr>
            <w:tcW w:w="1701" w:type="dxa"/>
            <w:vAlign w:val="center"/>
          </w:tcPr>
          <w:p>
            <w:pPr>
              <w:jc w:val="center"/>
            </w:pPr>
            <w:r>
              <w:rPr>
                <w:color w:val="000000"/>
                <w:sz w:val="24"/>
              </w:rPr>
              <w:t>芯原股份</w:t>
            </w:r>
          </w:p>
        </w:tc>
        <w:tc>
          <w:tcPr>
            <w:tcW w:w="1559" w:type="dxa"/>
            <w:vAlign w:val="center"/>
          </w:tcPr>
          <w:p>
            <w:pPr>
              <w:jc w:val="right"/>
            </w:pPr>
            <w:r>
              <w:rPr>
                <w:color w:val="000000"/>
                <w:sz w:val="24"/>
              </w:rPr>
              <w:t>13,200</w:t>
            </w:r>
          </w:p>
        </w:tc>
        <w:tc>
          <w:tcPr>
            <w:tcW w:w="1932" w:type="dxa"/>
            <w:vAlign w:val="center"/>
          </w:tcPr>
          <w:p>
            <w:pPr>
              <w:jc w:val="right"/>
            </w:pPr>
            <w:r>
              <w:rPr>
                <w:color w:val="000000"/>
                <w:sz w:val="24"/>
              </w:rPr>
              <w:t>1,029,468.00</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34</w:t>
            </w:r>
          </w:p>
        </w:tc>
        <w:tc>
          <w:tcPr>
            <w:tcW w:w="1276" w:type="dxa"/>
            <w:vAlign w:val="center"/>
          </w:tcPr>
          <w:p>
            <w:pPr>
              <w:jc w:val="center"/>
            </w:pPr>
            <w:r>
              <w:rPr>
                <w:color w:val="000000"/>
                <w:sz w:val="24"/>
              </w:rPr>
              <w:t>002299</w:t>
            </w:r>
          </w:p>
        </w:tc>
        <w:tc>
          <w:tcPr>
            <w:tcW w:w="1701" w:type="dxa"/>
            <w:vAlign w:val="center"/>
          </w:tcPr>
          <w:p>
            <w:pPr>
              <w:jc w:val="center"/>
            </w:pPr>
            <w:r>
              <w:rPr>
                <w:color w:val="000000"/>
                <w:sz w:val="24"/>
              </w:rPr>
              <w:t>圣农发展</w:t>
            </w:r>
          </w:p>
        </w:tc>
        <w:tc>
          <w:tcPr>
            <w:tcW w:w="1559" w:type="dxa"/>
            <w:vAlign w:val="center"/>
          </w:tcPr>
          <w:p>
            <w:pPr>
              <w:jc w:val="right"/>
            </w:pPr>
            <w:r>
              <w:rPr>
                <w:color w:val="000000"/>
                <w:sz w:val="24"/>
              </w:rPr>
              <w:t>35,700</w:t>
            </w:r>
          </w:p>
        </w:tc>
        <w:tc>
          <w:tcPr>
            <w:tcW w:w="1932" w:type="dxa"/>
            <w:vAlign w:val="center"/>
          </w:tcPr>
          <w:p>
            <w:pPr>
              <w:jc w:val="right"/>
            </w:pPr>
            <w:r>
              <w:rPr>
                <w:color w:val="000000"/>
                <w:sz w:val="24"/>
              </w:rPr>
              <w:t>947,478.00</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35</w:t>
            </w:r>
          </w:p>
        </w:tc>
        <w:tc>
          <w:tcPr>
            <w:tcW w:w="1276" w:type="dxa"/>
            <w:vAlign w:val="center"/>
          </w:tcPr>
          <w:p>
            <w:pPr>
              <w:jc w:val="center"/>
            </w:pPr>
            <w:r>
              <w:rPr>
                <w:color w:val="000000"/>
                <w:sz w:val="24"/>
              </w:rPr>
              <w:t>688050</w:t>
            </w:r>
          </w:p>
        </w:tc>
        <w:tc>
          <w:tcPr>
            <w:tcW w:w="1701" w:type="dxa"/>
            <w:vAlign w:val="center"/>
          </w:tcPr>
          <w:p>
            <w:pPr>
              <w:jc w:val="center"/>
            </w:pPr>
            <w:r>
              <w:rPr>
                <w:color w:val="000000"/>
                <w:sz w:val="24"/>
              </w:rPr>
              <w:t>爱博医疗</w:t>
            </w:r>
          </w:p>
        </w:tc>
        <w:tc>
          <w:tcPr>
            <w:tcW w:w="1559" w:type="dxa"/>
            <w:vAlign w:val="center"/>
          </w:tcPr>
          <w:p>
            <w:pPr>
              <w:jc w:val="right"/>
            </w:pPr>
            <w:r>
              <w:rPr>
                <w:color w:val="000000"/>
                <w:sz w:val="24"/>
              </w:rPr>
              <w:t>3,520</w:t>
            </w:r>
          </w:p>
        </w:tc>
        <w:tc>
          <w:tcPr>
            <w:tcW w:w="1932" w:type="dxa"/>
            <w:vAlign w:val="center"/>
          </w:tcPr>
          <w:p>
            <w:pPr>
              <w:jc w:val="right"/>
            </w:pPr>
            <w:r>
              <w:rPr>
                <w:color w:val="000000"/>
                <w:sz w:val="24"/>
              </w:rPr>
              <w:t>593,577.60</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36</w:t>
            </w:r>
          </w:p>
        </w:tc>
        <w:tc>
          <w:tcPr>
            <w:tcW w:w="1276" w:type="dxa"/>
            <w:vAlign w:val="center"/>
          </w:tcPr>
          <w:p>
            <w:pPr>
              <w:jc w:val="center"/>
            </w:pPr>
            <w:r>
              <w:rPr>
                <w:color w:val="000000"/>
                <w:sz w:val="24"/>
              </w:rPr>
              <w:t>688390</w:t>
            </w:r>
          </w:p>
        </w:tc>
        <w:tc>
          <w:tcPr>
            <w:tcW w:w="1701" w:type="dxa"/>
            <w:vAlign w:val="center"/>
          </w:tcPr>
          <w:p>
            <w:pPr>
              <w:jc w:val="center"/>
            </w:pPr>
            <w:r>
              <w:rPr>
                <w:color w:val="000000"/>
                <w:sz w:val="24"/>
              </w:rPr>
              <w:t>固德威</w:t>
            </w:r>
          </w:p>
        </w:tc>
        <w:tc>
          <w:tcPr>
            <w:tcW w:w="1559" w:type="dxa"/>
            <w:vAlign w:val="center"/>
          </w:tcPr>
          <w:p>
            <w:pPr>
              <w:jc w:val="right"/>
            </w:pPr>
            <w:r>
              <w:rPr>
                <w:color w:val="000000"/>
                <w:sz w:val="24"/>
              </w:rPr>
              <w:t>2,585</w:t>
            </w:r>
          </w:p>
        </w:tc>
        <w:tc>
          <w:tcPr>
            <w:tcW w:w="1932" w:type="dxa"/>
            <w:vAlign w:val="center"/>
          </w:tcPr>
          <w:p>
            <w:pPr>
              <w:jc w:val="right"/>
            </w:pPr>
            <w:r>
              <w:rPr>
                <w:color w:val="000000"/>
                <w:sz w:val="24"/>
              </w:rPr>
              <w:t>573,146.20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37</w:t>
            </w:r>
          </w:p>
        </w:tc>
        <w:tc>
          <w:tcPr>
            <w:tcW w:w="1276" w:type="dxa"/>
            <w:vAlign w:val="center"/>
          </w:tcPr>
          <w:p>
            <w:pPr>
              <w:jc w:val="center"/>
            </w:pPr>
            <w:r>
              <w:rPr>
                <w:color w:val="000000"/>
                <w:sz w:val="24"/>
              </w:rPr>
              <w:t>688686</w:t>
            </w:r>
          </w:p>
        </w:tc>
        <w:tc>
          <w:tcPr>
            <w:tcW w:w="1701" w:type="dxa"/>
            <w:vAlign w:val="center"/>
          </w:tcPr>
          <w:p>
            <w:pPr>
              <w:jc w:val="center"/>
            </w:pPr>
            <w:r>
              <w:rPr>
                <w:color w:val="000000"/>
                <w:sz w:val="24"/>
              </w:rPr>
              <w:t>奥普特</w:t>
            </w:r>
          </w:p>
        </w:tc>
        <w:tc>
          <w:tcPr>
            <w:tcW w:w="1559" w:type="dxa"/>
            <w:vAlign w:val="center"/>
          </w:tcPr>
          <w:p>
            <w:pPr>
              <w:jc w:val="right"/>
            </w:pPr>
            <w:r>
              <w:rPr>
                <w:color w:val="000000"/>
                <w:sz w:val="24"/>
              </w:rPr>
              <w:t>2,330</w:t>
            </w:r>
          </w:p>
        </w:tc>
        <w:tc>
          <w:tcPr>
            <w:tcW w:w="1932" w:type="dxa"/>
            <w:vAlign w:val="center"/>
          </w:tcPr>
          <w:p>
            <w:pPr>
              <w:jc w:val="right"/>
            </w:pPr>
            <w:r>
              <w:rPr>
                <w:color w:val="000000"/>
                <w:sz w:val="24"/>
              </w:rPr>
              <w:t>505,144.00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38</w:t>
            </w:r>
          </w:p>
        </w:tc>
        <w:tc>
          <w:tcPr>
            <w:tcW w:w="1276" w:type="dxa"/>
            <w:vAlign w:val="center"/>
          </w:tcPr>
          <w:p>
            <w:pPr>
              <w:jc w:val="center"/>
            </w:pPr>
            <w:r>
              <w:rPr>
                <w:color w:val="000000"/>
                <w:sz w:val="24"/>
              </w:rPr>
              <w:t>300919</w:t>
            </w:r>
          </w:p>
        </w:tc>
        <w:tc>
          <w:tcPr>
            <w:tcW w:w="1701" w:type="dxa"/>
            <w:vAlign w:val="center"/>
          </w:tcPr>
          <w:p>
            <w:pPr>
              <w:jc w:val="center"/>
            </w:pPr>
            <w:r>
              <w:rPr>
                <w:color w:val="000000"/>
                <w:sz w:val="24"/>
              </w:rPr>
              <w:t>中伟股份</w:t>
            </w:r>
          </w:p>
        </w:tc>
        <w:tc>
          <w:tcPr>
            <w:tcW w:w="1559" w:type="dxa"/>
            <w:vAlign w:val="center"/>
          </w:tcPr>
          <w:p>
            <w:pPr>
              <w:jc w:val="right"/>
            </w:pPr>
            <w:r>
              <w:rPr>
                <w:color w:val="000000"/>
                <w:sz w:val="24"/>
              </w:rPr>
              <w:t>6,093</w:t>
            </w:r>
          </w:p>
        </w:tc>
        <w:tc>
          <w:tcPr>
            <w:tcW w:w="1932" w:type="dxa"/>
            <w:vAlign w:val="center"/>
          </w:tcPr>
          <w:p>
            <w:pPr>
              <w:jc w:val="right"/>
            </w:pPr>
            <w:r>
              <w:rPr>
                <w:color w:val="000000"/>
                <w:sz w:val="24"/>
              </w:rPr>
              <w:t>485,591.86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39</w:t>
            </w:r>
          </w:p>
        </w:tc>
        <w:tc>
          <w:tcPr>
            <w:tcW w:w="1276" w:type="dxa"/>
            <w:vAlign w:val="center"/>
          </w:tcPr>
          <w:p>
            <w:pPr>
              <w:jc w:val="center"/>
            </w:pPr>
            <w:r>
              <w:rPr>
                <w:color w:val="000000"/>
                <w:sz w:val="24"/>
              </w:rPr>
              <w:t>688658</w:t>
            </w:r>
          </w:p>
        </w:tc>
        <w:tc>
          <w:tcPr>
            <w:tcW w:w="1701" w:type="dxa"/>
            <w:vAlign w:val="center"/>
          </w:tcPr>
          <w:p>
            <w:pPr>
              <w:jc w:val="center"/>
            </w:pPr>
            <w:r>
              <w:rPr>
                <w:color w:val="000000"/>
                <w:sz w:val="24"/>
              </w:rPr>
              <w:t>悦康药业</w:t>
            </w:r>
          </w:p>
        </w:tc>
        <w:tc>
          <w:tcPr>
            <w:tcW w:w="1559" w:type="dxa"/>
            <w:vAlign w:val="center"/>
          </w:tcPr>
          <w:p>
            <w:pPr>
              <w:jc w:val="right"/>
            </w:pPr>
            <w:r>
              <w:rPr>
                <w:color w:val="000000"/>
                <w:sz w:val="24"/>
              </w:rPr>
              <w:t>16,580</w:t>
            </w:r>
          </w:p>
        </w:tc>
        <w:tc>
          <w:tcPr>
            <w:tcW w:w="1932" w:type="dxa"/>
            <w:vAlign w:val="center"/>
          </w:tcPr>
          <w:p>
            <w:pPr>
              <w:jc w:val="right"/>
            </w:pPr>
            <w:r>
              <w:rPr>
                <w:color w:val="000000"/>
                <w:sz w:val="24"/>
              </w:rPr>
              <w:t>404,054.60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40</w:t>
            </w:r>
          </w:p>
        </w:tc>
        <w:tc>
          <w:tcPr>
            <w:tcW w:w="1276" w:type="dxa"/>
            <w:vAlign w:val="center"/>
          </w:tcPr>
          <w:p>
            <w:pPr>
              <w:jc w:val="center"/>
            </w:pPr>
            <w:r>
              <w:rPr>
                <w:color w:val="000000"/>
                <w:sz w:val="24"/>
              </w:rPr>
              <w:t>300896</w:t>
            </w:r>
          </w:p>
        </w:tc>
        <w:tc>
          <w:tcPr>
            <w:tcW w:w="1701" w:type="dxa"/>
            <w:vAlign w:val="center"/>
          </w:tcPr>
          <w:p>
            <w:pPr>
              <w:jc w:val="center"/>
            </w:pPr>
            <w:r>
              <w:rPr>
                <w:color w:val="000000"/>
                <w:sz w:val="24"/>
              </w:rPr>
              <w:t>爱美客</w:t>
            </w:r>
          </w:p>
        </w:tc>
        <w:tc>
          <w:tcPr>
            <w:tcW w:w="1559" w:type="dxa"/>
            <w:vAlign w:val="center"/>
          </w:tcPr>
          <w:p>
            <w:pPr>
              <w:jc w:val="right"/>
            </w:pPr>
            <w:r>
              <w:rPr>
                <w:color w:val="000000"/>
                <w:sz w:val="24"/>
              </w:rPr>
              <w:t>473</w:t>
            </w:r>
          </w:p>
        </w:tc>
        <w:tc>
          <w:tcPr>
            <w:tcW w:w="1932" w:type="dxa"/>
            <w:vAlign w:val="center"/>
          </w:tcPr>
          <w:p>
            <w:pPr>
              <w:jc w:val="right"/>
            </w:pPr>
            <w:r>
              <w:rPr>
                <w:color w:val="000000"/>
                <w:sz w:val="24"/>
              </w:rPr>
              <w:t>285,389.28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vAlign w:val="center"/>
          </w:tcPr>
          <w:p>
            <w:pPr>
              <w:jc w:val="center"/>
            </w:pPr>
            <w:r>
              <w:rPr>
                <w:color w:val="000000"/>
                <w:sz w:val="24"/>
              </w:rPr>
              <w:t>41</w:t>
            </w:r>
          </w:p>
        </w:tc>
        <w:tc>
          <w:tcPr>
            <w:tcW w:w="1276" w:type="dxa"/>
            <w:vAlign w:val="center"/>
          </w:tcPr>
          <w:p>
            <w:pPr>
              <w:jc w:val="center"/>
            </w:pPr>
            <w:r>
              <w:rPr>
                <w:color w:val="000000"/>
                <w:sz w:val="24"/>
              </w:rPr>
              <w:t>688596</w:t>
            </w:r>
          </w:p>
        </w:tc>
        <w:tc>
          <w:tcPr>
            <w:tcW w:w="1701" w:type="dxa"/>
            <w:vAlign w:val="center"/>
          </w:tcPr>
          <w:p>
            <w:pPr>
              <w:jc w:val="center"/>
            </w:pPr>
            <w:r>
              <w:rPr>
                <w:color w:val="000000"/>
                <w:sz w:val="24"/>
              </w:rPr>
              <w:t>正帆科技</w:t>
            </w:r>
          </w:p>
        </w:tc>
        <w:tc>
          <w:tcPr>
            <w:tcW w:w="1559" w:type="dxa"/>
            <w:vAlign w:val="center"/>
          </w:tcPr>
          <w:p>
            <w:pPr>
              <w:jc w:val="right"/>
            </w:pPr>
            <w:r>
              <w:rPr>
                <w:color w:val="000000"/>
                <w:sz w:val="24"/>
              </w:rPr>
              <w:t>12,927</w:t>
            </w:r>
          </w:p>
        </w:tc>
        <w:tc>
          <w:tcPr>
            <w:tcW w:w="1932" w:type="dxa"/>
            <w:vAlign w:val="center"/>
          </w:tcPr>
          <w:p>
            <w:pPr>
              <w:jc w:val="right"/>
            </w:pPr>
            <w:r>
              <w:rPr>
                <w:color w:val="000000"/>
                <w:sz w:val="24"/>
              </w:rPr>
              <w:t>252,981.39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42</w:t>
            </w:r>
          </w:p>
        </w:tc>
        <w:tc>
          <w:tcPr>
            <w:tcW w:w="1276" w:type="dxa"/>
            <w:vAlign w:val="center"/>
          </w:tcPr>
          <w:p>
            <w:pPr>
              <w:jc w:val="center"/>
            </w:pPr>
            <w:r>
              <w:rPr>
                <w:color w:val="000000"/>
                <w:sz w:val="24"/>
              </w:rPr>
              <w:t>300925</w:t>
            </w:r>
          </w:p>
        </w:tc>
        <w:tc>
          <w:tcPr>
            <w:tcW w:w="1701" w:type="dxa"/>
            <w:vAlign w:val="center"/>
          </w:tcPr>
          <w:p>
            <w:pPr>
              <w:jc w:val="center"/>
            </w:pPr>
            <w:r>
              <w:rPr>
                <w:color w:val="000000"/>
                <w:sz w:val="24"/>
              </w:rPr>
              <w:t>法本信息</w:t>
            </w:r>
          </w:p>
        </w:tc>
        <w:tc>
          <w:tcPr>
            <w:tcW w:w="1559" w:type="dxa"/>
            <w:vAlign w:val="center"/>
          </w:tcPr>
          <w:p>
            <w:pPr>
              <w:jc w:val="right"/>
            </w:pPr>
            <w:r>
              <w:rPr>
                <w:color w:val="000000"/>
                <w:sz w:val="24"/>
              </w:rPr>
              <w:t>3,528</w:t>
            </w:r>
          </w:p>
        </w:tc>
        <w:tc>
          <w:tcPr>
            <w:tcW w:w="1932" w:type="dxa"/>
            <w:vAlign w:val="center"/>
          </w:tcPr>
          <w:p>
            <w:pPr>
              <w:jc w:val="right"/>
            </w:pPr>
            <w:r>
              <w:rPr>
                <w:color w:val="000000"/>
                <w:sz w:val="24"/>
              </w:rPr>
              <w:t>162,719.99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43</w:t>
            </w:r>
          </w:p>
        </w:tc>
        <w:tc>
          <w:tcPr>
            <w:tcW w:w="1276" w:type="dxa"/>
            <w:vAlign w:val="center"/>
          </w:tcPr>
          <w:p>
            <w:pPr>
              <w:jc w:val="center"/>
            </w:pPr>
            <w:r>
              <w:rPr>
                <w:color w:val="000000"/>
                <w:sz w:val="24"/>
              </w:rPr>
              <w:t>688569</w:t>
            </w:r>
          </w:p>
        </w:tc>
        <w:tc>
          <w:tcPr>
            <w:tcW w:w="1701" w:type="dxa"/>
            <w:vAlign w:val="center"/>
          </w:tcPr>
          <w:p>
            <w:pPr>
              <w:jc w:val="center"/>
            </w:pPr>
            <w:r>
              <w:rPr>
                <w:color w:val="000000"/>
                <w:sz w:val="24"/>
              </w:rPr>
              <w:t>铁科轨道</w:t>
            </w:r>
          </w:p>
        </w:tc>
        <w:tc>
          <w:tcPr>
            <w:tcW w:w="1559" w:type="dxa"/>
            <w:vAlign w:val="center"/>
          </w:tcPr>
          <w:p>
            <w:pPr>
              <w:jc w:val="right"/>
            </w:pPr>
            <w:r>
              <w:rPr>
                <w:color w:val="000000"/>
                <w:sz w:val="24"/>
              </w:rPr>
              <w:t>6,841</w:t>
            </w:r>
          </w:p>
        </w:tc>
        <w:tc>
          <w:tcPr>
            <w:tcW w:w="1932" w:type="dxa"/>
            <w:vAlign w:val="center"/>
          </w:tcPr>
          <w:p>
            <w:pPr>
              <w:jc w:val="right"/>
            </w:pPr>
            <w:r>
              <w:rPr>
                <w:color w:val="000000"/>
                <w:sz w:val="24"/>
              </w:rPr>
              <w:t>137,504.10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44</w:t>
            </w:r>
          </w:p>
        </w:tc>
        <w:tc>
          <w:tcPr>
            <w:tcW w:w="1276" w:type="dxa"/>
            <w:vAlign w:val="center"/>
          </w:tcPr>
          <w:p>
            <w:pPr>
              <w:jc w:val="center"/>
            </w:pPr>
            <w:r>
              <w:rPr>
                <w:color w:val="000000"/>
                <w:sz w:val="24"/>
              </w:rPr>
              <w:t>300883</w:t>
            </w:r>
          </w:p>
        </w:tc>
        <w:tc>
          <w:tcPr>
            <w:tcW w:w="1701" w:type="dxa"/>
            <w:vAlign w:val="center"/>
          </w:tcPr>
          <w:p>
            <w:pPr>
              <w:jc w:val="center"/>
            </w:pPr>
            <w:r>
              <w:rPr>
                <w:color w:val="000000"/>
                <w:sz w:val="24"/>
              </w:rPr>
              <w:t>龙利得</w:t>
            </w:r>
          </w:p>
        </w:tc>
        <w:tc>
          <w:tcPr>
            <w:tcW w:w="1559" w:type="dxa"/>
            <w:vAlign w:val="center"/>
          </w:tcPr>
          <w:p>
            <w:pPr>
              <w:jc w:val="right"/>
            </w:pPr>
            <w:r>
              <w:rPr>
                <w:color w:val="000000"/>
                <w:sz w:val="24"/>
              </w:rPr>
              <w:t>8,911</w:t>
            </w:r>
          </w:p>
        </w:tc>
        <w:tc>
          <w:tcPr>
            <w:tcW w:w="1932" w:type="dxa"/>
            <w:vAlign w:val="center"/>
          </w:tcPr>
          <w:p>
            <w:pPr>
              <w:jc w:val="right"/>
            </w:pPr>
            <w:r>
              <w:rPr>
                <w:color w:val="000000"/>
                <w:sz w:val="24"/>
              </w:rPr>
              <w:t>125,199.55</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45</w:t>
            </w:r>
          </w:p>
        </w:tc>
        <w:tc>
          <w:tcPr>
            <w:tcW w:w="1276" w:type="dxa"/>
            <w:vAlign w:val="center"/>
          </w:tcPr>
          <w:p>
            <w:pPr>
              <w:jc w:val="center"/>
            </w:pPr>
            <w:r>
              <w:rPr>
                <w:color w:val="000000"/>
                <w:sz w:val="24"/>
              </w:rPr>
              <w:t>688617</w:t>
            </w:r>
          </w:p>
        </w:tc>
        <w:tc>
          <w:tcPr>
            <w:tcW w:w="1701" w:type="dxa"/>
            <w:vAlign w:val="center"/>
          </w:tcPr>
          <w:p>
            <w:pPr>
              <w:jc w:val="center"/>
            </w:pPr>
            <w:r>
              <w:rPr>
                <w:color w:val="000000"/>
                <w:sz w:val="24"/>
              </w:rPr>
              <w:t>惠泰医疗</w:t>
            </w:r>
          </w:p>
        </w:tc>
        <w:tc>
          <w:tcPr>
            <w:tcW w:w="1559" w:type="dxa"/>
            <w:vAlign w:val="center"/>
          </w:tcPr>
          <w:p>
            <w:pPr>
              <w:jc w:val="right"/>
            </w:pPr>
            <w:r>
              <w:rPr>
                <w:color w:val="000000"/>
                <w:sz w:val="24"/>
              </w:rPr>
              <w:t>1,673</w:t>
            </w:r>
          </w:p>
        </w:tc>
        <w:tc>
          <w:tcPr>
            <w:tcW w:w="1932" w:type="dxa"/>
            <w:vAlign w:val="center"/>
          </w:tcPr>
          <w:p>
            <w:pPr>
              <w:jc w:val="right"/>
            </w:pPr>
            <w:r>
              <w:rPr>
                <w:color w:val="000000"/>
                <w:sz w:val="24"/>
              </w:rPr>
              <w:t>124,571.58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46</w:t>
            </w:r>
          </w:p>
        </w:tc>
        <w:tc>
          <w:tcPr>
            <w:tcW w:w="1276" w:type="dxa"/>
            <w:vAlign w:val="center"/>
          </w:tcPr>
          <w:p>
            <w:pPr>
              <w:jc w:val="center"/>
            </w:pPr>
            <w:r>
              <w:rPr>
                <w:color w:val="000000"/>
                <w:sz w:val="24"/>
              </w:rPr>
              <w:t>300922</w:t>
            </w:r>
          </w:p>
        </w:tc>
        <w:tc>
          <w:tcPr>
            <w:tcW w:w="1701" w:type="dxa"/>
            <w:vAlign w:val="center"/>
          </w:tcPr>
          <w:p>
            <w:pPr>
              <w:jc w:val="center"/>
            </w:pPr>
            <w:r>
              <w:rPr>
                <w:color w:val="000000"/>
                <w:sz w:val="24"/>
              </w:rPr>
              <w:t>天秦装备</w:t>
            </w:r>
          </w:p>
        </w:tc>
        <w:tc>
          <w:tcPr>
            <w:tcW w:w="1559" w:type="dxa"/>
            <w:vAlign w:val="center"/>
          </w:tcPr>
          <w:p>
            <w:pPr>
              <w:jc w:val="right"/>
            </w:pPr>
            <w:r>
              <w:rPr>
                <w:color w:val="000000"/>
                <w:sz w:val="24"/>
              </w:rPr>
              <w:t>2,863</w:t>
            </w:r>
          </w:p>
        </w:tc>
        <w:tc>
          <w:tcPr>
            <w:tcW w:w="1932" w:type="dxa"/>
            <w:vAlign w:val="center"/>
          </w:tcPr>
          <w:p>
            <w:pPr>
              <w:jc w:val="right"/>
            </w:pPr>
            <w:r>
              <w:rPr>
                <w:color w:val="000000"/>
                <w:sz w:val="24"/>
              </w:rPr>
              <w:t>108,883.46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47</w:t>
            </w:r>
          </w:p>
        </w:tc>
        <w:tc>
          <w:tcPr>
            <w:tcW w:w="1276" w:type="dxa"/>
            <w:vAlign w:val="center"/>
          </w:tcPr>
          <w:p>
            <w:pPr>
              <w:jc w:val="center"/>
            </w:pPr>
            <w:r>
              <w:rPr>
                <w:color w:val="000000"/>
                <w:sz w:val="24"/>
              </w:rPr>
              <w:t>688093</w:t>
            </w:r>
          </w:p>
        </w:tc>
        <w:tc>
          <w:tcPr>
            <w:tcW w:w="1701" w:type="dxa"/>
            <w:vAlign w:val="center"/>
          </w:tcPr>
          <w:p>
            <w:pPr>
              <w:jc w:val="center"/>
            </w:pPr>
            <w:r>
              <w:rPr>
                <w:color w:val="000000"/>
                <w:sz w:val="24"/>
              </w:rPr>
              <w:t>世华科技</w:t>
            </w:r>
          </w:p>
        </w:tc>
        <w:tc>
          <w:tcPr>
            <w:tcW w:w="1559" w:type="dxa"/>
            <w:vAlign w:val="center"/>
          </w:tcPr>
          <w:p>
            <w:pPr>
              <w:jc w:val="right"/>
            </w:pPr>
            <w:r>
              <w:rPr>
                <w:color w:val="000000"/>
                <w:sz w:val="24"/>
              </w:rPr>
              <w:t>4,595</w:t>
            </w:r>
          </w:p>
        </w:tc>
        <w:tc>
          <w:tcPr>
            <w:tcW w:w="1932" w:type="dxa"/>
            <w:vAlign w:val="center"/>
          </w:tcPr>
          <w:p>
            <w:pPr>
              <w:jc w:val="right"/>
            </w:pPr>
            <w:r>
              <w:rPr>
                <w:color w:val="000000"/>
                <w:sz w:val="24"/>
              </w:rPr>
              <w:t>108,579.85</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48</w:t>
            </w:r>
          </w:p>
        </w:tc>
        <w:tc>
          <w:tcPr>
            <w:tcW w:w="1276" w:type="dxa"/>
            <w:vAlign w:val="center"/>
          </w:tcPr>
          <w:p>
            <w:pPr>
              <w:jc w:val="center"/>
            </w:pPr>
            <w:r>
              <w:rPr>
                <w:color w:val="000000"/>
                <w:sz w:val="24"/>
              </w:rPr>
              <w:t>688560</w:t>
            </w:r>
          </w:p>
        </w:tc>
        <w:tc>
          <w:tcPr>
            <w:tcW w:w="1701" w:type="dxa"/>
            <w:vAlign w:val="center"/>
          </w:tcPr>
          <w:p>
            <w:pPr>
              <w:jc w:val="center"/>
            </w:pPr>
            <w:r>
              <w:rPr>
                <w:color w:val="000000"/>
                <w:sz w:val="24"/>
              </w:rPr>
              <w:t>明冠新材</w:t>
            </w:r>
          </w:p>
        </w:tc>
        <w:tc>
          <w:tcPr>
            <w:tcW w:w="1559" w:type="dxa"/>
            <w:vAlign w:val="center"/>
          </w:tcPr>
          <w:p>
            <w:pPr>
              <w:jc w:val="right"/>
            </w:pPr>
            <w:r>
              <w:rPr>
                <w:color w:val="000000"/>
                <w:sz w:val="24"/>
              </w:rPr>
              <w:t>3,832</w:t>
            </w:r>
          </w:p>
        </w:tc>
        <w:tc>
          <w:tcPr>
            <w:tcW w:w="1932" w:type="dxa"/>
            <w:vAlign w:val="center"/>
          </w:tcPr>
          <w:p>
            <w:pPr>
              <w:jc w:val="right"/>
            </w:pPr>
            <w:r>
              <w:rPr>
                <w:color w:val="000000"/>
                <w:sz w:val="24"/>
              </w:rPr>
              <w:t>105,226.72</w:t>
            </w:r>
          </w:p>
        </w:tc>
        <w:tc>
          <w:tcPr>
            <w:tcW w:w="1612" w:type="dxa"/>
            <w:vAlign w:val="center"/>
          </w:tcPr>
          <w:p>
            <w:pPr>
              <w:jc w:val="right"/>
            </w:pPr>
            <w:r>
              <w:rPr>
                <w:color w:val="000000"/>
                <w:sz w:val="24"/>
              </w:rPr>
              <w:t>0.00</w:t>
            </w:r>
          </w:p>
        </w:tc>
      </w:tr>
      <w:tr>
        <w:tblPrEx>
          <w:tblCellMar>
            <w:top w:w="0" w:type="dxa"/>
            <w:left w:w="108" w:type="dxa"/>
            <w:bottom w:w="0" w:type="dxa"/>
            <w:right w:w="108" w:type="dxa"/>
          </w:tblCellMar>
        </w:tblPrEx>
        <w:trPr>
          <w:jc w:val="center"/>
        </w:trPr>
        <w:tc>
          <w:tcPr>
            <w:tcW w:w="817" w:type="dxa"/>
            <w:vAlign w:val="center"/>
          </w:tcPr>
          <w:p>
            <w:pPr>
              <w:jc w:val="center"/>
            </w:pPr>
            <w:r>
              <w:rPr>
                <w:color w:val="000000"/>
                <w:sz w:val="24"/>
              </w:rPr>
              <w:t>49</w:t>
            </w:r>
          </w:p>
        </w:tc>
        <w:tc>
          <w:tcPr>
            <w:tcW w:w="1276" w:type="dxa"/>
            <w:vAlign w:val="center"/>
          </w:tcPr>
          <w:p>
            <w:pPr>
              <w:jc w:val="center"/>
            </w:pPr>
            <w:r>
              <w:rPr>
                <w:color w:val="000000"/>
                <w:sz w:val="24"/>
              </w:rPr>
              <w:t>300920</w:t>
            </w:r>
          </w:p>
        </w:tc>
        <w:tc>
          <w:tcPr>
            <w:tcW w:w="1701" w:type="dxa"/>
            <w:vAlign w:val="center"/>
          </w:tcPr>
          <w:p>
            <w:pPr>
              <w:jc w:val="center"/>
            </w:pPr>
            <w:r>
              <w:rPr>
                <w:color w:val="000000"/>
                <w:sz w:val="24"/>
              </w:rPr>
              <w:t>润阳科技</w:t>
            </w:r>
          </w:p>
        </w:tc>
        <w:tc>
          <w:tcPr>
            <w:tcW w:w="1559" w:type="dxa"/>
            <w:vAlign w:val="center"/>
          </w:tcPr>
          <w:p>
            <w:pPr>
              <w:jc w:val="right"/>
            </w:pPr>
            <w:r>
              <w:rPr>
                <w:color w:val="000000"/>
                <w:sz w:val="24"/>
              </w:rPr>
              <w:t>2,503</w:t>
            </w:r>
          </w:p>
        </w:tc>
        <w:tc>
          <w:tcPr>
            <w:tcW w:w="1932" w:type="dxa"/>
            <w:vAlign w:val="center"/>
          </w:tcPr>
          <w:p>
            <w:pPr>
              <w:jc w:val="right"/>
            </w:pPr>
            <w:r>
              <w:rPr>
                <w:color w:val="000000"/>
                <w:sz w:val="24"/>
              </w:rPr>
              <w:t>97,316.64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50</w:t>
            </w:r>
          </w:p>
        </w:tc>
        <w:tc>
          <w:tcPr>
            <w:tcW w:w="1276" w:type="dxa"/>
            <w:vAlign w:val="center"/>
          </w:tcPr>
          <w:p>
            <w:pPr>
              <w:jc w:val="center"/>
            </w:pPr>
            <w:r>
              <w:rPr>
                <w:color w:val="000000"/>
                <w:sz w:val="24"/>
              </w:rPr>
              <w:t>300869</w:t>
            </w:r>
          </w:p>
        </w:tc>
        <w:tc>
          <w:tcPr>
            <w:tcW w:w="1701" w:type="dxa"/>
            <w:vAlign w:val="center"/>
          </w:tcPr>
          <w:p>
            <w:pPr>
              <w:jc w:val="center"/>
            </w:pPr>
            <w:r>
              <w:rPr>
                <w:color w:val="000000"/>
                <w:sz w:val="24"/>
              </w:rPr>
              <w:t>康泰医学</w:t>
            </w:r>
          </w:p>
        </w:tc>
        <w:tc>
          <w:tcPr>
            <w:tcW w:w="1559" w:type="dxa"/>
            <w:vAlign w:val="center"/>
          </w:tcPr>
          <w:p>
            <w:pPr>
              <w:jc w:val="right"/>
            </w:pPr>
            <w:r>
              <w:rPr>
                <w:color w:val="000000"/>
                <w:sz w:val="24"/>
              </w:rPr>
              <w:t>862</w:t>
            </w:r>
          </w:p>
        </w:tc>
        <w:tc>
          <w:tcPr>
            <w:tcW w:w="1932" w:type="dxa"/>
            <w:vAlign w:val="center"/>
          </w:tcPr>
          <w:p>
            <w:pPr>
              <w:jc w:val="right"/>
            </w:pPr>
            <w:r>
              <w:rPr>
                <w:color w:val="000000"/>
                <w:sz w:val="24"/>
              </w:rPr>
              <w:t>95,578.56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51</w:t>
            </w:r>
          </w:p>
        </w:tc>
        <w:tc>
          <w:tcPr>
            <w:tcW w:w="1276" w:type="dxa"/>
            <w:vAlign w:val="center"/>
          </w:tcPr>
          <w:p>
            <w:pPr>
              <w:jc w:val="center"/>
            </w:pPr>
            <w:r>
              <w:rPr>
                <w:color w:val="000000"/>
                <w:sz w:val="24"/>
              </w:rPr>
              <w:t>688309</w:t>
            </w:r>
          </w:p>
        </w:tc>
        <w:tc>
          <w:tcPr>
            <w:tcW w:w="1701" w:type="dxa"/>
            <w:vAlign w:val="center"/>
          </w:tcPr>
          <w:p>
            <w:pPr>
              <w:jc w:val="center"/>
            </w:pPr>
            <w:r>
              <w:rPr>
                <w:color w:val="000000"/>
                <w:sz w:val="24"/>
              </w:rPr>
              <w:t>恒誉环保</w:t>
            </w:r>
          </w:p>
        </w:tc>
        <w:tc>
          <w:tcPr>
            <w:tcW w:w="1559" w:type="dxa"/>
            <w:vAlign w:val="center"/>
          </w:tcPr>
          <w:p>
            <w:pPr>
              <w:jc w:val="right"/>
            </w:pPr>
            <w:r>
              <w:rPr>
                <w:color w:val="000000"/>
                <w:sz w:val="24"/>
              </w:rPr>
              <w:t>2,880</w:t>
            </w:r>
          </w:p>
        </w:tc>
        <w:tc>
          <w:tcPr>
            <w:tcW w:w="1932" w:type="dxa"/>
            <w:vAlign w:val="center"/>
          </w:tcPr>
          <w:p>
            <w:pPr>
              <w:jc w:val="right"/>
            </w:pPr>
            <w:r>
              <w:rPr>
                <w:color w:val="000000"/>
                <w:sz w:val="24"/>
              </w:rPr>
              <w:t>93,686.40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52</w:t>
            </w:r>
          </w:p>
        </w:tc>
        <w:tc>
          <w:tcPr>
            <w:tcW w:w="1276" w:type="dxa"/>
            <w:vAlign w:val="center"/>
          </w:tcPr>
          <w:p>
            <w:pPr>
              <w:jc w:val="center"/>
            </w:pPr>
            <w:r>
              <w:rPr>
                <w:color w:val="000000"/>
                <w:sz w:val="24"/>
              </w:rPr>
              <w:t>688698</w:t>
            </w:r>
          </w:p>
        </w:tc>
        <w:tc>
          <w:tcPr>
            <w:tcW w:w="1701" w:type="dxa"/>
            <w:vAlign w:val="center"/>
          </w:tcPr>
          <w:p>
            <w:pPr>
              <w:jc w:val="center"/>
            </w:pPr>
            <w:r>
              <w:rPr>
                <w:color w:val="000000"/>
                <w:sz w:val="24"/>
              </w:rPr>
              <w:t>伟创电气</w:t>
            </w:r>
          </w:p>
        </w:tc>
        <w:tc>
          <w:tcPr>
            <w:tcW w:w="1559" w:type="dxa"/>
            <w:vAlign w:val="center"/>
          </w:tcPr>
          <w:p>
            <w:pPr>
              <w:jc w:val="right"/>
            </w:pPr>
            <w:r>
              <w:rPr>
                <w:color w:val="000000"/>
                <w:sz w:val="24"/>
              </w:rPr>
              <w:t>4,751</w:t>
            </w:r>
          </w:p>
        </w:tc>
        <w:tc>
          <w:tcPr>
            <w:tcW w:w="1932" w:type="dxa"/>
            <w:vAlign w:val="center"/>
          </w:tcPr>
          <w:p>
            <w:pPr>
              <w:jc w:val="right"/>
            </w:pPr>
            <w:r>
              <w:rPr>
                <w:color w:val="000000"/>
                <w:sz w:val="24"/>
              </w:rPr>
              <w:t>84,995.39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53</w:t>
            </w:r>
          </w:p>
        </w:tc>
        <w:tc>
          <w:tcPr>
            <w:tcW w:w="1276" w:type="dxa"/>
            <w:vAlign w:val="center"/>
          </w:tcPr>
          <w:p>
            <w:pPr>
              <w:jc w:val="center"/>
            </w:pPr>
            <w:r>
              <w:rPr>
                <w:color w:val="000000"/>
                <w:sz w:val="24"/>
              </w:rPr>
              <w:t>688678</w:t>
            </w:r>
          </w:p>
        </w:tc>
        <w:tc>
          <w:tcPr>
            <w:tcW w:w="1701" w:type="dxa"/>
            <w:vAlign w:val="center"/>
          </w:tcPr>
          <w:p>
            <w:pPr>
              <w:jc w:val="center"/>
            </w:pPr>
            <w:r>
              <w:rPr>
                <w:color w:val="000000"/>
                <w:sz w:val="24"/>
              </w:rPr>
              <w:t>福立旺</w:t>
            </w:r>
          </w:p>
        </w:tc>
        <w:tc>
          <w:tcPr>
            <w:tcW w:w="1559" w:type="dxa"/>
            <w:vAlign w:val="center"/>
          </w:tcPr>
          <w:p>
            <w:pPr>
              <w:jc w:val="right"/>
            </w:pPr>
            <w:r>
              <w:rPr>
                <w:color w:val="000000"/>
                <w:sz w:val="24"/>
              </w:rPr>
              <w:t>4,198</w:t>
            </w:r>
          </w:p>
        </w:tc>
        <w:tc>
          <w:tcPr>
            <w:tcW w:w="1932" w:type="dxa"/>
            <w:vAlign w:val="center"/>
          </w:tcPr>
          <w:p>
            <w:pPr>
              <w:jc w:val="right"/>
            </w:pPr>
            <w:r>
              <w:rPr>
                <w:color w:val="000000"/>
                <w:sz w:val="24"/>
              </w:rPr>
              <w:t>80,811.50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54</w:t>
            </w:r>
          </w:p>
        </w:tc>
        <w:tc>
          <w:tcPr>
            <w:tcW w:w="1276" w:type="dxa"/>
            <w:vAlign w:val="center"/>
          </w:tcPr>
          <w:p>
            <w:pPr>
              <w:jc w:val="center"/>
            </w:pPr>
            <w:r>
              <w:rPr>
                <w:color w:val="000000"/>
                <w:sz w:val="24"/>
              </w:rPr>
              <w:t>688577</w:t>
            </w:r>
          </w:p>
        </w:tc>
        <w:tc>
          <w:tcPr>
            <w:tcW w:w="1701" w:type="dxa"/>
            <w:vAlign w:val="center"/>
          </w:tcPr>
          <w:p>
            <w:pPr>
              <w:jc w:val="center"/>
            </w:pPr>
            <w:r>
              <w:rPr>
                <w:color w:val="000000"/>
                <w:sz w:val="24"/>
              </w:rPr>
              <w:t>浙海德曼</w:t>
            </w:r>
          </w:p>
        </w:tc>
        <w:tc>
          <w:tcPr>
            <w:tcW w:w="1559" w:type="dxa"/>
            <w:vAlign w:val="center"/>
          </w:tcPr>
          <w:p>
            <w:pPr>
              <w:jc w:val="right"/>
            </w:pPr>
            <w:r>
              <w:rPr>
                <w:color w:val="000000"/>
                <w:sz w:val="24"/>
              </w:rPr>
              <w:t>1,503</w:t>
            </w:r>
          </w:p>
        </w:tc>
        <w:tc>
          <w:tcPr>
            <w:tcW w:w="1932" w:type="dxa"/>
            <w:vAlign w:val="center"/>
          </w:tcPr>
          <w:p>
            <w:pPr>
              <w:jc w:val="right"/>
            </w:pPr>
            <w:r>
              <w:rPr>
                <w:color w:val="000000"/>
                <w:sz w:val="24"/>
              </w:rPr>
              <w:t>63,141.03</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55</w:t>
            </w:r>
          </w:p>
        </w:tc>
        <w:tc>
          <w:tcPr>
            <w:tcW w:w="1276" w:type="dxa"/>
            <w:vAlign w:val="center"/>
          </w:tcPr>
          <w:p>
            <w:pPr>
              <w:jc w:val="center"/>
            </w:pPr>
            <w:r>
              <w:rPr>
                <w:color w:val="000000"/>
                <w:sz w:val="24"/>
              </w:rPr>
              <w:t>688618</w:t>
            </w:r>
          </w:p>
        </w:tc>
        <w:tc>
          <w:tcPr>
            <w:tcW w:w="1701" w:type="dxa"/>
            <w:vAlign w:val="center"/>
          </w:tcPr>
          <w:p>
            <w:pPr>
              <w:jc w:val="center"/>
            </w:pPr>
            <w:r>
              <w:rPr>
                <w:color w:val="000000"/>
                <w:sz w:val="24"/>
              </w:rPr>
              <w:t>三旺通信</w:t>
            </w:r>
          </w:p>
        </w:tc>
        <w:tc>
          <w:tcPr>
            <w:tcW w:w="1559" w:type="dxa"/>
            <w:vAlign w:val="center"/>
          </w:tcPr>
          <w:p>
            <w:pPr>
              <w:jc w:val="right"/>
            </w:pPr>
            <w:r>
              <w:rPr>
                <w:color w:val="000000"/>
                <w:sz w:val="24"/>
              </w:rPr>
              <w:t>1,117</w:t>
            </w:r>
          </w:p>
        </w:tc>
        <w:tc>
          <w:tcPr>
            <w:tcW w:w="1932" w:type="dxa"/>
            <w:vAlign w:val="center"/>
          </w:tcPr>
          <w:p>
            <w:pPr>
              <w:jc w:val="right"/>
            </w:pPr>
            <w:r>
              <w:rPr>
                <w:color w:val="000000"/>
                <w:sz w:val="24"/>
              </w:rPr>
              <w:t>59,938.22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56</w:t>
            </w:r>
          </w:p>
        </w:tc>
        <w:tc>
          <w:tcPr>
            <w:tcW w:w="1276" w:type="dxa"/>
            <w:vAlign w:val="center"/>
          </w:tcPr>
          <w:p>
            <w:pPr>
              <w:jc w:val="center"/>
            </w:pPr>
            <w:r>
              <w:rPr>
                <w:color w:val="000000"/>
                <w:sz w:val="24"/>
              </w:rPr>
              <w:t>300860</w:t>
            </w:r>
          </w:p>
        </w:tc>
        <w:tc>
          <w:tcPr>
            <w:tcW w:w="1701" w:type="dxa"/>
            <w:vAlign w:val="center"/>
          </w:tcPr>
          <w:p>
            <w:pPr>
              <w:jc w:val="center"/>
            </w:pPr>
            <w:r>
              <w:rPr>
                <w:color w:val="000000"/>
                <w:sz w:val="24"/>
              </w:rPr>
              <w:t>锋尚文化</w:t>
            </w:r>
          </w:p>
        </w:tc>
        <w:tc>
          <w:tcPr>
            <w:tcW w:w="1559" w:type="dxa"/>
            <w:vAlign w:val="center"/>
          </w:tcPr>
          <w:p>
            <w:pPr>
              <w:jc w:val="right"/>
            </w:pPr>
            <w:r>
              <w:rPr>
                <w:color w:val="000000"/>
                <w:sz w:val="24"/>
              </w:rPr>
              <w:t>381</w:t>
            </w:r>
          </w:p>
        </w:tc>
        <w:tc>
          <w:tcPr>
            <w:tcW w:w="1932" w:type="dxa"/>
            <w:vAlign w:val="center"/>
          </w:tcPr>
          <w:p>
            <w:pPr>
              <w:jc w:val="right"/>
            </w:pPr>
            <w:r>
              <w:rPr>
                <w:color w:val="000000"/>
                <w:sz w:val="24"/>
              </w:rPr>
              <w:t>48,261.27</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57</w:t>
            </w:r>
          </w:p>
        </w:tc>
        <w:tc>
          <w:tcPr>
            <w:tcW w:w="1276" w:type="dxa"/>
            <w:vAlign w:val="center"/>
          </w:tcPr>
          <w:p>
            <w:pPr>
              <w:jc w:val="center"/>
            </w:pPr>
            <w:r>
              <w:rPr>
                <w:color w:val="000000"/>
                <w:sz w:val="24"/>
              </w:rPr>
              <w:t>300861</w:t>
            </w:r>
          </w:p>
        </w:tc>
        <w:tc>
          <w:tcPr>
            <w:tcW w:w="1701" w:type="dxa"/>
            <w:vAlign w:val="center"/>
          </w:tcPr>
          <w:p>
            <w:pPr>
              <w:jc w:val="center"/>
            </w:pPr>
            <w:r>
              <w:rPr>
                <w:color w:val="000000"/>
                <w:sz w:val="24"/>
              </w:rPr>
              <w:t>美畅股份</w:t>
            </w:r>
          </w:p>
        </w:tc>
        <w:tc>
          <w:tcPr>
            <w:tcW w:w="1559" w:type="dxa"/>
            <w:vAlign w:val="center"/>
          </w:tcPr>
          <w:p>
            <w:pPr>
              <w:jc w:val="right"/>
            </w:pPr>
            <w:r>
              <w:rPr>
                <w:color w:val="000000"/>
                <w:sz w:val="24"/>
              </w:rPr>
              <w:t>895</w:t>
            </w:r>
          </w:p>
        </w:tc>
        <w:tc>
          <w:tcPr>
            <w:tcW w:w="1932" w:type="dxa"/>
            <w:vAlign w:val="center"/>
          </w:tcPr>
          <w:p>
            <w:pPr>
              <w:jc w:val="right"/>
            </w:pPr>
            <w:r>
              <w:rPr>
                <w:color w:val="000000"/>
                <w:sz w:val="24"/>
              </w:rPr>
              <w:t>45,734.50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58</w:t>
            </w:r>
          </w:p>
        </w:tc>
        <w:tc>
          <w:tcPr>
            <w:tcW w:w="1276" w:type="dxa"/>
            <w:vAlign w:val="center"/>
          </w:tcPr>
          <w:p>
            <w:pPr>
              <w:jc w:val="center"/>
            </w:pPr>
            <w:r>
              <w:rPr>
                <w:color w:val="000000"/>
                <w:sz w:val="24"/>
              </w:rPr>
              <w:t>688679</w:t>
            </w:r>
          </w:p>
        </w:tc>
        <w:tc>
          <w:tcPr>
            <w:tcW w:w="1701" w:type="dxa"/>
            <w:vAlign w:val="center"/>
          </w:tcPr>
          <w:p>
            <w:pPr>
              <w:jc w:val="center"/>
            </w:pPr>
            <w:r>
              <w:rPr>
                <w:color w:val="000000"/>
                <w:sz w:val="24"/>
              </w:rPr>
              <w:t>通源环境</w:t>
            </w:r>
          </w:p>
        </w:tc>
        <w:tc>
          <w:tcPr>
            <w:tcW w:w="1559" w:type="dxa"/>
            <w:vAlign w:val="center"/>
          </w:tcPr>
          <w:p>
            <w:pPr>
              <w:jc w:val="right"/>
            </w:pPr>
            <w:r>
              <w:rPr>
                <w:color w:val="000000"/>
                <w:sz w:val="24"/>
              </w:rPr>
              <w:t>3,139</w:t>
            </w:r>
          </w:p>
        </w:tc>
        <w:tc>
          <w:tcPr>
            <w:tcW w:w="1932" w:type="dxa"/>
            <w:vAlign w:val="center"/>
          </w:tcPr>
          <w:p>
            <w:pPr>
              <w:jc w:val="right"/>
            </w:pPr>
            <w:r>
              <w:rPr>
                <w:color w:val="000000"/>
                <w:sz w:val="24"/>
              </w:rPr>
              <w:t>42,345.11</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59</w:t>
            </w:r>
          </w:p>
        </w:tc>
        <w:tc>
          <w:tcPr>
            <w:tcW w:w="1276" w:type="dxa"/>
            <w:vAlign w:val="center"/>
          </w:tcPr>
          <w:p>
            <w:pPr>
              <w:jc w:val="center"/>
            </w:pPr>
            <w:r>
              <w:rPr>
                <w:color w:val="000000"/>
                <w:sz w:val="24"/>
              </w:rPr>
              <w:t>300926</w:t>
            </w:r>
          </w:p>
        </w:tc>
        <w:tc>
          <w:tcPr>
            <w:tcW w:w="1701" w:type="dxa"/>
            <w:vAlign w:val="center"/>
          </w:tcPr>
          <w:p>
            <w:pPr>
              <w:jc w:val="center"/>
            </w:pPr>
            <w:r>
              <w:rPr>
                <w:color w:val="000000"/>
                <w:sz w:val="24"/>
              </w:rPr>
              <w:t>博俊科技</w:t>
            </w:r>
          </w:p>
        </w:tc>
        <w:tc>
          <w:tcPr>
            <w:tcW w:w="1559" w:type="dxa"/>
            <w:vAlign w:val="center"/>
          </w:tcPr>
          <w:p>
            <w:pPr>
              <w:jc w:val="right"/>
            </w:pPr>
            <w:r>
              <w:rPr>
                <w:color w:val="000000"/>
                <w:sz w:val="24"/>
              </w:rPr>
              <w:t>3,584</w:t>
            </w:r>
          </w:p>
        </w:tc>
        <w:tc>
          <w:tcPr>
            <w:tcW w:w="1932" w:type="dxa"/>
            <w:vAlign w:val="center"/>
          </w:tcPr>
          <w:p>
            <w:pPr>
              <w:jc w:val="right"/>
            </w:pPr>
            <w:r>
              <w:rPr>
                <w:color w:val="000000"/>
                <w:sz w:val="24"/>
              </w:rPr>
              <w:t>38,563.84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60</w:t>
            </w:r>
          </w:p>
        </w:tc>
        <w:tc>
          <w:tcPr>
            <w:tcW w:w="1276" w:type="dxa"/>
            <w:vAlign w:val="center"/>
          </w:tcPr>
          <w:p>
            <w:pPr>
              <w:jc w:val="center"/>
            </w:pPr>
            <w:r>
              <w:rPr>
                <w:color w:val="000000"/>
                <w:sz w:val="24"/>
              </w:rPr>
              <w:t>300872</w:t>
            </w:r>
          </w:p>
        </w:tc>
        <w:tc>
          <w:tcPr>
            <w:tcW w:w="1701" w:type="dxa"/>
            <w:vAlign w:val="center"/>
          </w:tcPr>
          <w:p>
            <w:pPr>
              <w:jc w:val="center"/>
            </w:pPr>
            <w:r>
              <w:rPr>
                <w:color w:val="000000"/>
                <w:sz w:val="24"/>
              </w:rPr>
              <w:t>天阳科技</w:t>
            </w:r>
          </w:p>
        </w:tc>
        <w:tc>
          <w:tcPr>
            <w:tcW w:w="1559" w:type="dxa"/>
            <w:vAlign w:val="center"/>
          </w:tcPr>
          <w:p>
            <w:pPr>
              <w:jc w:val="right"/>
            </w:pPr>
            <w:r>
              <w:rPr>
                <w:color w:val="000000"/>
                <w:sz w:val="24"/>
              </w:rPr>
              <w:t>902</w:t>
            </w:r>
          </w:p>
        </w:tc>
        <w:tc>
          <w:tcPr>
            <w:tcW w:w="1932" w:type="dxa"/>
            <w:vAlign w:val="center"/>
          </w:tcPr>
          <w:p>
            <w:pPr>
              <w:jc w:val="right"/>
            </w:pPr>
            <w:r>
              <w:rPr>
                <w:color w:val="000000"/>
                <w:sz w:val="24"/>
              </w:rPr>
              <w:t>34,175.70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61</w:t>
            </w:r>
          </w:p>
        </w:tc>
        <w:tc>
          <w:tcPr>
            <w:tcW w:w="1276" w:type="dxa"/>
            <w:vAlign w:val="center"/>
          </w:tcPr>
          <w:p>
            <w:pPr>
              <w:jc w:val="center"/>
            </w:pPr>
            <w:r>
              <w:rPr>
                <w:color w:val="000000"/>
                <w:sz w:val="24"/>
              </w:rPr>
              <w:t>300870</w:t>
            </w:r>
          </w:p>
        </w:tc>
        <w:tc>
          <w:tcPr>
            <w:tcW w:w="1701" w:type="dxa"/>
            <w:vAlign w:val="center"/>
          </w:tcPr>
          <w:p>
            <w:pPr>
              <w:jc w:val="center"/>
            </w:pPr>
            <w:r>
              <w:rPr>
                <w:color w:val="000000"/>
                <w:sz w:val="24"/>
              </w:rPr>
              <w:t>欧陆通</w:t>
            </w:r>
          </w:p>
        </w:tc>
        <w:tc>
          <w:tcPr>
            <w:tcW w:w="1559" w:type="dxa"/>
            <w:vAlign w:val="center"/>
          </w:tcPr>
          <w:p>
            <w:pPr>
              <w:jc w:val="right"/>
            </w:pPr>
            <w:r>
              <w:rPr>
                <w:color w:val="000000"/>
                <w:sz w:val="24"/>
              </w:rPr>
              <w:t>478</w:t>
            </w:r>
          </w:p>
        </w:tc>
        <w:tc>
          <w:tcPr>
            <w:tcW w:w="1932" w:type="dxa"/>
            <w:vAlign w:val="center"/>
          </w:tcPr>
          <w:p>
            <w:pPr>
              <w:jc w:val="right"/>
            </w:pPr>
            <w:r>
              <w:rPr>
                <w:color w:val="000000"/>
                <w:sz w:val="24"/>
              </w:rPr>
              <w:t>31,390.26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62</w:t>
            </w:r>
          </w:p>
        </w:tc>
        <w:tc>
          <w:tcPr>
            <w:tcW w:w="1276" w:type="dxa"/>
            <w:vAlign w:val="center"/>
          </w:tcPr>
          <w:p>
            <w:pPr>
              <w:jc w:val="center"/>
            </w:pPr>
            <w:r>
              <w:rPr>
                <w:color w:val="000000"/>
                <w:sz w:val="24"/>
              </w:rPr>
              <w:t>300900</w:t>
            </w:r>
          </w:p>
        </w:tc>
        <w:tc>
          <w:tcPr>
            <w:tcW w:w="1701" w:type="dxa"/>
            <w:vAlign w:val="center"/>
          </w:tcPr>
          <w:p>
            <w:pPr>
              <w:jc w:val="center"/>
            </w:pPr>
            <w:r>
              <w:rPr>
                <w:color w:val="000000"/>
                <w:sz w:val="24"/>
              </w:rPr>
              <w:t>广联航空</w:t>
            </w:r>
          </w:p>
        </w:tc>
        <w:tc>
          <w:tcPr>
            <w:tcW w:w="1559" w:type="dxa"/>
            <w:vAlign w:val="center"/>
          </w:tcPr>
          <w:p>
            <w:pPr>
              <w:jc w:val="right"/>
            </w:pPr>
            <w:r>
              <w:rPr>
                <w:color w:val="000000"/>
                <w:sz w:val="24"/>
              </w:rPr>
              <w:t>879</w:t>
            </w:r>
          </w:p>
        </w:tc>
        <w:tc>
          <w:tcPr>
            <w:tcW w:w="1932" w:type="dxa"/>
            <w:vAlign w:val="center"/>
          </w:tcPr>
          <w:p>
            <w:pPr>
              <w:jc w:val="right"/>
            </w:pPr>
            <w:r>
              <w:rPr>
                <w:color w:val="000000"/>
                <w:sz w:val="24"/>
              </w:rPr>
              <w:t>29,147.64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63</w:t>
            </w:r>
          </w:p>
        </w:tc>
        <w:tc>
          <w:tcPr>
            <w:tcW w:w="1276" w:type="dxa"/>
            <w:vAlign w:val="center"/>
          </w:tcPr>
          <w:p>
            <w:pPr>
              <w:jc w:val="center"/>
            </w:pPr>
            <w:r>
              <w:rPr>
                <w:color w:val="000000"/>
                <w:sz w:val="24"/>
              </w:rPr>
              <w:t>300927</w:t>
            </w:r>
          </w:p>
        </w:tc>
        <w:tc>
          <w:tcPr>
            <w:tcW w:w="1701" w:type="dxa"/>
            <w:vAlign w:val="center"/>
          </w:tcPr>
          <w:p>
            <w:pPr>
              <w:jc w:val="center"/>
            </w:pPr>
            <w:r>
              <w:rPr>
                <w:color w:val="000000"/>
                <w:sz w:val="24"/>
              </w:rPr>
              <w:t>江天化学</w:t>
            </w:r>
          </w:p>
        </w:tc>
        <w:tc>
          <w:tcPr>
            <w:tcW w:w="1559" w:type="dxa"/>
            <w:vAlign w:val="center"/>
          </w:tcPr>
          <w:p>
            <w:pPr>
              <w:jc w:val="right"/>
            </w:pPr>
            <w:r>
              <w:rPr>
                <w:color w:val="000000"/>
                <w:sz w:val="24"/>
              </w:rPr>
              <w:t>2,163</w:t>
            </w:r>
          </w:p>
        </w:tc>
        <w:tc>
          <w:tcPr>
            <w:tcW w:w="1932" w:type="dxa"/>
            <w:vAlign w:val="center"/>
          </w:tcPr>
          <w:p>
            <w:pPr>
              <w:jc w:val="right"/>
            </w:pPr>
            <w:r>
              <w:rPr>
                <w:color w:val="000000"/>
                <w:sz w:val="24"/>
              </w:rPr>
              <w:t>28,962.57</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64</w:t>
            </w:r>
          </w:p>
        </w:tc>
        <w:tc>
          <w:tcPr>
            <w:tcW w:w="1276" w:type="dxa"/>
            <w:vAlign w:val="center"/>
          </w:tcPr>
          <w:p>
            <w:pPr>
              <w:jc w:val="center"/>
            </w:pPr>
            <w:r>
              <w:rPr>
                <w:color w:val="000000"/>
                <w:sz w:val="24"/>
              </w:rPr>
              <w:t>300877</w:t>
            </w:r>
          </w:p>
        </w:tc>
        <w:tc>
          <w:tcPr>
            <w:tcW w:w="1701" w:type="dxa"/>
            <w:vAlign w:val="center"/>
          </w:tcPr>
          <w:p>
            <w:pPr>
              <w:jc w:val="center"/>
            </w:pPr>
            <w:r>
              <w:rPr>
                <w:color w:val="000000"/>
                <w:sz w:val="24"/>
              </w:rPr>
              <w:t>金春股份</w:t>
            </w:r>
          </w:p>
        </w:tc>
        <w:tc>
          <w:tcPr>
            <w:tcW w:w="1559" w:type="dxa"/>
            <w:vAlign w:val="center"/>
          </w:tcPr>
          <w:p>
            <w:pPr>
              <w:jc w:val="right"/>
            </w:pPr>
            <w:r>
              <w:rPr>
                <w:color w:val="000000"/>
                <w:sz w:val="24"/>
              </w:rPr>
              <w:t>569</w:t>
            </w:r>
          </w:p>
        </w:tc>
        <w:tc>
          <w:tcPr>
            <w:tcW w:w="1932" w:type="dxa"/>
            <w:vAlign w:val="center"/>
          </w:tcPr>
          <w:p>
            <w:pPr>
              <w:jc w:val="right"/>
            </w:pPr>
            <w:r>
              <w:rPr>
                <w:color w:val="000000"/>
                <w:sz w:val="24"/>
              </w:rPr>
              <w:t>28,933.65</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vAlign w:val="center"/>
          </w:tcPr>
          <w:p>
            <w:pPr>
              <w:jc w:val="center"/>
            </w:pPr>
            <w:r>
              <w:rPr>
                <w:color w:val="000000"/>
                <w:sz w:val="24"/>
              </w:rPr>
              <w:t>65</w:t>
            </w:r>
          </w:p>
        </w:tc>
        <w:tc>
          <w:tcPr>
            <w:tcW w:w="1276" w:type="dxa"/>
            <w:vAlign w:val="center"/>
          </w:tcPr>
          <w:p>
            <w:pPr>
              <w:jc w:val="center"/>
            </w:pPr>
            <w:r>
              <w:rPr>
                <w:color w:val="000000"/>
                <w:sz w:val="24"/>
              </w:rPr>
              <w:t>300868</w:t>
            </w:r>
          </w:p>
        </w:tc>
        <w:tc>
          <w:tcPr>
            <w:tcW w:w="1701" w:type="dxa"/>
            <w:vAlign w:val="center"/>
          </w:tcPr>
          <w:p>
            <w:pPr>
              <w:jc w:val="center"/>
            </w:pPr>
            <w:r>
              <w:rPr>
                <w:color w:val="000000"/>
                <w:sz w:val="24"/>
              </w:rPr>
              <w:t>杰美特</w:t>
            </w:r>
          </w:p>
        </w:tc>
        <w:tc>
          <w:tcPr>
            <w:tcW w:w="1559" w:type="dxa"/>
            <w:vAlign w:val="center"/>
          </w:tcPr>
          <w:p>
            <w:pPr>
              <w:jc w:val="right"/>
            </w:pPr>
            <w:r>
              <w:rPr>
                <w:color w:val="000000"/>
                <w:sz w:val="24"/>
              </w:rPr>
              <w:t>593</w:t>
            </w:r>
          </w:p>
        </w:tc>
        <w:tc>
          <w:tcPr>
            <w:tcW w:w="1932" w:type="dxa"/>
            <w:vAlign w:val="center"/>
          </w:tcPr>
          <w:p>
            <w:pPr>
              <w:jc w:val="right"/>
            </w:pPr>
            <w:r>
              <w:rPr>
                <w:color w:val="000000"/>
                <w:sz w:val="24"/>
              </w:rPr>
              <w:t>25,665.04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vAlign w:val="center"/>
          </w:tcPr>
          <w:p>
            <w:pPr>
              <w:jc w:val="center"/>
            </w:pPr>
            <w:r>
              <w:rPr>
                <w:color w:val="000000"/>
                <w:sz w:val="24"/>
              </w:rPr>
              <w:t>66</w:t>
            </w:r>
          </w:p>
        </w:tc>
        <w:tc>
          <w:tcPr>
            <w:tcW w:w="1276" w:type="dxa"/>
            <w:vAlign w:val="center"/>
          </w:tcPr>
          <w:p>
            <w:pPr>
              <w:jc w:val="center"/>
            </w:pPr>
            <w:r>
              <w:rPr>
                <w:color w:val="000000"/>
                <w:sz w:val="24"/>
              </w:rPr>
              <w:t>003026</w:t>
            </w:r>
          </w:p>
        </w:tc>
        <w:tc>
          <w:tcPr>
            <w:tcW w:w="1701" w:type="dxa"/>
            <w:vAlign w:val="center"/>
          </w:tcPr>
          <w:p>
            <w:pPr>
              <w:jc w:val="center"/>
            </w:pPr>
            <w:r>
              <w:rPr>
                <w:color w:val="000000"/>
                <w:sz w:val="24"/>
              </w:rPr>
              <w:t>中晶科技</w:t>
            </w:r>
          </w:p>
        </w:tc>
        <w:tc>
          <w:tcPr>
            <w:tcW w:w="1559" w:type="dxa"/>
            <w:vAlign w:val="center"/>
          </w:tcPr>
          <w:p>
            <w:pPr>
              <w:jc w:val="right"/>
            </w:pPr>
            <w:r>
              <w:rPr>
                <w:color w:val="000000"/>
                <w:sz w:val="24"/>
              </w:rPr>
              <w:t>461</w:t>
            </w:r>
          </w:p>
        </w:tc>
        <w:tc>
          <w:tcPr>
            <w:tcW w:w="1932" w:type="dxa"/>
            <w:vAlign w:val="center"/>
          </w:tcPr>
          <w:p>
            <w:pPr>
              <w:jc w:val="right"/>
            </w:pPr>
            <w:r>
              <w:rPr>
                <w:color w:val="000000"/>
                <w:sz w:val="24"/>
              </w:rPr>
              <w:t>21,740.76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67</w:t>
            </w:r>
          </w:p>
        </w:tc>
        <w:tc>
          <w:tcPr>
            <w:tcW w:w="1276" w:type="dxa"/>
            <w:vAlign w:val="center"/>
          </w:tcPr>
          <w:p>
            <w:pPr>
              <w:jc w:val="center"/>
            </w:pPr>
            <w:r>
              <w:rPr>
                <w:color w:val="000000"/>
                <w:sz w:val="24"/>
              </w:rPr>
              <w:t>300873</w:t>
            </w:r>
          </w:p>
        </w:tc>
        <w:tc>
          <w:tcPr>
            <w:tcW w:w="1701" w:type="dxa"/>
            <w:vAlign w:val="center"/>
          </w:tcPr>
          <w:p>
            <w:pPr>
              <w:jc w:val="center"/>
            </w:pPr>
            <w:r>
              <w:rPr>
                <w:color w:val="000000"/>
                <w:sz w:val="24"/>
              </w:rPr>
              <w:t>海晨股份</w:t>
            </w:r>
          </w:p>
        </w:tc>
        <w:tc>
          <w:tcPr>
            <w:tcW w:w="1559" w:type="dxa"/>
            <w:vAlign w:val="center"/>
          </w:tcPr>
          <w:p>
            <w:pPr>
              <w:jc w:val="right"/>
            </w:pPr>
            <w:r>
              <w:rPr>
                <w:color w:val="000000"/>
                <w:sz w:val="24"/>
              </w:rPr>
              <w:t>484</w:t>
            </w:r>
          </w:p>
        </w:tc>
        <w:tc>
          <w:tcPr>
            <w:tcW w:w="1932" w:type="dxa"/>
            <w:vAlign w:val="center"/>
          </w:tcPr>
          <w:p>
            <w:pPr>
              <w:jc w:val="right"/>
            </w:pPr>
            <w:r>
              <w:rPr>
                <w:color w:val="000000"/>
                <w:sz w:val="24"/>
              </w:rPr>
              <w:t>19,998.88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68</w:t>
            </w:r>
          </w:p>
        </w:tc>
        <w:tc>
          <w:tcPr>
            <w:tcW w:w="1276" w:type="dxa"/>
            <w:vAlign w:val="center"/>
          </w:tcPr>
          <w:p>
            <w:pPr>
              <w:jc w:val="center"/>
            </w:pPr>
            <w:r>
              <w:rPr>
                <w:color w:val="000000"/>
                <w:sz w:val="24"/>
              </w:rPr>
              <w:t>300878</w:t>
            </w:r>
          </w:p>
        </w:tc>
        <w:tc>
          <w:tcPr>
            <w:tcW w:w="1701" w:type="dxa"/>
            <w:vAlign w:val="center"/>
          </w:tcPr>
          <w:p>
            <w:pPr>
              <w:jc w:val="center"/>
            </w:pPr>
            <w:r>
              <w:rPr>
                <w:color w:val="000000"/>
                <w:sz w:val="24"/>
              </w:rPr>
              <w:t>维康药业</w:t>
            </w:r>
          </w:p>
        </w:tc>
        <w:tc>
          <w:tcPr>
            <w:tcW w:w="1559" w:type="dxa"/>
            <w:vAlign w:val="center"/>
          </w:tcPr>
          <w:p>
            <w:pPr>
              <w:jc w:val="right"/>
            </w:pPr>
            <w:r>
              <w:rPr>
                <w:color w:val="000000"/>
                <w:sz w:val="24"/>
              </w:rPr>
              <w:t>401</w:t>
            </w:r>
          </w:p>
        </w:tc>
        <w:tc>
          <w:tcPr>
            <w:tcW w:w="1932" w:type="dxa"/>
            <w:vAlign w:val="center"/>
          </w:tcPr>
          <w:p>
            <w:pPr>
              <w:jc w:val="right"/>
            </w:pPr>
            <w:r>
              <w:rPr>
                <w:color w:val="000000"/>
                <w:sz w:val="24"/>
              </w:rPr>
              <w:t>19,536.72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69</w:t>
            </w:r>
          </w:p>
        </w:tc>
        <w:tc>
          <w:tcPr>
            <w:tcW w:w="1276" w:type="dxa"/>
            <w:vAlign w:val="center"/>
          </w:tcPr>
          <w:p>
            <w:pPr>
              <w:jc w:val="center"/>
            </w:pPr>
            <w:r>
              <w:rPr>
                <w:color w:val="000000"/>
                <w:sz w:val="24"/>
              </w:rPr>
              <w:t>300891</w:t>
            </w:r>
          </w:p>
        </w:tc>
        <w:tc>
          <w:tcPr>
            <w:tcW w:w="1701" w:type="dxa"/>
            <w:vAlign w:val="center"/>
          </w:tcPr>
          <w:p>
            <w:pPr>
              <w:jc w:val="center"/>
            </w:pPr>
            <w:r>
              <w:rPr>
                <w:color w:val="000000"/>
                <w:sz w:val="24"/>
              </w:rPr>
              <w:t>惠云钛业</w:t>
            </w:r>
          </w:p>
        </w:tc>
        <w:tc>
          <w:tcPr>
            <w:tcW w:w="1559" w:type="dxa"/>
            <w:vAlign w:val="center"/>
          </w:tcPr>
          <w:p>
            <w:pPr>
              <w:jc w:val="right"/>
            </w:pPr>
            <w:r>
              <w:rPr>
                <w:color w:val="000000"/>
                <w:sz w:val="24"/>
              </w:rPr>
              <w:t>1,143</w:t>
            </w:r>
          </w:p>
        </w:tc>
        <w:tc>
          <w:tcPr>
            <w:tcW w:w="1932" w:type="dxa"/>
            <w:vAlign w:val="center"/>
          </w:tcPr>
          <w:p>
            <w:pPr>
              <w:jc w:val="right"/>
            </w:pPr>
            <w:r>
              <w:rPr>
                <w:color w:val="000000"/>
                <w:sz w:val="24"/>
              </w:rPr>
              <w:t>18,745.20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70</w:t>
            </w:r>
          </w:p>
        </w:tc>
        <w:tc>
          <w:tcPr>
            <w:tcW w:w="1276" w:type="dxa"/>
            <w:vAlign w:val="center"/>
          </w:tcPr>
          <w:p>
            <w:pPr>
              <w:jc w:val="center"/>
            </w:pPr>
            <w:r>
              <w:rPr>
                <w:color w:val="000000"/>
                <w:sz w:val="24"/>
              </w:rPr>
              <w:t>003029</w:t>
            </w:r>
          </w:p>
        </w:tc>
        <w:tc>
          <w:tcPr>
            <w:tcW w:w="1701" w:type="dxa"/>
            <w:vAlign w:val="center"/>
          </w:tcPr>
          <w:p>
            <w:pPr>
              <w:jc w:val="center"/>
            </w:pPr>
            <w:r>
              <w:rPr>
                <w:color w:val="000000"/>
                <w:sz w:val="24"/>
              </w:rPr>
              <w:t>吉大正元</w:t>
            </w:r>
          </w:p>
        </w:tc>
        <w:tc>
          <w:tcPr>
            <w:tcW w:w="1559" w:type="dxa"/>
            <w:vAlign w:val="center"/>
          </w:tcPr>
          <w:p>
            <w:pPr>
              <w:jc w:val="right"/>
            </w:pPr>
            <w:r>
              <w:rPr>
                <w:color w:val="000000"/>
                <w:sz w:val="24"/>
              </w:rPr>
              <w:t>716</w:t>
            </w:r>
          </w:p>
        </w:tc>
        <w:tc>
          <w:tcPr>
            <w:tcW w:w="1932" w:type="dxa"/>
            <w:vAlign w:val="center"/>
          </w:tcPr>
          <w:p>
            <w:pPr>
              <w:jc w:val="right"/>
            </w:pPr>
            <w:r>
              <w:rPr>
                <w:color w:val="000000"/>
                <w:sz w:val="24"/>
              </w:rPr>
              <w:t>18,716.24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71</w:t>
            </w:r>
          </w:p>
        </w:tc>
        <w:tc>
          <w:tcPr>
            <w:tcW w:w="1276" w:type="dxa"/>
            <w:vAlign w:val="center"/>
          </w:tcPr>
          <w:p>
            <w:pPr>
              <w:jc w:val="center"/>
            </w:pPr>
            <w:r>
              <w:rPr>
                <w:color w:val="000000"/>
                <w:sz w:val="24"/>
              </w:rPr>
              <w:t>003028</w:t>
            </w:r>
          </w:p>
        </w:tc>
        <w:tc>
          <w:tcPr>
            <w:tcW w:w="1701" w:type="dxa"/>
            <w:vAlign w:val="center"/>
          </w:tcPr>
          <w:p>
            <w:pPr>
              <w:jc w:val="center"/>
            </w:pPr>
            <w:r>
              <w:rPr>
                <w:color w:val="000000"/>
                <w:sz w:val="24"/>
              </w:rPr>
              <w:t>振邦智能</w:t>
            </w:r>
          </w:p>
        </w:tc>
        <w:tc>
          <w:tcPr>
            <w:tcW w:w="1559" w:type="dxa"/>
            <w:vAlign w:val="center"/>
          </w:tcPr>
          <w:p>
            <w:pPr>
              <w:jc w:val="right"/>
            </w:pPr>
            <w:r>
              <w:rPr>
                <w:color w:val="000000"/>
                <w:sz w:val="24"/>
              </w:rPr>
              <w:t>432</w:t>
            </w:r>
          </w:p>
        </w:tc>
        <w:tc>
          <w:tcPr>
            <w:tcW w:w="1932" w:type="dxa"/>
            <w:vAlign w:val="center"/>
          </w:tcPr>
          <w:p>
            <w:pPr>
              <w:jc w:val="right"/>
            </w:pPr>
            <w:r>
              <w:rPr>
                <w:color w:val="000000"/>
                <w:sz w:val="24"/>
              </w:rPr>
              <w:t>18,010.08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72</w:t>
            </w:r>
          </w:p>
        </w:tc>
        <w:tc>
          <w:tcPr>
            <w:tcW w:w="1276" w:type="dxa"/>
            <w:vAlign w:val="center"/>
          </w:tcPr>
          <w:p>
            <w:pPr>
              <w:jc w:val="center"/>
            </w:pPr>
            <w:r>
              <w:rPr>
                <w:color w:val="000000"/>
                <w:sz w:val="24"/>
              </w:rPr>
              <w:t>605186</w:t>
            </w:r>
          </w:p>
        </w:tc>
        <w:tc>
          <w:tcPr>
            <w:tcW w:w="1701" w:type="dxa"/>
            <w:vAlign w:val="center"/>
          </w:tcPr>
          <w:p>
            <w:pPr>
              <w:jc w:val="center"/>
            </w:pPr>
            <w:r>
              <w:rPr>
                <w:color w:val="000000"/>
                <w:sz w:val="24"/>
              </w:rPr>
              <w:t>健麾信息</w:t>
            </w:r>
          </w:p>
        </w:tc>
        <w:tc>
          <w:tcPr>
            <w:tcW w:w="1559" w:type="dxa"/>
            <w:vAlign w:val="center"/>
          </w:tcPr>
          <w:p>
            <w:pPr>
              <w:jc w:val="right"/>
            </w:pPr>
            <w:r>
              <w:rPr>
                <w:color w:val="000000"/>
                <w:sz w:val="24"/>
              </w:rPr>
              <w:t>626</w:t>
            </w:r>
          </w:p>
        </w:tc>
        <w:tc>
          <w:tcPr>
            <w:tcW w:w="1932" w:type="dxa"/>
            <w:vAlign w:val="center"/>
          </w:tcPr>
          <w:p>
            <w:pPr>
              <w:jc w:val="right"/>
            </w:pPr>
            <w:r>
              <w:rPr>
                <w:color w:val="000000"/>
                <w:sz w:val="24"/>
              </w:rPr>
              <w:t>17,609.38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73</w:t>
            </w:r>
          </w:p>
        </w:tc>
        <w:tc>
          <w:tcPr>
            <w:tcW w:w="1276" w:type="dxa"/>
            <w:vAlign w:val="center"/>
          </w:tcPr>
          <w:p>
            <w:pPr>
              <w:jc w:val="center"/>
            </w:pPr>
            <w:r>
              <w:rPr>
                <w:color w:val="000000"/>
                <w:sz w:val="24"/>
              </w:rPr>
              <w:t>300884</w:t>
            </w:r>
          </w:p>
        </w:tc>
        <w:tc>
          <w:tcPr>
            <w:tcW w:w="1701" w:type="dxa"/>
            <w:vAlign w:val="center"/>
          </w:tcPr>
          <w:p>
            <w:pPr>
              <w:jc w:val="center"/>
            </w:pPr>
            <w:r>
              <w:rPr>
                <w:color w:val="000000"/>
                <w:sz w:val="24"/>
              </w:rPr>
              <w:t>狄耐克</w:t>
            </w:r>
          </w:p>
        </w:tc>
        <w:tc>
          <w:tcPr>
            <w:tcW w:w="1559" w:type="dxa"/>
            <w:vAlign w:val="center"/>
          </w:tcPr>
          <w:p>
            <w:pPr>
              <w:jc w:val="right"/>
            </w:pPr>
            <w:r>
              <w:rPr>
                <w:color w:val="000000"/>
                <w:sz w:val="24"/>
              </w:rPr>
              <w:t>499</w:t>
            </w:r>
          </w:p>
        </w:tc>
        <w:tc>
          <w:tcPr>
            <w:tcW w:w="1932" w:type="dxa"/>
            <w:vAlign w:val="center"/>
          </w:tcPr>
          <w:p>
            <w:pPr>
              <w:jc w:val="right"/>
            </w:pPr>
            <w:r>
              <w:rPr>
                <w:color w:val="000000"/>
                <w:sz w:val="24"/>
              </w:rPr>
              <w:t>16,721.49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74</w:t>
            </w:r>
          </w:p>
        </w:tc>
        <w:tc>
          <w:tcPr>
            <w:tcW w:w="1276" w:type="dxa"/>
            <w:vAlign w:val="center"/>
          </w:tcPr>
          <w:p>
            <w:pPr>
              <w:jc w:val="center"/>
            </w:pPr>
            <w:r>
              <w:rPr>
                <w:color w:val="000000"/>
                <w:sz w:val="24"/>
              </w:rPr>
              <w:t>605179</w:t>
            </w:r>
          </w:p>
        </w:tc>
        <w:tc>
          <w:tcPr>
            <w:tcW w:w="1701" w:type="dxa"/>
            <w:vAlign w:val="center"/>
          </w:tcPr>
          <w:p>
            <w:pPr>
              <w:jc w:val="center"/>
            </w:pPr>
            <w:r>
              <w:rPr>
                <w:color w:val="000000"/>
                <w:sz w:val="24"/>
              </w:rPr>
              <w:t>一鸣食品</w:t>
            </w:r>
          </w:p>
        </w:tc>
        <w:tc>
          <w:tcPr>
            <w:tcW w:w="1559" w:type="dxa"/>
            <w:vAlign w:val="center"/>
          </w:tcPr>
          <w:p>
            <w:pPr>
              <w:jc w:val="right"/>
            </w:pPr>
            <w:r>
              <w:rPr>
                <w:color w:val="000000"/>
                <w:sz w:val="24"/>
              </w:rPr>
              <w:t>939</w:t>
            </w:r>
          </w:p>
        </w:tc>
        <w:tc>
          <w:tcPr>
            <w:tcW w:w="1932" w:type="dxa"/>
            <w:vAlign w:val="center"/>
          </w:tcPr>
          <w:p>
            <w:pPr>
              <w:jc w:val="right"/>
            </w:pPr>
            <w:r>
              <w:rPr>
                <w:color w:val="000000"/>
                <w:sz w:val="24"/>
              </w:rPr>
              <w:t>16,582.74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75</w:t>
            </w:r>
          </w:p>
        </w:tc>
        <w:tc>
          <w:tcPr>
            <w:tcW w:w="1276" w:type="dxa"/>
            <w:vAlign w:val="center"/>
          </w:tcPr>
          <w:p>
            <w:pPr>
              <w:jc w:val="center"/>
            </w:pPr>
            <w:r>
              <w:rPr>
                <w:color w:val="000000"/>
                <w:sz w:val="24"/>
              </w:rPr>
              <w:t>300892</w:t>
            </w:r>
          </w:p>
        </w:tc>
        <w:tc>
          <w:tcPr>
            <w:tcW w:w="1701" w:type="dxa"/>
            <w:vAlign w:val="center"/>
          </w:tcPr>
          <w:p>
            <w:pPr>
              <w:jc w:val="center"/>
            </w:pPr>
            <w:r>
              <w:rPr>
                <w:color w:val="000000"/>
                <w:sz w:val="24"/>
              </w:rPr>
              <w:t>品渥食品</w:t>
            </w:r>
          </w:p>
        </w:tc>
        <w:tc>
          <w:tcPr>
            <w:tcW w:w="1559" w:type="dxa"/>
            <w:vAlign w:val="center"/>
          </w:tcPr>
          <w:p>
            <w:pPr>
              <w:jc w:val="right"/>
            </w:pPr>
            <w:r>
              <w:rPr>
                <w:color w:val="000000"/>
                <w:sz w:val="24"/>
              </w:rPr>
              <w:t>272</w:t>
            </w:r>
          </w:p>
        </w:tc>
        <w:tc>
          <w:tcPr>
            <w:tcW w:w="1932" w:type="dxa"/>
            <w:vAlign w:val="center"/>
          </w:tcPr>
          <w:p>
            <w:pPr>
              <w:jc w:val="right"/>
            </w:pPr>
            <w:r>
              <w:rPr>
                <w:color w:val="000000"/>
                <w:sz w:val="24"/>
              </w:rPr>
              <w:t>16,322.72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vAlign w:val="center"/>
          </w:tcPr>
          <w:p>
            <w:pPr>
              <w:jc w:val="center"/>
            </w:pPr>
            <w:r>
              <w:rPr>
                <w:color w:val="000000"/>
                <w:sz w:val="24"/>
              </w:rPr>
              <w:t>76</w:t>
            </w:r>
          </w:p>
        </w:tc>
        <w:tc>
          <w:tcPr>
            <w:tcW w:w="1276" w:type="dxa"/>
            <w:vAlign w:val="center"/>
          </w:tcPr>
          <w:p>
            <w:pPr>
              <w:jc w:val="center"/>
            </w:pPr>
            <w:r>
              <w:rPr>
                <w:color w:val="000000"/>
                <w:sz w:val="24"/>
              </w:rPr>
              <w:t>300909</w:t>
            </w:r>
          </w:p>
        </w:tc>
        <w:tc>
          <w:tcPr>
            <w:tcW w:w="1701" w:type="dxa"/>
            <w:vAlign w:val="center"/>
          </w:tcPr>
          <w:p>
            <w:pPr>
              <w:jc w:val="center"/>
            </w:pPr>
            <w:r>
              <w:rPr>
                <w:color w:val="000000"/>
                <w:sz w:val="24"/>
              </w:rPr>
              <w:t>汇创达</w:t>
            </w:r>
          </w:p>
        </w:tc>
        <w:tc>
          <w:tcPr>
            <w:tcW w:w="1559" w:type="dxa"/>
            <w:vAlign w:val="center"/>
          </w:tcPr>
          <w:p>
            <w:pPr>
              <w:jc w:val="right"/>
            </w:pPr>
            <w:r>
              <w:rPr>
                <w:color w:val="000000"/>
                <w:sz w:val="24"/>
              </w:rPr>
              <w:t>386</w:t>
            </w:r>
          </w:p>
        </w:tc>
        <w:tc>
          <w:tcPr>
            <w:tcW w:w="1932" w:type="dxa"/>
            <w:vAlign w:val="center"/>
          </w:tcPr>
          <w:p>
            <w:pPr>
              <w:jc w:val="right"/>
            </w:pPr>
            <w:r>
              <w:rPr>
                <w:color w:val="000000"/>
                <w:sz w:val="24"/>
              </w:rPr>
              <w:t>15,698.62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77</w:t>
            </w:r>
          </w:p>
        </w:tc>
        <w:tc>
          <w:tcPr>
            <w:tcW w:w="1276" w:type="dxa"/>
            <w:vAlign w:val="center"/>
          </w:tcPr>
          <w:p>
            <w:pPr>
              <w:jc w:val="center"/>
            </w:pPr>
            <w:r>
              <w:rPr>
                <w:color w:val="000000"/>
                <w:sz w:val="24"/>
              </w:rPr>
              <w:t>300887</w:t>
            </w:r>
          </w:p>
        </w:tc>
        <w:tc>
          <w:tcPr>
            <w:tcW w:w="1701" w:type="dxa"/>
            <w:vAlign w:val="center"/>
          </w:tcPr>
          <w:p>
            <w:pPr>
              <w:jc w:val="center"/>
            </w:pPr>
            <w:r>
              <w:rPr>
                <w:color w:val="000000"/>
                <w:sz w:val="24"/>
              </w:rPr>
              <w:t>谱尼测试</w:t>
            </w:r>
          </w:p>
        </w:tc>
        <w:tc>
          <w:tcPr>
            <w:tcW w:w="1559" w:type="dxa"/>
            <w:vAlign w:val="center"/>
          </w:tcPr>
          <w:p>
            <w:pPr>
              <w:jc w:val="right"/>
            </w:pPr>
            <w:r>
              <w:rPr>
                <w:color w:val="000000"/>
                <w:sz w:val="24"/>
              </w:rPr>
              <w:t>210</w:t>
            </w:r>
          </w:p>
        </w:tc>
        <w:tc>
          <w:tcPr>
            <w:tcW w:w="1932" w:type="dxa"/>
            <w:vAlign w:val="center"/>
          </w:tcPr>
          <w:p>
            <w:pPr>
              <w:jc w:val="right"/>
            </w:pPr>
            <w:r>
              <w:rPr>
                <w:color w:val="000000"/>
                <w:sz w:val="24"/>
              </w:rPr>
              <w:t>15,649.20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78</w:t>
            </w:r>
          </w:p>
        </w:tc>
        <w:tc>
          <w:tcPr>
            <w:tcW w:w="1276" w:type="dxa"/>
            <w:vAlign w:val="center"/>
          </w:tcPr>
          <w:p>
            <w:pPr>
              <w:jc w:val="center"/>
            </w:pPr>
            <w:r>
              <w:rPr>
                <w:color w:val="000000"/>
                <w:sz w:val="24"/>
              </w:rPr>
              <w:t>300864</w:t>
            </w:r>
          </w:p>
        </w:tc>
        <w:tc>
          <w:tcPr>
            <w:tcW w:w="1701" w:type="dxa"/>
            <w:vAlign w:val="center"/>
          </w:tcPr>
          <w:p>
            <w:pPr>
              <w:jc w:val="center"/>
            </w:pPr>
            <w:r>
              <w:rPr>
                <w:color w:val="000000"/>
                <w:sz w:val="24"/>
              </w:rPr>
              <w:t>南大环境</w:t>
            </w:r>
          </w:p>
        </w:tc>
        <w:tc>
          <w:tcPr>
            <w:tcW w:w="1559" w:type="dxa"/>
            <w:vAlign w:val="center"/>
          </w:tcPr>
          <w:p>
            <w:pPr>
              <w:jc w:val="right"/>
            </w:pPr>
            <w:r>
              <w:rPr>
                <w:color w:val="000000"/>
                <w:sz w:val="24"/>
              </w:rPr>
              <w:t>166</w:t>
            </w:r>
          </w:p>
        </w:tc>
        <w:tc>
          <w:tcPr>
            <w:tcW w:w="1932" w:type="dxa"/>
            <w:vAlign w:val="center"/>
          </w:tcPr>
          <w:p>
            <w:pPr>
              <w:jc w:val="right"/>
            </w:pPr>
            <w:r>
              <w:rPr>
                <w:color w:val="000000"/>
                <w:sz w:val="24"/>
              </w:rPr>
              <w:t>15,081.10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79</w:t>
            </w:r>
          </w:p>
        </w:tc>
        <w:tc>
          <w:tcPr>
            <w:tcW w:w="1276" w:type="dxa"/>
            <w:vAlign w:val="center"/>
          </w:tcPr>
          <w:p>
            <w:pPr>
              <w:jc w:val="center"/>
            </w:pPr>
            <w:r>
              <w:rPr>
                <w:color w:val="000000"/>
                <w:sz w:val="24"/>
              </w:rPr>
              <w:t>605500</w:t>
            </w:r>
          </w:p>
        </w:tc>
        <w:tc>
          <w:tcPr>
            <w:tcW w:w="1701" w:type="dxa"/>
            <w:vAlign w:val="center"/>
          </w:tcPr>
          <w:p>
            <w:pPr>
              <w:jc w:val="center"/>
            </w:pPr>
            <w:r>
              <w:rPr>
                <w:color w:val="000000"/>
                <w:sz w:val="24"/>
              </w:rPr>
              <w:t>森林包装</w:t>
            </w:r>
          </w:p>
        </w:tc>
        <w:tc>
          <w:tcPr>
            <w:tcW w:w="1559" w:type="dxa"/>
            <w:vAlign w:val="center"/>
          </w:tcPr>
          <w:p>
            <w:pPr>
              <w:jc w:val="right"/>
            </w:pPr>
            <w:r>
              <w:rPr>
                <w:color w:val="000000"/>
                <w:sz w:val="24"/>
              </w:rPr>
              <w:t>762</w:t>
            </w:r>
          </w:p>
        </w:tc>
        <w:tc>
          <w:tcPr>
            <w:tcW w:w="1932" w:type="dxa"/>
            <w:vAlign w:val="center"/>
          </w:tcPr>
          <w:p>
            <w:pPr>
              <w:jc w:val="right"/>
            </w:pPr>
            <w:r>
              <w:rPr>
                <w:color w:val="000000"/>
                <w:sz w:val="24"/>
              </w:rPr>
              <w:t>14,980.92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80</w:t>
            </w:r>
          </w:p>
        </w:tc>
        <w:tc>
          <w:tcPr>
            <w:tcW w:w="1276" w:type="dxa"/>
            <w:vAlign w:val="center"/>
          </w:tcPr>
          <w:p>
            <w:pPr>
              <w:jc w:val="center"/>
            </w:pPr>
            <w:r>
              <w:rPr>
                <w:color w:val="000000"/>
                <w:sz w:val="24"/>
              </w:rPr>
              <w:t>605377</w:t>
            </w:r>
          </w:p>
        </w:tc>
        <w:tc>
          <w:tcPr>
            <w:tcW w:w="1701" w:type="dxa"/>
            <w:vAlign w:val="center"/>
          </w:tcPr>
          <w:p>
            <w:pPr>
              <w:jc w:val="center"/>
            </w:pPr>
            <w:r>
              <w:rPr>
                <w:color w:val="000000"/>
                <w:sz w:val="24"/>
              </w:rPr>
              <w:t>华旺科技</w:t>
            </w:r>
          </w:p>
        </w:tc>
        <w:tc>
          <w:tcPr>
            <w:tcW w:w="1559" w:type="dxa"/>
            <w:vAlign w:val="center"/>
          </w:tcPr>
          <w:p>
            <w:pPr>
              <w:jc w:val="right"/>
            </w:pPr>
            <w:r>
              <w:rPr>
                <w:color w:val="000000"/>
                <w:sz w:val="24"/>
              </w:rPr>
              <w:t>750</w:t>
            </w:r>
          </w:p>
        </w:tc>
        <w:tc>
          <w:tcPr>
            <w:tcW w:w="1932" w:type="dxa"/>
            <w:vAlign w:val="center"/>
          </w:tcPr>
          <w:p>
            <w:pPr>
              <w:jc w:val="right"/>
            </w:pPr>
            <w:r>
              <w:rPr>
                <w:color w:val="000000"/>
                <w:sz w:val="24"/>
              </w:rPr>
              <w:t>14,977.50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81</w:t>
            </w:r>
          </w:p>
        </w:tc>
        <w:tc>
          <w:tcPr>
            <w:tcW w:w="1276" w:type="dxa"/>
            <w:vAlign w:val="center"/>
          </w:tcPr>
          <w:p>
            <w:pPr>
              <w:jc w:val="center"/>
            </w:pPr>
            <w:r>
              <w:rPr>
                <w:color w:val="000000"/>
                <w:sz w:val="24"/>
              </w:rPr>
              <w:t>300889</w:t>
            </w:r>
          </w:p>
        </w:tc>
        <w:tc>
          <w:tcPr>
            <w:tcW w:w="1701" w:type="dxa"/>
            <w:vAlign w:val="center"/>
          </w:tcPr>
          <w:p>
            <w:pPr>
              <w:jc w:val="center"/>
            </w:pPr>
            <w:r>
              <w:rPr>
                <w:color w:val="000000"/>
                <w:sz w:val="24"/>
              </w:rPr>
              <w:t>爱克股份</w:t>
            </w:r>
          </w:p>
        </w:tc>
        <w:tc>
          <w:tcPr>
            <w:tcW w:w="1559" w:type="dxa"/>
            <w:vAlign w:val="center"/>
          </w:tcPr>
          <w:p>
            <w:pPr>
              <w:jc w:val="right"/>
            </w:pPr>
            <w:r>
              <w:rPr>
                <w:color w:val="000000"/>
                <w:sz w:val="24"/>
              </w:rPr>
              <w:t>479</w:t>
            </w:r>
          </w:p>
        </w:tc>
        <w:tc>
          <w:tcPr>
            <w:tcW w:w="1932" w:type="dxa"/>
            <w:vAlign w:val="center"/>
          </w:tcPr>
          <w:p>
            <w:pPr>
              <w:jc w:val="right"/>
            </w:pPr>
            <w:r>
              <w:rPr>
                <w:color w:val="000000"/>
                <w:sz w:val="24"/>
              </w:rPr>
              <w:t>14,427.48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82</w:t>
            </w:r>
          </w:p>
        </w:tc>
        <w:tc>
          <w:tcPr>
            <w:tcW w:w="1276" w:type="dxa"/>
            <w:vAlign w:val="center"/>
          </w:tcPr>
          <w:p>
            <w:pPr>
              <w:jc w:val="center"/>
            </w:pPr>
            <w:r>
              <w:rPr>
                <w:color w:val="000000"/>
                <w:sz w:val="24"/>
              </w:rPr>
              <w:t>003027</w:t>
            </w:r>
          </w:p>
        </w:tc>
        <w:tc>
          <w:tcPr>
            <w:tcW w:w="1701" w:type="dxa"/>
            <w:vAlign w:val="center"/>
          </w:tcPr>
          <w:p>
            <w:pPr>
              <w:jc w:val="center"/>
            </w:pPr>
            <w:r>
              <w:rPr>
                <w:color w:val="000000"/>
                <w:sz w:val="24"/>
              </w:rPr>
              <w:t>同兴环保</w:t>
            </w:r>
          </w:p>
        </w:tc>
        <w:tc>
          <w:tcPr>
            <w:tcW w:w="1559" w:type="dxa"/>
            <w:vAlign w:val="center"/>
          </w:tcPr>
          <w:p>
            <w:pPr>
              <w:jc w:val="right"/>
            </w:pPr>
            <w:r>
              <w:rPr>
                <w:color w:val="000000"/>
                <w:sz w:val="24"/>
              </w:rPr>
              <w:t>349</w:t>
            </w:r>
          </w:p>
        </w:tc>
        <w:tc>
          <w:tcPr>
            <w:tcW w:w="1932" w:type="dxa"/>
            <w:vAlign w:val="center"/>
          </w:tcPr>
          <w:p>
            <w:pPr>
              <w:jc w:val="right"/>
            </w:pPr>
            <w:r>
              <w:rPr>
                <w:color w:val="000000"/>
                <w:sz w:val="24"/>
              </w:rPr>
              <w:t>14,008.86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vAlign w:val="center"/>
          </w:tcPr>
          <w:p>
            <w:pPr>
              <w:jc w:val="center"/>
            </w:pPr>
            <w:r>
              <w:rPr>
                <w:color w:val="000000"/>
                <w:sz w:val="24"/>
              </w:rPr>
              <w:t>83</w:t>
            </w:r>
          </w:p>
        </w:tc>
        <w:tc>
          <w:tcPr>
            <w:tcW w:w="1276" w:type="dxa"/>
            <w:vAlign w:val="center"/>
          </w:tcPr>
          <w:p>
            <w:pPr>
              <w:jc w:val="center"/>
            </w:pPr>
            <w:r>
              <w:rPr>
                <w:color w:val="000000"/>
                <w:sz w:val="24"/>
              </w:rPr>
              <w:t>300890</w:t>
            </w:r>
          </w:p>
        </w:tc>
        <w:tc>
          <w:tcPr>
            <w:tcW w:w="1701" w:type="dxa"/>
            <w:vAlign w:val="center"/>
          </w:tcPr>
          <w:p>
            <w:pPr>
              <w:jc w:val="center"/>
            </w:pPr>
            <w:r>
              <w:rPr>
                <w:color w:val="000000"/>
                <w:sz w:val="24"/>
              </w:rPr>
              <w:t>翔丰华</w:t>
            </w:r>
          </w:p>
        </w:tc>
        <w:tc>
          <w:tcPr>
            <w:tcW w:w="1559" w:type="dxa"/>
            <w:vAlign w:val="center"/>
          </w:tcPr>
          <w:p>
            <w:pPr>
              <w:jc w:val="right"/>
            </w:pPr>
            <w:r>
              <w:rPr>
                <w:color w:val="000000"/>
                <w:sz w:val="24"/>
              </w:rPr>
              <w:t>286</w:t>
            </w:r>
          </w:p>
        </w:tc>
        <w:tc>
          <w:tcPr>
            <w:tcW w:w="1932" w:type="dxa"/>
            <w:vAlign w:val="center"/>
          </w:tcPr>
          <w:p>
            <w:pPr>
              <w:jc w:val="right"/>
            </w:pPr>
            <w:r>
              <w:rPr>
                <w:color w:val="000000"/>
                <w:sz w:val="24"/>
              </w:rPr>
              <w:t>13,971.10</w:t>
            </w:r>
          </w:p>
        </w:tc>
        <w:tc>
          <w:tcPr>
            <w:tcW w:w="1612" w:type="dxa"/>
            <w:vAlign w:val="center"/>
          </w:tcPr>
          <w:p>
            <w:pPr>
              <w:jc w:val="right"/>
            </w:pPr>
            <w:r>
              <w:rPr>
                <w:color w:val="000000"/>
                <w:sz w:val="24"/>
              </w:rPr>
              <w:t>0.00</w:t>
            </w:r>
          </w:p>
        </w:tc>
      </w:tr>
      <w:tr>
        <w:tblPrEx>
          <w:tblCellMar>
            <w:top w:w="0" w:type="dxa"/>
            <w:left w:w="108" w:type="dxa"/>
            <w:bottom w:w="0" w:type="dxa"/>
            <w:right w:w="108" w:type="dxa"/>
          </w:tblCellMar>
        </w:tblPrEx>
        <w:trPr>
          <w:jc w:val="center"/>
        </w:trPr>
        <w:tc>
          <w:tcPr>
            <w:tcW w:w="817" w:type="dxa"/>
            <w:vAlign w:val="center"/>
          </w:tcPr>
          <w:p>
            <w:pPr>
              <w:jc w:val="center"/>
            </w:pPr>
            <w:r>
              <w:rPr>
                <w:color w:val="000000"/>
                <w:sz w:val="24"/>
              </w:rPr>
              <w:t>84</w:t>
            </w:r>
          </w:p>
        </w:tc>
        <w:tc>
          <w:tcPr>
            <w:tcW w:w="1276" w:type="dxa"/>
            <w:vAlign w:val="center"/>
          </w:tcPr>
          <w:p>
            <w:pPr>
              <w:jc w:val="center"/>
            </w:pPr>
            <w:r>
              <w:rPr>
                <w:color w:val="000000"/>
                <w:sz w:val="24"/>
              </w:rPr>
              <w:t>300895</w:t>
            </w:r>
          </w:p>
        </w:tc>
        <w:tc>
          <w:tcPr>
            <w:tcW w:w="1701" w:type="dxa"/>
            <w:vAlign w:val="center"/>
          </w:tcPr>
          <w:p>
            <w:pPr>
              <w:jc w:val="center"/>
            </w:pPr>
            <w:r>
              <w:rPr>
                <w:color w:val="000000"/>
                <w:sz w:val="24"/>
              </w:rPr>
              <w:t>铜牛信息</w:t>
            </w:r>
          </w:p>
        </w:tc>
        <w:tc>
          <w:tcPr>
            <w:tcW w:w="1559" w:type="dxa"/>
            <w:vAlign w:val="center"/>
          </w:tcPr>
          <w:p>
            <w:pPr>
              <w:jc w:val="right"/>
            </w:pPr>
            <w:r>
              <w:rPr>
                <w:color w:val="000000"/>
                <w:sz w:val="24"/>
              </w:rPr>
              <w:t>283</w:t>
            </w:r>
          </w:p>
        </w:tc>
        <w:tc>
          <w:tcPr>
            <w:tcW w:w="1932" w:type="dxa"/>
            <w:vAlign w:val="center"/>
          </w:tcPr>
          <w:p>
            <w:pPr>
              <w:jc w:val="right"/>
            </w:pPr>
            <w:r>
              <w:rPr>
                <w:color w:val="000000"/>
                <w:sz w:val="24"/>
              </w:rPr>
              <w:t>12,819.90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85</w:t>
            </w:r>
          </w:p>
        </w:tc>
        <w:tc>
          <w:tcPr>
            <w:tcW w:w="1276" w:type="dxa"/>
            <w:vAlign w:val="center"/>
          </w:tcPr>
          <w:p>
            <w:pPr>
              <w:jc w:val="center"/>
            </w:pPr>
            <w:r>
              <w:rPr>
                <w:color w:val="000000"/>
                <w:sz w:val="24"/>
              </w:rPr>
              <w:t>300876</w:t>
            </w:r>
          </w:p>
        </w:tc>
        <w:tc>
          <w:tcPr>
            <w:tcW w:w="1701" w:type="dxa"/>
            <w:vAlign w:val="center"/>
          </w:tcPr>
          <w:p>
            <w:pPr>
              <w:jc w:val="center"/>
            </w:pPr>
            <w:r>
              <w:rPr>
                <w:color w:val="000000"/>
                <w:sz w:val="24"/>
              </w:rPr>
              <w:t>蒙泰高新</w:t>
            </w:r>
          </w:p>
        </w:tc>
        <w:tc>
          <w:tcPr>
            <w:tcW w:w="1559" w:type="dxa"/>
            <w:vAlign w:val="center"/>
          </w:tcPr>
          <w:p>
            <w:pPr>
              <w:jc w:val="right"/>
            </w:pPr>
            <w:r>
              <w:rPr>
                <w:color w:val="000000"/>
                <w:sz w:val="24"/>
              </w:rPr>
              <w:t>350</w:t>
            </w:r>
          </w:p>
        </w:tc>
        <w:tc>
          <w:tcPr>
            <w:tcW w:w="1932" w:type="dxa"/>
            <w:vAlign w:val="center"/>
          </w:tcPr>
          <w:p>
            <w:pPr>
              <w:jc w:val="right"/>
            </w:pPr>
            <w:r>
              <w:rPr>
                <w:color w:val="000000"/>
                <w:sz w:val="24"/>
              </w:rPr>
              <w:t>12,817.00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vAlign w:val="center"/>
          </w:tcPr>
          <w:p>
            <w:pPr>
              <w:jc w:val="center"/>
            </w:pPr>
            <w:r>
              <w:rPr>
                <w:color w:val="000000"/>
                <w:sz w:val="24"/>
              </w:rPr>
              <w:t>86</w:t>
            </w:r>
          </w:p>
        </w:tc>
        <w:tc>
          <w:tcPr>
            <w:tcW w:w="1276" w:type="dxa"/>
            <w:vAlign w:val="center"/>
          </w:tcPr>
          <w:p>
            <w:pPr>
              <w:jc w:val="center"/>
            </w:pPr>
            <w:r>
              <w:rPr>
                <w:color w:val="000000"/>
                <w:sz w:val="24"/>
              </w:rPr>
              <w:t>300879</w:t>
            </w:r>
          </w:p>
        </w:tc>
        <w:tc>
          <w:tcPr>
            <w:tcW w:w="1701" w:type="dxa"/>
            <w:vAlign w:val="center"/>
          </w:tcPr>
          <w:p>
            <w:pPr>
              <w:jc w:val="center"/>
            </w:pPr>
            <w:r>
              <w:rPr>
                <w:color w:val="000000"/>
                <w:sz w:val="24"/>
              </w:rPr>
              <w:t>大叶股份</w:t>
            </w:r>
          </w:p>
        </w:tc>
        <w:tc>
          <w:tcPr>
            <w:tcW w:w="1559" w:type="dxa"/>
            <w:vAlign w:val="center"/>
          </w:tcPr>
          <w:p>
            <w:pPr>
              <w:jc w:val="right"/>
            </w:pPr>
            <w:r>
              <w:rPr>
                <w:color w:val="000000"/>
                <w:sz w:val="24"/>
              </w:rPr>
              <w:t>466</w:t>
            </w:r>
          </w:p>
        </w:tc>
        <w:tc>
          <w:tcPr>
            <w:tcW w:w="1932" w:type="dxa"/>
            <w:vAlign w:val="center"/>
          </w:tcPr>
          <w:p>
            <w:pPr>
              <w:jc w:val="right"/>
            </w:pPr>
            <w:r>
              <w:rPr>
                <w:color w:val="000000"/>
                <w:sz w:val="24"/>
              </w:rPr>
              <w:t>12,637.92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87</w:t>
            </w:r>
          </w:p>
        </w:tc>
        <w:tc>
          <w:tcPr>
            <w:tcW w:w="1276" w:type="dxa"/>
            <w:vAlign w:val="center"/>
          </w:tcPr>
          <w:p>
            <w:pPr>
              <w:jc w:val="center"/>
            </w:pPr>
            <w:r>
              <w:rPr>
                <w:color w:val="000000"/>
                <w:sz w:val="24"/>
              </w:rPr>
              <w:t>300882</w:t>
            </w:r>
          </w:p>
        </w:tc>
        <w:tc>
          <w:tcPr>
            <w:tcW w:w="1701" w:type="dxa"/>
            <w:vAlign w:val="center"/>
          </w:tcPr>
          <w:p>
            <w:pPr>
              <w:jc w:val="center"/>
            </w:pPr>
            <w:r>
              <w:rPr>
                <w:color w:val="000000"/>
                <w:sz w:val="24"/>
              </w:rPr>
              <w:t>万胜智能</w:t>
            </w:r>
          </w:p>
        </w:tc>
        <w:tc>
          <w:tcPr>
            <w:tcW w:w="1559" w:type="dxa"/>
            <w:vAlign w:val="center"/>
          </w:tcPr>
          <w:p>
            <w:pPr>
              <w:jc w:val="right"/>
            </w:pPr>
            <w:r>
              <w:rPr>
                <w:color w:val="000000"/>
                <w:sz w:val="24"/>
              </w:rPr>
              <w:t>440</w:t>
            </w:r>
          </w:p>
        </w:tc>
        <w:tc>
          <w:tcPr>
            <w:tcW w:w="1932" w:type="dxa"/>
            <w:vAlign w:val="center"/>
          </w:tcPr>
          <w:p>
            <w:pPr>
              <w:jc w:val="right"/>
            </w:pPr>
            <w:r>
              <w:rPr>
                <w:color w:val="000000"/>
                <w:sz w:val="24"/>
              </w:rPr>
              <w:t>11,347.60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vAlign w:val="center"/>
          </w:tcPr>
          <w:p>
            <w:pPr>
              <w:jc w:val="center"/>
            </w:pPr>
            <w:r>
              <w:rPr>
                <w:color w:val="000000"/>
                <w:sz w:val="24"/>
              </w:rPr>
              <w:t>88</w:t>
            </w:r>
          </w:p>
        </w:tc>
        <w:tc>
          <w:tcPr>
            <w:tcW w:w="1276" w:type="dxa"/>
            <w:vAlign w:val="center"/>
          </w:tcPr>
          <w:p>
            <w:pPr>
              <w:jc w:val="center"/>
            </w:pPr>
            <w:r>
              <w:rPr>
                <w:color w:val="000000"/>
                <w:sz w:val="24"/>
              </w:rPr>
              <w:t>605155</w:t>
            </w:r>
          </w:p>
        </w:tc>
        <w:tc>
          <w:tcPr>
            <w:tcW w:w="1701" w:type="dxa"/>
            <w:vAlign w:val="center"/>
          </w:tcPr>
          <w:p>
            <w:pPr>
              <w:jc w:val="center"/>
            </w:pPr>
            <w:r>
              <w:rPr>
                <w:color w:val="000000"/>
                <w:sz w:val="24"/>
              </w:rPr>
              <w:t>西大门</w:t>
            </w:r>
          </w:p>
        </w:tc>
        <w:tc>
          <w:tcPr>
            <w:tcW w:w="1559" w:type="dxa"/>
            <w:vAlign w:val="center"/>
          </w:tcPr>
          <w:p>
            <w:pPr>
              <w:jc w:val="right"/>
            </w:pPr>
            <w:r>
              <w:rPr>
                <w:color w:val="000000"/>
                <w:sz w:val="24"/>
              </w:rPr>
              <w:t>350</w:t>
            </w:r>
          </w:p>
        </w:tc>
        <w:tc>
          <w:tcPr>
            <w:tcW w:w="1932" w:type="dxa"/>
            <w:vAlign w:val="center"/>
          </w:tcPr>
          <w:p>
            <w:pPr>
              <w:jc w:val="right"/>
            </w:pPr>
            <w:r>
              <w:rPr>
                <w:color w:val="000000"/>
                <w:sz w:val="24"/>
              </w:rPr>
              <w:t>10,668.00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vAlign w:val="center"/>
          </w:tcPr>
          <w:p>
            <w:pPr>
              <w:jc w:val="center"/>
            </w:pPr>
            <w:r>
              <w:rPr>
                <w:color w:val="000000"/>
                <w:sz w:val="24"/>
              </w:rPr>
              <w:t>89</w:t>
            </w:r>
          </w:p>
        </w:tc>
        <w:tc>
          <w:tcPr>
            <w:tcW w:w="1276" w:type="dxa"/>
            <w:vAlign w:val="center"/>
          </w:tcPr>
          <w:p>
            <w:pPr>
              <w:jc w:val="center"/>
            </w:pPr>
            <w:r>
              <w:rPr>
                <w:color w:val="000000"/>
                <w:sz w:val="24"/>
              </w:rPr>
              <w:t>300911</w:t>
            </w:r>
          </w:p>
        </w:tc>
        <w:tc>
          <w:tcPr>
            <w:tcW w:w="1701" w:type="dxa"/>
            <w:vAlign w:val="center"/>
          </w:tcPr>
          <w:p>
            <w:pPr>
              <w:jc w:val="center"/>
            </w:pPr>
            <w:r>
              <w:rPr>
                <w:color w:val="000000"/>
                <w:sz w:val="24"/>
              </w:rPr>
              <w:t>亿田智能</w:t>
            </w:r>
          </w:p>
        </w:tc>
        <w:tc>
          <w:tcPr>
            <w:tcW w:w="1559" w:type="dxa"/>
            <w:vAlign w:val="center"/>
          </w:tcPr>
          <w:p>
            <w:pPr>
              <w:jc w:val="right"/>
            </w:pPr>
            <w:r>
              <w:rPr>
                <w:color w:val="000000"/>
                <w:sz w:val="24"/>
              </w:rPr>
              <w:t>309</w:t>
            </w:r>
          </w:p>
        </w:tc>
        <w:tc>
          <w:tcPr>
            <w:tcW w:w="1932" w:type="dxa"/>
            <w:vAlign w:val="center"/>
          </w:tcPr>
          <w:p>
            <w:pPr>
              <w:jc w:val="right"/>
            </w:pPr>
            <w:r>
              <w:rPr>
                <w:color w:val="000000"/>
                <w:sz w:val="24"/>
              </w:rPr>
              <w:t>10,215.54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90</w:t>
            </w:r>
          </w:p>
        </w:tc>
        <w:tc>
          <w:tcPr>
            <w:tcW w:w="1276" w:type="dxa"/>
            <w:vAlign w:val="center"/>
          </w:tcPr>
          <w:p>
            <w:pPr>
              <w:jc w:val="center"/>
            </w:pPr>
            <w:r>
              <w:rPr>
                <w:color w:val="000000"/>
                <w:sz w:val="24"/>
              </w:rPr>
              <w:t>300893</w:t>
            </w:r>
          </w:p>
        </w:tc>
        <w:tc>
          <w:tcPr>
            <w:tcW w:w="1701" w:type="dxa"/>
            <w:vAlign w:val="center"/>
          </w:tcPr>
          <w:p>
            <w:pPr>
              <w:jc w:val="center"/>
            </w:pPr>
            <w:r>
              <w:rPr>
                <w:color w:val="000000"/>
                <w:sz w:val="24"/>
              </w:rPr>
              <w:t>松原股份</w:t>
            </w:r>
          </w:p>
        </w:tc>
        <w:tc>
          <w:tcPr>
            <w:tcW w:w="1559" w:type="dxa"/>
            <w:vAlign w:val="center"/>
          </w:tcPr>
          <w:p>
            <w:pPr>
              <w:jc w:val="right"/>
            </w:pPr>
            <w:r>
              <w:rPr>
                <w:color w:val="000000"/>
                <w:sz w:val="24"/>
              </w:rPr>
              <w:t>276</w:t>
            </w:r>
          </w:p>
        </w:tc>
        <w:tc>
          <w:tcPr>
            <w:tcW w:w="1932" w:type="dxa"/>
            <w:vAlign w:val="center"/>
          </w:tcPr>
          <w:p>
            <w:pPr>
              <w:jc w:val="right"/>
            </w:pPr>
            <w:r>
              <w:rPr>
                <w:color w:val="000000"/>
                <w:sz w:val="24"/>
              </w:rPr>
              <w:t>9,682.08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91</w:t>
            </w:r>
          </w:p>
        </w:tc>
        <w:tc>
          <w:tcPr>
            <w:tcW w:w="1276" w:type="dxa"/>
            <w:vAlign w:val="center"/>
          </w:tcPr>
          <w:p>
            <w:pPr>
              <w:jc w:val="center"/>
            </w:pPr>
            <w:r>
              <w:rPr>
                <w:color w:val="000000"/>
                <w:sz w:val="24"/>
              </w:rPr>
              <w:t>300918</w:t>
            </w:r>
          </w:p>
        </w:tc>
        <w:tc>
          <w:tcPr>
            <w:tcW w:w="1701" w:type="dxa"/>
            <w:vAlign w:val="center"/>
          </w:tcPr>
          <w:p>
            <w:pPr>
              <w:jc w:val="center"/>
            </w:pPr>
            <w:r>
              <w:rPr>
                <w:color w:val="000000"/>
                <w:sz w:val="24"/>
              </w:rPr>
              <w:t>南山智尚</w:t>
            </w:r>
          </w:p>
        </w:tc>
        <w:tc>
          <w:tcPr>
            <w:tcW w:w="1559" w:type="dxa"/>
            <w:vAlign w:val="center"/>
          </w:tcPr>
          <w:p>
            <w:pPr>
              <w:jc w:val="right"/>
            </w:pPr>
            <w:r>
              <w:rPr>
                <w:color w:val="000000"/>
                <w:sz w:val="24"/>
              </w:rPr>
              <w:t>1,063</w:t>
            </w:r>
          </w:p>
        </w:tc>
        <w:tc>
          <w:tcPr>
            <w:tcW w:w="1932" w:type="dxa"/>
            <w:vAlign w:val="center"/>
          </w:tcPr>
          <w:p>
            <w:pPr>
              <w:jc w:val="right"/>
            </w:pPr>
            <w:r>
              <w:rPr>
                <w:color w:val="000000"/>
                <w:sz w:val="24"/>
              </w:rPr>
              <w:t>9,503.22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92</w:t>
            </w:r>
          </w:p>
        </w:tc>
        <w:tc>
          <w:tcPr>
            <w:tcW w:w="1276" w:type="dxa"/>
            <w:vAlign w:val="center"/>
          </w:tcPr>
          <w:p>
            <w:pPr>
              <w:jc w:val="center"/>
            </w:pPr>
            <w:r>
              <w:rPr>
                <w:color w:val="000000"/>
                <w:sz w:val="24"/>
              </w:rPr>
              <w:t>300881</w:t>
            </w:r>
          </w:p>
        </w:tc>
        <w:tc>
          <w:tcPr>
            <w:tcW w:w="1701" w:type="dxa"/>
            <w:vAlign w:val="center"/>
          </w:tcPr>
          <w:p>
            <w:pPr>
              <w:jc w:val="center"/>
            </w:pPr>
            <w:r>
              <w:rPr>
                <w:color w:val="000000"/>
                <w:sz w:val="24"/>
              </w:rPr>
              <w:t>盛德鑫泰</w:t>
            </w:r>
          </w:p>
        </w:tc>
        <w:tc>
          <w:tcPr>
            <w:tcW w:w="1559" w:type="dxa"/>
            <w:vAlign w:val="center"/>
          </w:tcPr>
          <w:p>
            <w:pPr>
              <w:jc w:val="right"/>
            </w:pPr>
            <w:r>
              <w:rPr>
                <w:color w:val="000000"/>
                <w:sz w:val="24"/>
              </w:rPr>
              <w:t>291</w:t>
            </w:r>
          </w:p>
        </w:tc>
        <w:tc>
          <w:tcPr>
            <w:tcW w:w="1932" w:type="dxa"/>
            <w:vAlign w:val="center"/>
          </w:tcPr>
          <w:p>
            <w:pPr>
              <w:jc w:val="right"/>
            </w:pPr>
            <w:r>
              <w:rPr>
                <w:color w:val="000000"/>
                <w:sz w:val="24"/>
              </w:rPr>
              <w:t>9,402.21</w:t>
            </w:r>
          </w:p>
        </w:tc>
        <w:tc>
          <w:tcPr>
            <w:tcW w:w="1612" w:type="dxa"/>
            <w:vAlign w:val="center"/>
          </w:tcPr>
          <w:p>
            <w:pPr>
              <w:jc w:val="right"/>
            </w:pPr>
            <w:r>
              <w:rPr>
                <w:color w:val="000000"/>
                <w:sz w:val="24"/>
              </w:rPr>
              <w:t>0.00</w:t>
            </w:r>
          </w:p>
        </w:tc>
      </w:tr>
      <w:tr>
        <w:tblPrEx>
          <w:tblCellMar>
            <w:top w:w="0" w:type="dxa"/>
            <w:left w:w="108" w:type="dxa"/>
            <w:bottom w:w="0" w:type="dxa"/>
            <w:right w:w="108" w:type="dxa"/>
          </w:tblCellMar>
        </w:tblPrEx>
        <w:trPr>
          <w:jc w:val="center"/>
        </w:trPr>
        <w:tc>
          <w:tcPr>
            <w:tcW w:w="817" w:type="dxa"/>
            <w:vAlign w:val="center"/>
          </w:tcPr>
          <w:p>
            <w:pPr>
              <w:jc w:val="center"/>
            </w:pPr>
            <w:r>
              <w:rPr>
                <w:color w:val="000000"/>
                <w:sz w:val="24"/>
              </w:rPr>
              <w:t>93</w:t>
            </w:r>
          </w:p>
        </w:tc>
        <w:tc>
          <w:tcPr>
            <w:tcW w:w="1276" w:type="dxa"/>
            <w:vAlign w:val="center"/>
          </w:tcPr>
          <w:p>
            <w:pPr>
              <w:jc w:val="center"/>
            </w:pPr>
            <w:r>
              <w:rPr>
                <w:color w:val="000000"/>
                <w:sz w:val="24"/>
              </w:rPr>
              <w:t>605299</w:t>
            </w:r>
          </w:p>
        </w:tc>
        <w:tc>
          <w:tcPr>
            <w:tcW w:w="1701" w:type="dxa"/>
            <w:vAlign w:val="center"/>
          </w:tcPr>
          <w:p>
            <w:pPr>
              <w:jc w:val="center"/>
            </w:pPr>
            <w:r>
              <w:rPr>
                <w:color w:val="000000"/>
                <w:sz w:val="24"/>
              </w:rPr>
              <w:t>舒华体育</w:t>
            </w:r>
          </w:p>
        </w:tc>
        <w:tc>
          <w:tcPr>
            <w:tcW w:w="1559" w:type="dxa"/>
            <w:vAlign w:val="center"/>
          </w:tcPr>
          <w:p>
            <w:pPr>
              <w:jc w:val="right"/>
            </w:pPr>
            <w:r>
              <w:rPr>
                <w:color w:val="000000"/>
                <w:sz w:val="24"/>
              </w:rPr>
              <w:t>738</w:t>
            </w:r>
          </w:p>
        </w:tc>
        <w:tc>
          <w:tcPr>
            <w:tcW w:w="1932" w:type="dxa"/>
            <w:vAlign w:val="center"/>
          </w:tcPr>
          <w:p>
            <w:pPr>
              <w:jc w:val="right"/>
            </w:pPr>
            <w:r>
              <w:rPr>
                <w:color w:val="000000"/>
                <w:sz w:val="24"/>
              </w:rPr>
              <w:t>9,335.70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94</w:t>
            </w:r>
          </w:p>
        </w:tc>
        <w:tc>
          <w:tcPr>
            <w:tcW w:w="1276" w:type="dxa"/>
            <w:vAlign w:val="center"/>
          </w:tcPr>
          <w:p>
            <w:pPr>
              <w:jc w:val="center"/>
            </w:pPr>
            <w:r>
              <w:rPr>
                <w:color w:val="000000"/>
                <w:sz w:val="24"/>
              </w:rPr>
              <w:t>300917</w:t>
            </w:r>
          </w:p>
        </w:tc>
        <w:tc>
          <w:tcPr>
            <w:tcW w:w="1701" w:type="dxa"/>
            <w:vAlign w:val="center"/>
          </w:tcPr>
          <w:p>
            <w:pPr>
              <w:jc w:val="center"/>
            </w:pPr>
            <w:r>
              <w:rPr>
                <w:color w:val="000000"/>
                <w:sz w:val="24"/>
              </w:rPr>
              <w:t>特发服务</w:t>
            </w:r>
          </w:p>
        </w:tc>
        <w:tc>
          <w:tcPr>
            <w:tcW w:w="1559" w:type="dxa"/>
            <w:vAlign w:val="center"/>
          </w:tcPr>
          <w:p>
            <w:pPr>
              <w:jc w:val="right"/>
            </w:pPr>
            <w:r>
              <w:rPr>
                <w:color w:val="000000"/>
                <w:sz w:val="24"/>
              </w:rPr>
              <w:t>281</w:t>
            </w:r>
          </w:p>
        </w:tc>
        <w:tc>
          <w:tcPr>
            <w:tcW w:w="1932" w:type="dxa"/>
            <w:vAlign w:val="center"/>
          </w:tcPr>
          <w:p>
            <w:pPr>
              <w:jc w:val="right"/>
            </w:pPr>
            <w:r>
              <w:rPr>
                <w:color w:val="000000"/>
                <w:sz w:val="24"/>
              </w:rPr>
              <w:t>8,975.14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95</w:t>
            </w:r>
          </w:p>
        </w:tc>
        <w:tc>
          <w:tcPr>
            <w:tcW w:w="1276" w:type="dxa"/>
            <w:vAlign w:val="center"/>
          </w:tcPr>
          <w:p>
            <w:pPr>
              <w:jc w:val="center"/>
            </w:pPr>
            <w:r>
              <w:rPr>
                <w:color w:val="000000"/>
                <w:sz w:val="24"/>
              </w:rPr>
              <w:t>605277</w:t>
            </w:r>
          </w:p>
        </w:tc>
        <w:tc>
          <w:tcPr>
            <w:tcW w:w="1701" w:type="dxa"/>
            <w:vAlign w:val="center"/>
          </w:tcPr>
          <w:p>
            <w:pPr>
              <w:jc w:val="center"/>
            </w:pPr>
            <w:r>
              <w:rPr>
                <w:color w:val="000000"/>
                <w:sz w:val="24"/>
              </w:rPr>
              <w:t>新亚电子</w:t>
            </w:r>
          </w:p>
        </w:tc>
        <w:tc>
          <w:tcPr>
            <w:tcW w:w="1559" w:type="dxa"/>
            <w:vAlign w:val="center"/>
          </w:tcPr>
          <w:p>
            <w:pPr>
              <w:jc w:val="right"/>
            </w:pPr>
            <w:r>
              <w:rPr>
                <w:color w:val="000000"/>
                <w:sz w:val="24"/>
              </w:rPr>
              <w:t>507</w:t>
            </w:r>
          </w:p>
        </w:tc>
        <w:tc>
          <w:tcPr>
            <w:tcW w:w="1932" w:type="dxa"/>
            <w:vAlign w:val="center"/>
          </w:tcPr>
          <w:p>
            <w:pPr>
              <w:jc w:val="right"/>
            </w:pPr>
            <w:r>
              <w:rPr>
                <w:color w:val="000000"/>
                <w:sz w:val="24"/>
              </w:rPr>
              <w:t>8,593.65</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96</w:t>
            </w:r>
          </w:p>
        </w:tc>
        <w:tc>
          <w:tcPr>
            <w:tcW w:w="1276" w:type="dxa"/>
            <w:vAlign w:val="center"/>
          </w:tcPr>
          <w:p>
            <w:pPr>
              <w:jc w:val="center"/>
            </w:pPr>
            <w:r>
              <w:rPr>
                <w:color w:val="000000"/>
                <w:sz w:val="24"/>
              </w:rPr>
              <w:t>003030</w:t>
            </w:r>
          </w:p>
        </w:tc>
        <w:tc>
          <w:tcPr>
            <w:tcW w:w="1701" w:type="dxa"/>
            <w:vAlign w:val="center"/>
          </w:tcPr>
          <w:p>
            <w:pPr>
              <w:jc w:val="center"/>
            </w:pPr>
            <w:r>
              <w:rPr>
                <w:color w:val="000000"/>
                <w:sz w:val="24"/>
              </w:rPr>
              <w:t>祖名股份</w:t>
            </w:r>
          </w:p>
        </w:tc>
        <w:tc>
          <w:tcPr>
            <w:tcW w:w="1559" w:type="dxa"/>
            <w:vAlign w:val="center"/>
          </w:tcPr>
          <w:p>
            <w:pPr>
              <w:jc w:val="right"/>
            </w:pPr>
            <w:r>
              <w:rPr>
                <w:color w:val="000000"/>
                <w:sz w:val="24"/>
              </w:rPr>
              <w:t>480</w:t>
            </w:r>
          </w:p>
        </w:tc>
        <w:tc>
          <w:tcPr>
            <w:tcW w:w="1932" w:type="dxa"/>
            <w:vAlign w:val="center"/>
          </w:tcPr>
          <w:p>
            <w:pPr>
              <w:jc w:val="right"/>
            </w:pPr>
            <w:r>
              <w:rPr>
                <w:color w:val="000000"/>
                <w:sz w:val="24"/>
              </w:rPr>
              <w:t>7,286.40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vAlign w:val="center"/>
          </w:tcPr>
          <w:p>
            <w:pPr>
              <w:jc w:val="center"/>
            </w:pPr>
            <w:r>
              <w:rPr>
                <w:color w:val="000000"/>
                <w:sz w:val="24"/>
              </w:rPr>
              <w:t>97</w:t>
            </w:r>
          </w:p>
        </w:tc>
        <w:tc>
          <w:tcPr>
            <w:tcW w:w="1276" w:type="dxa"/>
            <w:vAlign w:val="center"/>
          </w:tcPr>
          <w:p>
            <w:pPr>
              <w:jc w:val="center"/>
            </w:pPr>
            <w:r>
              <w:rPr>
                <w:color w:val="000000"/>
                <w:sz w:val="24"/>
              </w:rPr>
              <w:t>300886</w:t>
            </w:r>
          </w:p>
        </w:tc>
        <w:tc>
          <w:tcPr>
            <w:tcW w:w="1701" w:type="dxa"/>
            <w:vAlign w:val="center"/>
          </w:tcPr>
          <w:p>
            <w:pPr>
              <w:jc w:val="center"/>
            </w:pPr>
            <w:r>
              <w:rPr>
                <w:color w:val="000000"/>
                <w:sz w:val="24"/>
              </w:rPr>
              <w:t>华业香料</w:t>
            </w:r>
          </w:p>
        </w:tc>
        <w:tc>
          <w:tcPr>
            <w:tcW w:w="1559" w:type="dxa"/>
            <w:vAlign w:val="center"/>
          </w:tcPr>
          <w:p>
            <w:pPr>
              <w:jc w:val="right"/>
            </w:pPr>
            <w:r>
              <w:rPr>
                <w:color w:val="000000"/>
                <w:sz w:val="24"/>
              </w:rPr>
              <w:t>147</w:t>
            </w:r>
          </w:p>
        </w:tc>
        <w:tc>
          <w:tcPr>
            <w:tcW w:w="1932" w:type="dxa"/>
            <w:vAlign w:val="center"/>
          </w:tcPr>
          <w:p>
            <w:pPr>
              <w:jc w:val="right"/>
            </w:pPr>
            <w:r>
              <w:rPr>
                <w:color w:val="000000"/>
                <w:sz w:val="24"/>
              </w:rPr>
              <w:t>6,713.49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98</w:t>
            </w:r>
          </w:p>
        </w:tc>
        <w:tc>
          <w:tcPr>
            <w:tcW w:w="1276" w:type="dxa"/>
            <w:vAlign w:val="center"/>
          </w:tcPr>
          <w:p>
            <w:pPr>
              <w:jc w:val="center"/>
            </w:pPr>
            <w:r>
              <w:rPr>
                <w:color w:val="000000"/>
                <w:sz w:val="24"/>
              </w:rPr>
              <w:t>003031</w:t>
            </w:r>
          </w:p>
        </w:tc>
        <w:tc>
          <w:tcPr>
            <w:tcW w:w="1701" w:type="dxa"/>
            <w:vAlign w:val="center"/>
          </w:tcPr>
          <w:p>
            <w:pPr>
              <w:jc w:val="center"/>
            </w:pPr>
            <w:r>
              <w:rPr>
                <w:color w:val="000000"/>
                <w:sz w:val="24"/>
              </w:rPr>
              <w:t>中瓷电子</w:t>
            </w:r>
          </w:p>
        </w:tc>
        <w:tc>
          <w:tcPr>
            <w:tcW w:w="1559" w:type="dxa"/>
            <w:vAlign w:val="center"/>
          </w:tcPr>
          <w:p>
            <w:pPr>
              <w:jc w:val="right"/>
            </w:pPr>
            <w:r>
              <w:rPr>
                <w:color w:val="000000"/>
                <w:sz w:val="24"/>
              </w:rPr>
              <w:t>387</w:t>
            </w:r>
          </w:p>
        </w:tc>
        <w:tc>
          <w:tcPr>
            <w:tcW w:w="1932" w:type="dxa"/>
            <w:vAlign w:val="center"/>
          </w:tcPr>
          <w:p>
            <w:pPr>
              <w:jc w:val="right"/>
            </w:pPr>
            <w:r>
              <w:rPr>
                <w:color w:val="000000"/>
                <w:sz w:val="24"/>
              </w:rPr>
              <w:t>5,909.49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99</w:t>
            </w:r>
          </w:p>
        </w:tc>
        <w:tc>
          <w:tcPr>
            <w:tcW w:w="1276" w:type="dxa"/>
            <w:vAlign w:val="center"/>
          </w:tcPr>
          <w:p>
            <w:pPr>
              <w:jc w:val="center"/>
            </w:pPr>
            <w:r>
              <w:rPr>
                <w:color w:val="000000"/>
                <w:sz w:val="24"/>
              </w:rPr>
              <w:t>603308</w:t>
            </w:r>
          </w:p>
        </w:tc>
        <w:tc>
          <w:tcPr>
            <w:tcW w:w="1701" w:type="dxa"/>
            <w:vAlign w:val="center"/>
          </w:tcPr>
          <w:p>
            <w:pPr>
              <w:jc w:val="center"/>
            </w:pPr>
            <w:r>
              <w:rPr>
                <w:color w:val="000000"/>
                <w:sz w:val="24"/>
              </w:rPr>
              <w:t>应流股份</w:t>
            </w:r>
          </w:p>
        </w:tc>
        <w:tc>
          <w:tcPr>
            <w:tcW w:w="1559" w:type="dxa"/>
            <w:vAlign w:val="center"/>
          </w:tcPr>
          <w:p>
            <w:pPr>
              <w:jc w:val="right"/>
            </w:pPr>
            <w:r>
              <w:rPr>
                <w:color w:val="000000"/>
                <w:sz w:val="24"/>
              </w:rPr>
              <w:t>1</w:t>
            </w:r>
          </w:p>
        </w:tc>
        <w:tc>
          <w:tcPr>
            <w:tcW w:w="1932" w:type="dxa"/>
            <w:vAlign w:val="center"/>
          </w:tcPr>
          <w:p>
            <w:pPr>
              <w:jc w:val="right"/>
            </w:pPr>
            <w:r>
              <w:rPr>
                <w:color w:val="000000"/>
                <w:sz w:val="24"/>
              </w:rPr>
              <w:t>29.70</w:t>
            </w:r>
          </w:p>
        </w:tc>
        <w:tc>
          <w:tcPr>
            <w:tcW w:w="1612" w:type="dxa"/>
            <w:vAlign w:val="center"/>
          </w:tcPr>
          <w:p>
            <w:pPr>
              <w:jc w:val="right"/>
            </w:pPr>
            <w:r>
              <w:rPr>
                <w:color w:val="000000"/>
                <w:sz w:val="24"/>
              </w:rPr>
              <w:t>0.00</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213" w:name="_Toc361324882"/>
      <w:bookmarkStart w:id="214" w:name="_Toc67596686"/>
      <w:r>
        <w:rPr>
          <w:rFonts w:ascii="Times New Roman" w:hAnsi="Times New Roman"/>
          <w:kern w:val="0"/>
          <w:szCs w:val="24"/>
        </w:rPr>
        <w:t>8.4</w:t>
      </w:r>
      <w:bookmarkStart w:id="215" w:name="_Toc234814103"/>
      <w:r>
        <w:rPr>
          <w:rFonts w:hint="eastAsia" w:ascii="Times New Roman" w:hAnsi="Times New Roman"/>
          <w:kern w:val="0"/>
          <w:szCs w:val="24"/>
        </w:rPr>
        <w:t>报告期内股票投资组合的重大变动</w:t>
      </w:r>
      <w:bookmarkEnd w:id="213"/>
      <w:bookmarkEnd w:id="214"/>
      <w:bookmarkEnd w:id="215"/>
    </w:p>
    <w:p>
      <w:pPr>
        <w:pStyle w:val="3"/>
        <w:spacing w:before="29" w:after="0" w:line="288" w:lineRule="auto"/>
        <w:rPr>
          <w:rFonts w:ascii="Times New Roman" w:hAnsi="Times New Roman"/>
          <w:kern w:val="0"/>
          <w:szCs w:val="24"/>
        </w:rPr>
      </w:pPr>
      <w:bookmarkStart w:id="216" w:name="_Toc67596687"/>
      <w:r>
        <w:rPr>
          <w:rFonts w:ascii="Times New Roman" w:hAnsi="Times New Roman"/>
          <w:kern w:val="0"/>
          <w:szCs w:val="24"/>
        </w:rPr>
        <w:t>8.4.1</w:t>
      </w:r>
      <w:r>
        <w:rPr>
          <w:rFonts w:hint="eastAsia" w:ascii="Times New Roman" w:hAnsi="Times New Roman"/>
          <w:kern w:val="0"/>
          <w:szCs w:val="24"/>
        </w:rPr>
        <w:t>累计买入金额超出期初基金资产净值</w:t>
      </w:r>
      <w:r>
        <w:rPr>
          <w:rFonts w:ascii="Times New Roman" w:hAnsi="Times New Roman"/>
          <w:kern w:val="0"/>
          <w:szCs w:val="24"/>
        </w:rPr>
        <w:t>2％</w:t>
      </w:r>
      <w:r>
        <w:rPr>
          <w:rFonts w:hint="eastAsia" w:ascii="Times New Roman" w:hAnsi="Times New Roman"/>
          <w:kern w:val="0"/>
          <w:szCs w:val="24"/>
        </w:rPr>
        <w:t>或前</w:t>
      </w:r>
      <w:r>
        <w:rPr>
          <w:rFonts w:ascii="Times New Roman" w:hAnsi="Times New Roman"/>
          <w:kern w:val="0"/>
          <w:szCs w:val="24"/>
        </w:rPr>
        <w:t>20</w:t>
      </w:r>
      <w:r>
        <w:rPr>
          <w:rFonts w:hint="eastAsia" w:ascii="Times New Roman" w:hAnsi="Times New Roman"/>
          <w:kern w:val="0"/>
          <w:szCs w:val="24"/>
        </w:rPr>
        <w:t>名的股票明细</w:t>
      </w:r>
      <w:bookmarkEnd w:id="216"/>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0"/>
        <w:gridCol w:w="1650"/>
        <w:gridCol w:w="1980"/>
        <w:gridCol w:w="2880"/>
        <w:gridCol w:w="16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spacing w:before="29" w:line="288" w:lineRule="auto"/>
              <w:ind w:left="17"/>
              <w:jc w:val="center"/>
              <w:rPr>
                <w:color w:val="000000"/>
                <w:sz w:val="24"/>
              </w:rPr>
            </w:pPr>
            <w:r>
              <w:rPr>
                <w:rFonts w:hint="eastAsia"/>
                <w:color w:val="000000"/>
                <w:sz w:val="24"/>
              </w:rPr>
              <w:t>序号</w:t>
            </w:r>
          </w:p>
        </w:tc>
        <w:tc>
          <w:tcPr>
            <w:tcW w:w="1650" w:type="dxa"/>
            <w:vAlign w:val="center"/>
          </w:tcPr>
          <w:p>
            <w:pPr>
              <w:spacing w:before="29" w:line="288" w:lineRule="auto"/>
              <w:ind w:left="17"/>
              <w:jc w:val="center"/>
              <w:rPr>
                <w:color w:val="000000"/>
                <w:sz w:val="24"/>
              </w:rPr>
            </w:pPr>
            <w:r>
              <w:rPr>
                <w:rFonts w:hint="eastAsia"/>
                <w:color w:val="000000"/>
                <w:sz w:val="24"/>
              </w:rPr>
              <w:t>股票代码</w:t>
            </w:r>
          </w:p>
        </w:tc>
        <w:tc>
          <w:tcPr>
            <w:tcW w:w="1980" w:type="dxa"/>
            <w:vAlign w:val="center"/>
          </w:tcPr>
          <w:p>
            <w:pPr>
              <w:spacing w:before="29" w:line="288" w:lineRule="auto"/>
              <w:ind w:left="17"/>
              <w:jc w:val="center"/>
              <w:rPr>
                <w:color w:val="000000"/>
                <w:sz w:val="24"/>
              </w:rPr>
            </w:pPr>
            <w:r>
              <w:rPr>
                <w:rFonts w:hint="eastAsia"/>
                <w:color w:val="000000"/>
                <w:sz w:val="24"/>
              </w:rPr>
              <w:t>股票名称</w:t>
            </w:r>
          </w:p>
        </w:tc>
        <w:tc>
          <w:tcPr>
            <w:tcW w:w="2880" w:type="dxa"/>
            <w:vAlign w:val="center"/>
          </w:tcPr>
          <w:p>
            <w:pPr>
              <w:spacing w:before="29" w:line="288" w:lineRule="auto"/>
              <w:ind w:left="17"/>
              <w:jc w:val="center"/>
              <w:rPr>
                <w:color w:val="000000"/>
                <w:sz w:val="24"/>
              </w:rPr>
            </w:pPr>
            <w:r>
              <w:rPr>
                <w:rFonts w:hint="eastAsia"/>
                <w:color w:val="000000"/>
                <w:sz w:val="24"/>
              </w:rPr>
              <w:t>本期累计买入金额</w:t>
            </w:r>
          </w:p>
        </w:tc>
        <w:tc>
          <w:tcPr>
            <w:tcW w:w="1620" w:type="dxa"/>
            <w:vAlign w:val="center"/>
          </w:tcPr>
          <w:p>
            <w:pPr>
              <w:spacing w:before="29" w:line="288" w:lineRule="auto"/>
              <w:ind w:left="17"/>
              <w:jc w:val="center"/>
              <w:rPr>
                <w:color w:val="000000"/>
                <w:sz w:val="24"/>
              </w:rPr>
            </w:pPr>
            <w:r>
              <w:rPr>
                <w:rFonts w:hint="eastAsia"/>
                <w:color w:val="000000"/>
                <w:sz w:val="24"/>
              </w:rPr>
              <w:t>占期初基金资产净值比例（％）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w:t>
            </w:r>
          </w:p>
        </w:tc>
        <w:tc>
          <w:tcPr>
            <w:tcW w:w="1650" w:type="dxa"/>
            <w:vAlign w:val="center"/>
          </w:tcPr>
          <w:p>
            <w:pPr>
              <w:jc w:val="center"/>
            </w:pPr>
            <w:r>
              <w:rPr>
                <w:color w:val="000000"/>
                <w:sz w:val="24"/>
              </w:rPr>
              <w:t>002352</w:t>
            </w:r>
          </w:p>
        </w:tc>
        <w:tc>
          <w:tcPr>
            <w:tcW w:w="1980" w:type="dxa"/>
            <w:vAlign w:val="center"/>
          </w:tcPr>
          <w:p>
            <w:pPr>
              <w:jc w:val="center"/>
            </w:pPr>
            <w:r>
              <w:rPr>
                <w:color w:val="000000"/>
                <w:sz w:val="24"/>
              </w:rPr>
              <w:t>顺丰控股</w:t>
            </w:r>
          </w:p>
        </w:tc>
        <w:tc>
          <w:tcPr>
            <w:tcW w:w="2880" w:type="dxa"/>
            <w:vAlign w:val="center"/>
          </w:tcPr>
          <w:p>
            <w:pPr>
              <w:jc w:val="right"/>
            </w:pPr>
            <w:r>
              <w:rPr>
                <w:color w:val="000000"/>
                <w:sz w:val="24"/>
              </w:rPr>
              <w:t>989,936,288.13</w:t>
            </w:r>
          </w:p>
        </w:tc>
        <w:tc>
          <w:tcPr>
            <w:tcW w:w="1620" w:type="dxa"/>
            <w:vAlign w:val="center"/>
          </w:tcPr>
          <w:p>
            <w:pPr>
              <w:jc w:val="right"/>
            </w:pPr>
            <w:r>
              <w:rPr>
                <w:color w:val="000000"/>
                <w:sz w:val="24"/>
              </w:rPr>
              <w:t>14.54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w:t>
            </w:r>
          </w:p>
        </w:tc>
        <w:tc>
          <w:tcPr>
            <w:tcW w:w="1650" w:type="dxa"/>
            <w:vAlign w:val="center"/>
          </w:tcPr>
          <w:p>
            <w:pPr>
              <w:jc w:val="center"/>
            </w:pPr>
            <w:r>
              <w:rPr>
                <w:color w:val="000000"/>
                <w:sz w:val="24"/>
              </w:rPr>
              <w:t>002049</w:t>
            </w:r>
          </w:p>
        </w:tc>
        <w:tc>
          <w:tcPr>
            <w:tcW w:w="1980" w:type="dxa"/>
            <w:vAlign w:val="center"/>
          </w:tcPr>
          <w:p>
            <w:pPr>
              <w:jc w:val="center"/>
            </w:pPr>
            <w:r>
              <w:rPr>
                <w:color w:val="000000"/>
                <w:sz w:val="24"/>
              </w:rPr>
              <w:t>紫光国微</w:t>
            </w:r>
          </w:p>
        </w:tc>
        <w:tc>
          <w:tcPr>
            <w:tcW w:w="2880" w:type="dxa"/>
            <w:vAlign w:val="center"/>
          </w:tcPr>
          <w:p>
            <w:pPr>
              <w:jc w:val="right"/>
            </w:pPr>
            <w:r>
              <w:rPr>
                <w:color w:val="000000"/>
                <w:sz w:val="24"/>
              </w:rPr>
              <w:t>739,425,775.39</w:t>
            </w:r>
          </w:p>
        </w:tc>
        <w:tc>
          <w:tcPr>
            <w:tcW w:w="1620" w:type="dxa"/>
            <w:vAlign w:val="center"/>
          </w:tcPr>
          <w:p>
            <w:pPr>
              <w:jc w:val="right"/>
            </w:pPr>
            <w:r>
              <w:rPr>
                <w:color w:val="000000"/>
                <w:sz w:val="24"/>
              </w:rPr>
              <w:t>10.86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w:t>
            </w:r>
          </w:p>
        </w:tc>
        <w:tc>
          <w:tcPr>
            <w:tcW w:w="1650" w:type="dxa"/>
            <w:vAlign w:val="center"/>
          </w:tcPr>
          <w:p>
            <w:pPr>
              <w:jc w:val="center"/>
            </w:pPr>
            <w:r>
              <w:rPr>
                <w:color w:val="000000"/>
                <w:sz w:val="24"/>
              </w:rPr>
              <w:t>002230</w:t>
            </w:r>
          </w:p>
        </w:tc>
        <w:tc>
          <w:tcPr>
            <w:tcW w:w="1980" w:type="dxa"/>
            <w:vAlign w:val="center"/>
          </w:tcPr>
          <w:p>
            <w:pPr>
              <w:jc w:val="center"/>
            </w:pPr>
            <w:r>
              <w:rPr>
                <w:color w:val="000000"/>
                <w:sz w:val="24"/>
              </w:rPr>
              <w:t>科大讯飞</w:t>
            </w:r>
          </w:p>
        </w:tc>
        <w:tc>
          <w:tcPr>
            <w:tcW w:w="2880" w:type="dxa"/>
            <w:vAlign w:val="center"/>
          </w:tcPr>
          <w:p>
            <w:pPr>
              <w:jc w:val="right"/>
            </w:pPr>
            <w:r>
              <w:rPr>
                <w:color w:val="000000"/>
                <w:sz w:val="24"/>
              </w:rPr>
              <w:t>705,291,472.97</w:t>
            </w:r>
          </w:p>
        </w:tc>
        <w:tc>
          <w:tcPr>
            <w:tcW w:w="1620" w:type="dxa"/>
            <w:vAlign w:val="center"/>
          </w:tcPr>
          <w:p>
            <w:pPr>
              <w:jc w:val="right"/>
            </w:pPr>
            <w:r>
              <w:rPr>
                <w:color w:val="000000"/>
                <w:sz w:val="24"/>
              </w:rPr>
              <w:t>10.36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w:t>
            </w:r>
          </w:p>
        </w:tc>
        <w:tc>
          <w:tcPr>
            <w:tcW w:w="1650" w:type="dxa"/>
            <w:vAlign w:val="center"/>
          </w:tcPr>
          <w:p>
            <w:pPr>
              <w:jc w:val="center"/>
            </w:pPr>
            <w:r>
              <w:rPr>
                <w:color w:val="000000"/>
                <w:sz w:val="24"/>
              </w:rPr>
              <w:t>002493</w:t>
            </w:r>
          </w:p>
        </w:tc>
        <w:tc>
          <w:tcPr>
            <w:tcW w:w="1980" w:type="dxa"/>
            <w:vAlign w:val="center"/>
          </w:tcPr>
          <w:p>
            <w:pPr>
              <w:jc w:val="center"/>
            </w:pPr>
            <w:r>
              <w:rPr>
                <w:color w:val="000000"/>
                <w:sz w:val="24"/>
              </w:rPr>
              <w:t>荣盛石化</w:t>
            </w:r>
          </w:p>
        </w:tc>
        <w:tc>
          <w:tcPr>
            <w:tcW w:w="2880" w:type="dxa"/>
            <w:vAlign w:val="center"/>
          </w:tcPr>
          <w:p>
            <w:pPr>
              <w:jc w:val="right"/>
            </w:pPr>
            <w:r>
              <w:rPr>
                <w:color w:val="000000"/>
                <w:sz w:val="24"/>
              </w:rPr>
              <w:t>585,996,374.58</w:t>
            </w:r>
          </w:p>
        </w:tc>
        <w:tc>
          <w:tcPr>
            <w:tcW w:w="1620" w:type="dxa"/>
            <w:vAlign w:val="center"/>
          </w:tcPr>
          <w:p>
            <w:pPr>
              <w:jc w:val="right"/>
            </w:pPr>
            <w:r>
              <w:rPr>
                <w:color w:val="000000"/>
                <w:sz w:val="24"/>
              </w:rPr>
              <w:t>8.61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w:t>
            </w:r>
          </w:p>
        </w:tc>
        <w:tc>
          <w:tcPr>
            <w:tcW w:w="1650" w:type="dxa"/>
            <w:vAlign w:val="center"/>
          </w:tcPr>
          <w:p>
            <w:pPr>
              <w:jc w:val="center"/>
            </w:pPr>
            <w:r>
              <w:rPr>
                <w:color w:val="000000"/>
                <w:sz w:val="24"/>
              </w:rPr>
              <w:t>601318</w:t>
            </w:r>
          </w:p>
        </w:tc>
        <w:tc>
          <w:tcPr>
            <w:tcW w:w="1980" w:type="dxa"/>
            <w:vAlign w:val="center"/>
          </w:tcPr>
          <w:p>
            <w:pPr>
              <w:jc w:val="center"/>
            </w:pPr>
            <w:r>
              <w:rPr>
                <w:color w:val="000000"/>
                <w:sz w:val="24"/>
              </w:rPr>
              <w:t>中国平安</w:t>
            </w:r>
          </w:p>
        </w:tc>
        <w:tc>
          <w:tcPr>
            <w:tcW w:w="2880" w:type="dxa"/>
            <w:vAlign w:val="center"/>
          </w:tcPr>
          <w:p>
            <w:pPr>
              <w:jc w:val="right"/>
            </w:pPr>
            <w:r>
              <w:rPr>
                <w:color w:val="000000"/>
                <w:sz w:val="24"/>
              </w:rPr>
              <w:t>576,224,213.90</w:t>
            </w:r>
          </w:p>
        </w:tc>
        <w:tc>
          <w:tcPr>
            <w:tcW w:w="1620" w:type="dxa"/>
            <w:vAlign w:val="center"/>
          </w:tcPr>
          <w:p>
            <w:pPr>
              <w:jc w:val="right"/>
            </w:pPr>
            <w:r>
              <w:rPr>
                <w:color w:val="000000"/>
                <w:sz w:val="24"/>
              </w:rPr>
              <w:t>8.46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6</w:t>
            </w:r>
          </w:p>
        </w:tc>
        <w:tc>
          <w:tcPr>
            <w:tcW w:w="1650" w:type="dxa"/>
            <w:vAlign w:val="center"/>
          </w:tcPr>
          <w:p>
            <w:pPr>
              <w:jc w:val="center"/>
            </w:pPr>
            <w:r>
              <w:rPr>
                <w:color w:val="000000"/>
                <w:sz w:val="24"/>
              </w:rPr>
              <w:t>300144</w:t>
            </w:r>
          </w:p>
        </w:tc>
        <w:tc>
          <w:tcPr>
            <w:tcW w:w="1980" w:type="dxa"/>
            <w:vAlign w:val="center"/>
          </w:tcPr>
          <w:p>
            <w:pPr>
              <w:jc w:val="center"/>
            </w:pPr>
            <w:r>
              <w:rPr>
                <w:color w:val="000000"/>
                <w:sz w:val="24"/>
              </w:rPr>
              <w:t>宋城演艺</w:t>
            </w:r>
          </w:p>
        </w:tc>
        <w:tc>
          <w:tcPr>
            <w:tcW w:w="2880" w:type="dxa"/>
            <w:vAlign w:val="center"/>
          </w:tcPr>
          <w:p>
            <w:pPr>
              <w:jc w:val="right"/>
            </w:pPr>
            <w:r>
              <w:rPr>
                <w:color w:val="000000"/>
                <w:sz w:val="24"/>
              </w:rPr>
              <w:t>573,452,387.84</w:t>
            </w:r>
          </w:p>
        </w:tc>
        <w:tc>
          <w:tcPr>
            <w:tcW w:w="1620" w:type="dxa"/>
            <w:vAlign w:val="center"/>
          </w:tcPr>
          <w:p>
            <w:pPr>
              <w:jc w:val="right"/>
            </w:pPr>
            <w:r>
              <w:rPr>
                <w:color w:val="000000"/>
                <w:sz w:val="24"/>
              </w:rPr>
              <w:t>8.42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w:t>
            </w:r>
          </w:p>
        </w:tc>
        <w:tc>
          <w:tcPr>
            <w:tcW w:w="1650" w:type="dxa"/>
            <w:vAlign w:val="center"/>
          </w:tcPr>
          <w:p>
            <w:pPr>
              <w:jc w:val="center"/>
            </w:pPr>
            <w:r>
              <w:rPr>
                <w:color w:val="000000"/>
                <w:sz w:val="24"/>
              </w:rPr>
              <w:t>000002</w:t>
            </w:r>
          </w:p>
        </w:tc>
        <w:tc>
          <w:tcPr>
            <w:tcW w:w="1980" w:type="dxa"/>
            <w:vAlign w:val="center"/>
          </w:tcPr>
          <w:p>
            <w:pPr>
              <w:jc w:val="center"/>
            </w:pPr>
            <w:r>
              <w:rPr>
                <w:color w:val="000000"/>
                <w:sz w:val="24"/>
              </w:rPr>
              <w:t>万科A</w:t>
            </w:r>
          </w:p>
        </w:tc>
        <w:tc>
          <w:tcPr>
            <w:tcW w:w="2880" w:type="dxa"/>
            <w:vAlign w:val="center"/>
          </w:tcPr>
          <w:p>
            <w:pPr>
              <w:jc w:val="right"/>
            </w:pPr>
            <w:r>
              <w:rPr>
                <w:color w:val="000000"/>
                <w:sz w:val="24"/>
              </w:rPr>
              <w:t>537,633,644.87</w:t>
            </w:r>
          </w:p>
        </w:tc>
        <w:tc>
          <w:tcPr>
            <w:tcW w:w="1620" w:type="dxa"/>
            <w:vAlign w:val="center"/>
          </w:tcPr>
          <w:p>
            <w:pPr>
              <w:jc w:val="right"/>
            </w:pPr>
            <w:r>
              <w:rPr>
                <w:color w:val="000000"/>
                <w:sz w:val="24"/>
              </w:rPr>
              <w:t>7.90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w:t>
            </w:r>
          </w:p>
        </w:tc>
        <w:tc>
          <w:tcPr>
            <w:tcW w:w="1650" w:type="dxa"/>
            <w:vAlign w:val="center"/>
          </w:tcPr>
          <w:p>
            <w:pPr>
              <w:jc w:val="center"/>
            </w:pPr>
            <w:r>
              <w:rPr>
                <w:color w:val="000000"/>
                <w:sz w:val="24"/>
              </w:rPr>
              <w:t>002841</w:t>
            </w:r>
          </w:p>
        </w:tc>
        <w:tc>
          <w:tcPr>
            <w:tcW w:w="1980" w:type="dxa"/>
            <w:vAlign w:val="center"/>
          </w:tcPr>
          <w:p>
            <w:pPr>
              <w:jc w:val="center"/>
            </w:pPr>
            <w:r>
              <w:rPr>
                <w:color w:val="000000"/>
                <w:sz w:val="24"/>
              </w:rPr>
              <w:t>视源股份</w:t>
            </w:r>
          </w:p>
        </w:tc>
        <w:tc>
          <w:tcPr>
            <w:tcW w:w="2880" w:type="dxa"/>
            <w:vAlign w:val="center"/>
          </w:tcPr>
          <w:p>
            <w:pPr>
              <w:jc w:val="right"/>
            </w:pPr>
            <w:r>
              <w:rPr>
                <w:color w:val="000000"/>
                <w:sz w:val="24"/>
              </w:rPr>
              <w:t>482,965,180.01</w:t>
            </w:r>
          </w:p>
        </w:tc>
        <w:tc>
          <w:tcPr>
            <w:tcW w:w="1620" w:type="dxa"/>
            <w:vAlign w:val="center"/>
          </w:tcPr>
          <w:p>
            <w:pPr>
              <w:jc w:val="right"/>
            </w:pPr>
            <w:r>
              <w:rPr>
                <w:color w:val="000000"/>
                <w:sz w:val="24"/>
              </w:rPr>
              <w:t>7.09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w:t>
            </w:r>
          </w:p>
        </w:tc>
        <w:tc>
          <w:tcPr>
            <w:tcW w:w="1650" w:type="dxa"/>
            <w:vAlign w:val="center"/>
          </w:tcPr>
          <w:p>
            <w:pPr>
              <w:jc w:val="center"/>
            </w:pPr>
            <w:r>
              <w:rPr>
                <w:color w:val="000000"/>
                <w:sz w:val="24"/>
              </w:rPr>
              <w:t>603259</w:t>
            </w:r>
          </w:p>
        </w:tc>
        <w:tc>
          <w:tcPr>
            <w:tcW w:w="1980" w:type="dxa"/>
            <w:vAlign w:val="center"/>
          </w:tcPr>
          <w:p>
            <w:pPr>
              <w:jc w:val="center"/>
            </w:pPr>
            <w:r>
              <w:rPr>
                <w:color w:val="000000"/>
                <w:sz w:val="24"/>
              </w:rPr>
              <w:t>药明康德</w:t>
            </w:r>
          </w:p>
        </w:tc>
        <w:tc>
          <w:tcPr>
            <w:tcW w:w="2880" w:type="dxa"/>
            <w:vAlign w:val="center"/>
          </w:tcPr>
          <w:p>
            <w:pPr>
              <w:jc w:val="right"/>
            </w:pPr>
            <w:r>
              <w:rPr>
                <w:color w:val="000000"/>
                <w:sz w:val="24"/>
              </w:rPr>
              <w:t>480,878,328.77</w:t>
            </w:r>
          </w:p>
        </w:tc>
        <w:tc>
          <w:tcPr>
            <w:tcW w:w="1620" w:type="dxa"/>
            <w:vAlign w:val="center"/>
          </w:tcPr>
          <w:p>
            <w:pPr>
              <w:jc w:val="right"/>
            </w:pPr>
            <w:r>
              <w:rPr>
                <w:color w:val="000000"/>
                <w:sz w:val="24"/>
              </w:rPr>
              <w:t>7.06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w:t>
            </w:r>
          </w:p>
        </w:tc>
        <w:tc>
          <w:tcPr>
            <w:tcW w:w="1650" w:type="dxa"/>
            <w:vAlign w:val="center"/>
          </w:tcPr>
          <w:p>
            <w:pPr>
              <w:jc w:val="center"/>
            </w:pPr>
            <w:r>
              <w:rPr>
                <w:color w:val="000000"/>
                <w:sz w:val="24"/>
              </w:rPr>
              <w:t>002415</w:t>
            </w:r>
          </w:p>
        </w:tc>
        <w:tc>
          <w:tcPr>
            <w:tcW w:w="1980" w:type="dxa"/>
            <w:vAlign w:val="center"/>
          </w:tcPr>
          <w:p>
            <w:pPr>
              <w:jc w:val="center"/>
            </w:pPr>
            <w:r>
              <w:rPr>
                <w:color w:val="000000"/>
                <w:sz w:val="24"/>
              </w:rPr>
              <w:t>海康威视</w:t>
            </w:r>
          </w:p>
        </w:tc>
        <w:tc>
          <w:tcPr>
            <w:tcW w:w="2880" w:type="dxa"/>
            <w:vAlign w:val="center"/>
          </w:tcPr>
          <w:p>
            <w:pPr>
              <w:jc w:val="right"/>
            </w:pPr>
            <w:r>
              <w:rPr>
                <w:color w:val="000000"/>
                <w:sz w:val="24"/>
              </w:rPr>
              <w:t>478,157,116.72</w:t>
            </w:r>
          </w:p>
        </w:tc>
        <w:tc>
          <w:tcPr>
            <w:tcW w:w="1620" w:type="dxa"/>
            <w:vAlign w:val="center"/>
          </w:tcPr>
          <w:p>
            <w:pPr>
              <w:jc w:val="right"/>
            </w:pPr>
            <w:r>
              <w:rPr>
                <w:color w:val="000000"/>
                <w:sz w:val="24"/>
              </w:rPr>
              <w:t>7.02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w:t>
            </w:r>
          </w:p>
        </w:tc>
        <w:tc>
          <w:tcPr>
            <w:tcW w:w="1650" w:type="dxa"/>
            <w:vAlign w:val="center"/>
          </w:tcPr>
          <w:p>
            <w:pPr>
              <w:jc w:val="center"/>
            </w:pPr>
            <w:r>
              <w:rPr>
                <w:color w:val="000000"/>
                <w:sz w:val="24"/>
              </w:rPr>
              <w:t>600519</w:t>
            </w:r>
          </w:p>
        </w:tc>
        <w:tc>
          <w:tcPr>
            <w:tcW w:w="1980" w:type="dxa"/>
            <w:vAlign w:val="center"/>
          </w:tcPr>
          <w:p>
            <w:pPr>
              <w:jc w:val="center"/>
            </w:pPr>
            <w:r>
              <w:rPr>
                <w:color w:val="000000"/>
                <w:sz w:val="24"/>
              </w:rPr>
              <w:t>贵州茅台</w:t>
            </w:r>
          </w:p>
        </w:tc>
        <w:tc>
          <w:tcPr>
            <w:tcW w:w="2880" w:type="dxa"/>
            <w:vAlign w:val="center"/>
          </w:tcPr>
          <w:p>
            <w:pPr>
              <w:jc w:val="right"/>
            </w:pPr>
            <w:r>
              <w:rPr>
                <w:color w:val="000000"/>
                <w:sz w:val="24"/>
              </w:rPr>
              <w:t>477,530,158.60</w:t>
            </w:r>
          </w:p>
        </w:tc>
        <w:tc>
          <w:tcPr>
            <w:tcW w:w="1620" w:type="dxa"/>
            <w:vAlign w:val="center"/>
          </w:tcPr>
          <w:p>
            <w:pPr>
              <w:jc w:val="right"/>
            </w:pPr>
            <w:r>
              <w:rPr>
                <w:color w:val="000000"/>
                <w:sz w:val="24"/>
              </w:rPr>
              <w:t>7.01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w:t>
            </w:r>
          </w:p>
        </w:tc>
        <w:tc>
          <w:tcPr>
            <w:tcW w:w="1650" w:type="dxa"/>
            <w:vAlign w:val="center"/>
          </w:tcPr>
          <w:p>
            <w:pPr>
              <w:jc w:val="center"/>
            </w:pPr>
            <w:r>
              <w:rPr>
                <w:color w:val="000000"/>
                <w:sz w:val="24"/>
              </w:rPr>
              <w:t>002475</w:t>
            </w:r>
          </w:p>
        </w:tc>
        <w:tc>
          <w:tcPr>
            <w:tcW w:w="1980" w:type="dxa"/>
            <w:vAlign w:val="center"/>
          </w:tcPr>
          <w:p>
            <w:pPr>
              <w:jc w:val="center"/>
            </w:pPr>
            <w:r>
              <w:rPr>
                <w:color w:val="000000"/>
                <w:sz w:val="24"/>
              </w:rPr>
              <w:t>立讯精密</w:t>
            </w:r>
          </w:p>
        </w:tc>
        <w:tc>
          <w:tcPr>
            <w:tcW w:w="2880" w:type="dxa"/>
            <w:vAlign w:val="center"/>
          </w:tcPr>
          <w:p>
            <w:pPr>
              <w:jc w:val="right"/>
            </w:pPr>
            <w:r>
              <w:rPr>
                <w:color w:val="000000"/>
                <w:sz w:val="24"/>
              </w:rPr>
              <w:t>405,868,868.65</w:t>
            </w:r>
          </w:p>
        </w:tc>
        <w:tc>
          <w:tcPr>
            <w:tcW w:w="1620" w:type="dxa"/>
            <w:vAlign w:val="center"/>
          </w:tcPr>
          <w:p>
            <w:pPr>
              <w:jc w:val="right"/>
            </w:pPr>
            <w:r>
              <w:rPr>
                <w:color w:val="000000"/>
                <w:sz w:val="24"/>
              </w:rPr>
              <w:t>5.96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w:t>
            </w:r>
          </w:p>
        </w:tc>
        <w:tc>
          <w:tcPr>
            <w:tcW w:w="1650" w:type="dxa"/>
            <w:vAlign w:val="center"/>
          </w:tcPr>
          <w:p>
            <w:pPr>
              <w:jc w:val="center"/>
            </w:pPr>
            <w:r>
              <w:rPr>
                <w:color w:val="000000"/>
                <w:sz w:val="24"/>
              </w:rPr>
              <w:t>603517</w:t>
            </w:r>
          </w:p>
        </w:tc>
        <w:tc>
          <w:tcPr>
            <w:tcW w:w="1980" w:type="dxa"/>
            <w:vAlign w:val="center"/>
          </w:tcPr>
          <w:p>
            <w:pPr>
              <w:jc w:val="center"/>
            </w:pPr>
            <w:r>
              <w:rPr>
                <w:color w:val="000000"/>
                <w:sz w:val="24"/>
              </w:rPr>
              <w:t>绝味食品</w:t>
            </w:r>
          </w:p>
        </w:tc>
        <w:tc>
          <w:tcPr>
            <w:tcW w:w="2880" w:type="dxa"/>
            <w:vAlign w:val="center"/>
          </w:tcPr>
          <w:p>
            <w:pPr>
              <w:jc w:val="right"/>
            </w:pPr>
            <w:r>
              <w:rPr>
                <w:color w:val="000000"/>
                <w:sz w:val="24"/>
              </w:rPr>
              <w:t>384,290,821.09</w:t>
            </w:r>
          </w:p>
        </w:tc>
        <w:tc>
          <w:tcPr>
            <w:tcW w:w="1620" w:type="dxa"/>
            <w:vAlign w:val="center"/>
          </w:tcPr>
          <w:p>
            <w:pPr>
              <w:jc w:val="right"/>
            </w:pPr>
            <w:r>
              <w:rPr>
                <w:color w:val="000000"/>
                <w:sz w:val="24"/>
              </w:rPr>
              <w:t>5.64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w:t>
            </w:r>
          </w:p>
        </w:tc>
        <w:tc>
          <w:tcPr>
            <w:tcW w:w="1650" w:type="dxa"/>
            <w:vAlign w:val="center"/>
          </w:tcPr>
          <w:p>
            <w:pPr>
              <w:jc w:val="center"/>
            </w:pPr>
            <w:r>
              <w:rPr>
                <w:color w:val="000000"/>
                <w:sz w:val="24"/>
              </w:rPr>
              <w:t>601233</w:t>
            </w:r>
          </w:p>
        </w:tc>
        <w:tc>
          <w:tcPr>
            <w:tcW w:w="1980" w:type="dxa"/>
            <w:vAlign w:val="center"/>
          </w:tcPr>
          <w:p>
            <w:pPr>
              <w:jc w:val="center"/>
            </w:pPr>
            <w:r>
              <w:rPr>
                <w:color w:val="000000"/>
                <w:sz w:val="24"/>
              </w:rPr>
              <w:t>桐昆股份</w:t>
            </w:r>
          </w:p>
        </w:tc>
        <w:tc>
          <w:tcPr>
            <w:tcW w:w="2880" w:type="dxa"/>
            <w:vAlign w:val="center"/>
          </w:tcPr>
          <w:p>
            <w:pPr>
              <w:jc w:val="right"/>
            </w:pPr>
            <w:r>
              <w:rPr>
                <w:color w:val="000000"/>
                <w:sz w:val="24"/>
              </w:rPr>
              <w:t>365,230,171.60</w:t>
            </w:r>
          </w:p>
        </w:tc>
        <w:tc>
          <w:tcPr>
            <w:tcW w:w="1620" w:type="dxa"/>
            <w:vAlign w:val="center"/>
          </w:tcPr>
          <w:p>
            <w:pPr>
              <w:jc w:val="right"/>
            </w:pPr>
            <w:r>
              <w:rPr>
                <w:color w:val="000000"/>
                <w:sz w:val="24"/>
              </w:rPr>
              <w:t>5.36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15</w:t>
            </w:r>
          </w:p>
        </w:tc>
        <w:tc>
          <w:tcPr>
            <w:tcW w:w="1650" w:type="dxa"/>
            <w:vAlign w:val="center"/>
          </w:tcPr>
          <w:p>
            <w:pPr>
              <w:jc w:val="center"/>
            </w:pPr>
            <w:r>
              <w:rPr>
                <w:color w:val="000000"/>
                <w:sz w:val="24"/>
              </w:rPr>
              <w:t>601155</w:t>
            </w:r>
          </w:p>
        </w:tc>
        <w:tc>
          <w:tcPr>
            <w:tcW w:w="1980" w:type="dxa"/>
            <w:vAlign w:val="center"/>
          </w:tcPr>
          <w:p>
            <w:pPr>
              <w:jc w:val="center"/>
            </w:pPr>
            <w:r>
              <w:rPr>
                <w:color w:val="000000"/>
                <w:sz w:val="24"/>
              </w:rPr>
              <w:t>新城控股</w:t>
            </w:r>
          </w:p>
        </w:tc>
        <w:tc>
          <w:tcPr>
            <w:tcW w:w="2880" w:type="dxa"/>
            <w:vAlign w:val="center"/>
          </w:tcPr>
          <w:p>
            <w:pPr>
              <w:jc w:val="right"/>
            </w:pPr>
            <w:r>
              <w:rPr>
                <w:color w:val="000000"/>
                <w:sz w:val="24"/>
              </w:rPr>
              <w:t>363,879,323.01</w:t>
            </w:r>
          </w:p>
        </w:tc>
        <w:tc>
          <w:tcPr>
            <w:tcW w:w="1620" w:type="dxa"/>
            <w:vAlign w:val="center"/>
          </w:tcPr>
          <w:p>
            <w:pPr>
              <w:jc w:val="right"/>
            </w:pPr>
            <w:r>
              <w:rPr>
                <w:color w:val="000000"/>
                <w:sz w:val="24"/>
              </w:rPr>
              <w:t>5.34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16</w:t>
            </w:r>
          </w:p>
        </w:tc>
        <w:tc>
          <w:tcPr>
            <w:tcW w:w="1650" w:type="dxa"/>
            <w:vAlign w:val="center"/>
          </w:tcPr>
          <w:p>
            <w:pPr>
              <w:jc w:val="center"/>
            </w:pPr>
            <w:r>
              <w:rPr>
                <w:color w:val="000000"/>
                <w:sz w:val="24"/>
              </w:rPr>
              <w:t>603195</w:t>
            </w:r>
          </w:p>
        </w:tc>
        <w:tc>
          <w:tcPr>
            <w:tcW w:w="1980" w:type="dxa"/>
            <w:vAlign w:val="center"/>
          </w:tcPr>
          <w:p>
            <w:pPr>
              <w:jc w:val="center"/>
            </w:pPr>
            <w:r>
              <w:rPr>
                <w:color w:val="000000"/>
                <w:sz w:val="24"/>
              </w:rPr>
              <w:t>公牛集团</w:t>
            </w:r>
          </w:p>
        </w:tc>
        <w:tc>
          <w:tcPr>
            <w:tcW w:w="2880" w:type="dxa"/>
            <w:vAlign w:val="center"/>
          </w:tcPr>
          <w:p>
            <w:pPr>
              <w:jc w:val="right"/>
            </w:pPr>
            <w:r>
              <w:rPr>
                <w:color w:val="000000"/>
                <w:sz w:val="24"/>
              </w:rPr>
              <w:t>342,830,714.88</w:t>
            </w:r>
          </w:p>
        </w:tc>
        <w:tc>
          <w:tcPr>
            <w:tcW w:w="1620" w:type="dxa"/>
            <w:vAlign w:val="center"/>
          </w:tcPr>
          <w:p>
            <w:pPr>
              <w:jc w:val="right"/>
            </w:pPr>
            <w:r>
              <w:rPr>
                <w:color w:val="000000"/>
                <w:sz w:val="24"/>
              </w:rPr>
              <w:t>5.03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17</w:t>
            </w:r>
          </w:p>
        </w:tc>
        <w:tc>
          <w:tcPr>
            <w:tcW w:w="1650" w:type="dxa"/>
            <w:vAlign w:val="center"/>
          </w:tcPr>
          <w:p>
            <w:pPr>
              <w:jc w:val="center"/>
            </w:pPr>
            <w:r>
              <w:rPr>
                <w:color w:val="000000"/>
                <w:sz w:val="24"/>
              </w:rPr>
              <w:t>002044</w:t>
            </w:r>
          </w:p>
        </w:tc>
        <w:tc>
          <w:tcPr>
            <w:tcW w:w="1980" w:type="dxa"/>
            <w:vAlign w:val="center"/>
          </w:tcPr>
          <w:p>
            <w:pPr>
              <w:jc w:val="center"/>
            </w:pPr>
            <w:r>
              <w:rPr>
                <w:color w:val="000000"/>
                <w:sz w:val="24"/>
              </w:rPr>
              <w:t>美年健康</w:t>
            </w:r>
          </w:p>
        </w:tc>
        <w:tc>
          <w:tcPr>
            <w:tcW w:w="2880" w:type="dxa"/>
            <w:vAlign w:val="center"/>
          </w:tcPr>
          <w:p>
            <w:pPr>
              <w:jc w:val="right"/>
            </w:pPr>
            <w:r>
              <w:rPr>
                <w:color w:val="000000"/>
                <w:sz w:val="24"/>
              </w:rPr>
              <w:t>319,418,511.49</w:t>
            </w:r>
          </w:p>
        </w:tc>
        <w:tc>
          <w:tcPr>
            <w:tcW w:w="1620" w:type="dxa"/>
            <w:vAlign w:val="center"/>
          </w:tcPr>
          <w:p>
            <w:pPr>
              <w:jc w:val="right"/>
            </w:pPr>
            <w:r>
              <w:rPr>
                <w:color w:val="000000"/>
                <w:sz w:val="24"/>
              </w:rPr>
              <w:t>4.69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18</w:t>
            </w:r>
          </w:p>
        </w:tc>
        <w:tc>
          <w:tcPr>
            <w:tcW w:w="1650" w:type="dxa"/>
            <w:vAlign w:val="center"/>
          </w:tcPr>
          <w:p>
            <w:pPr>
              <w:jc w:val="center"/>
            </w:pPr>
            <w:r>
              <w:rPr>
                <w:color w:val="000000"/>
                <w:sz w:val="24"/>
              </w:rPr>
              <w:t>000733</w:t>
            </w:r>
          </w:p>
        </w:tc>
        <w:tc>
          <w:tcPr>
            <w:tcW w:w="1980" w:type="dxa"/>
            <w:vAlign w:val="center"/>
          </w:tcPr>
          <w:p>
            <w:pPr>
              <w:jc w:val="center"/>
            </w:pPr>
            <w:r>
              <w:rPr>
                <w:color w:val="000000"/>
                <w:sz w:val="24"/>
              </w:rPr>
              <w:t>振华科技</w:t>
            </w:r>
          </w:p>
        </w:tc>
        <w:tc>
          <w:tcPr>
            <w:tcW w:w="2880" w:type="dxa"/>
            <w:vAlign w:val="center"/>
          </w:tcPr>
          <w:p>
            <w:pPr>
              <w:jc w:val="right"/>
            </w:pPr>
            <w:r>
              <w:rPr>
                <w:color w:val="000000"/>
                <w:sz w:val="24"/>
              </w:rPr>
              <w:t>305,760,175.95</w:t>
            </w:r>
          </w:p>
        </w:tc>
        <w:tc>
          <w:tcPr>
            <w:tcW w:w="1620" w:type="dxa"/>
            <w:vAlign w:val="center"/>
          </w:tcPr>
          <w:p>
            <w:pPr>
              <w:jc w:val="right"/>
            </w:pPr>
            <w:r>
              <w:rPr>
                <w:color w:val="000000"/>
                <w:sz w:val="24"/>
              </w:rPr>
              <w:t>4.49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19</w:t>
            </w:r>
          </w:p>
        </w:tc>
        <w:tc>
          <w:tcPr>
            <w:tcW w:w="1650" w:type="dxa"/>
            <w:vAlign w:val="center"/>
          </w:tcPr>
          <w:p>
            <w:pPr>
              <w:jc w:val="center"/>
            </w:pPr>
            <w:r>
              <w:rPr>
                <w:color w:val="000000"/>
                <w:sz w:val="24"/>
              </w:rPr>
              <w:t>002311</w:t>
            </w:r>
          </w:p>
        </w:tc>
        <w:tc>
          <w:tcPr>
            <w:tcW w:w="1980" w:type="dxa"/>
            <w:vAlign w:val="center"/>
          </w:tcPr>
          <w:p>
            <w:pPr>
              <w:jc w:val="center"/>
            </w:pPr>
            <w:r>
              <w:rPr>
                <w:color w:val="000000"/>
                <w:sz w:val="24"/>
              </w:rPr>
              <w:t>海大集团</w:t>
            </w:r>
          </w:p>
        </w:tc>
        <w:tc>
          <w:tcPr>
            <w:tcW w:w="2880" w:type="dxa"/>
            <w:vAlign w:val="center"/>
          </w:tcPr>
          <w:p>
            <w:pPr>
              <w:jc w:val="right"/>
            </w:pPr>
            <w:r>
              <w:rPr>
                <w:color w:val="000000"/>
                <w:sz w:val="24"/>
              </w:rPr>
              <w:t>296,159,946.71</w:t>
            </w:r>
          </w:p>
        </w:tc>
        <w:tc>
          <w:tcPr>
            <w:tcW w:w="1620" w:type="dxa"/>
            <w:vAlign w:val="center"/>
          </w:tcPr>
          <w:p>
            <w:pPr>
              <w:jc w:val="right"/>
            </w:pPr>
            <w:r>
              <w:rPr>
                <w:color w:val="000000"/>
                <w:sz w:val="24"/>
              </w:rPr>
              <w:t>4.35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20</w:t>
            </w:r>
          </w:p>
        </w:tc>
        <w:tc>
          <w:tcPr>
            <w:tcW w:w="1650" w:type="dxa"/>
            <w:vAlign w:val="center"/>
          </w:tcPr>
          <w:p>
            <w:pPr>
              <w:jc w:val="center"/>
            </w:pPr>
            <w:r>
              <w:rPr>
                <w:color w:val="000000"/>
                <w:sz w:val="24"/>
              </w:rPr>
              <w:t>600048</w:t>
            </w:r>
          </w:p>
        </w:tc>
        <w:tc>
          <w:tcPr>
            <w:tcW w:w="1980" w:type="dxa"/>
            <w:vAlign w:val="center"/>
          </w:tcPr>
          <w:p>
            <w:pPr>
              <w:jc w:val="center"/>
            </w:pPr>
            <w:r>
              <w:rPr>
                <w:color w:val="000000"/>
                <w:sz w:val="24"/>
              </w:rPr>
              <w:t>保利地产</w:t>
            </w:r>
          </w:p>
        </w:tc>
        <w:tc>
          <w:tcPr>
            <w:tcW w:w="2880" w:type="dxa"/>
            <w:vAlign w:val="center"/>
          </w:tcPr>
          <w:p>
            <w:pPr>
              <w:jc w:val="right"/>
            </w:pPr>
            <w:r>
              <w:rPr>
                <w:color w:val="000000"/>
                <w:sz w:val="24"/>
              </w:rPr>
              <w:t>290,502,310.19</w:t>
            </w:r>
          </w:p>
        </w:tc>
        <w:tc>
          <w:tcPr>
            <w:tcW w:w="1620" w:type="dxa"/>
            <w:vAlign w:val="center"/>
          </w:tcPr>
          <w:p>
            <w:pPr>
              <w:jc w:val="right"/>
            </w:pPr>
            <w:r>
              <w:rPr>
                <w:color w:val="000000"/>
                <w:sz w:val="24"/>
              </w:rPr>
              <w:t>4.27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21</w:t>
            </w:r>
          </w:p>
        </w:tc>
        <w:tc>
          <w:tcPr>
            <w:tcW w:w="1650" w:type="dxa"/>
            <w:vAlign w:val="center"/>
          </w:tcPr>
          <w:p>
            <w:pPr>
              <w:jc w:val="center"/>
            </w:pPr>
            <w:r>
              <w:rPr>
                <w:color w:val="000000"/>
                <w:sz w:val="24"/>
              </w:rPr>
              <w:t>601899</w:t>
            </w:r>
          </w:p>
        </w:tc>
        <w:tc>
          <w:tcPr>
            <w:tcW w:w="1980" w:type="dxa"/>
            <w:vAlign w:val="center"/>
          </w:tcPr>
          <w:p>
            <w:pPr>
              <w:jc w:val="center"/>
            </w:pPr>
            <w:r>
              <w:rPr>
                <w:color w:val="000000"/>
                <w:sz w:val="24"/>
              </w:rPr>
              <w:t>紫金矿业</w:t>
            </w:r>
          </w:p>
        </w:tc>
        <w:tc>
          <w:tcPr>
            <w:tcW w:w="2880" w:type="dxa"/>
            <w:vAlign w:val="center"/>
          </w:tcPr>
          <w:p>
            <w:pPr>
              <w:jc w:val="right"/>
            </w:pPr>
            <w:r>
              <w:rPr>
                <w:color w:val="000000"/>
                <w:sz w:val="24"/>
              </w:rPr>
              <w:t>284,338,552.83</w:t>
            </w:r>
          </w:p>
        </w:tc>
        <w:tc>
          <w:tcPr>
            <w:tcW w:w="1620" w:type="dxa"/>
            <w:vAlign w:val="center"/>
          </w:tcPr>
          <w:p>
            <w:pPr>
              <w:jc w:val="right"/>
            </w:pPr>
            <w:r>
              <w:rPr>
                <w:color w:val="000000"/>
                <w:sz w:val="24"/>
              </w:rPr>
              <w:t>4.18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22</w:t>
            </w:r>
          </w:p>
        </w:tc>
        <w:tc>
          <w:tcPr>
            <w:tcW w:w="1650" w:type="dxa"/>
            <w:vAlign w:val="center"/>
          </w:tcPr>
          <w:p>
            <w:pPr>
              <w:jc w:val="center"/>
            </w:pPr>
            <w:r>
              <w:rPr>
                <w:color w:val="000000"/>
                <w:sz w:val="24"/>
              </w:rPr>
              <w:t>002271</w:t>
            </w:r>
          </w:p>
        </w:tc>
        <w:tc>
          <w:tcPr>
            <w:tcW w:w="1980" w:type="dxa"/>
            <w:vAlign w:val="center"/>
          </w:tcPr>
          <w:p>
            <w:pPr>
              <w:jc w:val="center"/>
            </w:pPr>
            <w:r>
              <w:rPr>
                <w:color w:val="000000"/>
                <w:sz w:val="24"/>
              </w:rPr>
              <w:t>东方雨虹</w:t>
            </w:r>
          </w:p>
        </w:tc>
        <w:tc>
          <w:tcPr>
            <w:tcW w:w="2880" w:type="dxa"/>
            <w:vAlign w:val="center"/>
          </w:tcPr>
          <w:p>
            <w:pPr>
              <w:jc w:val="right"/>
            </w:pPr>
            <w:r>
              <w:rPr>
                <w:color w:val="000000"/>
                <w:sz w:val="24"/>
              </w:rPr>
              <w:t>243,363,612.97</w:t>
            </w:r>
          </w:p>
        </w:tc>
        <w:tc>
          <w:tcPr>
            <w:tcW w:w="1620" w:type="dxa"/>
            <w:vAlign w:val="center"/>
          </w:tcPr>
          <w:p>
            <w:pPr>
              <w:jc w:val="right"/>
            </w:pPr>
            <w:r>
              <w:rPr>
                <w:color w:val="000000"/>
                <w:sz w:val="24"/>
              </w:rPr>
              <w:t>3.57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23</w:t>
            </w:r>
          </w:p>
        </w:tc>
        <w:tc>
          <w:tcPr>
            <w:tcW w:w="1650" w:type="dxa"/>
            <w:vAlign w:val="center"/>
          </w:tcPr>
          <w:p>
            <w:pPr>
              <w:jc w:val="center"/>
            </w:pPr>
            <w:r>
              <w:rPr>
                <w:color w:val="000000"/>
                <w:sz w:val="24"/>
              </w:rPr>
              <w:t>603613</w:t>
            </w:r>
          </w:p>
        </w:tc>
        <w:tc>
          <w:tcPr>
            <w:tcW w:w="1980" w:type="dxa"/>
            <w:vAlign w:val="center"/>
          </w:tcPr>
          <w:p>
            <w:pPr>
              <w:jc w:val="center"/>
            </w:pPr>
            <w:r>
              <w:rPr>
                <w:color w:val="000000"/>
                <w:sz w:val="24"/>
              </w:rPr>
              <w:t>国联股份</w:t>
            </w:r>
          </w:p>
        </w:tc>
        <w:tc>
          <w:tcPr>
            <w:tcW w:w="2880" w:type="dxa"/>
            <w:vAlign w:val="center"/>
          </w:tcPr>
          <w:p>
            <w:pPr>
              <w:jc w:val="right"/>
            </w:pPr>
            <w:r>
              <w:rPr>
                <w:color w:val="000000"/>
                <w:sz w:val="24"/>
              </w:rPr>
              <w:t>236,353,958.44</w:t>
            </w:r>
          </w:p>
        </w:tc>
        <w:tc>
          <w:tcPr>
            <w:tcW w:w="1620" w:type="dxa"/>
            <w:vAlign w:val="center"/>
          </w:tcPr>
          <w:p>
            <w:pPr>
              <w:jc w:val="right"/>
            </w:pPr>
            <w:r>
              <w:rPr>
                <w:color w:val="000000"/>
                <w:sz w:val="24"/>
              </w:rPr>
              <w:t>3.47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24</w:t>
            </w:r>
          </w:p>
        </w:tc>
        <w:tc>
          <w:tcPr>
            <w:tcW w:w="1650" w:type="dxa"/>
            <w:vAlign w:val="center"/>
          </w:tcPr>
          <w:p>
            <w:pPr>
              <w:jc w:val="center"/>
            </w:pPr>
            <w:r>
              <w:rPr>
                <w:color w:val="000000"/>
                <w:sz w:val="24"/>
              </w:rPr>
              <w:t>002050</w:t>
            </w:r>
          </w:p>
        </w:tc>
        <w:tc>
          <w:tcPr>
            <w:tcW w:w="1980" w:type="dxa"/>
            <w:vAlign w:val="center"/>
          </w:tcPr>
          <w:p>
            <w:pPr>
              <w:jc w:val="center"/>
            </w:pPr>
            <w:r>
              <w:rPr>
                <w:color w:val="000000"/>
                <w:sz w:val="24"/>
              </w:rPr>
              <w:t>三花智控</w:t>
            </w:r>
          </w:p>
        </w:tc>
        <w:tc>
          <w:tcPr>
            <w:tcW w:w="2880" w:type="dxa"/>
            <w:vAlign w:val="center"/>
          </w:tcPr>
          <w:p>
            <w:pPr>
              <w:jc w:val="right"/>
            </w:pPr>
            <w:r>
              <w:rPr>
                <w:color w:val="000000"/>
                <w:sz w:val="24"/>
              </w:rPr>
              <w:t>222,573,028.94</w:t>
            </w:r>
          </w:p>
        </w:tc>
        <w:tc>
          <w:tcPr>
            <w:tcW w:w="1620" w:type="dxa"/>
            <w:vAlign w:val="center"/>
          </w:tcPr>
          <w:p>
            <w:pPr>
              <w:jc w:val="right"/>
            </w:pPr>
            <w:r>
              <w:rPr>
                <w:color w:val="000000"/>
                <w:sz w:val="24"/>
              </w:rPr>
              <w:t>3.27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25</w:t>
            </w:r>
          </w:p>
        </w:tc>
        <w:tc>
          <w:tcPr>
            <w:tcW w:w="1650" w:type="dxa"/>
            <w:vAlign w:val="center"/>
          </w:tcPr>
          <w:p>
            <w:pPr>
              <w:jc w:val="center"/>
            </w:pPr>
            <w:r>
              <w:rPr>
                <w:color w:val="000000"/>
                <w:sz w:val="24"/>
              </w:rPr>
              <w:t>001914</w:t>
            </w:r>
          </w:p>
        </w:tc>
        <w:tc>
          <w:tcPr>
            <w:tcW w:w="1980" w:type="dxa"/>
            <w:vAlign w:val="center"/>
          </w:tcPr>
          <w:p>
            <w:pPr>
              <w:jc w:val="center"/>
            </w:pPr>
            <w:r>
              <w:rPr>
                <w:color w:val="000000"/>
                <w:sz w:val="24"/>
              </w:rPr>
              <w:t>招商积余</w:t>
            </w:r>
          </w:p>
        </w:tc>
        <w:tc>
          <w:tcPr>
            <w:tcW w:w="2880" w:type="dxa"/>
            <w:vAlign w:val="center"/>
          </w:tcPr>
          <w:p>
            <w:pPr>
              <w:jc w:val="right"/>
            </w:pPr>
            <w:r>
              <w:rPr>
                <w:color w:val="000000"/>
                <w:sz w:val="24"/>
              </w:rPr>
              <w:t>216,358,596.11</w:t>
            </w:r>
          </w:p>
        </w:tc>
        <w:tc>
          <w:tcPr>
            <w:tcW w:w="1620" w:type="dxa"/>
            <w:vAlign w:val="center"/>
          </w:tcPr>
          <w:p>
            <w:pPr>
              <w:jc w:val="right"/>
            </w:pPr>
            <w:r>
              <w:rPr>
                <w:color w:val="000000"/>
                <w:sz w:val="24"/>
              </w:rPr>
              <w:t>3.18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26</w:t>
            </w:r>
          </w:p>
        </w:tc>
        <w:tc>
          <w:tcPr>
            <w:tcW w:w="1650" w:type="dxa"/>
            <w:vAlign w:val="center"/>
          </w:tcPr>
          <w:p>
            <w:pPr>
              <w:jc w:val="center"/>
            </w:pPr>
            <w:r>
              <w:rPr>
                <w:color w:val="000000"/>
                <w:sz w:val="24"/>
              </w:rPr>
              <w:t>600887</w:t>
            </w:r>
          </w:p>
        </w:tc>
        <w:tc>
          <w:tcPr>
            <w:tcW w:w="1980" w:type="dxa"/>
            <w:vAlign w:val="center"/>
          </w:tcPr>
          <w:p>
            <w:pPr>
              <w:jc w:val="center"/>
            </w:pPr>
            <w:r>
              <w:rPr>
                <w:color w:val="000000"/>
                <w:sz w:val="24"/>
              </w:rPr>
              <w:t>伊利股份</w:t>
            </w:r>
          </w:p>
        </w:tc>
        <w:tc>
          <w:tcPr>
            <w:tcW w:w="2880" w:type="dxa"/>
            <w:vAlign w:val="center"/>
          </w:tcPr>
          <w:p>
            <w:pPr>
              <w:jc w:val="right"/>
            </w:pPr>
            <w:r>
              <w:rPr>
                <w:color w:val="000000"/>
                <w:sz w:val="24"/>
              </w:rPr>
              <w:t>209,520,923.85</w:t>
            </w:r>
          </w:p>
        </w:tc>
        <w:tc>
          <w:tcPr>
            <w:tcW w:w="1620" w:type="dxa"/>
            <w:vAlign w:val="center"/>
          </w:tcPr>
          <w:p>
            <w:pPr>
              <w:jc w:val="right"/>
            </w:pPr>
            <w:r>
              <w:rPr>
                <w:color w:val="000000"/>
                <w:sz w:val="24"/>
              </w:rPr>
              <w:t>3.08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27</w:t>
            </w:r>
          </w:p>
        </w:tc>
        <w:tc>
          <w:tcPr>
            <w:tcW w:w="1650" w:type="dxa"/>
            <w:vAlign w:val="center"/>
          </w:tcPr>
          <w:p>
            <w:pPr>
              <w:jc w:val="center"/>
            </w:pPr>
            <w:r>
              <w:rPr>
                <w:color w:val="000000"/>
                <w:sz w:val="24"/>
              </w:rPr>
              <w:t>002142</w:t>
            </w:r>
          </w:p>
        </w:tc>
        <w:tc>
          <w:tcPr>
            <w:tcW w:w="1980" w:type="dxa"/>
            <w:vAlign w:val="center"/>
          </w:tcPr>
          <w:p>
            <w:pPr>
              <w:jc w:val="center"/>
            </w:pPr>
            <w:r>
              <w:rPr>
                <w:color w:val="000000"/>
                <w:sz w:val="24"/>
              </w:rPr>
              <w:t>宁波银行</w:t>
            </w:r>
          </w:p>
        </w:tc>
        <w:tc>
          <w:tcPr>
            <w:tcW w:w="2880" w:type="dxa"/>
            <w:vAlign w:val="center"/>
          </w:tcPr>
          <w:p>
            <w:pPr>
              <w:jc w:val="right"/>
            </w:pPr>
            <w:r>
              <w:rPr>
                <w:color w:val="000000"/>
                <w:sz w:val="24"/>
              </w:rPr>
              <w:t>207,721,105.41</w:t>
            </w:r>
          </w:p>
        </w:tc>
        <w:tc>
          <w:tcPr>
            <w:tcW w:w="1620" w:type="dxa"/>
            <w:vAlign w:val="center"/>
          </w:tcPr>
          <w:p>
            <w:pPr>
              <w:jc w:val="right"/>
            </w:pPr>
            <w:r>
              <w:rPr>
                <w:color w:val="000000"/>
                <w:sz w:val="24"/>
              </w:rPr>
              <w:t>3.05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28</w:t>
            </w:r>
          </w:p>
        </w:tc>
        <w:tc>
          <w:tcPr>
            <w:tcW w:w="1650" w:type="dxa"/>
            <w:vAlign w:val="center"/>
          </w:tcPr>
          <w:p>
            <w:pPr>
              <w:jc w:val="center"/>
            </w:pPr>
            <w:r>
              <w:rPr>
                <w:color w:val="000000"/>
                <w:sz w:val="24"/>
              </w:rPr>
              <w:t>688301</w:t>
            </w:r>
          </w:p>
        </w:tc>
        <w:tc>
          <w:tcPr>
            <w:tcW w:w="1980" w:type="dxa"/>
            <w:vAlign w:val="center"/>
          </w:tcPr>
          <w:p>
            <w:pPr>
              <w:jc w:val="center"/>
            </w:pPr>
            <w:r>
              <w:rPr>
                <w:color w:val="000000"/>
                <w:sz w:val="24"/>
              </w:rPr>
              <w:t>奕瑞科技</w:t>
            </w:r>
          </w:p>
        </w:tc>
        <w:tc>
          <w:tcPr>
            <w:tcW w:w="2880" w:type="dxa"/>
            <w:vAlign w:val="center"/>
          </w:tcPr>
          <w:p>
            <w:pPr>
              <w:jc w:val="right"/>
            </w:pPr>
            <w:r>
              <w:rPr>
                <w:color w:val="000000"/>
                <w:sz w:val="24"/>
              </w:rPr>
              <w:t>190,339,896.28</w:t>
            </w:r>
          </w:p>
        </w:tc>
        <w:tc>
          <w:tcPr>
            <w:tcW w:w="1620" w:type="dxa"/>
            <w:vAlign w:val="center"/>
          </w:tcPr>
          <w:p>
            <w:pPr>
              <w:jc w:val="right"/>
            </w:pPr>
            <w:r>
              <w:rPr>
                <w:color w:val="000000"/>
                <w:sz w:val="24"/>
              </w:rPr>
              <w:t>2.80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29</w:t>
            </w:r>
          </w:p>
        </w:tc>
        <w:tc>
          <w:tcPr>
            <w:tcW w:w="1650" w:type="dxa"/>
            <w:vAlign w:val="center"/>
          </w:tcPr>
          <w:p>
            <w:pPr>
              <w:jc w:val="center"/>
            </w:pPr>
            <w:r>
              <w:rPr>
                <w:color w:val="000000"/>
                <w:sz w:val="24"/>
              </w:rPr>
              <w:t>002027</w:t>
            </w:r>
          </w:p>
        </w:tc>
        <w:tc>
          <w:tcPr>
            <w:tcW w:w="1980" w:type="dxa"/>
            <w:vAlign w:val="center"/>
          </w:tcPr>
          <w:p>
            <w:pPr>
              <w:jc w:val="center"/>
            </w:pPr>
            <w:r>
              <w:rPr>
                <w:color w:val="000000"/>
                <w:sz w:val="24"/>
              </w:rPr>
              <w:t>分众传媒</w:t>
            </w:r>
          </w:p>
        </w:tc>
        <w:tc>
          <w:tcPr>
            <w:tcW w:w="2880" w:type="dxa"/>
            <w:vAlign w:val="center"/>
          </w:tcPr>
          <w:p>
            <w:pPr>
              <w:jc w:val="right"/>
            </w:pPr>
            <w:r>
              <w:rPr>
                <w:color w:val="000000"/>
                <w:sz w:val="24"/>
              </w:rPr>
              <w:t>188,023,631.28</w:t>
            </w:r>
          </w:p>
        </w:tc>
        <w:tc>
          <w:tcPr>
            <w:tcW w:w="1620" w:type="dxa"/>
            <w:vAlign w:val="center"/>
          </w:tcPr>
          <w:p>
            <w:pPr>
              <w:jc w:val="right"/>
            </w:pPr>
            <w:r>
              <w:rPr>
                <w:color w:val="000000"/>
                <w:sz w:val="24"/>
              </w:rPr>
              <w:t>2.76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30</w:t>
            </w:r>
          </w:p>
        </w:tc>
        <w:tc>
          <w:tcPr>
            <w:tcW w:w="1650" w:type="dxa"/>
            <w:vAlign w:val="center"/>
          </w:tcPr>
          <w:p>
            <w:pPr>
              <w:jc w:val="center"/>
            </w:pPr>
            <w:r>
              <w:rPr>
                <w:color w:val="000000"/>
                <w:sz w:val="24"/>
              </w:rPr>
              <w:t>600522</w:t>
            </w:r>
          </w:p>
        </w:tc>
        <w:tc>
          <w:tcPr>
            <w:tcW w:w="1980" w:type="dxa"/>
            <w:vAlign w:val="center"/>
          </w:tcPr>
          <w:p>
            <w:pPr>
              <w:jc w:val="center"/>
            </w:pPr>
            <w:r>
              <w:rPr>
                <w:color w:val="000000"/>
                <w:sz w:val="24"/>
              </w:rPr>
              <w:t>中天科技</w:t>
            </w:r>
          </w:p>
        </w:tc>
        <w:tc>
          <w:tcPr>
            <w:tcW w:w="2880" w:type="dxa"/>
            <w:vAlign w:val="center"/>
          </w:tcPr>
          <w:p>
            <w:pPr>
              <w:jc w:val="right"/>
            </w:pPr>
            <w:r>
              <w:rPr>
                <w:color w:val="000000"/>
                <w:sz w:val="24"/>
              </w:rPr>
              <w:t>168,856,203.49</w:t>
            </w:r>
          </w:p>
        </w:tc>
        <w:tc>
          <w:tcPr>
            <w:tcW w:w="1620" w:type="dxa"/>
            <w:vAlign w:val="center"/>
          </w:tcPr>
          <w:p>
            <w:pPr>
              <w:jc w:val="right"/>
            </w:pPr>
            <w:r>
              <w:rPr>
                <w:color w:val="000000"/>
                <w:sz w:val="24"/>
              </w:rPr>
              <w:t>2.48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31</w:t>
            </w:r>
          </w:p>
        </w:tc>
        <w:tc>
          <w:tcPr>
            <w:tcW w:w="1650" w:type="dxa"/>
            <w:vAlign w:val="center"/>
          </w:tcPr>
          <w:p>
            <w:pPr>
              <w:jc w:val="center"/>
            </w:pPr>
            <w:r>
              <w:rPr>
                <w:color w:val="000000"/>
                <w:sz w:val="24"/>
              </w:rPr>
              <w:t>002507</w:t>
            </w:r>
          </w:p>
        </w:tc>
        <w:tc>
          <w:tcPr>
            <w:tcW w:w="1980" w:type="dxa"/>
            <w:vAlign w:val="center"/>
          </w:tcPr>
          <w:p>
            <w:pPr>
              <w:jc w:val="center"/>
            </w:pPr>
            <w:r>
              <w:rPr>
                <w:color w:val="000000"/>
                <w:sz w:val="24"/>
              </w:rPr>
              <w:t>涪陵榨菜</w:t>
            </w:r>
          </w:p>
        </w:tc>
        <w:tc>
          <w:tcPr>
            <w:tcW w:w="2880" w:type="dxa"/>
            <w:vAlign w:val="center"/>
          </w:tcPr>
          <w:p>
            <w:pPr>
              <w:jc w:val="right"/>
            </w:pPr>
            <w:r>
              <w:rPr>
                <w:color w:val="000000"/>
                <w:sz w:val="24"/>
              </w:rPr>
              <w:t>164,480,181.06</w:t>
            </w:r>
          </w:p>
        </w:tc>
        <w:tc>
          <w:tcPr>
            <w:tcW w:w="1620" w:type="dxa"/>
            <w:vAlign w:val="center"/>
          </w:tcPr>
          <w:p>
            <w:pPr>
              <w:jc w:val="right"/>
            </w:pPr>
            <w:r>
              <w:rPr>
                <w:color w:val="000000"/>
                <w:sz w:val="24"/>
              </w:rPr>
              <w:t>2.42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32</w:t>
            </w:r>
          </w:p>
        </w:tc>
        <w:tc>
          <w:tcPr>
            <w:tcW w:w="1650" w:type="dxa"/>
            <w:vAlign w:val="center"/>
          </w:tcPr>
          <w:p>
            <w:pPr>
              <w:jc w:val="center"/>
            </w:pPr>
            <w:r>
              <w:rPr>
                <w:color w:val="000000"/>
                <w:sz w:val="24"/>
              </w:rPr>
              <w:t>600529</w:t>
            </w:r>
          </w:p>
        </w:tc>
        <w:tc>
          <w:tcPr>
            <w:tcW w:w="1980" w:type="dxa"/>
            <w:vAlign w:val="center"/>
          </w:tcPr>
          <w:p>
            <w:pPr>
              <w:jc w:val="center"/>
            </w:pPr>
            <w:r>
              <w:rPr>
                <w:color w:val="000000"/>
                <w:sz w:val="24"/>
              </w:rPr>
              <w:t>山东药玻</w:t>
            </w:r>
          </w:p>
        </w:tc>
        <w:tc>
          <w:tcPr>
            <w:tcW w:w="2880" w:type="dxa"/>
            <w:vAlign w:val="center"/>
          </w:tcPr>
          <w:p>
            <w:pPr>
              <w:jc w:val="right"/>
            </w:pPr>
            <w:r>
              <w:rPr>
                <w:color w:val="000000"/>
                <w:sz w:val="24"/>
              </w:rPr>
              <w:t>162,328,605.05</w:t>
            </w:r>
          </w:p>
        </w:tc>
        <w:tc>
          <w:tcPr>
            <w:tcW w:w="1620" w:type="dxa"/>
            <w:vAlign w:val="center"/>
          </w:tcPr>
          <w:p>
            <w:pPr>
              <w:jc w:val="right"/>
            </w:pPr>
            <w:r>
              <w:rPr>
                <w:color w:val="000000"/>
                <w:sz w:val="24"/>
              </w:rPr>
              <w:t>2.38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33</w:t>
            </w:r>
          </w:p>
        </w:tc>
        <w:tc>
          <w:tcPr>
            <w:tcW w:w="1650" w:type="dxa"/>
            <w:vAlign w:val="center"/>
          </w:tcPr>
          <w:p>
            <w:pPr>
              <w:jc w:val="center"/>
            </w:pPr>
            <w:r>
              <w:rPr>
                <w:color w:val="000000"/>
                <w:sz w:val="24"/>
              </w:rPr>
              <w:t>300750</w:t>
            </w:r>
          </w:p>
        </w:tc>
        <w:tc>
          <w:tcPr>
            <w:tcW w:w="1980" w:type="dxa"/>
            <w:vAlign w:val="center"/>
          </w:tcPr>
          <w:p>
            <w:pPr>
              <w:jc w:val="center"/>
            </w:pPr>
            <w:r>
              <w:rPr>
                <w:color w:val="000000"/>
                <w:sz w:val="24"/>
              </w:rPr>
              <w:t>宁德时代</w:t>
            </w:r>
          </w:p>
        </w:tc>
        <w:tc>
          <w:tcPr>
            <w:tcW w:w="2880" w:type="dxa"/>
            <w:vAlign w:val="center"/>
          </w:tcPr>
          <w:p>
            <w:pPr>
              <w:jc w:val="right"/>
            </w:pPr>
            <w:r>
              <w:rPr>
                <w:color w:val="000000"/>
                <w:sz w:val="24"/>
              </w:rPr>
              <w:t>157,953,743.26</w:t>
            </w:r>
          </w:p>
        </w:tc>
        <w:tc>
          <w:tcPr>
            <w:tcW w:w="1620" w:type="dxa"/>
            <w:vAlign w:val="center"/>
          </w:tcPr>
          <w:p>
            <w:pPr>
              <w:jc w:val="right"/>
            </w:pPr>
            <w:r>
              <w:rPr>
                <w:color w:val="000000"/>
                <w:sz w:val="24"/>
              </w:rPr>
              <w:t>2.32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34</w:t>
            </w:r>
          </w:p>
        </w:tc>
        <w:tc>
          <w:tcPr>
            <w:tcW w:w="1650" w:type="dxa"/>
            <w:vAlign w:val="center"/>
          </w:tcPr>
          <w:p>
            <w:pPr>
              <w:jc w:val="center"/>
            </w:pPr>
            <w:r>
              <w:rPr>
                <w:color w:val="000000"/>
                <w:sz w:val="24"/>
              </w:rPr>
              <w:t>000860</w:t>
            </w:r>
          </w:p>
        </w:tc>
        <w:tc>
          <w:tcPr>
            <w:tcW w:w="1980" w:type="dxa"/>
            <w:vAlign w:val="center"/>
          </w:tcPr>
          <w:p>
            <w:pPr>
              <w:jc w:val="center"/>
            </w:pPr>
            <w:r>
              <w:rPr>
                <w:color w:val="000000"/>
                <w:sz w:val="24"/>
              </w:rPr>
              <w:t>顺鑫农业</w:t>
            </w:r>
          </w:p>
        </w:tc>
        <w:tc>
          <w:tcPr>
            <w:tcW w:w="2880" w:type="dxa"/>
            <w:vAlign w:val="center"/>
          </w:tcPr>
          <w:p>
            <w:pPr>
              <w:jc w:val="right"/>
            </w:pPr>
            <w:r>
              <w:rPr>
                <w:color w:val="000000"/>
                <w:sz w:val="24"/>
              </w:rPr>
              <w:t>154,697,457.67</w:t>
            </w:r>
          </w:p>
        </w:tc>
        <w:tc>
          <w:tcPr>
            <w:tcW w:w="1620" w:type="dxa"/>
            <w:vAlign w:val="center"/>
          </w:tcPr>
          <w:p>
            <w:pPr>
              <w:jc w:val="right"/>
            </w:pPr>
            <w:r>
              <w:rPr>
                <w:color w:val="000000"/>
                <w:sz w:val="24"/>
              </w:rPr>
              <w:t>2.27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35</w:t>
            </w:r>
          </w:p>
        </w:tc>
        <w:tc>
          <w:tcPr>
            <w:tcW w:w="1650" w:type="dxa"/>
            <w:vAlign w:val="center"/>
          </w:tcPr>
          <w:p>
            <w:pPr>
              <w:jc w:val="center"/>
            </w:pPr>
            <w:r>
              <w:rPr>
                <w:color w:val="000000"/>
                <w:sz w:val="24"/>
              </w:rPr>
              <w:t>601658</w:t>
            </w:r>
          </w:p>
        </w:tc>
        <w:tc>
          <w:tcPr>
            <w:tcW w:w="1980" w:type="dxa"/>
            <w:vAlign w:val="center"/>
          </w:tcPr>
          <w:p>
            <w:pPr>
              <w:jc w:val="center"/>
            </w:pPr>
            <w:r>
              <w:rPr>
                <w:color w:val="000000"/>
                <w:sz w:val="24"/>
              </w:rPr>
              <w:t>邮储银行</w:t>
            </w:r>
          </w:p>
        </w:tc>
        <w:tc>
          <w:tcPr>
            <w:tcW w:w="2880" w:type="dxa"/>
            <w:vAlign w:val="center"/>
          </w:tcPr>
          <w:p>
            <w:pPr>
              <w:jc w:val="right"/>
            </w:pPr>
            <w:r>
              <w:rPr>
                <w:color w:val="000000"/>
                <w:sz w:val="24"/>
              </w:rPr>
              <w:t>151,903,006.82</w:t>
            </w:r>
          </w:p>
        </w:tc>
        <w:tc>
          <w:tcPr>
            <w:tcW w:w="1620" w:type="dxa"/>
            <w:vAlign w:val="center"/>
          </w:tcPr>
          <w:p>
            <w:pPr>
              <w:jc w:val="right"/>
            </w:pPr>
            <w:r>
              <w:rPr>
                <w:color w:val="000000"/>
                <w:sz w:val="24"/>
              </w:rPr>
              <w:t>2.23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36</w:t>
            </w:r>
          </w:p>
        </w:tc>
        <w:tc>
          <w:tcPr>
            <w:tcW w:w="1650" w:type="dxa"/>
            <w:vAlign w:val="center"/>
          </w:tcPr>
          <w:p>
            <w:pPr>
              <w:jc w:val="center"/>
            </w:pPr>
            <w:r>
              <w:rPr>
                <w:color w:val="000000"/>
                <w:sz w:val="24"/>
              </w:rPr>
              <w:t>600763</w:t>
            </w:r>
          </w:p>
        </w:tc>
        <w:tc>
          <w:tcPr>
            <w:tcW w:w="1980" w:type="dxa"/>
            <w:vAlign w:val="center"/>
          </w:tcPr>
          <w:p>
            <w:pPr>
              <w:jc w:val="center"/>
            </w:pPr>
            <w:r>
              <w:rPr>
                <w:color w:val="000000"/>
                <w:sz w:val="24"/>
              </w:rPr>
              <w:t>通策医疗</w:t>
            </w:r>
          </w:p>
        </w:tc>
        <w:tc>
          <w:tcPr>
            <w:tcW w:w="2880" w:type="dxa"/>
            <w:vAlign w:val="center"/>
          </w:tcPr>
          <w:p>
            <w:pPr>
              <w:jc w:val="right"/>
            </w:pPr>
            <w:r>
              <w:rPr>
                <w:color w:val="000000"/>
                <w:sz w:val="24"/>
              </w:rPr>
              <w:t>150,892,421.15</w:t>
            </w:r>
          </w:p>
        </w:tc>
        <w:tc>
          <w:tcPr>
            <w:tcW w:w="1620" w:type="dxa"/>
            <w:vAlign w:val="center"/>
          </w:tcPr>
          <w:p>
            <w:pPr>
              <w:jc w:val="right"/>
            </w:pPr>
            <w:r>
              <w:rPr>
                <w:color w:val="000000"/>
                <w:sz w:val="24"/>
              </w:rPr>
              <w:t>2.22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37</w:t>
            </w:r>
          </w:p>
        </w:tc>
        <w:tc>
          <w:tcPr>
            <w:tcW w:w="1650" w:type="dxa"/>
            <w:vAlign w:val="center"/>
          </w:tcPr>
          <w:p>
            <w:pPr>
              <w:jc w:val="center"/>
            </w:pPr>
            <w:r>
              <w:rPr>
                <w:color w:val="000000"/>
                <w:sz w:val="24"/>
              </w:rPr>
              <w:t>002410</w:t>
            </w:r>
          </w:p>
        </w:tc>
        <w:tc>
          <w:tcPr>
            <w:tcW w:w="1980" w:type="dxa"/>
            <w:vAlign w:val="center"/>
          </w:tcPr>
          <w:p>
            <w:pPr>
              <w:jc w:val="center"/>
            </w:pPr>
            <w:r>
              <w:rPr>
                <w:color w:val="000000"/>
                <w:sz w:val="24"/>
              </w:rPr>
              <w:t>广联达</w:t>
            </w:r>
          </w:p>
        </w:tc>
        <w:tc>
          <w:tcPr>
            <w:tcW w:w="2880" w:type="dxa"/>
            <w:vAlign w:val="center"/>
          </w:tcPr>
          <w:p>
            <w:pPr>
              <w:jc w:val="right"/>
            </w:pPr>
            <w:r>
              <w:rPr>
                <w:color w:val="000000"/>
                <w:sz w:val="24"/>
              </w:rPr>
              <w:t>145,761,671.88</w:t>
            </w:r>
          </w:p>
        </w:tc>
        <w:tc>
          <w:tcPr>
            <w:tcW w:w="1620" w:type="dxa"/>
            <w:vAlign w:val="center"/>
          </w:tcPr>
          <w:p>
            <w:pPr>
              <w:jc w:val="right"/>
            </w:pPr>
            <w:r>
              <w:rPr>
                <w:color w:val="000000"/>
                <w:sz w:val="24"/>
              </w:rPr>
              <w:t>2.14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38</w:t>
            </w:r>
          </w:p>
        </w:tc>
        <w:tc>
          <w:tcPr>
            <w:tcW w:w="1650" w:type="dxa"/>
            <w:vAlign w:val="center"/>
          </w:tcPr>
          <w:p>
            <w:pPr>
              <w:jc w:val="center"/>
            </w:pPr>
            <w:r>
              <w:rPr>
                <w:color w:val="000000"/>
                <w:sz w:val="24"/>
              </w:rPr>
              <w:t>300724</w:t>
            </w:r>
          </w:p>
        </w:tc>
        <w:tc>
          <w:tcPr>
            <w:tcW w:w="1980" w:type="dxa"/>
            <w:vAlign w:val="center"/>
          </w:tcPr>
          <w:p>
            <w:pPr>
              <w:jc w:val="center"/>
            </w:pPr>
            <w:r>
              <w:rPr>
                <w:color w:val="000000"/>
                <w:sz w:val="24"/>
              </w:rPr>
              <w:t>捷佳伟创</w:t>
            </w:r>
          </w:p>
        </w:tc>
        <w:tc>
          <w:tcPr>
            <w:tcW w:w="2880" w:type="dxa"/>
            <w:vAlign w:val="center"/>
          </w:tcPr>
          <w:p>
            <w:pPr>
              <w:jc w:val="right"/>
            </w:pPr>
            <w:r>
              <w:rPr>
                <w:color w:val="000000"/>
                <w:sz w:val="24"/>
              </w:rPr>
              <w:t>145,549,645.29</w:t>
            </w:r>
          </w:p>
        </w:tc>
        <w:tc>
          <w:tcPr>
            <w:tcW w:w="1620" w:type="dxa"/>
            <w:vAlign w:val="center"/>
          </w:tcPr>
          <w:p>
            <w:pPr>
              <w:jc w:val="right"/>
            </w:pPr>
            <w:r>
              <w:rPr>
                <w:color w:val="000000"/>
                <w:sz w:val="24"/>
              </w:rPr>
              <w:t>2.14</w:t>
            </w:r>
          </w:p>
        </w:tc>
      </w:tr>
    </w:tbl>
    <w:p>
      <w:pPr>
        <w:tabs>
          <w:tab w:val="left" w:pos="426"/>
        </w:tabs>
        <w:spacing w:before="29" w:line="288" w:lineRule="auto"/>
        <w:jc w:val="left"/>
        <w:rPr>
          <w:kern w:val="0"/>
          <w:sz w:val="24"/>
        </w:rPr>
      </w:pPr>
      <w:r>
        <w:rPr>
          <w:kern w:val="0"/>
          <w:sz w:val="24"/>
        </w:rPr>
        <w:t>注：“本期累计买入金额”按买入成交金额（成交单价乘以成交数量）填列，不考虑相关交易费用。</w:t>
      </w:r>
    </w:p>
    <w:p>
      <w:pPr>
        <w:tabs>
          <w:tab w:val="left" w:pos="426"/>
        </w:tabs>
        <w:spacing w:before="29" w:line="288" w:lineRule="auto"/>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17" w:name="_Toc67596688"/>
      <w:r>
        <w:rPr>
          <w:rFonts w:ascii="Times New Roman" w:hAnsi="Times New Roman"/>
          <w:kern w:val="0"/>
          <w:szCs w:val="24"/>
        </w:rPr>
        <w:t>8.4.2</w:t>
      </w:r>
      <w:r>
        <w:rPr>
          <w:rFonts w:hint="eastAsia" w:ascii="Times New Roman" w:hAnsi="Times New Roman"/>
          <w:kern w:val="0"/>
          <w:szCs w:val="24"/>
        </w:rPr>
        <w:t>累计卖出金额超出期初基金资产净值</w:t>
      </w:r>
      <w:r>
        <w:rPr>
          <w:rFonts w:ascii="Times New Roman" w:hAnsi="Times New Roman"/>
          <w:kern w:val="0"/>
          <w:szCs w:val="24"/>
        </w:rPr>
        <w:t>2％</w:t>
      </w:r>
      <w:r>
        <w:rPr>
          <w:rFonts w:hint="eastAsia" w:ascii="Times New Roman" w:hAnsi="Times New Roman"/>
          <w:kern w:val="0"/>
          <w:szCs w:val="24"/>
        </w:rPr>
        <w:t>或前</w:t>
      </w:r>
      <w:r>
        <w:rPr>
          <w:rFonts w:ascii="Times New Roman" w:hAnsi="Times New Roman"/>
          <w:kern w:val="0"/>
          <w:szCs w:val="24"/>
        </w:rPr>
        <w:t>20</w:t>
      </w:r>
      <w:r>
        <w:rPr>
          <w:rFonts w:hint="eastAsia" w:ascii="Times New Roman" w:hAnsi="Times New Roman"/>
          <w:kern w:val="0"/>
          <w:szCs w:val="24"/>
        </w:rPr>
        <w:t>名的股票明细</w:t>
      </w:r>
      <w:bookmarkEnd w:id="217"/>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0"/>
        <w:gridCol w:w="1650"/>
        <w:gridCol w:w="1980"/>
        <w:gridCol w:w="2880"/>
        <w:gridCol w:w="16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spacing w:before="29" w:line="288" w:lineRule="auto"/>
              <w:ind w:left="17"/>
              <w:jc w:val="center"/>
              <w:rPr>
                <w:rFonts w:asciiTheme="minorEastAsia" w:hAnsiTheme="minorEastAsia" w:eastAsiaTheme="minorEastAsia"/>
                <w:color w:val="000000"/>
                <w:szCs w:val="21"/>
              </w:rPr>
            </w:pPr>
            <w:r>
              <w:rPr>
                <w:rFonts w:hint="eastAsia"/>
                <w:color w:val="000000"/>
                <w:sz w:val="24"/>
              </w:rPr>
              <w:t>序号</w:t>
            </w:r>
          </w:p>
        </w:tc>
        <w:tc>
          <w:tcPr>
            <w:tcW w:w="1650" w:type="dxa"/>
            <w:vAlign w:val="center"/>
          </w:tcPr>
          <w:p>
            <w:pPr>
              <w:spacing w:before="29" w:line="288" w:lineRule="auto"/>
              <w:ind w:left="17"/>
              <w:jc w:val="center"/>
              <w:rPr>
                <w:color w:val="000000"/>
                <w:sz w:val="24"/>
              </w:rPr>
            </w:pPr>
            <w:r>
              <w:rPr>
                <w:rFonts w:hint="eastAsia"/>
                <w:color w:val="000000"/>
                <w:sz w:val="24"/>
              </w:rPr>
              <w:t>股票代码</w:t>
            </w:r>
          </w:p>
        </w:tc>
        <w:tc>
          <w:tcPr>
            <w:tcW w:w="1980" w:type="dxa"/>
            <w:vAlign w:val="center"/>
          </w:tcPr>
          <w:p>
            <w:pPr>
              <w:spacing w:before="29" w:line="288" w:lineRule="auto"/>
              <w:ind w:left="17"/>
              <w:jc w:val="center"/>
              <w:rPr>
                <w:color w:val="000000"/>
                <w:sz w:val="24"/>
              </w:rPr>
            </w:pPr>
            <w:r>
              <w:rPr>
                <w:rFonts w:hint="eastAsia"/>
                <w:color w:val="000000"/>
                <w:sz w:val="24"/>
              </w:rPr>
              <w:t>股票名称</w:t>
            </w:r>
          </w:p>
        </w:tc>
        <w:tc>
          <w:tcPr>
            <w:tcW w:w="2880" w:type="dxa"/>
            <w:vAlign w:val="center"/>
          </w:tcPr>
          <w:p>
            <w:pPr>
              <w:spacing w:before="29" w:line="288" w:lineRule="auto"/>
              <w:ind w:left="17"/>
              <w:jc w:val="center"/>
              <w:rPr>
                <w:color w:val="000000"/>
                <w:sz w:val="24"/>
              </w:rPr>
            </w:pPr>
            <w:r>
              <w:rPr>
                <w:rFonts w:hint="eastAsia"/>
                <w:color w:val="000000"/>
                <w:sz w:val="24"/>
              </w:rPr>
              <w:t>本期累计卖出金额</w:t>
            </w:r>
          </w:p>
        </w:tc>
        <w:tc>
          <w:tcPr>
            <w:tcW w:w="1620" w:type="dxa"/>
            <w:vAlign w:val="center"/>
          </w:tcPr>
          <w:p>
            <w:pPr>
              <w:spacing w:before="29" w:line="288" w:lineRule="auto"/>
              <w:ind w:left="17"/>
              <w:jc w:val="center"/>
              <w:rPr>
                <w:color w:val="000000"/>
                <w:sz w:val="24"/>
              </w:rPr>
            </w:pPr>
            <w:r>
              <w:rPr>
                <w:rFonts w:hint="eastAsia"/>
                <w:color w:val="000000"/>
                <w:sz w:val="24"/>
              </w:rPr>
              <w:t>占期初基金资产净值比例（％）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w:t>
            </w:r>
          </w:p>
        </w:tc>
        <w:tc>
          <w:tcPr>
            <w:tcW w:w="1650" w:type="dxa"/>
            <w:vAlign w:val="center"/>
          </w:tcPr>
          <w:p>
            <w:pPr>
              <w:jc w:val="center"/>
            </w:pPr>
            <w:r>
              <w:rPr>
                <w:color w:val="000000"/>
                <w:sz w:val="24"/>
              </w:rPr>
              <w:t>000002</w:t>
            </w:r>
          </w:p>
        </w:tc>
        <w:tc>
          <w:tcPr>
            <w:tcW w:w="1980" w:type="dxa"/>
            <w:vAlign w:val="center"/>
          </w:tcPr>
          <w:p>
            <w:pPr>
              <w:jc w:val="center"/>
            </w:pPr>
            <w:r>
              <w:rPr>
                <w:color w:val="000000"/>
                <w:sz w:val="24"/>
              </w:rPr>
              <w:t>万科A</w:t>
            </w:r>
          </w:p>
        </w:tc>
        <w:tc>
          <w:tcPr>
            <w:tcW w:w="2880" w:type="dxa"/>
            <w:vAlign w:val="center"/>
          </w:tcPr>
          <w:p>
            <w:pPr>
              <w:jc w:val="right"/>
            </w:pPr>
            <w:r>
              <w:rPr>
                <w:color w:val="000000"/>
                <w:sz w:val="24"/>
              </w:rPr>
              <w:t>999,829,559.32</w:t>
            </w:r>
          </w:p>
        </w:tc>
        <w:tc>
          <w:tcPr>
            <w:tcW w:w="1620" w:type="dxa"/>
            <w:vAlign w:val="center"/>
          </w:tcPr>
          <w:p>
            <w:pPr>
              <w:jc w:val="right"/>
            </w:pPr>
            <w:r>
              <w:rPr>
                <w:color w:val="000000"/>
                <w:sz w:val="24"/>
              </w:rPr>
              <w:t>14.68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w:t>
            </w:r>
          </w:p>
        </w:tc>
        <w:tc>
          <w:tcPr>
            <w:tcW w:w="1650" w:type="dxa"/>
            <w:vAlign w:val="center"/>
          </w:tcPr>
          <w:p>
            <w:pPr>
              <w:jc w:val="center"/>
            </w:pPr>
            <w:r>
              <w:rPr>
                <w:color w:val="000000"/>
                <w:sz w:val="24"/>
              </w:rPr>
              <w:t>002230</w:t>
            </w:r>
          </w:p>
        </w:tc>
        <w:tc>
          <w:tcPr>
            <w:tcW w:w="1980" w:type="dxa"/>
            <w:vAlign w:val="center"/>
          </w:tcPr>
          <w:p>
            <w:pPr>
              <w:jc w:val="center"/>
            </w:pPr>
            <w:r>
              <w:rPr>
                <w:color w:val="000000"/>
                <w:sz w:val="24"/>
              </w:rPr>
              <w:t>科大讯飞</w:t>
            </w:r>
          </w:p>
        </w:tc>
        <w:tc>
          <w:tcPr>
            <w:tcW w:w="2880" w:type="dxa"/>
            <w:vAlign w:val="center"/>
          </w:tcPr>
          <w:p>
            <w:pPr>
              <w:jc w:val="right"/>
            </w:pPr>
            <w:r>
              <w:rPr>
                <w:color w:val="000000"/>
                <w:sz w:val="24"/>
              </w:rPr>
              <w:t>886,778,899.12</w:t>
            </w:r>
          </w:p>
        </w:tc>
        <w:tc>
          <w:tcPr>
            <w:tcW w:w="1620" w:type="dxa"/>
            <w:vAlign w:val="center"/>
          </w:tcPr>
          <w:p>
            <w:pPr>
              <w:jc w:val="right"/>
            </w:pPr>
            <w:r>
              <w:rPr>
                <w:color w:val="000000"/>
                <w:sz w:val="24"/>
              </w:rPr>
              <w:t>13.02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w:t>
            </w:r>
          </w:p>
        </w:tc>
        <w:tc>
          <w:tcPr>
            <w:tcW w:w="1650" w:type="dxa"/>
            <w:vAlign w:val="center"/>
          </w:tcPr>
          <w:p>
            <w:pPr>
              <w:jc w:val="center"/>
            </w:pPr>
            <w:r>
              <w:rPr>
                <w:color w:val="000000"/>
                <w:sz w:val="24"/>
              </w:rPr>
              <w:t>600048</w:t>
            </w:r>
          </w:p>
        </w:tc>
        <w:tc>
          <w:tcPr>
            <w:tcW w:w="1980" w:type="dxa"/>
            <w:vAlign w:val="center"/>
          </w:tcPr>
          <w:p>
            <w:pPr>
              <w:jc w:val="center"/>
            </w:pPr>
            <w:r>
              <w:rPr>
                <w:color w:val="000000"/>
                <w:sz w:val="24"/>
              </w:rPr>
              <w:t>保利地产</w:t>
            </w:r>
          </w:p>
        </w:tc>
        <w:tc>
          <w:tcPr>
            <w:tcW w:w="2880" w:type="dxa"/>
            <w:vAlign w:val="center"/>
          </w:tcPr>
          <w:p>
            <w:pPr>
              <w:jc w:val="right"/>
            </w:pPr>
            <w:r>
              <w:rPr>
                <w:color w:val="000000"/>
                <w:sz w:val="24"/>
              </w:rPr>
              <w:t>867,404,878.77</w:t>
            </w:r>
          </w:p>
        </w:tc>
        <w:tc>
          <w:tcPr>
            <w:tcW w:w="1620" w:type="dxa"/>
            <w:vAlign w:val="center"/>
          </w:tcPr>
          <w:p>
            <w:pPr>
              <w:jc w:val="right"/>
            </w:pPr>
            <w:r>
              <w:rPr>
                <w:color w:val="000000"/>
                <w:sz w:val="24"/>
              </w:rPr>
              <w:t>12.74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w:t>
            </w:r>
          </w:p>
        </w:tc>
        <w:tc>
          <w:tcPr>
            <w:tcW w:w="1650" w:type="dxa"/>
            <w:vAlign w:val="center"/>
          </w:tcPr>
          <w:p>
            <w:pPr>
              <w:jc w:val="center"/>
            </w:pPr>
            <w:r>
              <w:rPr>
                <w:color w:val="000000"/>
                <w:sz w:val="24"/>
              </w:rPr>
              <w:t>002475</w:t>
            </w:r>
          </w:p>
        </w:tc>
        <w:tc>
          <w:tcPr>
            <w:tcW w:w="1980" w:type="dxa"/>
            <w:vAlign w:val="center"/>
          </w:tcPr>
          <w:p>
            <w:pPr>
              <w:jc w:val="center"/>
            </w:pPr>
            <w:r>
              <w:rPr>
                <w:color w:val="000000"/>
                <w:sz w:val="24"/>
              </w:rPr>
              <w:t>立讯精密</w:t>
            </w:r>
          </w:p>
        </w:tc>
        <w:tc>
          <w:tcPr>
            <w:tcW w:w="2880" w:type="dxa"/>
            <w:vAlign w:val="center"/>
          </w:tcPr>
          <w:p>
            <w:pPr>
              <w:jc w:val="right"/>
            </w:pPr>
            <w:r>
              <w:rPr>
                <w:color w:val="000000"/>
                <w:sz w:val="24"/>
              </w:rPr>
              <w:t>642,416,008.41</w:t>
            </w:r>
          </w:p>
        </w:tc>
        <w:tc>
          <w:tcPr>
            <w:tcW w:w="1620" w:type="dxa"/>
            <w:vAlign w:val="center"/>
          </w:tcPr>
          <w:p>
            <w:pPr>
              <w:jc w:val="right"/>
            </w:pPr>
            <w:r>
              <w:rPr>
                <w:color w:val="000000"/>
                <w:sz w:val="24"/>
              </w:rPr>
              <w:t>9.43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w:t>
            </w:r>
          </w:p>
        </w:tc>
        <w:tc>
          <w:tcPr>
            <w:tcW w:w="1650" w:type="dxa"/>
            <w:vAlign w:val="center"/>
          </w:tcPr>
          <w:p>
            <w:pPr>
              <w:jc w:val="center"/>
            </w:pPr>
            <w:r>
              <w:rPr>
                <w:color w:val="000000"/>
                <w:sz w:val="24"/>
              </w:rPr>
              <w:t>600529</w:t>
            </w:r>
          </w:p>
        </w:tc>
        <w:tc>
          <w:tcPr>
            <w:tcW w:w="1980" w:type="dxa"/>
            <w:vAlign w:val="center"/>
          </w:tcPr>
          <w:p>
            <w:pPr>
              <w:jc w:val="center"/>
            </w:pPr>
            <w:r>
              <w:rPr>
                <w:color w:val="000000"/>
                <w:sz w:val="24"/>
              </w:rPr>
              <w:t>山东药玻</w:t>
            </w:r>
          </w:p>
        </w:tc>
        <w:tc>
          <w:tcPr>
            <w:tcW w:w="2880" w:type="dxa"/>
            <w:vAlign w:val="center"/>
          </w:tcPr>
          <w:p>
            <w:pPr>
              <w:jc w:val="right"/>
            </w:pPr>
            <w:r>
              <w:rPr>
                <w:color w:val="000000"/>
                <w:sz w:val="24"/>
              </w:rPr>
              <w:t>577,901,873.65</w:t>
            </w:r>
          </w:p>
        </w:tc>
        <w:tc>
          <w:tcPr>
            <w:tcW w:w="1620" w:type="dxa"/>
            <w:vAlign w:val="center"/>
          </w:tcPr>
          <w:p>
            <w:pPr>
              <w:jc w:val="right"/>
            </w:pPr>
            <w:r>
              <w:rPr>
                <w:color w:val="000000"/>
                <w:sz w:val="24"/>
              </w:rPr>
              <w:t>8.49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w:t>
            </w:r>
          </w:p>
        </w:tc>
        <w:tc>
          <w:tcPr>
            <w:tcW w:w="1650" w:type="dxa"/>
            <w:vAlign w:val="center"/>
          </w:tcPr>
          <w:p>
            <w:pPr>
              <w:jc w:val="center"/>
            </w:pPr>
            <w:r>
              <w:rPr>
                <w:color w:val="000000"/>
                <w:sz w:val="24"/>
              </w:rPr>
              <w:t>002044</w:t>
            </w:r>
          </w:p>
        </w:tc>
        <w:tc>
          <w:tcPr>
            <w:tcW w:w="1980" w:type="dxa"/>
            <w:vAlign w:val="center"/>
          </w:tcPr>
          <w:p>
            <w:pPr>
              <w:jc w:val="center"/>
            </w:pPr>
            <w:r>
              <w:rPr>
                <w:color w:val="000000"/>
                <w:sz w:val="24"/>
              </w:rPr>
              <w:t>美年健康</w:t>
            </w:r>
          </w:p>
        </w:tc>
        <w:tc>
          <w:tcPr>
            <w:tcW w:w="2880" w:type="dxa"/>
            <w:vAlign w:val="center"/>
          </w:tcPr>
          <w:p>
            <w:pPr>
              <w:jc w:val="right"/>
            </w:pPr>
            <w:r>
              <w:rPr>
                <w:color w:val="000000"/>
                <w:sz w:val="24"/>
              </w:rPr>
              <w:t>552,951,093.13</w:t>
            </w:r>
          </w:p>
        </w:tc>
        <w:tc>
          <w:tcPr>
            <w:tcW w:w="1620" w:type="dxa"/>
            <w:vAlign w:val="center"/>
          </w:tcPr>
          <w:p>
            <w:pPr>
              <w:jc w:val="right"/>
            </w:pPr>
            <w:r>
              <w:rPr>
                <w:color w:val="000000"/>
                <w:sz w:val="24"/>
              </w:rPr>
              <w:t>8.12</w:t>
            </w:r>
          </w:p>
        </w:tc>
      </w:tr>
      <w:tr>
        <w:tblPrEx>
          <w:tblCellMar>
            <w:top w:w="0" w:type="dxa"/>
            <w:left w:w="108" w:type="dxa"/>
            <w:bottom w:w="0" w:type="dxa"/>
            <w:right w:w="108" w:type="dxa"/>
          </w:tblCellMar>
        </w:tblPrEx>
        <w:tc>
          <w:tcPr>
            <w:tcW w:w="870" w:type="dxa"/>
            <w:vAlign w:val="center"/>
          </w:tcPr>
          <w:p>
            <w:pPr>
              <w:jc w:val="center"/>
            </w:pPr>
            <w:r>
              <w:rPr>
                <w:color w:val="000000"/>
                <w:sz w:val="24"/>
              </w:rPr>
              <w:t>7</w:t>
            </w:r>
          </w:p>
        </w:tc>
        <w:tc>
          <w:tcPr>
            <w:tcW w:w="1650" w:type="dxa"/>
            <w:vAlign w:val="center"/>
          </w:tcPr>
          <w:p>
            <w:pPr>
              <w:jc w:val="center"/>
            </w:pPr>
            <w:r>
              <w:rPr>
                <w:color w:val="000000"/>
                <w:sz w:val="24"/>
              </w:rPr>
              <w:t>002050</w:t>
            </w:r>
          </w:p>
        </w:tc>
        <w:tc>
          <w:tcPr>
            <w:tcW w:w="1980" w:type="dxa"/>
            <w:vAlign w:val="center"/>
          </w:tcPr>
          <w:p>
            <w:pPr>
              <w:jc w:val="center"/>
            </w:pPr>
            <w:r>
              <w:rPr>
                <w:color w:val="000000"/>
                <w:sz w:val="24"/>
              </w:rPr>
              <w:t>三花智控</w:t>
            </w:r>
          </w:p>
        </w:tc>
        <w:tc>
          <w:tcPr>
            <w:tcW w:w="2880" w:type="dxa"/>
            <w:vAlign w:val="center"/>
          </w:tcPr>
          <w:p>
            <w:pPr>
              <w:jc w:val="right"/>
            </w:pPr>
            <w:r>
              <w:rPr>
                <w:color w:val="000000"/>
                <w:sz w:val="24"/>
              </w:rPr>
              <w:t>529,174,774.43</w:t>
            </w:r>
          </w:p>
        </w:tc>
        <w:tc>
          <w:tcPr>
            <w:tcW w:w="1620" w:type="dxa"/>
            <w:vAlign w:val="center"/>
          </w:tcPr>
          <w:p>
            <w:pPr>
              <w:jc w:val="right"/>
            </w:pPr>
            <w:r>
              <w:rPr>
                <w:color w:val="000000"/>
                <w:sz w:val="24"/>
              </w:rPr>
              <w:t>7.77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w:t>
            </w:r>
          </w:p>
        </w:tc>
        <w:tc>
          <w:tcPr>
            <w:tcW w:w="1650" w:type="dxa"/>
            <w:vAlign w:val="center"/>
          </w:tcPr>
          <w:p>
            <w:pPr>
              <w:jc w:val="center"/>
            </w:pPr>
            <w:r>
              <w:rPr>
                <w:color w:val="000000"/>
                <w:sz w:val="24"/>
              </w:rPr>
              <w:t>601166</w:t>
            </w:r>
          </w:p>
        </w:tc>
        <w:tc>
          <w:tcPr>
            <w:tcW w:w="1980" w:type="dxa"/>
            <w:vAlign w:val="center"/>
          </w:tcPr>
          <w:p>
            <w:pPr>
              <w:jc w:val="center"/>
            </w:pPr>
            <w:r>
              <w:rPr>
                <w:color w:val="000000"/>
                <w:sz w:val="24"/>
              </w:rPr>
              <w:t>兴业银行</w:t>
            </w:r>
          </w:p>
        </w:tc>
        <w:tc>
          <w:tcPr>
            <w:tcW w:w="2880" w:type="dxa"/>
            <w:vAlign w:val="center"/>
          </w:tcPr>
          <w:p>
            <w:pPr>
              <w:jc w:val="right"/>
            </w:pPr>
            <w:r>
              <w:rPr>
                <w:color w:val="000000"/>
                <w:sz w:val="24"/>
              </w:rPr>
              <w:t>461,216,021.07</w:t>
            </w:r>
          </w:p>
        </w:tc>
        <w:tc>
          <w:tcPr>
            <w:tcW w:w="1620" w:type="dxa"/>
            <w:vAlign w:val="center"/>
          </w:tcPr>
          <w:p>
            <w:pPr>
              <w:jc w:val="right"/>
            </w:pPr>
            <w:r>
              <w:rPr>
                <w:color w:val="000000"/>
                <w:sz w:val="24"/>
              </w:rPr>
              <w:t>6.77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w:t>
            </w:r>
          </w:p>
        </w:tc>
        <w:tc>
          <w:tcPr>
            <w:tcW w:w="1650" w:type="dxa"/>
            <w:vAlign w:val="center"/>
          </w:tcPr>
          <w:p>
            <w:pPr>
              <w:jc w:val="center"/>
            </w:pPr>
            <w:r>
              <w:rPr>
                <w:color w:val="000000"/>
                <w:sz w:val="24"/>
              </w:rPr>
              <w:t>002271</w:t>
            </w:r>
          </w:p>
        </w:tc>
        <w:tc>
          <w:tcPr>
            <w:tcW w:w="1980" w:type="dxa"/>
            <w:vAlign w:val="center"/>
          </w:tcPr>
          <w:p>
            <w:pPr>
              <w:jc w:val="center"/>
            </w:pPr>
            <w:r>
              <w:rPr>
                <w:color w:val="000000"/>
                <w:sz w:val="24"/>
              </w:rPr>
              <w:t>东方雨虹</w:t>
            </w:r>
          </w:p>
        </w:tc>
        <w:tc>
          <w:tcPr>
            <w:tcW w:w="2880" w:type="dxa"/>
            <w:vAlign w:val="center"/>
          </w:tcPr>
          <w:p>
            <w:pPr>
              <w:jc w:val="right"/>
            </w:pPr>
            <w:r>
              <w:rPr>
                <w:color w:val="000000"/>
                <w:sz w:val="24"/>
              </w:rPr>
              <w:t>427,595,357.07</w:t>
            </w:r>
          </w:p>
        </w:tc>
        <w:tc>
          <w:tcPr>
            <w:tcW w:w="1620" w:type="dxa"/>
            <w:vAlign w:val="center"/>
          </w:tcPr>
          <w:p>
            <w:pPr>
              <w:jc w:val="right"/>
            </w:pPr>
            <w:r>
              <w:rPr>
                <w:color w:val="000000"/>
                <w:sz w:val="24"/>
              </w:rPr>
              <w:t>6.28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w:t>
            </w:r>
          </w:p>
        </w:tc>
        <w:tc>
          <w:tcPr>
            <w:tcW w:w="1650" w:type="dxa"/>
            <w:vAlign w:val="center"/>
          </w:tcPr>
          <w:p>
            <w:pPr>
              <w:jc w:val="center"/>
            </w:pPr>
            <w:r>
              <w:rPr>
                <w:color w:val="000000"/>
                <w:sz w:val="24"/>
              </w:rPr>
              <w:t>601601</w:t>
            </w:r>
          </w:p>
        </w:tc>
        <w:tc>
          <w:tcPr>
            <w:tcW w:w="1980" w:type="dxa"/>
            <w:vAlign w:val="center"/>
          </w:tcPr>
          <w:p>
            <w:pPr>
              <w:jc w:val="center"/>
            </w:pPr>
            <w:r>
              <w:rPr>
                <w:color w:val="000000"/>
                <w:sz w:val="24"/>
              </w:rPr>
              <w:t>中国太保</w:t>
            </w:r>
          </w:p>
        </w:tc>
        <w:tc>
          <w:tcPr>
            <w:tcW w:w="2880" w:type="dxa"/>
            <w:vAlign w:val="center"/>
          </w:tcPr>
          <w:p>
            <w:pPr>
              <w:jc w:val="right"/>
            </w:pPr>
            <w:r>
              <w:rPr>
                <w:color w:val="000000"/>
                <w:sz w:val="24"/>
              </w:rPr>
              <w:t>427,170,922.04</w:t>
            </w:r>
          </w:p>
        </w:tc>
        <w:tc>
          <w:tcPr>
            <w:tcW w:w="1620" w:type="dxa"/>
            <w:vAlign w:val="center"/>
          </w:tcPr>
          <w:p>
            <w:pPr>
              <w:jc w:val="right"/>
            </w:pPr>
            <w:r>
              <w:rPr>
                <w:color w:val="000000"/>
                <w:sz w:val="24"/>
              </w:rPr>
              <w:t>6.27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w:t>
            </w:r>
          </w:p>
        </w:tc>
        <w:tc>
          <w:tcPr>
            <w:tcW w:w="1650" w:type="dxa"/>
            <w:vAlign w:val="center"/>
          </w:tcPr>
          <w:p>
            <w:pPr>
              <w:jc w:val="center"/>
            </w:pPr>
            <w:r>
              <w:rPr>
                <w:color w:val="000000"/>
                <w:sz w:val="24"/>
              </w:rPr>
              <w:t>002410</w:t>
            </w:r>
          </w:p>
        </w:tc>
        <w:tc>
          <w:tcPr>
            <w:tcW w:w="1980" w:type="dxa"/>
            <w:vAlign w:val="center"/>
          </w:tcPr>
          <w:p>
            <w:pPr>
              <w:jc w:val="center"/>
            </w:pPr>
            <w:r>
              <w:rPr>
                <w:color w:val="000000"/>
                <w:sz w:val="24"/>
              </w:rPr>
              <w:t>广联达</w:t>
            </w:r>
          </w:p>
        </w:tc>
        <w:tc>
          <w:tcPr>
            <w:tcW w:w="2880" w:type="dxa"/>
            <w:vAlign w:val="center"/>
          </w:tcPr>
          <w:p>
            <w:pPr>
              <w:jc w:val="right"/>
            </w:pPr>
            <w:r>
              <w:rPr>
                <w:color w:val="000000"/>
                <w:sz w:val="24"/>
              </w:rPr>
              <w:t>424,742,673.29</w:t>
            </w:r>
          </w:p>
        </w:tc>
        <w:tc>
          <w:tcPr>
            <w:tcW w:w="1620" w:type="dxa"/>
            <w:vAlign w:val="center"/>
          </w:tcPr>
          <w:p>
            <w:pPr>
              <w:jc w:val="right"/>
            </w:pPr>
            <w:r>
              <w:rPr>
                <w:color w:val="000000"/>
                <w:sz w:val="24"/>
              </w:rPr>
              <w:t>6.24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w:t>
            </w:r>
          </w:p>
        </w:tc>
        <w:tc>
          <w:tcPr>
            <w:tcW w:w="1650" w:type="dxa"/>
            <w:vAlign w:val="center"/>
          </w:tcPr>
          <w:p>
            <w:pPr>
              <w:jc w:val="center"/>
            </w:pPr>
            <w:r>
              <w:rPr>
                <w:color w:val="000000"/>
                <w:sz w:val="24"/>
              </w:rPr>
              <w:t>002049</w:t>
            </w:r>
          </w:p>
        </w:tc>
        <w:tc>
          <w:tcPr>
            <w:tcW w:w="1980" w:type="dxa"/>
            <w:vAlign w:val="center"/>
          </w:tcPr>
          <w:p>
            <w:pPr>
              <w:jc w:val="center"/>
            </w:pPr>
            <w:r>
              <w:rPr>
                <w:color w:val="000000"/>
                <w:sz w:val="24"/>
              </w:rPr>
              <w:t>紫光国微</w:t>
            </w:r>
          </w:p>
        </w:tc>
        <w:tc>
          <w:tcPr>
            <w:tcW w:w="2880" w:type="dxa"/>
            <w:vAlign w:val="center"/>
          </w:tcPr>
          <w:p>
            <w:pPr>
              <w:jc w:val="right"/>
            </w:pPr>
            <w:r>
              <w:rPr>
                <w:color w:val="000000"/>
                <w:sz w:val="24"/>
              </w:rPr>
              <w:t>401,869,379.06</w:t>
            </w:r>
          </w:p>
        </w:tc>
        <w:tc>
          <w:tcPr>
            <w:tcW w:w="1620" w:type="dxa"/>
            <w:vAlign w:val="center"/>
          </w:tcPr>
          <w:p>
            <w:pPr>
              <w:jc w:val="right"/>
            </w:pPr>
            <w:r>
              <w:rPr>
                <w:color w:val="000000"/>
                <w:sz w:val="24"/>
              </w:rPr>
              <w:t>5.90</w:t>
            </w:r>
          </w:p>
        </w:tc>
      </w:tr>
      <w:tr>
        <w:tblPrEx>
          <w:tblCellMar>
            <w:top w:w="0" w:type="dxa"/>
            <w:left w:w="108" w:type="dxa"/>
            <w:bottom w:w="0" w:type="dxa"/>
            <w:right w:w="108" w:type="dxa"/>
          </w:tblCellMar>
        </w:tblPrEx>
        <w:tc>
          <w:tcPr>
            <w:tcW w:w="870" w:type="dxa"/>
            <w:vAlign w:val="center"/>
          </w:tcPr>
          <w:p>
            <w:pPr>
              <w:jc w:val="center"/>
            </w:pPr>
            <w:r>
              <w:rPr>
                <w:color w:val="000000"/>
                <w:sz w:val="24"/>
              </w:rPr>
              <w:t>13</w:t>
            </w:r>
          </w:p>
        </w:tc>
        <w:tc>
          <w:tcPr>
            <w:tcW w:w="1650" w:type="dxa"/>
            <w:vAlign w:val="center"/>
          </w:tcPr>
          <w:p>
            <w:pPr>
              <w:jc w:val="center"/>
            </w:pPr>
            <w:r>
              <w:rPr>
                <w:color w:val="000000"/>
                <w:sz w:val="24"/>
              </w:rPr>
              <w:t>603195</w:t>
            </w:r>
          </w:p>
        </w:tc>
        <w:tc>
          <w:tcPr>
            <w:tcW w:w="1980" w:type="dxa"/>
            <w:vAlign w:val="center"/>
          </w:tcPr>
          <w:p>
            <w:pPr>
              <w:jc w:val="center"/>
            </w:pPr>
            <w:r>
              <w:rPr>
                <w:color w:val="000000"/>
                <w:sz w:val="24"/>
              </w:rPr>
              <w:t>公牛集团</w:t>
            </w:r>
          </w:p>
        </w:tc>
        <w:tc>
          <w:tcPr>
            <w:tcW w:w="2880" w:type="dxa"/>
            <w:vAlign w:val="center"/>
          </w:tcPr>
          <w:p>
            <w:pPr>
              <w:jc w:val="right"/>
            </w:pPr>
            <w:r>
              <w:rPr>
                <w:color w:val="000000"/>
                <w:sz w:val="24"/>
              </w:rPr>
              <w:t>347,857,004.76</w:t>
            </w:r>
          </w:p>
        </w:tc>
        <w:tc>
          <w:tcPr>
            <w:tcW w:w="1620" w:type="dxa"/>
            <w:vAlign w:val="center"/>
          </w:tcPr>
          <w:p>
            <w:pPr>
              <w:jc w:val="right"/>
            </w:pPr>
            <w:r>
              <w:rPr>
                <w:color w:val="000000"/>
                <w:sz w:val="24"/>
              </w:rPr>
              <w:t>5.11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w:t>
            </w:r>
          </w:p>
        </w:tc>
        <w:tc>
          <w:tcPr>
            <w:tcW w:w="1650" w:type="dxa"/>
            <w:vAlign w:val="center"/>
          </w:tcPr>
          <w:p>
            <w:pPr>
              <w:jc w:val="center"/>
            </w:pPr>
            <w:r>
              <w:rPr>
                <w:color w:val="000000"/>
                <w:sz w:val="24"/>
              </w:rPr>
              <w:t>600763</w:t>
            </w:r>
          </w:p>
        </w:tc>
        <w:tc>
          <w:tcPr>
            <w:tcW w:w="1980" w:type="dxa"/>
            <w:vAlign w:val="center"/>
          </w:tcPr>
          <w:p>
            <w:pPr>
              <w:jc w:val="center"/>
            </w:pPr>
            <w:r>
              <w:rPr>
                <w:color w:val="000000"/>
                <w:sz w:val="24"/>
              </w:rPr>
              <w:t>通策医疗</w:t>
            </w:r>
          </w:p>
        </w:tc>
        <w:tc>
          <w:tcPr>
            <w:tcW w:w="2880" w:type="dxa"/>
            <w:vAlign w:val="center"/>
          </w:tcPr>
          <w:p>
            <w:pPr>
              <w:jc w:val="right"/>
            </w:pPr>
            <w:r>
              <w:rPr>
                <w:color w:val="000000"/>
                <w:sz w:val="24"/>
              </w:rPr>
              <w:t>327,501,209.26</w:t>
            </w:r>
          </w:p>
        </w:tc>
        <w:tc>
          <w:tcPr>
            <w:tcW w:w="1620" w:type="dxa"/>
            <w:vAlign w:val="center"/>
          </w:tcPr>
          <w:p>
            <w:pPr>
              <w:jc w:val="right"/>
            </w:pPr>
            <w:r>
              <w:rPr>
                <w:color w:val="000000"/>
                <w:sz w:val="24"/>
              </w:rPr>
              <w:t>4.81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15</w:t>
            </w:r>
          </w:p>
        </w:tc>
        <w:tc>
          <w:tcPr>
            <w:tcW w:w="1650" w:type="dxa"/>
            <w:vAlign w:val="center"/>
          </w:tcPr>
          <w:p>
            <w:pPr>
              <w:jc w:val="center"/>
            </w:pPr>
            <w:r>
              <w:rPr>
                <w:color w:val="000000"/>
                <w:sz w:val="24"/>
              </w:rPr>
              <w:t>002311</w:t>
            </w:r>
          </w:p>
        </w:tc>
        <w:tc>
          <w:tcPr>
            <w:tcW w:w="1980" w:type="dxa"/>
            <w:vAlign w:val="center"/>
          </w:tcPr>
          <w:p>
            <w:pPr>
              <w:jc w:val="center"/>
            </w:pPr>
            <w:r>
              <w:rPr>
                <w:color w:val="000000"/>
                <w:sz w:val="24"/>
              </w:rPr>
              <w:t>海大集团</w:t>
            </w:r>
          </w:p>
        </w:tc>
        <w:tc>
          <w:tcPr>
            <w:tcW w:w="2880" w:type="dxa"/>
            <w:vAlign w:val="center"/>
          </w:tcPr>
          <w:p>
            <w:pPr>
              <w:jc w:val="right"/>
            </w:pPr>
            <w:r>
              <w:rPr>
                <w:color w:val="000000"/>
                <w:sz w:val="24"/>
              </w:rPr>
              <w:t>325,119,591.04</w:t>
            </w:r>
          </w:p>
        </w:tc>
        <w:tc>
          <w:tcPr>
            <w:tcW w:w="1620" w:type="dxa"/>
            <w:vAlign w:val="center"/>
          </w:tcPr>
          <w:p>
            <w:pPr>
              <w:jc w:val="right"/>
            </w:pPr>
            <w:r>
              <w:rPr>
                <w:color w:val="000000"/>
                <w:sz w:val="24"/>
              </w:rPr>
              <w:t>4.77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16</w:t>
            </w:r>
          </w:p>
        </w:tc>
        <w:tc>
          <w:tcPr>
            <w:tcW w:w="1650" w:type="dxa"/>
            <w:vAlign w:val="center"/>
          </w:tcPr>
          <w:p>
            <w:pPr>
              <w:jc w:val="center"/>
            </w:pPr>
            <w:r>
              <w:rPr>
                <w:color w:val="000000"/>
                <w:sz w:val="24"/>
              </w:rPr>
              <w:t>601658</w:t>
            </w:r>
          </w:p>
        </w:tc>
        <w:tc>
          <w:tcPr>
            <w:tcW w:w="1980" w:type="dxa"/>
            <w:vAlign w:val="center"/>
          </w:tcPr>
          <w:p>
            <w:pPr>
              <w:jc w:val="center"/>
            </w:pPr>
            <w:r>
              <w:rPr>
                <w:color w:val="000000"/>
                <w:sz w:val="24"/>
              </w:rPr>
              <w:t>邮储银行</w:t>
            </w:r>
          </w:p>
        </w:tc>
        <w:tc>
          <w:tcPr>
            <w:tcW w:w="2880" w:type="dxa"/>
            <w:vAlign w:val="center"/>
          </w:tcPr>
          <w:p>
            <w:pPr>
              <w:jc w:val="right"/>
            </w:pPr>
            <w:r>
              <w:rPr>
                <w:color w:val="000000"/>
                <w:sz w:val="24"/>
              </w:rPr>
              <w:t>318,396,245.25</w:t>
            </w:r>
          </w:p>
        </w:tc>
        <w:tc>
          <w:tcPr>
            <w:tcW w:w="1620" w:type="dxa"/>
            <w:vAlign w:val="center"/>
          </w:tcPr>
          <w:p>
            <w:pPr>
              <w:jc w:val="right"/>
            </w:pPr>
            <w:r>
              <w:rPr>
                <w:color w:val="000000"/>
                <w:sz w:val="24"/>
              </w:rPr>
              <w:t>4.68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17</w:t>
            </w:r>
          </w:p>
        </w:tc>
        <w:tc>
          <w:tcPr>
            <w:tcW w:w="1650" w:type="dxa"/>
            <w:vAlign w:val="center"/>
          </w:tcPr>
          <w:p>
            <w:pPr>
              <w:jc w:val="center"/>
            </w:pPr>
            <w:r>
              <w:rPr>
                <w:color w:val="000000"/>
                <w:sz w:val="24"/>
              </w:rPr>
              <w:t>002352</w:t>
            </w:r>
          </w:p>
        </w:tc>
        <w:tc>
          <w:tcPr>
            <w:tcW w:w="1980" w:type="dxa"/>
            <w:vAlign w:val="center"/>
          </w:tcPr>
          <w:p>
            <w:pPr>
              <w:jc w:val="center"/>
            </w:pPr>
            <w:r>
              <w:rPr>
                <w:color w:val="000000"/>
                <w:sz w:val="24"/>
              </w:rPr>
              <w:t>顺丰控股</w:t>
            </w:r>
          </w:p>
        </w:tc>
        <w:tc>
          <w:tcPr>
            <w:tcW w:w="2880" w:type="dxa"/>
            <w:vAlign w:val="center"/>
          </w:tcPr>
          <w:p>
            <w:pPr>
              <w:jc w:val="right"/>
            </w:pPr>
            <w:r>
              <w:rPr>
                <w:color w:val="000000"/>
                <w:sz w:val="24"/>
              </w:rPr>
              <w:t>303,564,580.54</w:t>
            </w:r>
          </w:p>
        </w:tc>
        <w:tc>
          <w:tcPr>
            <w:tcW w:w="1620" w:type="dxa"/>
            <w:vAlign w:val="center"/>
          </w:tcPr>
          <w:p>
            <w:pPr>
              <w:jc w:val="right"/>
            </w:pPr>
            <w:r>
              <w:rPr>
                <w:color w:val="000000"/>
                <w:sz w:val="24"/>
              </w:rPr>
              <w:t>4.46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18</w:t>
            </w:r>
          </w:p>
        </w:tc>
        <w:tc>
          <w:tcPr>
            <w:tcW w:w="1650" w:type="dxa"/>
            <w:vAlign w:val="center"/>
          </w:tcPr>
          <w:p>
            <w:pPr>
              <w:jc w:val="center"/>
            </w:pPr>
            <w:r>
              <w:rPr>
                <w:color w:val="000000"/>
                <w:sz w:val="24"/>
              </w:rPr>
              <w:t>300036</w:t>
            </w:r>
          </w:p>
        </w:tc>
        <w:tc>
          <w:tcPr>
            <w:tcW w:w="1980" w:type="dxa"/>
            <w:vAlign w:val="center"/>
          </w:tcPr>
          <w:p>
            <w:pPr>
              <w:jc w:val="center"/>
            </w:pPr>
            <w:r>
              <w:rPr>
                <w:color w:val="000000"/>
                <w:sz w:val="24"/>
              </w:rPr>
              <w:t>超图软件</w:t>
            </w:r>
          </w:p>
        </w:tc>
        <w:tc>
          <w:tcPr>
            <w:tcW w:w="2880" w:type="dxa"/>
            <w:vAlign w:val="center"/>
          </w:tcPr>
          <w:p>
            <w:pPr>
              <w:jc w:val="right"/>
            </w:pPr>
            <w:r>
              <w:rPr>
                <w:color w:val="000000"/>
                <w:sz w:val="24"/>
              </w:rPr>
              <w:t>264,683,161.94</w:t>
            </w:r>
          </w:p>
        </w:tc>
        <w:tc>
          <w:tcPr>
            <w:tcW w:w="1620" w:type="dxa"/>
            <w:vAlign w:val="center"/>
          </w:tcPr>
          <w:p>
            <w:pPr>
              <w:jc w:val="right"/>
            </w:pPr>
            <w:r>
              <w:rPr>
                <w:color w:val="000000"/>
                <w:sz w:val="24"/>
              </w:rPr>
              <w:t>3.89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19</w:t>
            </w:r>
          </w:p>
        </w:tc>
        <w:tc>
          <w:tcPr>
            <w:tcW w:w="1650" w:type="dxa"/>
            <w:vAlign w:val="center"/>
          </w:tcPr>
          <w:p>
            <w:pPr>
              <w:jc w:val="center"/>
            </w:pPr>
            <w:r>
              <w:rPr>
                <w:color w:val="000000"/>
                <w:sz w:val="24"/>
              </w:rPr>
              <w:t>300012</w:t>
            </w:r>
          </w:p>
        </w:tc>
        <w:tc>
          <w:tcPr>
            <w:tcW w:w="1980" w:type="dxa"/>
            <w:vAlign w:val="center"/>
          </w:tcPr>
          <w:p>
            <w:pPr>
              <w:jc w:val="center"/>
            </w:pPr>
            <w:r>
              <w:rPr>
                <w:color w:val="000000"/>
                <w:sz w:val="24"/>
              </w:rPr>
              <w:t>华测检测</w:t>
            </w:r>
          </w:p>
        </w:tc>
        <w:tc>
          <w:tcPr>
            <w:tcW w:w="2880" w:type="dxa"/>
            <w:vAlign w:val="center"/>
          </w:tcPr>
          <w:p>
            <w:pPr>
              <w:jc w:val="right"/>
            </w:pPr>
            <w:r>
              <w:rPr>
                <w:color w:val="000000"/>
                <w:sz w:val="24"/>
              </w:rPr>
              <w:t>252,338,674.27</w:t>
            </w:r>
          </w:p>
        </w:tc>
        <w:tc>
          <w:tcPr>
            <w:tcW w:w="1620" w:type="dxa"/>
            <w:vAlign w:val="center"/>
          </w:tcPr>
          <w:p>
            <w:pPr>
              <w:jc w:val="right"/>
            </w:pPr>
            <w:r>
              <w:rPr>
                <w:color w:val="000000"/>
                <w:sz w:val="24"/>
              </w:rPr>
              <w:t>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20</w:t>
            </w:r>
          </w:p>
        </w:tc>
        <w:tc>
          <w:tcPr>
            <w:tcW w:w="1650" w:type="dxa"/>
            <w:vAlign w:val="center"/>
          </w:tcPr>
          <w:p>
            <w:pPr>
              <w:jc w:val="center"/>
            </w:pPr>
            <w:r>
              <w:rPr>
                <w:color w:val="000000"/>
                <w:sz w:val="24"/>
              </w:rPr>
              <w:t>300144</w:t>
            </w:r>
          </w:p>
        </w:tc>
        <w:tc>
          <w:tcPr>
            <w:tcW w:w="1980" w:type="dxa"/>
            <w:vAlign w:val="center"/>
          </w:tcPr>
          <w:p>
            <w:pPr>
              <w:jc w:val="center"/>
            </w:pPr>
            <w:r>
              <w:rPr>
                <w:color w:val="000000"/>
                <w:sz w:val="24"/>
              </w:rPr>
              <w:t>宋城演艺</w:t>
            </w:r>
          </w:p>
        </w:tc>
        <w:tc>
          <w:tcPr>
            <w:tcW w:w="2880" w:type="dxa"/>
            <w:vAlign w:val="center"/>
          </w:tcPr>
          <w:p>
            <w:pPr>
              <w:jc w:val="right"/>
            </w:pPr>
            <w:r>
              <w:rPr>
                <w:color w:val="000000"/>
                <w:sz w:val="24"/>
              </w:rPr>
              <w:t>240,310,216.98</w:t>
            </w:r>
          </w:p>
        </w:tc>
        <w:tc>
          <w:tcPr>
            <w:tcW w:w="1620" w:type="dxa"/>
            <w:vAlign w:val="center"/>
          </w:tcPr>
          <w:p>
            <w:pPr>
              <w:jc w:val="right"/>
            </w:pPr>
            <w:r>
              <w:rPr>
                <w:color w:val="000000"/>
                <w:sz w:val="24"/>
              </w:rPr>
              <w:t>3.53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21</w:t>
            </w:r>
          </w:p>
        </w:tc>
        <w:tc>
          <w:tcPr>
            <w:tcW w:w="1650" w:type="dxa"/>
            <w:vAlign w:val="center"/>
          </w:tcPr>
          <w:p>
            <w:pPr>
              <w:jc w:val="center"/>
            </w:pPr>
            <w:r>
              <w:rPr>
                <w:color w:val="000000"/>
                <w:sz w:val="24"/>
              </w:rPr>
              <w:t>300750</w:t>
            </w:r>
          </w:p>
        </w:tc>
        <w:tc>
          <w:tcPr>
            <w:tcW w:w="1980" w:type="dxa"/>
            <w:vAlign w:val="center"/>
          </w:tcPr>
          <w:p>
            <w:pPr>
              <w:jc w:val="center"/>
            </w:pPr>
            <w:r>
              <w:rPr>
                <w:color w:val="000000"/>
                <w:sz w:val="24"/>
              </w:rPr>
              <w:t>宁德时代</w:t>
            </w:r>
          </w:p>
        </w:tc>
        <w:tc>
          <w:tcPr>
            <w:tcW w:w="2880" w:type="dxa"/>
            <w:vAlign w:val="center"/>
          </w:tcPr>
          <w:p>
            <w:pPr>
              <w:jc w:val="right"/>
            </w:pPr>
            <w:r>
              <w:rPr>
                <w:color w:val="000000"/>
                <w:sz w:val="24"/>
              </w:rPr>
              <w:t>231,384,232.51</w:t>
            </w:r>
          </w:p>
        </w:tc>
        <w:tc>
          <w:tcPr>
            <w:tcW w:w="1620" w:type="dxa"/>
            <w:vAlign w:val="center"/>
          </w:tcPr>
          <w:p>
            <w:pPr>
              <w:jc w:val="right"/>
            </w:pPr>
            <w:r>
              <w:rPr>
                <w:color w:val="000000"/>
                <w:sz w:val="24"/>
              </w:rPr>
              <w:t>3.40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22</w:t>
            </w:r>
          </w:p>
        </w:tc>
        <w:tc>
          <w:tcPr>
            <w:tcW w:w="1650" w:type="dxa"/>
            <w:vAlign w:val="center"/>
          </w:tcPr>
          <w:p>
            <w:pPr>
              <w:jc w:val="center"/>
            </w:pPr>
            <w:r>
              <w:rPr>
                <w:color w:val="000000"/>
                <w:sz w:val="24"/>
              </w:rPr>
              <w:t>603882</w:t>
            </w:r>
          </w:p>
        </w:tc>
        <w:tc>
          <w:tcPr>
            <w:tcW w:w="1980" w:type="dxa"/>
            <w:vAlign w:val="center"/>
          </w:tcPr>
          <w:p>
            <w:pPr>
              <w:jc w:val="center"/>
            </w:pPr>
            <w:r>
              <w:rPr>
                <w:color w:val="000000"/>
                <w:sz w:val="24"/>
              </w:rPr>
              <w:t>金域医学</w:t>
            </w:r>
          </w:p>
        </w:tc>
        <w:tc>
          <w:tcPr>
            <w:tcW w:w="2880" w:type="dxa"/>
            <w:vAlign w:val="center"/>
          </w:tcPr>
          <w:p>
            <w:pPr>
              <w:jc w:val="right"/>
            </w:pPr>
            <w:r>
              <w:rPr>
                <w:color w:val="000000"/>
                <w:sz w:val="24"/>
              </w:rPr>
              <w:t>215,862,486.06</w:t>
            </w:r>
          </w:p>
        </w:tc>
        <w:tc>
          <w:tcPr>
            <w:tcW w:w="1620" w:type="dxa"/>
            <w:vAlign w:val="center"/>
          </w:tcPr>
          <w:p>
            <w:pPr>
              <w:jc w:val="right"/>
            </w:pPr>
            <w:r>
              <w:rPr>
                <w:color w:val="000000"/>
                <w:sz w:val="24"/>
              </w:rPr>
              <w:t>3.17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23</w:t>
            </w:r>
          </w:p>
        </w:tc>
        <w:tc>
          <w:tcPr>
            <w:tcW w:w="1650" w:type="dxa"/>
            <w:vAlign w:val="center"/>
          </w:tcPr>
          <w:p>
            <w:pPr>
              <w:jc w:val="center"/>
            </w:pPr>
            <w:r>
              <w:rPr>
                <w:color w:val="000000"/>
                <w:sz w:val="24"/>
              </w:rPr>
              <w:t>600887</w:t>
            </w:r>
          </w:p>
        </w:tc>
        <w:tc>
          <w:tcPr>
            <w:tcW w:w="1980" w:type="dxa"/>
            <w:vAlign w:val="center"/>
          </w:tcPr>
          <w:p>
            <w:pPr>
              <w:jc w:val="center"/>
            </w:pPr>
            <w:r>
              <w:rPr>
                <w:color w:val="000000"/>
                <w:sz w:val="24"/>
              </w:rPr>
              <w:t>伊利股份</w:t>
            </w:r>
          </w:p>
        </w:tc>
        <w:tc>
          <w:tcPr>
            <w:tcW w:w="2880" w:type="dxa"/>
            <w:vAlign w:val="center"/>
          </w:tcPr>
          <w:p>
            <w:pPr>
              <w:jc w:val="right"/>
            </w:pPr>
            <w:r>
              <w:rPr>
                <w:color w:val="000000"/>
                <w:sz w:val="24"/>
              </w:rPr>
              <w:t>205,032,204.55</w:t>
            </w:r>
          </w:p>
        </w:tc>
        <w:tc>
          <w:tcPr>
            <w:tcW w:w="1620" w:type="dxa"/>
            <w:vAlign w:val="center"/>
          </w:tcPr>
          <w:p>
            <w:pPr>
              <w:jc w:val="right"/>
            </w:pPr>
            <w:r>
              <w:rPr>
                <w:color w:val="000000"/>
                <w:sz w:val="24"/>
              </w:rPr>
              <w:t>3.01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24</w:t>
            </w:r>
          </w:p>
        </w:tc>
        <w:tc>
          <w:tcPr>
            <w:tcW w:w="1650" w:type="dxa"/>
            <w:vAlign w:val="center"/>
          </w:tcPr>
          <w:p>
            <w:pPr>
              <w:jc w:val="center"/>
            </w:pPr>
            <w:r>
              <w:rPr>
                <w:color w:val="000000"/>
                <w:sz w:val="24"/>
              </w:rPr>
              <w:t>300724</w:t>
            </w:r>
          </w:p>
        </w:tc>
        <w:tc>
          <w:tcPr>
            <w:tcW w:w="1980" w:type="dxa"/>
            <w:vAlign w:val="center"/>
          </w:tcPr>
          <w:p>
            <w:pPr>
              <w:jc w:val="center"/>
            </w:pPr>
            <w:r>
              <w:rPr>
                <w:color w:val="000000"/>
                <w:sz w:val="24"/>
              </w:rPr>
              <w:t>捷佳伟创</w:t>
            </w:r>
          </w:p>
        </w:tc>
        <w:tc>
          <w:tcPr>
            <w:tcW w:w="2880" w:type="dxa"/>
            <w:vAlign w:val="center"/>
          </w:tcPr>
          <w:p>
            <w:pPr>
              <w:jc w:val="right"/>
            </w:pPr>
            <w:r>
              <w:rPr>
                <w:color w:val="000000"/>
                <w:sz w:val="24"/>
              </w:rPr>
              <w:t>204,657,387.59</w:t>
            </w:r>
          </w:p>
        </w:tc>
        <w:tc>
          <w:tcPr>
            <w:tcW w:w="1620" w:type="dxa"/>
            <w:vAlign w:val="center"/>
          </w:tcPr>
          <w:p>
            <w:pPr>
              <w:jc w:val="right"/>
            </w:pPr>
            <w:r>
              <w:rPr>
                <w:color w:val="000000"/>
                <w:sz w:val="24"/>
              </w:rPr>
              <w:t>3.01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25</w:t>
            </w:r>
          </w:p>
        </w:tc>
        <w:tc>
          <w:tcPr>
            <w:tcW w:w="1650" w:type="dxa"/>
            <w:vAlign w:val="center"/>
          </w:tcPr>
          <w:p>
            <w:pPr>
              <w:jc w:val="center"/>
            </w:pPr>
            <w:r>
              <w:rPr>
                <w:color w:val="000000"/>
                <w:sz w:val="24"/>
              </w:rPr>
              <w:t>002607</w:t>
            </w:r>
          </w:p>
        </w:tc>
        <w:tc>
          <w:tcPr>
            <w:tcW w:w="1980" w:type="dxa"/>
            <w:vAlign w:val="center"/>
          </w:tcPr>
          <w:p>
            <w:pPr>
              <w:jc w:val="center"/>
            </w:pPr>
            <w:r>
              <w:rPr>
                <w:color w:val="000000"/>
                <w:sz w:val="24"/>
              </w:rPr>
              <w:t>中公教育</w:t>
            </w:r>
          </w:p>
        </w:tc>
        <w:tc>
          <w:tcPr>
            <w:tcW w:w="2880" w:type="dxa"/>
            <w:vAlign w:val="center"/>
          </w:tcPr>
          <w:p>
            <w:pPr>
              <w:jc w:val="right"/>
            </w:pPr>
            <w:r>
              <w:rPr>
                <w:color w:val="000000"/>
                <w:sz w:val="24"/>
              </w:rPr>
              <w:t>199,636,221.56</w:t>
            </w:r>
          </w:p>
        </w:tc>
        <w:tc>
          <w:tcPr>
            <w:tcW w:w="1620" w:type="dxa"/>
            <w:vAlign w:val="center"/>
          </w:tcPr>
          <w:p>
            <w:pPr>
              <w:jc w:val="right"/>
            </w:pPr>
            <w:r>
              <w:rPr>
                <w:color w:val="000000"/>
                <w:sz w:val="24"/>
              </w:rPr>
              <w:t>2.93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26</w:t>
            </w:r>
          </w:p>
        </w:tc>
        <w:tc>
          <w:tcPr>
            <w:tcW w:w="1650" w:type="dxa"/>
            <w:vAlign w:val="center"/>
          </w:tcPr>
          <w:p>
            <w:pPr>
              <w:jc w:val="center"/>
            </w:pPr>
            <w:r>
              <w:rPr>
                <w:color w:val="000000"/>
                <w:sz w:val="24"/>
              </w:rPr>
              <w:t>601899</w:t>
            </w:r>
          </w:p>
        </w:tc>
        <w:tc>
          <w:tcPr>
            <w:tcW w:w="1980" w:type="dxa"/>
            <w:vAlign w:val="center"/>
          </w:tcPr>
          <w:p>
            <w:pPr>
              <w:jc w:val="center"/>
            </w:pPr>
            <w:r>
              <w:rPr>
                <w:color w:val="000000"/>
                <w:sz w:val="24"/>
              </w:rPr>
              <w:t>紫金矿业</w:t>
            </w:r>
          </w:p>
        </w:tc>
        <w:tc>
          <w:tcPr>
            <w:tcW w:w="2880" w:type="dxa"/>
            <w:vAlign w:val="center"/>
          </w:tcPr>
          <w:p>
            <w:pPr>
              <w:jc w:val="right"/>
            </w:pPr>
            <w:r>
              <w:rPr>
                <w:color w:val="000000"/>
                <w:sz w:val="24"/>
              </w:rPr>
              <w:t>199,535,411.52</w:t>
            </w:r>
          </w:p>
        </w:tc>
        <w:tc>
          <w:tcPr>
            <w:tcW w:w="1620" w:type="dxa"/>
            <w:vAlign w:val="center"/>
          </w:tcPr>
          <w:p>
            <w:pPr>
              <w:jc w:val="right"/>
            </w:pPr>
            <w:r>
              <w:rPr>
                <w:color w:val="000000"/>
                <w:sz w:val="24"/>
              </w:rPr>
              <w:t>2.93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27</w:t>
            </w:r>
          </w:p>
        </w:tc>
        <w:tc>
          <w:tcPr>
            <w:tcW w:w="1650" w:type="dxa"/>
            <w:vAlign w:val="center"/>
          </w:tcPr>
          <w:p>
            <w:pPr>
              <w:jc w:val="center"/>
            </w:pPr>
            <w:r>
              <w:rPr>
                <w:color w:val="000000"/>
                <w:sz w:val="24"/>
              </w:rPr>
              <w:t>601398</w:t>
            </w:r>
          </w:p>
        </w:tc>
        <w:tc>
          <w:tcPr>
            <w:tcW w:w="1980" w:type="dxa"/>
            <w:vAlign w:val="center"/>
          </w:tcPr>
          <w:p>
            <w:pPr>
              <w:jc w:val="center"/>
            </w:pPr>
            <w:r>
              <w:rPr>
                <w:color w:val="000000"/>
                <w:sz w:val="24"/>
              </w:rPr>
              <w:t>工商银行</w:t>
            </w:r>
          </w:p>
        </w:tc>
        <w:tc>
          <w:tcPr>
            <w:tcW w:w="2880" w:type="dxa"/>
            <w:vAlign w:val="center"/>
          </w:tcPr>
          <w:p>
            <w:pPr>
              <w:jc w:val="right"/>
            </w:pPr>
            <w:r>
              <w:rPr>
                <w:color w:val="000000"/>
                <w:sz w:val="24"/>
              </w:rPr>
              <w:t>198,031,599.46</w:t>
            </w:r>
          </w:p>
        </w:tc>
        <w:tc>
          <w:tcPr>
            <w:tcW w:w="1620" w:type="dxa"/>
            <w:vAlign w:val="center"/>
          </w:tcPr>
          <w:p>
            <w:pPr>
              <w:jc w:val="right"/>
            </w:pPr>
            <w:r>
              <w:rPr>
                <w:color w:val="000000"/>
                <w:sz w:val="24"/>
              </w:rPr>
              <w:t>2.91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28</w:t>
            </w:r>
          </w:p>
        </w:tc>
        <w:tc>
          <w:tcPr>
            <w:tcW w:w="1650" w:type="dxa"/>
            <w:vAlign w:val="center"/>
          </w:tcPr>
          <w:p>
            <w:pPr>
              <w:jc w:val="center"/>
            </w:pPr>
            <w:r>
              <w:rPr>
                <w:color w:val="000000"/>
                <w:sz w:val="24"/>
              </w:rPr>
              <w:t>000860</w:t>
            </w:r>
          </w:p>
        </w:tc>
        <w:tc>
          <w:tcPr>
            <w:tcW w:w="1980" w:type="dxa"/>
            <w:vAlign w:val="center"/>
          </w:tcPr>
          <w:p>
            <w:pPr>
              <w:jc w:val="center"/>
            </w:pPr>
            <w:r>
              <w:rPr>
                <w:color w:val="000000"/>
                <w:sz w:val="24"/>
              </w:rPr>
              <w:t>顺鑫农业</w:t>
            </w:r>
          </w:p>
        </w:tc>
        <w:tc>
          <w:tcPr>
            <w:tcW w:w="2880" w:type="dxa"/>
            <w:vAlign w:val="center"/>
          </w:tcPr>
          <w:p>
            <w:pPr>
              <w:jc w:val="right"/>
            </w:pPr>
            <w:r>
              <w:rPr>
                <w:color w:val="000000"/>
                <w:sz w:val="24"/>
              </w:rPr>
              <w:t>194,905,195.34</w:t>
            </w:r>
          </w:p>
        </w:tc>
        <w:tc>
          <w:tcPr>
            <w:tcW w:w="1620" w:type="dxa"/>
            <w:vAlign w:val="center"/>
          </w:tcPr>
          <w:p>
            <w:pPr>
              <w:jc w:val="right"/>
            </w:pPr>
            <w:r>
              <w:rPr>
                <w:color w:val="000000"/>
                <w:sz w:val="24"/>
              </w:rPr>
              <w:t>2.86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29</w:t>
            </w:r>
          </w:p>
        </w:tc>
        <w:tc>
          <w:tcPr>
            <w:tcW w:w="1650" w:type="dxa"/>
            <w:vAlign w:val="center"/>
          </w:tcPr>
          <w:p>
            <w:pPr>
              <w:jc w:val="center"/>
            </w:pPr>
            <w:r>
              <w:rPr>
                <w:color w:val="000000"/>
                <w:sz w:val="24"/>
              </w:rPr>
              <w:t>601155</w:t>
            </w:r>
          </w:p>
        </w:tc>
        <w:tc>
          <w:tcPr>
            <w:tcW w:w="1980" w:type="dxa"/>
            <w:vAlign w:val="center"/>
          </w:tcPr>
          <w:p>
            <w:pPr>
              <w:jc w:val="center"/>
            </w:pPr>
            <w:r>
              <w:rPr>
                <w:color w:val="000000"/>
                <w:sz w:val="24"/>
              </w:rPr>
              <w:t>新城控股</w:t>
            </w:r>
          </w:p>
        </w:tc>
        <w:tc>
          <w:tcPr>
            <w:tcW w:w="2880" w:type="dxa"/>
            <w:vAlign w:val="center"/>
          </w:tcPr>
          <w:p>
            <w:pPr>
              <w:jc w:val="right"/>
            </w:pPr>
            <w:r>
              <w:rPr>
                <w:color w:val="000000"/>
                <w:sz w:val="24"/>
              </w:rPr>
              <w:t>194,347,662.54</w:t>
            </w:r>
          </w:p>
        </w:tc>
        <w:tc>
          <w:tcPr>
            <w:tcW w:w="1620" w:type="dxa"/>
            <w:vAlign w:val="center"/>
          </w:tcPr>
          <w:p>
            <w:pPr>
              <w:jc w:val="right"/>
            </w:pPr>
            <w:r>
              <w:rPr>
                <w:color w:val="000000"/>
                <w:sz w:val="24"/>
              </w:rPr>
              <w:t>2.85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30</w:t>
            </w:r>
          </w:p>
        </w:tc>
        <w:tc>
          <w:tcPr>
            <w:tcW w:w="1650" w:type="dxa"/>
            <w:vAlign w:val="center"/>
          </w:tcPr>
          <w:p>
            <w:pPr>
              <w:jc w:val="center"/>
            </w:pPr>
            <w:r>
              <w:rPr>
                <w:color w:val="000000"/>
                <w:sz w:val="24"/>
              </w:rPr>
              <w:t>002142</w:t>
            </w:r>
          </w:p>
        </w:tc>
        <w:tc>
          <w:tcPr>
            <w:tcW w:w="1980" w:type="dxa"/>
            <w:vAlign w:val="center"/>
          </w:tcPr>
          <w:p>
            <w:pPr>
              <w:jc w:val="center"/>
            </w:pPr>
            <w:r>
              <w:rPr>
                <w:color w:val="000000"/>
                <w:sz w:val="24"/>
              </w:rPr>
              <w:t>宁波银行</w:t>
            </w:r>
          </w:p>
        </w:tc>
        <w:tc>
          <w:tcPr>
            <w:tcW w:w="2880" w:type="dxa"/>
            <w:vAlign w:val="center"/>
          </w:tcPr>
          <w:p>
            <w:pPr>
              <w:jc w:val="right"/>
            </w:pPr>
            <w:r>
              <w:rPr>
                <w:color w:val="000000"/>
                <w:sz w:val="24"/>
              </w:rPr>
              <w:t>191,780,270.48</w:t>
            </w:r>
          </w:p>
        </w:tc>
        <w:tc>
          <w:tcPr>
            <w:tcW w:w="1620" w:type="dxa"/>
            <w:vAlign w:val="center"/>
          </w:tcPr>
          <w:p>
            <w:pPr>
              <w:jc w:val="right"/>
            </w:pPr>
            <w:r>
              <w:rPr>
                <w:color w:val="000000"/>
                <w:sz w:val="24"/>
              </w:rPr>
              <w:t>2.82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31</w:t>
            </w:r>
          </w:p>
        </w:tc>
        <w:tc>
          <w:tcPr>
            <w:tcW w:w="1650" w:type="dxa"/>
            <w:vAlign w:val="center"/>
          </w:tcPr>
          <w:p>
            <w:pPr>
              <w:jc w:val="center"/>
            </w:pPr>
            <w:r>
              <w:rPr>
                <w:color w:val="000000"/>
                <w:sz w:val="24"/>
              </w:rPr>
              <w:t>002507</w:t>
            </w:r>
          </w:p>
        </w:tc>
        <w:tc>
          <w:tcPr>
            <w:tcW w:w="1980" w:type="dxa"/>
            <w:vAlign w:val="center"/>
          </w:tcPr>
          <w:p>
            <w:pPr>
              <w:jc w:val="center"/>
            </w:pPr>
            <w:r>
              <w:rPr>
                <w:color w:val="000000"/>
                <w:sz w:val="24"/>
              </w:rPr>
              <w:t>涪陵榨菜</w:t>
            </w:r>
          </w:p>
        </w:tc>
        <w:tc>
          <w:tcPr>
            <w:tcW w:w="2880" w:type="dxa"/>
            <w:vAlign w:val="center"/>
          </w:tcPr>
          <w:p>
            <w:pPr>
              <w:jc w:val="right"/>
            </w:pPr>
            <w:r>
              <w:rPr>
                <w:color w:val="000000"/>
                <w:sz w:val="24"/>
              </w:rPr>
              <w:t>188,779,604.62</w:t>
            </w:r>
          </w:p>
        </w:tc>
        <w:tc>
          <w:tcPr>
            <w:tcW w:w="1620" w:type="dxa"/>
            <w:vAlign w:val="center"/>
          </w:tcPr>
          <w:p>
            <w:pPr>
              <w:jc w:val="right"/>
            </w:pPr>
            <w:r>
              <w:rPr>
                <w:color w:val="000000"/>
                <w:sz w:val="24"/>
              </w:rPr>
              <w:t>2.77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32</w:t>
            </w:r>
          </w:p>
        </w:tc>
        <w:tc>
          <w:tcPr>
            <w:tcW w:w="1650" w:type="dxa"/>
            <w:vAlign w:val="center"/>
          </w:tcPr>
          <w:p>
            <w:pPr>
              <w:jc w:val="center"/>
            </w:pPr>
            <w:r>
              <w:rPr>
                <w:color w:val="000000"/>
                <w:sz w:val="24"/>
              </w:rPr>
              <w:t>002460</w:t>
            </w:r>
          </w:p>
        </w:tc>
        <w:tc>
          <w:tcPr>
            <w:tcW w:w="1980" w:type="dxa"/>
            <w:vAlign w:val="center"/>
          </w:tcPr>
          <w:p>
            <w:pPr>
              <w:jc w:val="center"/>
            </w:pPr>
            <w:r>
              <w:rPr>
                <w:color w:val="000000"/>
                <w:sz w:val="24"/>
              </w:rPr>
              <w:t>赣锋锂业</w:t>
            </w:r>
          </w:p>
        </w:tc>
        <w:tc>
          <w:tcPr>
            <w:tcW w:w="2880" w:type="dxa"/>
            <w:vAlign w:val="center"/>
          </w:tcPr>
          <w:p>
            <w:pPr>
              <w:jc w:val="right"/>
            </w:pPr>
            <w:r>
              <w:rPr>
                <w:color w:val="000000"/>
                <w:sz w:val="24"/>
              </w:rPr>
              <w:t>167,841,559.13</w:t>
            </w:r>
          </w:p>
        </w:tc>
        <w:tc>
          <w:tcPr>
            <w:tcW w:w="1620" w:type="dxa"/>
            <w:vAlign w:val="center"/>
          </w:tcPr>
          <w:p>
            <w:pPr>
              <w:jc w:val="right"/>
            </w:pPr>
            <w:r>
              <w:rPr>
                <w:color w:val="000000"/>
                <w:sz w:val="24"/>
              </w:rPr>
              <w:t>2.46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33</w:t>
            </w:r>
          </w:p>
        </w:tc>
        <w:tc>
          <w:tcPr>
            <w:tcW w:w="1650" w:type="dxa"/>
            <w:vAlign w:val="center"/>
          </w:tcPr>
          <w:p>
            <w:pPr>
              <w:jc w:val="center"/>
            </w:pPr>
            <w:r>
              <w:rPr>
                <w:color w:val="000000"/>
                <w:sz w:val="24"/>
              </w:rPr>
              <w:t>002027</w:t>
            </w:r>
          </w:p>
        </w:tc>
        <w:tc>
          <w:tcPr>
            <w:tcW w:w="1980" w:type="dxa"/>
            <w:vAlign w:val="center"/>
          </w:tcPr>
          <w:p>
            <w:pPr>
              <w:jc w:val="center"/>
            </w:pPr>
            <w:r>
              <w:rPr>
                <w:color w:val="000000"/>
                <w:sz w:val="24"/>
              </w:rPr>
              <w:t>分众传媒</w:t>
            </w:r>
          </w:p>
        </w:tc>
        <w:tc>
          <w:tcPr>
            <w:tcW w:w="2880" w:type="dxa"/>
            <w:vAlign w:val="center"/>
          </w:tcPr>
          <w:p>
            <w:pPr>
              <w:jc w:val="right"/>
            </w:pPr>
            <w:r>
              <w:rPr>
                <w:color w:val="000000"/>
                <w:sz w:val="24"/>
              </w:rPr>
              <w:t>167,442,546.02</w:t>
            </w:r>
          </w:p>
        </w:tc>
        <w:tc>
          <w:tcPr>
            <w:tcW w:w="1620" w:type="dxa"/>
            <w:vAlign w:val="center"/>
          </w:tcPr>
          <w:p>
            <w:pPr>
              <w:jc w:val="right"/>
            </w:pPr>
            <w:r>
              <w:rPr>
                <w:color w:val="000000"/>
                <w:sz w:val="24"/>
              </w:rPr>
              <w:t>2.46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34</w:t>
            </w:r>
          </w:p>
        </w:tc>
        <w:tc>
          <w:tcPr>
            <w:tcW w:w="1650" w:type="dxa"/>
            <w:vAlign w:val="center"/>
          </w:tcPr>
          <w:p>
            <w:pPr>
              <w:jc w:val="center"/>
            </w:pPr>
            <w:r>
              <w:rPr>
                <w:color w:val="000000"/>
                <w:sz w:val="24"/>
              </w:rPr>
              <w:t>600522</w:t>
            </w:r>
          </w:p>
        </w:tc>
        <w:tc>
          <w:tcPr>
            <w:tcW w:w="1980" w:type="dxa"/>
            <w:vAlign w:val="center"/>
          </w:tcPr>
          <w:p>
            <w:pPr>
              <w:jc w:val="center"/>
            </w:pPr>
            <w:r>
              <w:rPr>
                <w:color w:val="000000"/>
                <w:sz w:val="24"/>
              </w:rPr>
              <w:t>中天科技</w:t>
            </w:r>
          </w:p>
        </w:tc>
        <w:tc>
          <w:tcPr>
            <w:tcW w:w="2880" w:type="dxa"/>
            <w:vAlign w:val="center"/>
          </w:tcPr>
          <w:p>
            <w:pPr>
              <w:jc w:val="right"/>
            </w:pPr>
            <w:r>
              <w:rPr>
                <w:color w:val="000000"/>
                <w:sz w:val="24"/>
              </w:rPr>
              <w:t>148,156,899.08</w:t>
            </w:r>
          </w:p>
        </w:tc>
        <w:tc>
          <w:tcPr>
            <w:tcW w:w="1620" w:type="dxa"/>
            <w:vAlign w:val="center"/>
          </w:tcPr>
          <w:p>
            <w:pPr>
              <w:jc w:val="right"/>
            </w:pPr>
            <w:r>
              <w:rPr>
                <w:color w:val="000000"/>
                <w:sz w:val="24"/>
              </w:rPr>
              <w:t>2.18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35</w:t>
            </w:r>
          </w:p>
        </w:tc>
        <w:tc>
          <w:tcPr>
            <w:tcW w:w="1650" w:type="dxa"/>
            <w:vAlign w:val="center"/>
          </w:tcPr>
          <w:p>
            <w:pPr>
              <w:jc w:val="center"/>
            </w:pPr>
            <w:r>
              <w:rPr>
                <w:color w:val="000000"/>
                <w:sz w:val="24"/>
              </w:rPr>
              <w:t>002236</w:t>
            </w:r>
          </w:p>
        </w:tc>
        <w:tc>
          <w:tcPr>
            <w:tcW w:w="1980" w:type="dxa"/>
            <w:vAlign w:val="center"/>
          </w:tcPr>
          <w:p>
            <w:pPr>
              <w:jc w:val="center"/>
            </w:pPr>
            <w:r>
              <w:rPr>
                <w:color w:val="000000"/>
                <w:sz w:val="24"/>
              </w:rPr>
              <w:t>大华股份</w:t>
            </w:r>
          </w:p>
        </w:tc>
        <w:tc>
          <w:tcPr>
            <w:tcW w:w="2880" w:type="dxa"/>
            <w:vAlign w:val="center"/>
          </w:tcPr>
          <w:p>
            <w:pPr>
              <w:jc w:val="right"/>
            </w:pPr>
            <w:r>
              <w:rPr>
                <w:color w:val="000000"/>
                <w:sz w:val="24"/>
              </w:rPr>
              <w:t>136,840,713.96</w:t>
            </w:r>
          </w:p>
        </w:tc>
        <w:tc>
          <w:tcPr>
            <w:tcW w:w="1620" w:type="dxa"/>
            <w:vAlign w:val="center"/>
          </w:tcPr>
          <w:p>
            <w:pPr>
              <w:jc w:val="right"/>
            </w:pPr>
            <w:r>
              <w:rPr>
                <w:color w:val="000000"/>
                <w:sz w:val="24"/>
              </w:rPr>
              <w:t>2.01</w:t>
            </w:r>
          </w:p>
        </w:tc>
      </w:tr>
    </w:tbl>
    <w:p>
      <w:pPr>
        <w:tabs>
          <w:tab w:val="left" w:pos="426"/>
        </w:tabs>
        <w:spacing w:before="29" w:line="288" w:lineRule="auto"/>
        <w:jc w:val="left"/>
        <w:rPr>
          <w:kern w:val="0"/>
          <w:sz w:val="24"/>
        </w:rPr>
      </w:pPr>
      <w:r>
        <w:rPr>
          <w:kern w:val="0"/>
          <w:sz w:val="24"/>
        </w:rPr>
        <w:t>注：“本期累计卖出金额”按卖出成交金额（成交单价乘以成交数量）填列，不考虑相关交易费用。</w:t>
      </w:r>
    </w:p>
    <w:p>
      <w:pPr>
        <w:tabs>
          <w:tab w:val="left" w:pos="426"/>
        </w:tabs>
        <w:spacing w:before="29" w:line="288" w:lineRule="auto"/>
        <w:jc w:val="left"/>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218" w:name="_Toc67596689"/>
      <w:r>
        <w:rPr>
          <w:rFonts w:ascii="Times New Roman" w:hAnsi="Times New Roman"/>
          <w:kern w:val="0"/>
          <w:szCs w:val="24"/>
        </w:rPr>
        <w:t>8.4.3</w:t>
      </w:r>
      <w:r>
        <w:rPr>
          <w:rFonts w:hint="eastAsia" w:ascii="Times New Roman" w:hAnsi="Times New Roman"/>
          <w:kern w:val="0"/>
          <w:szCs w:val="24"/>
        </w:rPr>
        <w:t>买入股票的成本总额及卖出股票的收入总额</w:t>
      </w:r>
      <w:bookmarkEnd w:id="218"/>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00"/>
        <w:gridCol w:w="45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0" w:type="dxa"/>
            <w:vAlign w:val="center"/>
          </w:tcPr>
          <w:p>
            <w:pPr>
              <w:spacing w:before="29" w:line="288" w:lineRule="auto"/>
              <w:rPr>
                <w:color w:val="000000"/>
                <w:sz w:val="24"/>
              </w:rPr>
            </w:pPr>
            <w:r>
              <w:rPr>
                <w:rFonts w:hint="eastAsia"/>
                <w:color w:val="000000"/>
                <w:sz w:val="24"/>
              </w:rPr>
              <w:t>买入股票的成本（成交）总额</w:t>
            </w:r>
          </w:p>
        </w:tc>
        <w:tc>
          <w:tcPr>
            <w:tcW w:w="4500" w:type="dxa"/>
            <w:vAlign w:val="center"/>
          </w:tcPr>
          <w:p>
            <w:pPr>
              <w:spacing w:before="29" w:line="288" w:lineRule="auto"/>
              <w:jc w:val="right"/>
              <w:rPr>
                <w:color w:val="000000"/>
                <w:sz w:val="24"/>
              </w:rPr>
            </w:pPr>
            <w:r>
              <w:rPr>
                <w:rFonts w:hint="eastAsia"/>
                <w:color w:val="000000"/>
                <w:sz w:val="24"/>
              </w:rPr>
              <w:t>15,102,136,487.75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500" w:type="dxa"/>
            <w:vAlign w:val="center"/>
          </w:tcPr>
          <w:p>
            <w:pPr>
              <w:spacing w:before="29" w:line="288" w:lineRule="auto"/>
              <w:rPr>
                <w:color w:val="000000"/>
                <w:sz w:val="24"/>
              </w:rPr>
            </w:pPr>
            <w:r>
              <w:rPr>
                <w:rFonts w:hint="eastAsia"/>
                <w:color w:val="000000"/>
                <w:sz w:val="24"/>
              </w:rPr>
              <w:t>卖出股票的收入（成交）总额</w:t>
            </w:r>
          </w:p>
        </w:tc>
        <w:tc>
          <w:tcPr>
            <w:tcW w:w="4500" w:type="dxa"/>
            <w:vAlign w:val="center"/>
          </w:tcPr>
          <w:p>
            <w:pPr>
              <w:spacing w:before="29" w:line="288" w:lineRule="auto"/>
              <w:jc w:val="right"/>
              <w:rPr>
                <w:color w:val="000000"/>
                <w:sz w:val="24"/>
              </w:rPr>
            </w:pPr>
            <w:r>
              <w:rPr>
                <w:color w:val="000000"/>
                <w:sz w:val="24"/>
              </w:rPr>
              <w:t>14,323,165,511.96</w:t>
            </w:r>
          </w:p>
        </w:tc>
      </w:tr>
    </w:tbl>
    <w:p>
      <w:pPr>
        <w:tabs>
          <w:tab w:val="left" w:pos="426"/>
        </w:tabs>
        <w:spacing w:before="29" w:line="288" w:lineRule="auto"/>
        <w:jc w:val="left"/>
        <w:rPr>
          <w:kern w:val="0"/>
          <w:sz w:val="24"/>
        </w:rPr>
      </w:pPr>
      <w:r>
        <w:rPr>
          <w:kern w:val="0"/>
          <w:sz w:val="24"/>
        </w:rPr>
        <w:t>注：“买入股票成本”或“卖出股票收入”均按买卖成交金额（成交单价乘以成交数量）填列，不考虑相关交易费用。</w:t>
      </w:r>
    </w:p>
    <w:p>
      <w:pPr>
        <w:tabs>
          <w:tab w:val="left" w:pos="426"/>
        </w:tabs>
        <w:spacing w:before="29" w:line="288" w:lineRule="auto"/>
        <w:jc w:val="left"/>
        <w:rPr>
          <w:kern w:val="0"/>
        </w:rPr>
      </w:pPr>
    </w:p>
    <w:p>
      <w:pPr>
        <w:pStyle w:val="3"/>
        <w:spacing w:before="29" w:after="0" w:line="288" w:lineRule="auto"/>
        <w:rPr>
          <w:rFonts w:ascii="Times New Roman" w:hAnsi="Times New Roman"/>
          <w:kern w:val="0"/>
          <w:szCs w:val="24"/>
        </w:rPr>
      </w:pPr>
      <w:bookmarkStart w:id="219" w:name="_Toc361324883"/>
      <w:bookmarkStart w:id="220" w:name="_Toc234814104"/>
      <w:bookmarkStart w:id="221" w:name="_Toc67596690"/>
      <w:r>
        <w:rPr>
          <w:rFonts w:ascii="Times New Roman" w:hAnsi="Times New Roman"/>
          <w:kern w:val="0"/>
          <w:szCs w:val="24"/>
        </w:rPr>
        <w:t>8.5</w:t>
      </w:r>
      <w:r>
        <w:rPr>
          <w:rFonts w:hint="eastAsia" w:ascii="Times New Roman" w:hAnsi="Times New Roman"/>
          <w:kern w:val="0"/>
          <w:szCs w:val="24"/>
        </w:rPr>
        <w:t>期末按债券品种分类的债券投资组合</w:t>
      </w:r>
      <w:bookmarkEnd w:id="219"/>
      <w:bookmarkEnd w:id="220"/>
      <w:bookmarkEnd w:id="221"/>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260"/>
        <w:gridCol w:w="3558"/>
        <w:gridCol w:w="1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before="29" w:line="288" w:lineRule="auto"/>
              <w:ind w:left="17"/>
              <w:jc w:val="center"/>
              <w:rPr>
                <w:color w:val="000000"/>
                <w:sz w:val="24"/>
              </w:rPr>
            </w:pPr>
            <w:r>
              <w:rPr>
                <w:rFonts w:hint="eastAsia"/>
                <w:color w:val="000000"/>
                <w:sz w:val="24"/>
              </w:rPr>
              <w:t>序号</w:t>
            </w:r>
          </w:p>
        </w:tc>
        <w:tc>
          <w:tcPr>
            <w:tcW w:w="3260" w:type="dxa"/>
            <w:vAlign w:val="center"/>
          </w:tcPr>
          <w:p>
            <w:pPr>
              <w:spacing w:before="29" w:line="288" w:lineRule="auto"/>
              <w:ind w:left="17"/>
              <w:jc w:val="center"/>
              <w:rPr>
                <w:color w:val="000000"/>
                <w:sz w:val="24"/>
              </w:rPr>
            </w:pPr>
            <w:r>
              <w:rPr>
                <w:rFonts w:hint="eastAsia"/>
                <w:color w:val="000000"/>
                <w:sz w:val="24"/>
              </w:rPr>
              <w:t>债券品种</w:t>
            </w:r>
          </w:p>
        </w:tc>
        <w:tc>
          <w:tcPr>
            <w:tcW w:w="3558" w:type="dxa"/>
            <w:vAlign w:val="center"/>
          </w:tcPr>
          <w:p>
            <w:pPr>
              <w:spacing w:before="29" w:line="288" w:lineRule="auto"/>
              <w:ind w:left="17"/>
              <w:jc w:val="center"/>
              <w:rPr>
                <w:color w:val="000000"/>
                <w:sz w:val="24"/>
              </w:rPr>
            </w:pPr>
            <w:r>
              <w:rPr>
                <w:rFonts w:hint="eastAsia"/>
                <w:color w:val="000000"/>
                <w:sz w:val="24"/>
              </w:rPr>
              <w:t>公允价值</w:t>
            </w:r>
          </w:p>
        </w:tc>
        <w:tc>
          <w:tcPr>
            <w:tcW w:w="1679" w:type="dxa"/>
            <w:vAlign w:val="center"/>
          </w:tcPr>
          <w:p>
            <w:pPr>
              <w:spacing w:before="29" w:line="288" w:lineRule="auto"/>
              <w:ind w:left="17"/>
              <w:jc w:val="center"/>
              <w:rPr>
                <w:color w:val="000000"/>
                <w:sz w:val="24"/>
              </w:rPr>
            </w:pPr>
            <w:r>
              <w:rPr>
                <w:color w:val="000000"/>
                <w:sz w:val="24"/>
              </w:rPr>
              <w:t>占基金资产净值比例</w:t>
            </w:r>
            <w:r>
              <w:rPr>
                <w:rFonts w:hint="eastAsia"/>
                <w:color w:val="000000"/>
                <w:sz w:val="24"/>
              </w:rPr>
              <w:t>(</w:t>
            </w: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1</w:t>
            </w:r>
          </w:p>
        </w:tc>
        <w:tc>
          <w:tcPr>
            <w:tcW w:w="3260" w:type="dxa"/>
            <w:vAlign w:val="center"/>
          </w:tcPr>
          <w:p>
            <w:pPr>
              <w:widowControl/>
              <w:spacing w:before="29" w:line="288" w:lineRule="auto"/>
              <w:rPr>
                <w:color w:val="000000"/>
                <w:kern w:val="0"/>
                <w:sz w:val="24"/>
              </w:rPr>
            </w:pPr>
            <w:r>
              <w:rPr>
                <w:rFonts w:hint="eastAsia"/>
                <w:color w:val="000000"/>
                <w:kern w:val="0"/>
                <w:sz w:val="24"/>
              </w:rPr>
              <w:t>国家债券</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2</w:t>
            </w:r>
          </w:p>
        </w:tc>
        <w:tc>
          <w:tcPr>
            <w:tcW w:w="3260" w:type="dxa"/>
            <w:vAlign w:val="center"/>
          </w:tcPr>
          <w:p>
            <w:pPr>
              <w:widowControl/>
              <w:spacing w:before="29" w:line="288" w:lineRule="auto"/>
              <w:rPr>
                <w:color w:val="000000"/>
                <w:kern w:val="0"/>
                <w:sz w:val="24"/>
              </w:rPr>
            </w:pPr>
            <w:r>
              <w:rPr>
                <w:rFonts w:hint="eastAsia"/>
                <w:color w:val="000000"/>
                <w:kern w:val="0"/>
                <w:sz w:val="24"/>
              </w:rPr>
              <w:t>央行票据</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3</w:t>
            </w:r>
          </w:p>
        </w:tc>
        <w:tc>
          <w:tcPr>
            <w:tcW w:w="3260" w:type="dxa"/>
            <w:vAlign w:val="center"/>
          </w:tcPr>
          <w:p>
            <w:pPr>
              <w:widowControl/>
              <w:spacing w:before="29" w:line="288" w:lineRule="auto"/>
              <w:rPr>
                <w:color w:val="000000"/>
                <w:kern w:val="0"/>
                <w:sz w:val="24"/>
              </w:rPr>
            </w:pPr>
            <w:r>
              <w:rPr>
                <w:rFonts w:hint="eastAsia"/>
                <w:color w:val="000000"/>
                <w:kern w:val="0"/>
                <w:sz w:val="24"/>
              </w:rPr>
              <w:t>金融债券</w:t>
            </w:r>
          </w:p>
        </w:tc>
        <w:tc>
          <w:tcPr>
            <w:tcW w:w="3558" w:type="dxa"/>
            <w:vAlign w:val="center"/>
          </w:tcPr>
          <w:p>
            <w:pPr>
              <w:spacing w:before="29" w:line="288" w:lineRule="auto"/>
              <w:jc w:val="right"/>
              <w:rPr>
                <w:kern w:val="0"/>
                <w:sz w:val="24"/>
              </w:rPr>
            </w:pPr>
            <w:r>
              <w:rPr>
                <w:kern w:val="0"/>
                <w:sz w:val="24"/>
              </w:rPr>
              <w:t>559,595,000.00</w:t>
            </w:r>
          </w:p>
        </w:tc>
        <w:tc>
          <w:tcPr>
            <w:tcW w:w="1679" w:type="dxa"/>
            <w:vAlign w:val="center"/>
          </w:tcPr>
          <w:p>
            <w:pPr>
              <w:spacing w:before="29" w:line="288" w:lineRule="auto"/>
              <w:jc w:val="right"/>
              <w:rPr>
                <w:kern w:val="0"/>
                <w:sz w:val="24"/>
              </w:rPr>
            </w:pPr>
            <w:r>
              <w:rPr>
                <w:kern w:val="0"/>
                <w:sz w:val="24"/>
              </w:rPr>
              <w:t>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p>
        </w:tc>
        <w:tc>
          <w:tcPr>
            <w:tcW w:w="3260" w:type="dxa"/>
            <w:vAlign w:val="center"/>
          </w:tcPr>
          <w:p>
            <w:pPr>
              <w:widowControl/>
              <w:spacing w:before="29" w:line="288" w:lineRule="auto"/>
              <w:rPr>
                <w:color w:val="000000"/>
                <w:kern w:val="0"/>
                <w:sz w:val="24"/>
              </w:rPr>
            </w:pPr>
            <w:r>
              <w:rPr>
                <w:rFonts w:hint="eastAsia"/>
                <w:color w:val="000000"/>
                <w:kern w:val="0"/>
                <w:sz w:val="24"/>
              </w:rPr>
              <w:t>其中：政策性金融债</w:t>
            </w:r>
          </w:p>
        </w:tc>
        <w:tc>
          <w:tcPr>
            <w:tcW w:w="3558" w:type="dxa"/>
            <w:vAlign w:val="center"/>
          </w:tcPr>
          <w:p>
            <w:pPr>
              <w:spacing w:before="29" w:line="288" w:lineRule="auto"/>
              <w:jc w:val="right"/>
              <w:rPr>
                <w:kern w:val="0"/>
                <w:sz w:val="24"/>
              </w:rPr>
            </w:pPr>
            <w:r>
              <w:rPr>
                <w:kern w:val="0"/>
                <w:sz w:val="24"/>
              </w:rPr>
              <w:t>559,595,000.00</w:t>
            </w:r>
          </w:p>
        </w:tc>
        <w:tc>
          <w:tcPr>
            <w:tcW w:w="1679" w:type="dxa"/>
            <w:vAlign w:val="center"/>
          </w:tcPr>
          <w:p>
            <w:pPr>
              <w:spacing w:before="29" w:line="288" w:lineRule="auto"/>
              <w:jc w:val="right"/>
              <w:rPr>
                <w:kern w:val="0"/>
                <w:sz w:val="24"/>
              </w:rPr>
            </w:pPr>
            <w:r>
              <w:rPr>
                <w:kern w:val="0"/>
                <w:sz w:val="24"/>
              </w:rPr>
              <w:t>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4</w:t>
            </w:r>
          </w:p>
        </w:tc>
        <w:tc>
          <w:tcPr>
            <w:tcW w:w="3260" w:type="dxa"/>
            <w:vAlign w:val="center"/>
          </w:tcPr>
          <w:p>
            <w:pPr>
              <w:widowControl/>
              <w:spacing w:before="29" w:line="288" w:lineRule="auto"/>
              <w:rPr>
                <w:color w:val="000000"/>
                <w:kern w:val="0"/>
                <w:sz w:val="24"/>
              </w:rPr>
            </w:pPr>
            <w:r>
              <w:rPr>
                <w:rFonts w:hint="eastAsia"/>
                <w:color w:val="000000"/>
                <w:kern w:val="0"/>
                <w:sz w:val="24"/>
              </w:rPr>
              <w:t>企业债券</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5</w:t>
            </w:r>
          </w:p>
        </w:tc>
        <w:tc>
          <w:tcPr>
            <w:tcW w:w="3260" w:type="dxa"/>
            <w:vAlign w:val="center"/>
          </w:tcPr>
          <w:p>
            <w:pPr>
              <w:widowControl/>
              <w:spacing w:before="29" w:line="288" w:lineRule="auto"/>
              <w:rPr>
                <w:color w:val="000000"/>
                <w:kern w:val="0"/>
                <w:sz w:val="24"/>
              </w:rPr>
            </w:pPr>
            <w:r>
              <w:rPr>
                <w:rFonts w:hint="eastAsia"/>
                <w:color w:val="000000"/>
                <w:kern w:val="0"/>
                <w:sz w:val="24"/>
              </w:rPr>
              <w:t>企业短期融资券</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6</w:t>
            </w:r>
          </w:p>
        </w:tc>
        <w:tc>
          <w:tcPr>
            <w:tcW w:w="3260" w:type="dxa"/>
            <w:vAlign w:val="center"/>
          </w:tcPr>
          <w:p>
            <w:pPr>
              <w:widowControl/>
              <w:spacing w:before="29" w:line="288" w:lineRule="auto"/>
              <w:rPr>
                <w:color w:val="000000"/>
                <w:kern w:val="0"/>
                <w:sz w:val="24"/>
              </w:rPr>
            </w:pPr>
            <w:r>
              <w:rPr>
                <w:rFonts w:hint="eastAsia"/>
                <w:color w:val="000000"/>
                <w:kern w:val="0"/>
                <w:sz w:val="24"/>
              </w:rPr>
              <w:t>中期票据</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7</w:t>
            </w:r>
          </w:p>
        </w:tc>
        <w:tc>
          <w:tcPr>
            <w:tcW w:w="3260" w:type="dxa"/>
            <w:vAlign w:val="center"/>
          </w:tcPr>
          <w:p>
            <w:pPr>
              <w:widowControl/>
              <w:spacing w:before="29" w:line="288" w:lineRule="auto"/>
              <w:rPr>
                <w:color w:val="000000"/>
                <w:kern w:val="0"/>
                <w:sz w:val="24"/>
              </w:rPr>
            </w:pPr>
            <w:r>
              <w:rPr>
                <w:rFonts w:hint="eastAsia"/>
                <w:color w:val="000000"/>
                <w:kern w:val="0"/>
                <w:sz w:val="24"/>
              </w:rPr>
              <w:t>可转债</w:t>
            </w:r>
            <w:r>
              <w:rPr>
                <w:rFonts w:hint="eastAsia"/>
                <w:sz w:val="24"/>
              </w:rPr>
              <w:t>（可交换债）</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8</w:t>
            </w:r>
          </w:p>
        </w:tc>
        <w:tc>
          <w:tcPr>
            <w:tcW w:w="3260" w:type="dxa"/>
            <w:vAlign w:val="center"/>
          </w:tcPr>
          <w:p>
            <w:pPr>
              <w:widowControl/>
              <w:spacing w:before="29" w:line="288" w:lineRule="auto"/>
              <w:rPr>
                <w:color w:val="000000"/>
                <w:kern w:val="0"/>
                <w:sz w:val="24"/>
              </w:rPr>
            </w:pPr>
            <w:r>
              <w:rPr>
                <w:rFonts w:hint="eastAsia"/>
                <w:color w:val="000000"/>
                <w:sz w:val="24"/>
              </w:rPr>
              <w:t>同业存单</w:t>
            </w:r>
          </w:p>
        </w:tc>
        <w:tc>
          <w:tcPr>
            <w:tcW w:w="3558" w:type="dxa"/>
            <w:vAlign w:val="center"/>
          </w:tcPr>
          <w:p>
            <w:pPr>
              <w:spacing w:before="29" w:line="288" w:lineRule="auto"/>
              <w:jc w:val="right"/>
              <w:rPr>
                <w:color w:val="000000"/>
                <w:kern w:val="0"/>
                <w:sz w:val="24"/>
              </w:rPr>
            </w:pPr>
            <w:r>
              <w:rPr>
                <w:rFonts w:hint="eastAsia"/>
                <w:color w:val="000000"/>
                <w:kern w:val="0"/>
                <w:sz w:val="24"/>
              </w:rPr>
              <w:t>-</w:t>
            </w:r>
          </w:p>
        </w:tc>
        <w:tc>
          <w:tcPr>
            <w:tcW w:w="1679" w:type="dxa"/>
            <w:vAlign w:val="center"/>
          </w:tcPr>
          <w:p>
            <w:pPr>
              <w:spacing w:before="29" w:line="288" w:lineRule="auto"/>
              <w:jc w:val="right"/>
              <w:rPr>
                <w:color w:val="000000"/>
                <w:kern w:val="0"/>
                <w:sz w:val="24"/>
              </w:rPr>
            </w:pPr>
            <w:r>
              <w:rPr>
                <w:rFonts w:hint="eastAsia"/>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9</w:t>
            </w:r>
          </w:p>
        </w:tc>
        <w:tc>
          <w:tcPr>
            <w:tcW w:w="3260" w:type="dxa"/>
            <w:vAlign w:val="center"/>
          </w:tcPr>
          <w:p>
            <w:pPr>
              <w:widowControl/>
              <w:spacing w:before="29" w:line="288" w:lineRule="auto"/>
              <w:rPr>
                <w:color w:val="000000"/>
                <w:kern w:val="0"/>
                <w:sz w:val="24"/>
              </w:rPr>
            </w:pPr>
            <w:r>
              <w:rPr>
                <w:rFonts w:hint="eastAsia"/>
                <w:color w:val="000000"/>
                <w:kern w:val="0"/>
                <w:sz w:val="24"/>
              </w:rPr>
              <w:t>其他</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10</w:t>
            </w:r>
          </w:p>
        </w:tc>
        <w:tc>
          <w:tcPr>
            <w:tcW w:w="3260" w:type="dxa"/>
            <w:vAlign w:val="center"/>
          </w:tcPr>
          <w:p>
            <w:pPr>
              <w:widowControl/>
              <w:spacing w:before="29" w:line="288" w:lineRule="auto"/>
              <w:rPr>
                <w:color w:val="000000"/>
                <w:kern w:val="0"/>
                <w:sz w:val="24"/>
              </w:rPr>
            </w:pPr>
            <w:r>
              <w:rPr>
                <w:rFonts w:hint="eastAsia"/>
                <w:color w:val="000000"/>
                <w:kern w:val="0"/>
                <w:sz w:val="24"/>
              </w:rPr>
              <w:t>合计</w:t>
            </w:r>
          </w:p>
        </w:tc>
        <w:tc>
          <w:tcPr>
            <w:tcW w:w="3558" w:type="dxa"/>
            <w:vAlign w:val="center"/>
          </w:tcPr>
          <w:p>
            <w:pPr>
              <w:spacing w:before="29" w:line="288" w:lineRule="auto"/>
              <w:jc w:val="right"/>
              <w:rPr>
                <w:kern w:val="0"/>
                <w:sz w:val="24"/>
              </w:rPr>
            </w:pPr>
            <w:r>
              <w:rPr>
                <w:kern w:val="0"/>
                <w:sz w:val="24"/>
              </w:rPr>
              <w:t>559,595,000.00</w:t>
            </w:r>
          </w:p>
        </w:tc>
        <w:tc>
          <w:tcPr>
            <w:tcW w:w="1679" w:type="dxa"/>
            <w:vAlign w:val="center"/>
          </w:tcPr>
          <w:p>
            <w:pPr>
              <w:spacing w:before="29" w:line="288" w:lineRule="auto"/>
              <w:jc w:val="right"/>
              <w:rPr>
                <w:kern w:val="0"/>
                <w:sz w:val="24"/>
              </w:rPr>
            </w:pPr>
            <w:r>
              <w:rPr>
                <w:kern w:val="0"/>
                <w:sz w:val="24"/>
              </w:rPr>
              <w:t>4.74</w:t>
            </w:r>
          </w:p>
        </w:tc>
      </w:tr>
    </w:tbl>
    <w:p>
      <w:pPr>
        <w:tabs>
          <w:tab w:val="left" w:pos="426"/>
        </w:tabs>
        <w:spacing w:before="29" w:line="288" w:lineRule="auto"/>
        <w:jc w:val="left"/>
        <w:rPr>
          <w:kern w:val="0"/>
          <w:sz w:val="24"/>
        </w:rPr>
      </w:pPr>
      <w:bookmarkStart w:id="222" w:name="_Toc361324884"/>
    </w:p>
    <w:p>
      <w:pPr>
        <w:pStyle w:val="3"/>
        <w:spacing w:before="29" w:after="0" w:line="288" w:lineRule="auto"/>
        <w:rPr>
          <w:rFonts w:ascii="Times New Roman" w:hAnsi="Times New Roman"/>
          <w:kern w:val="0"/>
          <w:szCs w:val="24"/>
        </w:rPr>
      </w:pPr>
      <w:bookmarkStart w:id="223" w:name="_Toc67596691"/>
      <w:r>
        <w:rPr>
          <w:rFonts w:ascii="Times New Roman" w:hAnsi="Times New Roman"/>
          <w:kern w:val="0"/>
          <w:szCs w:val="24"/>
        </w:rPr>
        <w:t>8.6</w:t>
      </w:r>
      <w:bookmarkStart w:id="224" w:name="_Toc234814105"/>
      <w:r>
        <w:rPr>
          <w:rFonts w:hint="eastAsia" w:ascii="Times New Roman" w:hAnsi="Times New Roman"/>
          <w:kern w:val="0"/>
          <w:szCs w:val="24"/>
        </w:rPr>
        <w:t>期末按公允价值占基金资产净值比例大小排序的前五名债券投资明细</w:t>
      </w:r>
      <w:bookmarkEnd w:id="222"/>
      <w:bookmarkEnd w:id="223"/>
      <w:bookmarkEnd w:id="224"/>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1670"/>
        <w:gridCol w:w="1282"/>
        <w:gridCol w:w="1849"/>
        <w:gridCol w:w="2126"/>
        <w:gridCol w:w="15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pPr>
              <w:spacing w:before="29" w:line="288" w:lineRule="auto"/>
              <w:ind w:left="17"/>
              <w:jc w:val="center"/>
              <w:rPr>
                <w:color w:val="000000"/>
                <w:sz w:val="24"/>
              </w:rPr>
            </w:pPr>
            <w:r>
              <w:rPr>
                <w:rFonts w:hint="eastAsia"/>
                <w:color w:val="000000"/>
                <w:sz w:val="24"/>
              </w:rPr>
              <w:t>序号</w:t>
            </w:r>
          </w:p>
        </w:tc>
        <w:tc>
          <w:tcPr>
            <w:tcW w:w="1670" w:type="dxa"/>
            <w:vAlign w:val="center"/>
          </w:tcPr>
          <w:p>
            <w:pPr>
              <w:spacing w:before="29" w:line="288" w:lineRule="auto"/>
              <w:ind w:left="17"/>
              <w:jc w:val="center"/>
              <w:rPr>
                <w:color w:val="000000"/>
                <w:sz w:val="24"/>
              </w:rPr>
            </w:pPr>
            <w:r>
              <w:rPr>
                <w:rFonts w:hint="eastAsia"/>
                <w:color w:val="000000"/>
                <w:sz w:val="24"/>
              </w:rPr>
              <w:t>债券代码</w:t>
            </w:r>
          </w:p>
        </w:tc>
        <w:tc>
          <w:tcPr>
            <w:tcW w:w="1282" w:type="dxa"/>
            <w:vAlign w:val="center"/>
          </w:tcPr>
          <w:p>
            <w:pPr>
              <w:spacing w:before="29" w:line="288" w:lineRule="auto"/>
              <w:ind w:left="17"/>
              <w:jc w:val="center"/>
              <w:rPr>
                <w:color w:val="000000"/>
                <w:sz w:val="24"/>
              </w:rPr>
            </w:pPr>
            <w:r>
              <w:rPr>
                <w:rFonts w:hint="eastAsia"/>
                <w:color w:val="000000"/>
                <w:sz w:val="24"/>
              </w:rPr>
              <w:t>债券名称</w:t>
            </w:r>
          </w:p>
        </w:tc>
        <w:tc>
          <w:tcPr>
            <w:tcW w:w="1849" w:type="dxa"/>
            <w:vAlign w:val="center"/>
          </w:tcPr>
          <w:p>
            <w:pPr>
              <w:spacing w:before="29" w:line="288" w:lineRule="auto"/>
              <w:ind w:left="17"/>
              <w:jc w:val="center"/>
              <w:rPr>
                <w:color w:val="000000"/>
                <w:sz w:val="24"/>
              </w:rPr>
            </w:pPr>
            <w:r>
              <w:rPr>
                <w:rFonts w:hint="eastAsia"/>
                <w:color w:val="000000"/>
                <w:sz w:val="24"/>
              </w:rPr>
              <w:t>数量</w:t>
            </w:r>
            <w:r>
              <w:rPr>
                <w:color w:val="000000"/>
                <w:sz w:val="24"/>
              </w:rPr>
              <w:t>(</w:t>
            </w:r>
            <w:r>
              <w:rPr>
                <w:rFonts w:hint="eastAsia"/>
                <w:color w:val="000000"/>
                <w:sz w:val="24"/>
              </w:rPr>
              <w:t>张</w:t>
            </w:r>
            <w:r>
              <w:rPr>
                <w:color w:val="000000"/>
                <w:sz w:val="24"/>
              </w:rPr>
              <w:t>)</w:t>
            </w:r>
          </w:p>
        </w:tc>
        <w:tc>
          <w:tcPr>
            <w:tcW w:w="2126" w:type="dxa"/>
            <w:vAlign w:val="center"/>
          </w:tcPr>
          <w:p>
            <w:pPr>
              <w:spacing w:before="29" w:line="288" w:lineRule="auto"/>
              <w:ind w:left="17"/>
              <w:jc w:val="center"/>
              <w:rPr>
                <w:color w:val="000000"/>
                <w:sz w:val="24"/>
              </w:rPr>
            </w:pPr>
            <w:r>
              <w:rPr>
                <w:rFonts w:hint="eastAsia"/>
                <w:color w:val="000000"/>
                <w:sz w:val="24"/>
              </w:rPr>
              <w:t>公允价值</w:t>
            </w:r>
          </w:p>
        </w:tc>
        <w:tc>
          <w:tcPr>
            <w:tcW w:w="1578" w:type="dxa"/>
            <w:vAlign w:val="center"/>
          </w:tcPr>
          <w:p>
            <w:pPr>
              <w:spacing w:before="29" w:line="288" w:lineRule="auto"/>
              <w:ind w:left="17"/>
              <w:jc w:val="center"/>
              <w:rPr>
                <w:color w:val="000000"/>
                <w:sz w:val="24"/>
              </w:rPr>
            </w:pPr>
            <w:r>
              <w:rPr>
                <w:color w:val="000000"/>
                <w:sz w:val="24"/>
              </w:rPr>
              <w:t>占基金资产净值比例（％）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pPr>
              <w:jc w:val="center"/>
            </w:pPr>
            <w:r>
              <w:rPr>
                <w:color w:val="000000"/>
                <w:sz w:val="24"/>
              </w:rPr>
              <w:t>1</w:t>
            </w:r>
          </w:p>
        </w:tc>
        <w:tc>
          <w:tcPr>
            <w:tcW w:w="1670" w:type="dxa"/>
            <w:vAlign w:val="center"/>
          </w:tcPr>
          <w:p>
            <w:pPr>
              <w:jc w:val="center"/>
            </w:pPr>
            <w:r>
              <w:rPr>
                <w:color w:val="000000"/>
                <w:sz w:val="24"/>
              </w:rPr>
              <w:t>200406</w:t>
            </w:r>
          </w:p>
        </w:tc>
        <w:tc>
          <w:tcPr>
            <w:tcW w:w="1282" w:type="dxa"/>
            <w:vAlign w:val="center"/>
          </w:tcPr>
          <w:p>
            <w:pPr>
              <w:jc w:val="center"/>
            </w:pPr>
            <w:r>
              <w:rPr>
                <w:color w:val="000000"/>
                <w:sz w:val="24"/>
              </w:rPr>
              <w:t>20农发06</w:t>
            </w:r>
          </w:p>
        </w:tc>
        <w:tc>
          <w:tcPr>
            <w:tcW w:w="1849" w:type="dxa"/>
            <w:vAlign w:val="center"/>
          </w:tcPr>
          <w:p>
            <w:pPr>
              <w:jc w:val="right"/>
            </w:pPr>
            <w:r>
              <w:rPr>
                <w:color w:val="000000"/>
                <w:sz w:val="24"/>
              </w:rPr>
              <w:t>2,100,000</w:t>
            </w:r>
          </w:p>
        </w:tc>
        <w:tc>
          <w:tcPr>
            <w:tcW w:w="2126" w:type="dxa"/>
            <w:vAlign w:val="center"/>
          </w:tcPr>
          <w:p>
            <w:pPr>
              <w:jc w:val="right"/>
            </w:pPr>
            <w:r>
              <w:rPr>
                <w:color w:val="000000"/>
                <w:sz w:val="24"/>
              </w:rPr>
              <w:t>209,496,000.00</w:t>
            </w:r>
          </w:p>
        </w:tc>
        <w:tc>
          <w:tcPr>
            <w:tcW w:w="1578" w:type="dxa"/>
            <w:vAlign w:val="center"/>
          </w:tcPr>
          <w:p>
            <w:pPr>
              <w:jc w:val="right"/>
            </w:pPr>
            <w:r>
              <w:rPr>
                <w:color w:val="000000"/>
                <w:sz w:val="24"/>
              </w:rPr>
              <w:t>1.78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pPr>
              <w:jc w:val="center"/>
            </w:pPr>
            <w:r>
              <w:rPr>
                <w:color w:val="000000"/>
                <w:sz w:val="24"/>
              </w:rPr>
              <w:t>2</w:t>
            </w:r>
          </w:p>
        </w:tc>
        <w:tc>
          <w:tcPr>
            <w:tcW w:w="1670" w:type="dxa"/>
            <w:vAlign w:val="center"/>
          </w:tcPr>
          <w:p>
            <w:pPr>
              <w:jc w:val="center"/>
            </w:pPr>
            <w:r>
              <w:rPr>
                <w:color w:val="000000"/>
                <w:sz w:val="24"/>
              </w:rPr>
              <w:t>200216</w:t>
            </w:r>
          </w:p>
        </w:tc>
        <w:tc>
          <w:tcPr>
            <w:tcW w:w="1282" w:type="dxa"/>
            <w:vAlign w:val="center"/>
          </w:tcPr>
          <w:p>
            <w:pPr>
              <w:jc w:val="center"/>
            </w:pPr>
            <w:r>
              <w:rPr>
                <w:color w:val="000000"/>
                <w:sz w:val="24"/>
              </w:rPr>
              <w:t>20国开16</w:t>
            </w:r>
          </w:p>
        </w:tc>
        <w:tc>
          <w:tcPr>
            <w:tcW w:w="1849" w:type="dxa"/>
            <w:vAlign w:val="center"/>
          </w:tcPr>
          <w:p>
            <w:pPr>
              <w:jc w:val="right"/>
            </w:pPr>
            <w:r>
              <w:rPr>
                <w:color w:val="000000"/>
                <w:sz w:val="24"/>
              </w:rPr>
              <w:t>1,500,000</w:t>
            </w:r>
          </w:p>
        </w:tc>
        <w:tc>
          <w:tcPr>
            <w:tcW w:w="2126" w:type="dxa"/>
            <w:vAlign w:val="center"/>
          </w:tcPr>
          <w:p>
            <w:pPr>
              <w:jc w:val="right"/>
            </w:pPr>
            <w:r>
              <w:rPr>
                <w:color w:val="000000"/>
                <w:sz w:val="24"/>
              </w:rPr>
              <w:t>150,255,000.00</w:t>
            </w:r>
          </w:p>
        </w:tc>
        <w:tc>
          <w:tcPr>
            <w:tcW w:w="1578" w:type="dxa"/>
            <w:vAlign w:val="center"/>
          </w:tcPr>
          <w:p>
            <w:pPr>
              <w:jc w:val="right"/>
            </w:pPr>
            <w:r>
              <w:rPr>
                <w:color w:val="000000"/>
                <w:sz w:val="24"/>
              </w:rPr>
              <w:t>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pPr>
              <w:jc w:val="center"/>
            </w:pPr>
            <w:r>
              <w:rPr>
                <w:color w:val="000000"/>
                <w:sz w:val="24"/>
              </w:rPr>
              <w:t>3</w:t>
            </w:r>
          </w:p>
        </w:tc>
        <w:tc>
          <w:tcPr>
            <w:tcW w:w="1670" w:type="dxa"/>
            <w:vAlign w:val="center"/>
          </w:tcPr>
          <w:p>
            <w:pPr>
              <w:jc w:val="center"/>
            </w:pPr>
            <w:r>
              <w:rPr>
                <w:color w:val="000000"/>
                <w:sz w:val="24"/>
              </w:rPr>
              <w:t>200409</w:t>
            </w:r>
          </w:p>
        </w:tc>
        <w:tc>
          <w:tcPr>
            <w:tcW w:w="1282" w:type="dxa"/>
            <w:vAlign w:val="center"/>
          </w:tcPr>
          <w:p>
            <w:pPr>
              <w:jc w:val="center"/>
            </w:pPr>
            <w:r>
              <w:rPr>
                <w:color w:val="000000"/>
                <w:sz w:val="24"/>
              </w:rPr>
              <w:t>20农发09</w:t>
            </w:r>
          </w:p>
        </w:tc>
        <w:tc>
          <w:tcPr>
            <w:tcW w:w="1849" w:type="dxa"/>
            <w:vAlign w:val="center"/>
          </w:tcPr>
          <w:p>
            <w:pPr>
              <w:jc w:val="right"/>
            </w:pPr>
            <w:r>
              <w:rPr>
                <w:color w:val="000000"/>
                <w:sz w:val="24"/>
              </w:rPr>
              <w:t>700,000</w:t>
            </w:r>
          </w:p>
        </w:tc>
        <w:tc>
          <w:tcPr>
            <w:tcW w:w="2126" w:type="dxa"/>
            <w:vAlign w:val="center"/>
          </w:tcPr>
          <w:p>
            <w:pPr>
              <w:jc w:val="right"/>
            </w:pPr>
            <w:r>
              <w:rPr>
                <w:color w:val="000000"/>
                <w:sz w:val="24"/>
              </w:rPr>
              <w:t>70,028,000.00</w:t>
            </w:r>
          </w:p>
        </w:tc>
        <w:tc>
          <w:tcPr>
            <w:tcW w:w="1578" w:type="dxa"/>
            <w:vAlign w:val="center"/>
          </w:tcPr>
          <w:p>
            <w:pPr>
              <w:jc w:val="right"/>
            </w:pPr>
            <w:r>
              <w:rPr>
                <w:color w:val="000000"/>
                <w:sz w:val="24"/>
              </w:rPr>
              <w:t>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pPr>
              <w:jc w:val="center"/>
            </w:pPr>
            <w:r>
              <w:rPr>
                <w:color w:val="000000"/>
                <w:sz w:val="24"/>
              </w:rPr>
              <w:t>4</w:t>
            </w:r>
          </w:p>
        </w:tc>
        <w:tc>
          <w:tcPr>
            <w:tcW w:w="1670" w:type="dxa"/>
            <w:vAlign w:val="center"/>
          </w:tcPr>
          <w:p>
            <w:pPr>
              <w:jc w:val="center"/>
            </w:pPr>
            <w:r>
              <w:rPr>
                <w:color w:val="000000"/>
                <w:sz w:val="24"/>
              </w:rPr>
              <w:t>200309</w:t>
            </w:r>
          </w:p>
        </w:tc>
        <w:tc>
          <w:tcPr>
            <w:tcW w:w="1282" w:type="dxa"/>
            <w:vAlign w:val="center"/>
          </w:tcPr>
          <w:p>
            <w:pPr>
              <w:jc w:val="center"/>
            </w:pPr>
            <w:r>
              <w:rPr>
                <w:color w:val="000000"/>
                <w:sz w:val="24"/>
              </w:rPr>
              <w:t>20进出09</w:t>
            </w:r>
          </w:p>
        </w:tc>
        <w:tc>
          <w:tcPr>
            <w:tcW w:w="1849" w:type="dxa"/>
            <w:vAlign w:val="center"/>
          </w:tcPr>
          <w:p>
            <w:pPr>
              <w:jc w:val="right"/>
            </w:pPr>
            <w:r>
              <w:rPr>
                <w:color w:val="000000"/>
                <w:sz w:val="24"/>
              </w:rPr>
              <w:t>600,000</w:t>
            </w:r>
          </w:p>
        </w:tc>
        <w:tc>
          <w:tcPr>
            <w:tcW w:w="2126" w:type="dxa"/>
            <w:vAlign w:val="center"/>
          </w:tcPr>
          <w:p>
            <w:pPr>
              <w:jc w:val="right"/>
            </w:pPr>
            <w:r>
              <w:rPr>
                <w:color w:val="000000"/>
                <w:sz w:val="24"/>
              </w:rPr>
              <w:t>59,988,000.00</w:t>
            </w:r>
          </w:p>
        </w:tc>
        <w:tc>
          <w:tcPr>
            <w:tcW w:w="1578" w:type="dxa"/>
            <w:vAlign w:val="center"/>
          </w:tcPr>
          <w:p>
            <w:pPr>
              <w:jc w:val="right"/>
            </w:pPr>
            <w:r>
              <w:rPr>
                <w:color w:val="000000"/>
                <w:sz w:val="24"/>
              </w:rPr>
              <w:t>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pPr>
              <w:jc w:val="center"/>
            </w:pPr>
            <w:r>
              <w:rPr>
                <w:color w:val="000000"/>
                <w:sz w:val="24"/>
              </w:rPr>
              <w:t>5</w:t>
            </w:r>
          </w:p>
        </w:tc>
        <w:tc>
          <w:tcPr>
            <w:tcW w:w="1670" w:type="dxa"/>
            <w:vAlign w:val="center"/>
          </w:tcPr>
          <w:p>
            <w:pPr>
              <w:jc w:val="center"/>
            </w:pPr>
            <w:r>
              <w:rPr>
                <w:color w:val="000000"/>
                <w:sz w:val="24"/>
              </w:rPr>
              <w:t>200211</w:t>
            </w:r>
          </w:p>
        </w:tc>
        <w:tc>
          <w:tcPr>
            <w:tcW w:w="1282" w:type="dxa"/>
            <w:vAlign w:val="center"/>
          </w:tcPr>
          <w:p>
            <w:pPr>
              <w:jc w:val="center"/>
            </w:pPr>
            <w:r>
              <w:rPr>
                <w:color w:val="000000"/>
                <w:sz w:val="24"/>
              </w:rPr>
              <w:t>20国开11</w:t>
            </w:r>
          </w:p>
        </w:tc>
        <w:tc>
          <w:tcPr>
            <w:tcW w:w="1849" w:type="dxa"/>
            <w:vAlign w:val="center"/>
          </w:tcPr>
          <w:p>
            <w:pPr>
              <w:jc w:val="right"/>
            </w:pPr>
            <w:r>
              <w:rPr>
                <w:color w:val="000000"/>
                <w:sz w:val="24"/>
              </w:rPr>
              <w:t>400,000</w:t>
            </w:r>
          </w:p>
        </w:tc>
        <w:tc>
          <w:tcPr>
            <w:tcW w:w="2126" w:type="dxa"/>
            <w:vAlign w:val="center"/>
          </w:tcPr>
          <w:p>
            <w:pPr>
              <w:jc w:val="right"/>
            </w:pPr>
            <w:r>
              <w:rPr>
                <w:color w:val="000000"/>
                <w:sz w:val="24"/>
              </w:rPr>
              <w:t>39,840,000.00</w:t>
            </w:r>
          </w:p>
        </w:tc>
        <w:tc>
          <w:tcPr>
            <w:tcW w:w="1578" w:type="dxa"/>
            <w:vAlign w:val="center"/>
          </w:tcPr>
          <w:p>
            <w:pPr>
              <w:jc w:val="right"/>
            </w:pPr>
            <w:r>
              <w:rPr>
                <w:color w:val="000000"/>
                <w:sz w:val="24"/>
              </w:rPr>
              <w:t>0.34</w:t>
            </w:r>
          </w:p>
        </w:tc>
      </w:tr>
    </w:tbl>
    <w:p>
      <w:pPr>
        <w:tabs>
          <w:tab w:val="left" w:pos="426"/>
        </w:tabs>
        <w:spacing w:before="29" w:line="288" w:lineRule="auto"/>
        <w:jc w:val="left"/>
        <w:rPr>
          <w:kern w:val="0"/>
          <w:sz w:val="24"/>
        </w:rPr>
      </w:pPr>
      <w:bookmarkStart w:id="225" w:name="_Toc361324885"/>
    </w:p>
    <w:p>
      <w:pPr>
        <w:pStyle w:val="3"/>
        <w:spacing w:before="29" w:after="0" w:line="288" w:lineRule="auto"/>
        <w:rPr>
          <w:rFonts w:ascii="Times New Roman" w:hAnsi="Times New Roman"/>
          <w:kern w:val="0"/>
          <w:szCs w:val="24"/>
        </w:rPr>
      </w:pPr>
      <w:bookmarkStart w:id="226" w:name="_Toc67596692"/>
      <w:r>
        <w:rPr>
          <w:rFonts w:ascii="Times New Roman" w:hAnsi="Times New Roman"/>
          <w:kern w:val="0"/>
          <w:szCs w:val="24"/>
        </w:rPr>
        <w:t>8.7</w:t>
      </w:r>
      <w:r>
        <w:rPr>
          <w:rFonts w:hint="eastAsia" w:ascii="Times New Roman" w:hAnsi="Times New Roman"/>
          <w:kern w:val="0"/>
          <w:szCs w:val="24"/>
        </w:rPr>
        <w:t>期末按公允价值占基金资产净值比例大小排序的所有资产支持证券投资明细</w:t>
      </w:r>
      <w:bookmarkEnd w:id="225"/>
      <w:bookmarkEnd w:id="226"/>
    </w:p>
    <w:p>
      <w:pPr>
        <w:tabs>
          <w:tab w:val="left" w:pos="426"/>
        </w:tabs>
        <w:spacing w:before="29" w:line="288" w:lineRule="auto"/>
        <w:jc w:val="left"/>
        <w:rPr>
          <w:kern w:val="0"/>
          <w:sz w:val="24"/>
        </w:rPr>
      </w:pPr>
      <w:r>
        <w:rPr>
          <w:kern w:val="0"/>
          <w:sz w:val="24"/>
        </w:rPr>
        <w:t>本基金本报告期末未持有资产支持证券。</w:t>
      </w:r>
      <w:r>
        <w:rPr>
          <w:rFonts w:hint="eastAsia"/>
          <w:kern w:val="0"/>
          <w:sz w:val="24"/>
        </w:rPr>
        <w:br w:type="textWrapping"/>
      </w:r>
    </w:p>
    <w:p>
      <w:pPr>
        <w:pStyle w:val="3"/>
        <w:spacing w:before="29" w:after="0" w:line="288" w:lineRule="auto"/>
        <w:rPr>
          <w:rFonts w:ascii="Times New Roman" w:hAnsi="Times New Roman"/>
          <w:kern w:val="0"/>
          <w:szCs w:val="24"/>
        </w:rPr>
      </w:pPr>
      <w:bookmarkStart w:id="227" w:name="_Toc67596693"/>
      <w:r>
        <w:rPr>
          <w:rFonts w:ascii="Times New Roman" w:hAnsi="Times New Roman"/>
          <w:kern w:val="0"/>
          <w:szCs w:val="24"/>
        </w:rPr>
        <w:t>8.8</w:t>
      </w:r>
      <w:r>
        <w:rPr>
          <w:rFonts w:hint="eastAsia" w:ascii="Times New Roman" w:hAnsi="Times New Roman"/>
          <w:kern w:val="0"/>
          <w:szCs w:val="24"/>
        </w:rPr>
        <w:t>报告期末按公允价值占基金资产净值比例大小排序的前五名贵金属投资明细</w:t>
      </w:r>
      <w:bookmarkEnd w:id="227"/>
    </w:p>
    <w:p>
      <w:pPr>
        <w:tabs>
          <w:tab w:val="left" w:pos="426"/>
        </w:tabs>
        <w:spacing w:before="29" w:line="288" w:lineRule="auto"/>
        <w:jc w:val="left"/>
        <w:rPr>
          <w:kern w:val="0"/>
          <w:sz w:val="24"/>
        </w:rPr>
      </w:pPr>
      <w:r>
        <w:rPr>
          <w:kern w:val="0"/>
          <w:sz w:val="24"/>
        </w:rPr>
        <w:t>本基金本报告期末未持有贵金属。</w:t>
      </w:r>
    </w:p>
    <w:p>
      <w:pPr>
        <w:tabs>
          <w:tab w:val="left" w:pos="426"/>
        </w:tabs>
        <w:spacing w:before="29" w:line="288" w:lineRule="auto"/>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28" w:name="_Toc361324886"/>
      <w:bookmarkStart w:id="229" w:name="_Toc67596694"/>
      <w:r>
        <w:rPr>
          <w:rFonts w:ascii="Times New Roman" w:hAnsi="Times New Roman"/>
          <w:kern w:val="0"/>
          <w:szCs w:val="24"/>
        </w:rPr>
        <w:t>8.9</w:t>
      </w:r>
      <w:r>
        <w:rPr>
          <w:rFonts w:hint="eastAsia" w:ascii="Times New Roman" w:hAnsi="Times New Roman"/>
          <w:kern w:val="0"/>
          <w:szCs w:val="24"/>
        </w:rPr>
        <w:t>期末按公允价值占基金资产净值比例大小排序的前五名权证投资明细</w:t>
      </w:r>
      <w:bookmarkEnd w:id="228"/>
      <w:bookmarkEnd w:id="229"/>
    </w:p>
    <w:p>
      <w:pPr>
        <w:tabs>
          <w:tab w:val="left" w:pos="426"/>
        </w:tabs>
        <w:spacing w:before="29" w:line="288" w:lineRule="auto"/>
        <w:jc w:val="left"/>
        <w:rPr>
          <w:kern w:val="0"/>
          <w:sz w:val="24"/>
        </w:rPr>
      </w:pPr>
      <w:r>
        <w:rPr>
          <w:kern w:val="0"/>
          <w:sz w:val="24"/>
        </w:rPr>
        <w:t>本基金本报告期末未持有权证。</w:t>
      </w:r>
    </w:p>
    <w:p>
      <w:pPr>
        <w:pStyle w:val="28"/>
        <w:spacing w:before="0" w:beforeAutospacing="0" w:after="0" w:afterAutospacing="0" w:line="360" w:lineRule="auto"/>
        <w:rPr>
          <w:rFonts w:asciiTheme="minorEastAsia" w:hAnsiTheme="minorEastAsia" w:eastAsiaTheme="minorEastAsia"/>
          <w:color w:val="000000"/>
          <w:sz w:val="21"/>
          <w:szCs w:val="21"/>
        </w:rPr>
      </w:pPr>
    </w:p>
    <w:p>
      <w:pPr>
        <w:pStyle w:val="3"/>
        <w:spacing w:before="29" w:after="0" w:line="288" w:lineRule="auto"/>
        <w:rPr>
          <w:rFonts w:ascii="Times New Roman" w:hAnsi="Times New Roman"/>
          <w:kern w:val="0"/>
          <w:szCs w:val="24"/>
        </w:rPr>
      </w:pPr>
      <w:bookmarkStart w:id="230" w:name="_Toc67596695"/>
      <w:r>
        <w:rPr>
          <w:rFonts w:hint="eastAsia" w:ascii="Times New Roman" w:hAnsi="Times New Roman"/>
          <w:kern w:val="0"/>
          <w:szCs w:val="24"/>
        </w:rPr>
        <w:t>8.10 报告期末本基金投资的股指期货交易情况说明</w:t>
      </w:r>
      <w:bookmarkEnd w:id="230"/>
    </w:p>
    <w:p>
      <w:pPr>
        <w:tabs>
          <w:tab w:val="left" w:pos="426"/>
        </w:tabs>
        <w:spacing w:before="29" w:line="288" w:lineRule="auto"/>
        <w:jc w:val="left"/>
        <w:rPr>
          <w:kern w:val="0"/>
          <w:sz w:val="24"/>
        </w:rPr>
      </w:pPr>
      <w:r>
        <w:rPr>
          <w:kern w:val="0"/>
          <w:sz w:val="24"/>
        </w:rPr>
        <w:t>本基金本报告期末未持有股指期货。</w:t>
      </w:r>
    </w:p>
    <w:p>
      <w:pPr>
        <w:adjustRightInd w:val="0"/>
        <w:snapToGrid w:val="0"/>
        <w:spacing w:line="360" w:lineRule="auto"/>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231" w:name="_Toc67596696"/>
      <w:r>
        <w:rPr>
          <w:rFonts w:hint="eastAsia" w:ascii="Times New Roman" w:hAnsi="Times New Roman"/>
          <w:kern w:val="0"/>
          <w:szCs w:val="24"/>
        </w:rPr>
        <w:t>8.11报告期末本基金投资的国债期货交易情况说明</w:t>
      </w:r>
      <w:bookmarkEnd w:id="231"/>
    </w:p>
    <w:p>
      <w:pPr>
        <w:tabs>
          <w:tab w:val="left" w:pos="426"/>
        </w:tabs>
        <w:spacing w:before="29" w:line="288" w:lineRule="auto"/>
        <w:jc w:val="left"/>
        <w:rPr>
          <w:kern w:val="0"/>
          <w:sz w:val="24"/>
        </w:rPr>
      </w:pPr>
      <w:r>
        <w:rPr>
          <w:rFonts w:hint="eastAsia"/>
          <w:kern w:val="0"/>
          <w:sz w:val="24"/>
        </w:rPr>
        <w:t>本基金本报告期末未持有国债期货。</w:t>
      </w:r>
    </w:p>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232" w:name="_Toc67596697"/>
      <w:bookmarkStart w:id="233" w:name="_Toc361324887"/>
      <w:r>
        <w:rPr>
          <w:rFonts w:ascii="Times New Roman" w:hAnsi="Times New Roman"/>
          <w:kern w:val="0"/>
          <w:szCs w:val="24"/>
        </w:rPr>
        <w:t xml:space="preserve">8.12 </w:t>
      </w:r>
      <w:r>
        <w:rPr>
          <w:rFonts w:hint="eastAsia" w:ascii="Times New Roman" w:hAnsi="Times New Roman"/>
          <w:kern w:val="0"/>
          <w:szCs w:val="24"/>
        </w:rPr>
        <w:t>投资组合报告附注</w:t>
      </w:r>
      <w:bookmarkEnd w:id="232"/>
      <w:bookmarkEnd w:id="233"/>
    </w:p>
    <w:p>
      <w:pPr>
        <w:spacing w:before="29" w:line="288" w:lineRule="auto"/>
        <w:rPr>
          <w:color w:val="000000"/>
          <w:sz w:val="24"/>
        </w:rPr>
      </w:pPr>
      <w:r>
        <w:rPr>
          <w:b/>
          <w:color w:val="000000"/>
          <w:sz w:val="24"/>
        </w:rPr>
        <w:t>8.12.1</w:t>
      </w:r>
      <w:r>
        <w:rPr>
          <w:color w:val="000000"/>
          <w:sz w:val="24"/>
        </w:rPr>
        <w:t>报告期内本基金投资的前十名证券的发行主体未被监管部门立案调查，在本报告编制日前一年内本基金投资的前十名证券的发行主体未受到公开谴责和处罚。</w:t>
      </w:r>
    </w:p>
    <w:p>
      <w:pPr>
        <w:spacing w:before="29" w:line="288" w:lineRule="auto"/>
        <w:rPr>
          <w:color w:val="000000"/>
          <w:sz w:val="24"/>
        </w:rPr>
      </w:pPr>
      <w:r>
        <w:rPr>
          <w:b/>
          <w:color w:val="000000"/>
          <w:sz w:val="24"/>
        </w:rPr>
        <w:t>8.12.2</w:t>
      </w:r>
      <w:r>
        <w:rPr>
          <w:color w:val="000000"/>
          <w:sz w:val="24"/>
        </w:rPr>
        <w:t>本基金投资的前十名股票中，没有超出基金合同规定的备选股票库之外的股票。</w:t>
      </w:r>
    </w:p>
    <w:p>
      <w:pPr>
        <w:pStyle w:val="3"/>
        <w:spacing w:before="29" w:after="0" w:line="288" w:lineRule="auto"/>
        <w:rPr>
          <w:rFonts w:ascii="Times New Roman" w:hAnsi="Times New Roman"/>
          <w:kern w:val="0"/>
          <w:szCs w:val="24"/>
        </w:rPr>
      </w:pPr>
      <w:bookmarkStart w:id="234" w:name="_Toc67596698"/>
      <w:r>
        <w:rPr>
          <w:rFonts w:ascii="Times New Roman" w:hAnsi="Times New Roman"/>
          <w:kern w:val="0"/>
          <w:szCs w:val="24"/>
        </w:rPr>
        <w:t>8.12.3</w:t>
      </w:r>
      <w:r>
        <w:rPr>
          <w:rFonts w:hint="eastAsia" w:ascii="Times New Roman" w:hAnsi="Times New Roman"/>
          <w:kern w:val="0"/>
          <w:szCs w:val="24"/>
        </w:rPr>
        <w:t>期末其他各项资产构成</w:t>
      </w:r>
      <w:bookmarkEnd w:id="234"/>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4117"/>
        <w:gridCol w:w="41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spacing w:before="29" w:line="288" w:lineRule="auto"/>
              <w:jc w:val="center"/>
              <w:rPr>
                <w:color w:val="000000"/>
                <w:sz w:val="24"/>
              </w:rPr>
            </w:pPr>
            <w:r>
              <w:rPr>
                <w:rFonts w:hint="eastAsia"/>
                <w:color w:val="000000"/>
                <w:sz w:val="24"/>
              </w:rPr>
              <w:t>序号</w:t>
            </w:r>
          </w:p>
        </w:tc>
        <w:tc>
          <w:tcPr>
            <w:tcW w:w="4117" w:type="dxa"/>
          </w:tcPr>
          <w:p>
            <w:pPr>
              <w:spacing w:before="29" w:line="288" w:lineRule="auto"/>
              <w:jc w:val="center"/>
              <w:rPr>
                <w:color w:val="000000"/>
                <w:sz w:val="24"/>
              </w:rPr>
            </w:pPr>
            <w:r>
              <w:rPr>
                <w:rFonts w:hint="eastAsia"/>
                <w:color w:val="000000"/>
                <w:sz w:val="24"/>
              </w:rPr>
              <w:t>名称</w:t>
            </w:r>
          </w:p>
        </w:tc>
        <w:tc>
          <w:tcPr>
            <w:tcW w:w="4118" w:type="dxa"/>
          </w:tcPr>
          <w:p>
            <w:pPr>
              <w:spacing w:before="29" w:line="288" w:lineRule="auto"/>
              <w:jc w:val="center"/>
              <w:rPr>
                <w:color w:val="000000"/>
                <w:sz w:val="24"/>
              </w:rPr>
            </w:pPr>
            <w:r>
              <w:rPr>
                <w:rFonts w:hint="eastAsia"/>
                <w:color w:val="000000"/>
                <w:sz w:val="24"/>
              </w:rPr>
              <w:t>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1</w:t>
            </w:r>
          </w:p>
        </w:tc>
        <w:tc>
          <w:tcPr>
            <w:tcW w:w="4117" w:type="dxa"/>
            <w:vAlign w:val="center"/>
          </w:tcPr>
          <w:p>
            <w:pPr>
              <w:widowControl/>
              <w:spacing w:before="29" w:line="288" w:lineRule="auto"/>
              <w:rPr>
                <w:color w:val="000000"/>
                <w:kern w:val="0"/>
                <w:sz w:val="24"/>
              </w:rPr>
            </w:pPr>
            <w:r>
              <w:rPr>
                <w:rFonts w:hint="eastAsia"/>
                <w:color w:val="000000"/>
                <w:kern w:val="0"/>
                <w:sz w:val="24"/>
              </w:rPr>
              <w:t>存出保证金</w:t>
            </w:r>
          </w:p>
        </w:tc>
        <w:tc>
          <w:tcPr>
            <w:tcW w:w="4118" w:type="dxa"/>
            <w:vAlign w:val="center"/>
          </w:tcPr>
          <w:p>
            <w:pPr>
              <w:spacing w:before="29" w:line="288" w:lineRule="auto"/>
              <w:jc w:val="right"/>
              <w:rPr>
                <w:kern w:val="0"/>
                <w:sz w:val="24"/>
              </w:rPr>
            </w:pPr>
            <w:r>
              <w:rPr>
                <w:kern w:val="0"/>
                <w:sz w:val="24"/>
              </w:rPr>
              <w:t>2,021,332.53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2</w:t>
            </w:r>
          </w:p>
        </w:tc>
        <w:tc>
          <w:tcPr>
            <w:tcW w:w="4117" w:type="dxa"/>
            <w:vAlign w:val="center"/>
          </w:tcPr>
          <w:p>
            <w:pPr>
              <w:widowControl/>
              <w:spacing w:before="29" w:line="288" w:lineRule="auto"/>
              <w:rPr>
                <w:color w:val="000000"/>
                <w:kern w:val="0"/>
                <w:sz w:val="24"/>
              </w:rPr>
            </w:pPr>
            <w:r>
              <w:rPr>
                <w:rFonts w:hint="eastAsia"/>
                <w:color w:val="000000"/>
                <w:kern w:val="0"/>
                <w:sz w:val="24"/>
              </w:rPr>
              <w:t>应收证券清算款</w:t>
            </w:r>
          </w:p>
        </w:tc>
        <w:tc>
          <w:tcPr>
            <w:tcW w:w="4118" w:type="dxa"/>
            <w:vAlign w:val="center"/>
          </w:tcPr>
          <w:p>
            <w:pPr>
              <w:spacing w:before="29" w:line="288" w:lineRule="auto"/>
              <w:jc w:val="right"/>
              <w:rPr>
                <w:kern w:val="0"/>
                <w:sz w:val="24"/>
              </w:rPr>
            </w:pPr>
            <w:r>
              <w:rPr>
                <w:kern w:val="0"/>
                <w:sz w:val="24"/>
              </w:rPr>
              <w:t>74,159,088.59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3</w:t>
            </w:r>
          </w:p>
        </w:tc>
        <w:tc>
          <w:tcPr>
            <w:tcW w:w="4117" w:type="dxa"/>
            <w:vAlign w:val="center"/>
          </w:tcPr>
          <w:p>
            <w:pPr>
              <w:widowControl/>
              <w:spacing w:before="29" w:line="288" w:lineRule="auto"/>
              <w:rPr>
                <w:color w:val="000000"/>
                <w:kern w:val="0"/>
                <w:sz w:val="24"/>
              </w:rPr>
            </w:pPr>
            <w:r>
              <w:rPr>
                <w:rFonts w:hint="eastAsia"/>
                <w:color w:val="000000"/>
                <w:kern w:val="0"/>
                <w:sz w:val="24"/>
              </w:rPr>
              <w:t>应收股利</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4</w:t>
            </w:r>
          </w:p>
        </w:tc>
        <w:tc>
          <w:tcPr>
            <w:tcW w:w="4117" w:type="dxa"/>
            <w:vAlign w:val="center"/>
          </w:tcPr>
          <w:p>
            <w:pPr>
              <w:widowControl/>
              <w:spacing w:before="29" w:line="288" w:lineRule="auto"/>
              <w:rPr>
                <w:color w:val="000000"/>
                <w:kern w:val="0"/>
                <w:sz w:val="24"/>
              </w:rPr>
            </w:pPr>
            <w:r>
              <w:rPr>
                <w:rFonts w:hint="eastAsia"/>
                <w:color w:val="000000"/>
                <w:kern w:val="0"/>
                <w:sz w:val="24"/>
              </w:rPr>
              <w:t>应收利息</w:t>
            </w:r>
          </w:p>
        </w:tc>
        <w:tc>
          <w:tcPr>
            <w:tcW w:w="4118" w:type="dxa"/>
            <w:vAlign w:val="center"/>
          </w:tcPr>
          <w:p>
            <w:pPr>
              <w:spacing w:before="29" w:line="288" w:lineRule="auto"/>
              <w:jc w:val="right"/>
              <w:rPr>
                <w:kern w:val="0"/>
                <w:sz w:val="24"/>
              </w:rPr>
            </w:pPr>
            <w:r>
              <w:rPr>
                <w:kern w:val="0"/>
                <w:sz w:val="24"/>
              </w:rPr>
              <w:t>5,182,479.64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5</w:t>
            </w:r>
          </w:p>
        </w:tc>
        <w:tc>
          <w:tcPr>
            <w:tcW w:w="4117" w:type="dxa"/>
            <w:vAlign w:val="center"/>
          </w:tcPr>
          <w:p>
            <w:pPr>
              <w:widowControl/>
              <w:spacing w:before="29" w:line="288" w:lineRule="auto"/>
              <w:rPr>
                <w:color w:val="000000"/>
                <w:kern w:val="0"/>
                <w:sz w:val="24"/>
              </w:rPr>
            </w:pPr>
            <w:r>
              <w:rPr>
                <w:rFonts w:hint="eastAsia"/>
                <w:color w:val="000000"/>
                <w:kern w:val="0"/>
                <w:sz w:val="24"/>
              </w:rPr>
              <w:t>应收申购款</w:t>
            </w:r>
          </w:p>
        </w:tc>
        <w:tc>
          <w:tcPr>
            <w:tcW w:w="4118" w:type="dxa"/>
            <w:vAlign w:val="center"/>
          </w:tcPr>
          <w:p>
            <w:pPr>
              <w:spacing w:before="29" w:line="288" w:lineRule="auto"/>
              <w:jc w:val="right"/>
              <w:rPr>
                <w:kern w:val="0"/>
                <w:sz w:val="24"/>
              </w:rPr>
            </w:pPr>
            <w:r>
              <w:rPr>
                <w:kern w:val="0"/>
                <w:sz w:val="24"/>
              </w:rPr>
              <w:t>36,055,114.33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6</w:t>
            </w:r>
          </w:p>
        </w:tc>
        <w:tc>
          <w:tcPr>
            <w:tcW w:w="4117" w:type="dxa"/>
            <w:vAlign w:val="center"/>
          </w:tcPr>
          <w:p>
            <w:pPr>
              <w:widowControl/>
              <w:spacing w:before="29" w:line="288" w:lineRule="auto"/>
              <w:rPr>
                <w:color w:val="000000"/>
                <w:kern w:val="0"/>
                <w:sz w:val="24"/>
              </w:rPr>
            </w:pPr>
            <w:r>
              <w:rPr>
                <w:rFonts w:hint="eastAsia"/>
                <w:color w:val="000000"/>
                <w:kern w:val="0"/>
                <w:sz w:val="24"/>
              </w:rPr>
              <w:t>其他应收款</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7</w:t>
            </w:r>
          </w:p>
        </w:tc>
        <w:tc>
          <w:tcPr>
            <w:tcW w:w="4117" w:type="dxa"/>
            <w:vAlign w:val="center"/>
          </w:tcPr>
          <w:p>
            <w:pPr>
              <w:widowControl/>
              <w:spacing w:before="29" w:line="288" w:lineRule="auto"/>
              <w:rPr>
                <w:color w:val="000000"/>
                <w:kern w:val="0"/>
                <w:sz w:val="24"/>
              </w:rPr>
            </w:pPr>
            <w:r>
              <w:rPr>
                <w:rFonts w:hint="eastAsia"/>
                <w:color w:val="000000"/>
                <w:kern w:val="0"/>
                <w:sz w:val="24"/>
              </w:rPr>
              <w:t>待摊费用</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8</w:t>
            </w:r>
          </w:p>
        </w:tc>
        <w:tc>
          <w:tcPr>
            <w:tcW w:w="4117" w:type="dxa"/>
            <w:vAlign w:val="center"/>
          </w:tcPr>
          <w:p>
            <w:pPr>
              <w:widowControl/>
              <w:spacing w:line="288" w:lineRule="auto"/>
              <w:rPr>
                <w:color w:val="000000"/>
                <w:kern w:val="0"/>
                <w:sz w:val="24"/>
              </w:rPr>
            </w:pPr>
            <w:r>
              <w:rPr>
                <w:rFonts w:hint="eastAsia"/>
                <w:color w:val="000000"/>
                <w:kern w:val="0"/>
                <w:sz w:val="24"/>
              </w:rPr>
              <w:t>其他</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5" w:type="dxa"/>
            <w:vAlign w:val="center"/>
          </w:tcPr>
          <w:p>
            <w:pPr>
              <w:widowControl/>
              <w:spacing w:before="29" w:line="288" w:lineRule="auto"/>
              <w:jc w:val="center"/>
              <w:rPr>
                <w:color w:val="000000"/>
                <w:kern w:val="0"/>
                <w:sz w:val="24"/>
              </w:rPr>
            </w:pPr>
            <w:r>
              <w:rPr>
                <w:color w:val="000000"/>
                <w:kern w:val="0"/>
                <w:sz w:val="24"/>
              </w:rPr>
              <w:t>9</w:t>
            </w:r>
          </w:p>
        </w:tc>
        <w:tc>
          <w:tcPr>
            <w:tcW w:w="4117" w:type="dxa"/>
            <w:vAlign w:val="center"/>
          </w:tcPr>
          <w:p>
            <w:pPr>
              <w:widowControl/>
              <w:spacing w:line="288" w:lineRule="auto"/>
              <w:rPr>
                <w:color w:val="000000"/>
                <w:kern w:val="0"/>
                <w:sz w:val="24"/>
              </w:rPr>
            </w:pPr>
            <w:r>
              <w:rPr>
                <w:rFonts w:hint="eastAsia"/>
                <w:color w:val="000000"/>
                <w:kern w:val="0"/>
                <w:sz w:val="24"/>
              </w:rPr>
              <w:t>合计</w:t>
            </w:r>
          </w:p>
        </w:tc>
        <w:tc>
          <w:tcPr>
            <w:tcW w:w="4118" w:type="dxa"/>
            <w:vAlign w:val="center"/>
          </w:tcPr>
          <w:p>
            <w:pPr>
              <w:spacing w:before="29" w:line="288" w:lineRule="auto"/>
              <w:jc w:val="right"/>
              <w:rPr>
                <w:kern w:val="0"/>
                <w:sz w:val="24"/>
              </w:rPr>
            </w:pPr>
            <w:r>
              <w:rPr>
                <w:kern w:val="0"/>
                <w:sz w:val="24"/>
              </w:rPr>
              <w:t>117,418,015.09</w:t>
            </w:r>
          </w:p>
        </w:tc>
      </w:tr>
    </w:tbl>
    <w:p>
      <w:pPr>
        <w:pStyle w:val="28"/>
        <w:spacing w:before="0" w:beforeAutospacing="0" w:after="0" w:afterAutospacing="0" w:line="360" w:lineRule="auto"/>
        <w:rPr>
          <w:rFonts w:asciiTheme="minorEastAsia" w:hAnsiTheme="minorEastAsia" w:eastAsiaTheme="minorEastAsia"/>
          <w:b/>
          <w:bCs/>
          <w:color w:val="000000"/>
          <w:sz w:val="21"/>
          <w:szCs w:val="21"/>
        </w:rPr>
      </w:pPr>
    </w:p>
    <w:p>
      <w:pPr>
        <w:pStyle w:val="3"/>
        <w:spacing w:before="29" w:after="0" w:line="288" w:lineRule="auto"/>
        <w:rPr>
          <w:rFonts w:ascii="Times New Roman" w:hAnsi="Times New Roman"/>
          <w:kern w:val="0"/>
          <w:szCs w:val="24"/>
        </w:rPr>
      </w:pPr>
      <w:bookmarkStart w:id="235" w:name="_Toc67596699"/>
      <w:r>
        <w:rPr>
          <w:rFonts w:ascii="Times New Roman" w:hAnsi="Times New Roman"/>
          <w:kern w:val="0"/>
          <w:szCs w:val="24"/>
        </w:rPr>
        <w:t>8.12.4</w:t>
      </w:r>
      <w:r>
        <w:rPr>
          <w:rFonts w:hint="eastAsia" w:ascii="Times New Roman" w:hAnsi="Times New Roman"/>
          <w:kern w:val="0"/>
          <w:szCs w:val="24"/>
        </w:rPr>
        <w:t>期末持有的处于转股期的可转换债券明细</w:t>
      </w:r>
      <w:bookmarkEnd w:id="235"/>
    </w:p>
    <w:p>
      <w:pPr>
        <w:tabs>
          <w:tab w:val="left" w:pos="426"/>
        </w:tabs>
        <w:spacing w:before="29" w:line="288" w:lineRule="auto"/>
        <w:jc w:val="left"/>
        <w:rPr>
          <w:kern w:val="0"/>
          <w:sz w:val="24"/>
        </w:rPr>
      </w:pPr>
      <w:r>
        <w:rPr>
          <w:kern w:val="0"/>
          <w:sz w:val="24"/>
        </w:rPr>
        <w:t>本基金本报告期末未持有处于转股期的可转换债券。</w:t>
      </w:r>
    </w:p>
    <w:p>
      <w:pPr>
        <w:pStyle w:val="28"/>
        <w:spacing w:before="0" w:beforeAutospacing="0" w:after="0" w:afterAutospacing="0" w:line="360" w:lineRule="auto"/>
        <w:rPr>
          <w:rFonts w:asciiTheme="minorEastAsia" w:hAnsiTheme="minorEastAsia" w:eastAsiaTheme="minorEastAsia"/>
          <w:color w:val="000000"/>
          <w:sz w:val="21"/>
          <w:szCs w:val="21"/>
        </w:rPr>
      </w:pPr>
    </w:p>
    <w:p>
      <w:pPr>
        <w:pStyle w:val="3"/>
        <w:spacing w:before="29" w:after="0" w:line="288" w:lineRule="auto"/>
        <w:rPr>
          <w:rFonts w:ascii="Times New Roman" w:hAnsi="Times New Roman"/>
          <w:kern w:val="0"/>
          <w:szCs w:val="24"/>
        </w:rPr>
      </w:pPr>
      <w:bookmarkStart w:id="236" w:name="_Toc67596700"/>
      <w:r>
        <w:rPr>
          <w:rFonts w:ascii="Times New Roman" w:hAnsi="Times New Roman"/>
          <w:kern w:val="0"/>
          <w:szCs w:val="24"/>
        </w:rPr>
        <w:t>8.12.5</w:t>
      </w:r>
      <w:r>
        <w:rPr>
          <w:rFonts w:hint="eastAsia" w:ascii="Times New Roman" w:hAnsi="Times New Roman"/>
          <w:kern w:val="0"/>
          <w:szCs w:val="24"/>
        </w:rPr>
        <w:t>期末前十名股票中存在流通受限情况的说明</w:t>
      </w:r>
      <w:bookmarkEnd w:id="236"/>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418"/>
        <w:gridCol w:w="1485"/>
        <w:gridCol w:w="2058"/>
        <w:gridCol w:w="1418"/>
        <w:gridCol w:w="2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Align w:val="center"/>
          </w:tcPr>
          <w:p>
            <w:pPr>
              <w:spacing w:before="29" w:line="288" w:lineRule="auto"/>
              <w:ind w:left="17"/>
              <w:jc w:val="center"/>
              <w:rPr>
                <w:color w:val="000000"/>
                <w:sz w:val="24"/>
              </w:rPr>
            </w:pPr>
            <w:r>
              <w:rPr>
                <w:rFonts w:hint="eastAsia"/>
                <w:color w:val="000000"/>
                <w:sz w:val="24"/>
              </w:rPr>
              <w:t>序号</w:t>
            </w:r>
          </w:p>
        </w:tc>
        <w:tc>
          <w:tcPr>
            <w:tcW w:w="1418" w:type="dxa"/>
            <w:vAlign w:val="center"/>
          </w:tcPr>
          <w:p>
            <w:pPr>
              <w:spacing w:before="29" w:line="288" w:lineRule="auto"/>
              <w:ind w:left="17"/>
              <w:jc w:val="center"/>
              <w:rPr>
                <w:color w:val="000000"/>
                <w:sz w:val="24"/>
              </w:rPr>
            </w:pPr>
            <w:r>
              <w:rPr>
                <w:rFonts w:hint="eastAsia"/>
                <w:color w:val="000000"/>
                <w:sz w:val="24"/>
              </w:rPr>
              <w:t>股票代码</w:t>
            </w:r>
          </w:p>
        </w:tc>
        <w:tc>
          <w:tcPr>
            <w:tcW w:w="1485" w:type="dxa"/>
            <w:vAlign w:val="center"/>
          </w:tcPr>
          <w:p>
            <w:pPr>
              <w:spacing w:before="29" w:line="288" w:lineRule="auto"/>
              <w:ind w:left="17"/>
              <w:jc w:val="center"/>
              <w:rPr>
                <w:color w:val="000000"/>
                <w:sz w:val="24"/>
              </w:rPr>
            </w:pPr>
            <w:r>
              <w:rPr>
                <w:rFonts w:hint="eastAsia"/>
                <w:color w:val="000000"/>
                <w:sz w:val="24"/>
              </w:rPr>
              <w:t>股票名称</w:t>
            </w:r>
          </w:p>
        </w:tc>
        <w:tc>
          <w:tcPr>
            <w:tcW w:w="2058" w:type="dxa"/>
            <w:vAlign w:val="center"/>
          </w:tcPr>
          <w:p>
            <w:pPr>
              <w:spacing w:before="29" w:line="288" w:lineRule="auto"/>
              <w:ind w:left="17"/>
              <w:jc w:val="center"/>
              <w:rPr>
                <w:color w:val="000000"/>
                <w:sz w:val="24"/>
              </w:rPr>
            </w:pPr>
            <w:r>
              <w:rPr>
                <w:rFonts w:hint="eastAsia"/>
                <w:color w:val="000000"/>
                <w:sz w:val="24"/>
              </w:rPr>
              <w:t>流通受限部分的公允价值</w:t>
            </w:r>
          </w:p>
        </w:tc>
        <w:tc>
          <w:tcPr>
            <w:tcW w:w="1418" w:type="dxa"/>
            <w:vAlign w:val="center"/>
          </w:tcPr>
          <w:p>
            <w:pPr>
              <w:spacing w:before="29" w:line="288" w:lineRule="auto"/>
              <w:ind w:left="17"/>
              <w:jc w:val="center"/>
              <w:rPr>
                <w:color w:val="000000"/>
                <w:sz w:val="24"/>
              </w:rPr>
            </w:pPr>
            <w:r>
              <w:rPr>
                <w:rFonts w:hint="eastAsia"/>
                <w:color w:val="000000"/>
                <w:sz w:val="24"/>
              </w:rPr>
              <w:t>占基金资产净值比例</w:t>
            </w:r>
            <w:r>
              <w:rPr>
                <w:color w:val="000000"/>
                <w:sz w:val="24"/>
              </w:rPr>
              <w:t>(%)</w:t>
            </w:r>
          </w:p>
        </w:tc>
        <w:tc>
          <w:tcPr>
            <w:tcW w:w="2056" w:type="dxa"/>
            <w:vAlign w:val="center"/>
          </w:tcPr>
          <w:p>
            <w:pPr>
              <w:spacing w:before="29" w:line="288" w:lineRule="auto"/>
              <w:ind w:left="17"/>
              <w:jc w:val="center"/>
              <w:rPr>
                <w:color w:val="000000"/>
                <w:sz w:val="24"/>
              </w:rPr>
            </w:pPr>
            <w:r>
              <w:rPr>
                <w:rFonts w:hint="eastAsia"/>
                <w:color w:val="000000"/>
                <w:sz w:val="24"/>
              </w:rPr>
              <w:t>流通受限情况说明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Align w:val="center"/>
          </w:tcPr>
          <w:p>
            <w:pPr>
              <w:jc w:val="center"/>
            </w:pPr>
            <w:r>
              <w:rPr>
                <w:color w:val="000000"/>
                <w:sz w:val="24"/>
              </w:rPr>
              <w:t>1</w:t>
            </w:r>
          </w:p>
        </w:tc>
        <w:tc>
          <w:tcPr>
            <w:tcW w:w="1418" w:type="dxa"/>
            <w:vAlign w:val="center"/>
          </w:tcPr>
          <w:p>
            <w:pPr>
              <w:jc w:val="center"/>
            </w:pPr>
            <w:r>
              <w:rPr>
                <w:color w:val="000000"/>
                <w:sz w:val="24"/>
              </w:rPr>
              <w:t>002352</w:t>
            </w:r>
          </w:p>
        </w:tc>
        <w:tc>
          <w:tcPr>
            <w:tcW w:w="1485" w:type="dxa"/>
            <w:vAlign w:val="center"/>
          </w:tcPr>
          <w:p>
            <w:pPr>
              <w:jc w:val="center"/>
            </w:pPr>
            <w:r>
              <w:rPr>
                <w:color w:val="000000"/>
                <w:sz w:val="24"/>
              </w:rPr>
              <w:t>顺丰控股</w:t>
            </w:r>
          </w:p>
        </w:tc>
        <w:tc>
          <w:tcPr>
            <w:tcW w:w="2058" w:type="dxa"/>
            <w:vAlign w:val="center"/>
          </w:tcPr>
          <w:p>
            <w:pPr>
              <w:jc w:val="right"/>
            </w:pPr>
            <w:r>
              <w:rPr>
                <w:color w:val="000000"/>
                <w:sz w:val="24"/>
              </w:rPr>
              <w:t>232,049,700.00</w:t>
            </w:r>
          </w:p>
        </w:tc>
        <w:tc>
          <w:tcPr>
            <w:tcW w:w="1418" w:type="dxa"/>
            <w:vAlign w:val="center"/>
          </w:tcPr>
          <w:p>
            <w:pPr>
              <w:jc w:val="right"/>
            </w:pPr>
            <w:r>
              <w:rPr>
                <w:color w:val="000000"/>
                <w:sz w:val="24"/>
              </w:rPr>
              <w:t>1.97</w:t>
            </w:r>
          </w:p>
        </w:tc>
        <w:tc>
          <w:tcPr>
            <w:tcW w:w="2056" w:type="dxa"/>
            <w:vAlign w:val="center"/>
          </w:tcPr>
          <w:p>
            <w:pPr>
              <w:jc w:val="right"/>
            </w:pPr>
            <w:r>
              <w:rPr>
                <w:color w:val="000000"/>
                <w:sz w:val="24"/>
              </w:rPr>
              <w:t>限售股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Align w:val="center"/>
          </w:tcPr>
          <w:p>
            <w:pPr>
              <w:jc w:val="center"/>
            </w:pPr>
            <w:r>
              <w:rPr>
                <w:color w:val="000000"/>
                <w:sz w:val="24"/>
              </w:rPr>
              <w:t>2</w:t>
            </w:r>
          </w:p>
        </w:tc>
        <w:tc>
          <w:tcPr>
            <w:tcW w:w="1418" w:type="dxa"/>
            <w:vAlign w:val="center"/>
          </w:tcPr>
          <w:p>
            <w:pPr>
              <w:jc w:val="center"/>
            </w:pPr>
            <w:r>
              <w:rPr>
                <w:color w:val="000000"/>
                <w:sz w:val="24"/>
              </w:rPr>
              <w:t>002493</w:t>
            </w:r>
          </w:p>
        </w:tc>
        <w:tc>
          <w:tcPr>
            <w:tcW w:w="1485" w:type="dxa"/>
            <w:vAlign w:val="center"/>
          </w:tcPr>
          <w:p>
            <w:pPr>
              <w:jc w:val="center"/>
            </w:pPr>
            <w:r>
              <w:rPr>
                <w:color w:val="000000"/>
                <w:sz w:val="24"/>
              </w:rPr>
              <w:t>荣盛石化</w:t>
            </w:r>
          </w:p>
        </w:tc>
        <w:tc>
          <w:tcPr>
            <w:tcW w:w="2058" w:type="dxa"/>
            <w:vAlign w:val="center"/>
          </w:tcPr>
          <w:p>
            <w:pPr>
              <w:jc w:val="right"/>
            </w:pPr>
            <w:r>
              <w:rPr>
                <w:color w:val="000000"/>
                <w:sz w:val="24"/>
              </w:rPr>
              <w:t>146,557,971.84</w:t>
            </w:r>
          </w:p>
        </w:tc>
        <w:tc>
          <w:tcPr>
            <w:tcW w:w="1418" w:type="dxa"/>
            <w:vAlign w:val="center"/>
          </w:tcPr>
          <w:p>
            <w:pPr>
              <w:jc w:val="right"/>
            </w:pPr>
            <w:r>
              <w:rPr>
                <w:color w:val="000000"/>
                <w:sz w:val="24"/>
              </w:rPr>
              <w:t>1.24</w:t>
            </w:r>
          </w:p>
        </w:tc>
        <w:tc>
          <w:tcPr>
            <w:tcW w:w="2056" w:type="dxa"/>
            <w:vAlign w:val="center"/>
          </w:tcPr>
          <w:p>
            <w:pPr>
              <w:jc w:val="right"/>
            </w:pPr>
            <w:r>
              <w:rPr>
                <w:color w:val="000000"/>
                <w:sz w:val="24"/>
              </w:rPr>
              <w:t>非公开发行</w:t>
            </w:r>
          </w:p>
        </w:tc>
      </w:tr>
    </w:tbl>
    <w:p>
      <w:pPr>
        <w:autoSpaceDE w:val="0"/>
        <w:autoSpaceDN w:val="0"/>
        <w:adjustRightInd w:val="0"/>
        <w:spacing w:line="360" w:lineRule="auto"/>
        <w:ind w:firstLine="420"/>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37" w:name="_Toc67596701"/>
      <w:r>
        <w:rPr>
          <w:rFonts w:ascii="Times New Roman" w:hAnsi="Times New Roman"/>
          <w:kern w:val="0"/>
          <w:szCs w:val="24"/>
        </w:rPr>
        <w:t>8.12.6</w:t>
      </w:r>
      <w:r>
        <w:rPr>
          <w:rFonts w:hint="eastAsia" w:ascii="Times New Roman" w:hAnsi="Times New Roman"/>
          <w:kern w:val="0"/>
          <w:szCs w:val="24"/>
        </w:rPr>
        <w:t>投资组合报告附注的其他文字描述部分</w:t>
      </w:r>
      <w:bookmarkEnd w:id="237"/>
    </w:p>
    <w:p>
      <w:pPr>
        <w:spacing w:before="29" w:line="288" w:lineRule="auto"/>
        <w:rPr>
          <w:color w:val="000000"/>
          <w:sz w:val="24"/>
        </w:rPr>
      </w:pPr>
      <w:r>
        <w:rPr>
          <w:color w:val="000000"/>
          <w:sz w:val="24"/>
        </w:rPr>
        <w:t>由于四舍五入的原因，分项之和与合计项之间可能存在尾差。</w:t>
      </w:r>
    </w:p>
    <w:p>
      <w:pPr>
        <w:spacing w:before="29" w:line="288" w:lineRule="auto"/>
        <w:rPr>
          <w:color w:val="000000"/>
          <w:sz w:val="24"/>
        </w:rPr>
      </w:pPr>
    </w:p>
    <w:p>
      <w:pPr>
        <w:pStyle w:val="2"/>
        <w:keepNext/>
        <w:keepLines/>
        <w:widowControl w:val="0"/>
        <w:spacing w:before="312" w:beforeLines="100" w:after="312" w:afterLines="100" w:line="288" w:lineRule="auto"/>
        <w:jc w:val="center"/>
        <w:rPr>
          <w:b/>
          <w:color w:val="000000"/>
          <w:szCs w:val="24"/>
        </w:rPr>
      </w:pPr>
      <w:bookmarkStart w:id="238" w:name="_Toc361324888"/>
      <w:bookmarkStart w:id="239" w:name="_Toc225500050"/>
      <w:bookmarkStart w:id="240" w:name="_Toc67596702"/>
      <w:r>
        <w:rPr>
          <w:rFonts w:hint="eastAsia"/>
          <w:b/>
          <w:color w:val="000000"/>
          <w:szCs w:val="24"/>
        </w:rPr>
        <w:t>§</w:t>
      </w:r>
      <w:r>
        <w:rPr>
          <w:b/>
          <w:color w:val="000000"/>
          <w:szCs w:val="24"/>
        </w:rPr>
        <w:t>9</w:t>
      </w:r>
      <w:r>
        <w:rPr>
          <w:rFonts w:hint="eastAsia"/>
          <w:b/>
          <w:color w:val="000000"/>
          <w:szCs w:val="24"/>
        </w:rPr>
        <w:t>基金份额持有人信息</w:t>
      </w:r>
      <w:bookmarkEnd w:id="238"/>
      <w:bookmarkEnd w:id="239"/>
      <w:bookmarkEnd w:id="240"/>
    </w:p>
    <w:p>
      <w:pPr>
        <w:pStyle w:val="3"/>
        <w:spacing w:before="29" w:after="0" w:line="288" w:lineRule="auto"/>
        <w:rPr>
          <w:rFonts w:ascii="Times New Roman" w:hAnsi="Times New Roman"/>
          <w:kern w:val="0"/>
          <w:szCs w:val="24"/>
        </w:rPr>
      </w:pPr>
      <w:bookmarkStart w:id="241" w:name="_Toc361324889"/>
      <w:bookmarkStart w:id="242" w:name="_Toc67596703"/>
      <w:bookmarkStart w:id="243" w:name="_Toc225500051"/>
      <w:r>
        <w:rPr>
          <w:rFonts w:ascii="Times New Roman" w:hAnsi="Times New Roman"/>
          <w:kern w:val="0"/>
          <w:szCs w:val="24"/>
        </w:rPr>
        <w:t xml:space="preserve">9.1 </w:t>
      </w:r>
      <w:r>
        <w:rPr>
          <w:rFonts w:hint="eastAsia" w:ascii="Times New Roman" w:hAnsi="Times New Roman"/>
          <w:kern w:val="0"/>
          <w:szCs w:val="24"/>
        </w:rPr>
        <w:t>期末基金份额持有人户数及持有人结构</w:t>
      </w:r>
      <w:bookmarkEnd w:id="241"/>
      <w:bookmarkEnd w:id="242"/>
      <w:bookmarkEnd w:id="243"/>
    </w:p>
    <w:p>
      <w:pPr>
        <w:autoSpaceDE w:val="0"/>
        <w:autoSpaceDN w:val="0"/>
        <w:adjustRightInd w:val="0"/>
        <w:spacing w:before="29" w:line="288" w:lineRule="auto"/>
        <w:ind w:left="15"/>
        <w:jc w:val="right"/>
        <w:rPr>
          <w:color w:val="000000"/>
          <w:sz w:val="24"/>
        </w:rPr>
      </w:pPr>
      <w:r>
        <w:rPr>
          <w:rFonts w:hint="eastAsia"/>
          <w:color w:val="000000"/>
          <w:sz w:val="24"/>
        </w:rPr>
        <w:t>份额单位：份</w:t>
      </w:r>
    </w:p>
    <w:tbl>
      <w:tblPr>
        <w:tblStyle w:val="31"/>
        <w:tblW w:w="5000" w:type="pct"/>
        <w:jc w:val="center"/>
        <w:tblLayout w:type="fixed"/>
        <w:tblCellMar>
          <w:top w:w="0" w:type="dxa"/>
          <w:left w:w="108" w:type="dxa"/>
          <w:bottom w:w="0" w:type="dxa"/>
          <w:right w:w="108" w:type="dxa"/>
        </w:tblCellMar>
      </w:tblPr>
      <w:tblGrid>
        <w:gridCol w:w="1976"/>
        <w:gridCol w:w="1748"/>
        <w:gridCol w:w="1692"/>
        <w:gridCol w:w="1088"/>
        <w:gridCol w:w="1727"/>
        <w:gridCol w:w="1055"/>
      </w:tblGrid>
      <w:tr>
        <w:tblPrEx>
          <w:tblCellMar>
            <w:top w:w="0" w:type="dxa"/>
            <w:left w:w="108" w:type="dxa"/>
            <w:bottom w:w="0" w:type="dxa"/>
            <w:right w:w="108" w:type="dxa"/>
          </w:tblCellMar>
        </w:tblPrEx>
        <w:trPr>
          <w:jc w:val="center"/>
        </w:trPr>
        <w:tc>
          <w:tcPr>
            <w:tcW w:w="1064" w:type="pct"/>
            <w:vMerge w:val="restart"/>
            <w:tcBorders>
              <w:top w:val="single" w:color="000000" w:sz="8" w:space="0"/>
              <w:left w:val="single" w:color="000000" w:sz="8" w:space="0"/>
              <w:right w:val="single" w:color="000000" w:sz="8" w:space="0"/>
            </w:tcBorders>
            <w:vAlign w:val="center"/>
          </w:tcPr>
          <w:p>
            <w:pPr>
              <w:jc w:val="center"/>
            </w:pPr>
            <w:r>
              <w:t>持有人户数(户)</w:t>
            </w:r>
          </w:p>
        </w:tc>
        <w:tc>
          <w:tcPr>
            <w:tcW w:w="941" w:type="pct"/>
            <w:vMerge w:val="restart"/>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户均持有的基金份额</w:t>
            </w:r>
          </w:p>
        </w:tc>
        <w:tc>
          <w:tcPr>
            <w:tcW w:w="2995" w:type="pct"/>
            <w:gridSpan w:val="4"/>
            <w:tcBorders>
              <w:top w:val="single" w:color="000000" w:sz="8" w:space="0"/>
              <w:left w:val="single" w:color="000000" w:sz="8" w:space="0"/>
              <w:bottom w:val="single" w:color="000000" w:sz="8" w:space="0"/>
              <w:right w:val="single" w:color="auto" w:sz="4" w:space="0"/>
            </w:tcBorders>
            <w:vAlign w:val="center"/>
          </w:tcPr>
          <w:p>
            <w:pPr>
              <w:spacing w:line="360" w:lineRule="auto"/>
              <w:jc w:val="center"/>
              <w:rPr>
                <w:szCs w:val="21"/>
              </w:rPr>
            </w:pPr>
            <w:r>
              <w:rPr>
                <w:rFonts w:hint="eastAsia"/>
                <w:szCs w:val="21"/>
              </w:rPr>
              <w:t>持有人结构</w:t>
            </w:r>
          </w:p>
        </w:tc>
      </w:tr>
      <w:tr>
        <w:tblPrEx>
          <w:tblCellMar>
            <w:top w:w="0" w:type="dxa"/>
            <w:left w:w="108" w:type="dxa"/>
            <w:bottom w:w="0" w:type="dxa"/>
            <w:right w:w="108" w:type="dxa"/>
          </w:tblCellMar>
        </w:tblPrEx>
        <w:trPr>
          <w:jc w:val="center"/>
        </w:trPr>
        <w:tc>
          <w:tcPr>
            <w:tcW w:w="1064" w:type="pct"/>
            <w:vMerge w:val="continue"/>
            <w:tcBorders>
              <w:left w:val="single" w:color="000000" w:sz="8" w:space="0"/>
              <w:right w:val="single" w:color="000000" w:sz="8" w:space="0"/>
            </w:tcBorders>
          </w:tcPr>
          <w:p>
            <w:pPr>
              <w:jc w:val="center"/>
            </w:pPr>
          </w:p>
        </w:tc>
        <w:tc>
          <w:tcPr>
            <w:tcW w:w="941" w:type="pct"/>
            <w:vMerge w:val="continue"/>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p>
        </w:tc>
        <w:tc>
          <w:tcPr>
            <w:tcW w:w="1497" w:type="pct"/>
            <w:gridSpan w:val="2"/>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机构投资者</w:t>
            </w:r>
          </w:p>
        </w:tc>
        <w:tc>
          <w:tcPr>
            <w:tcW w:w="1498" w:type="pct"/>
            <w:gridSpan w:val="2"/>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个人投资者</w:t>
            </w:r>
          </w:p>
        </w:tc>
      </w:tr>
      <w:tr>
        <w:tblPrEx>
          <w:tblCellMar>
            <w:top w:w="0" w:type="dxa"/>
            <w:left w:w="108" w:type="dxa"/>
            <w:bottom w:w="0" w:type="dxa"/>
            <w:right w:w="108" w:type="dxa"/>
          </w:tblCellMar>
        </w:tblPrEx>
        <w:trPr>
          <w:jc w:val="center"/>
        </w:trPr>
        <w:tc>
          <w:tcPr>
            <w:tcW w:w="1064" w:type="pct"/>
            <w:vMerge w:val="continue"/>
            <w:tcBorders>
              <w:left w:val="single" w:color="000000" w:sz="8" w:space="0"/>
              <w:bottom w:val="single" w:color="000000" w:sz="8" w:space="0"/>
              <w:right w:val="single" w:color="000000" w:sz="8" w:space="0"/>
            </w:tcBorders>
          </w:tcPr>
          <w:p>
            <w:pPr>
              <w:jc w:val="center"/>
            </w:pPr>
          </w:p>
        </w:tc>
        <w:tc>
          <w:tcPr>
            <w:tcW w:w="941" w:type="pct"/>
            <w:vMerge w:val="continue"/>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p>
        </w:tc>
        <w:tc>
          <w:tcPr>
            <w:tcW w:w="911" w:type="pct"/>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持有份额</w:t>
            </w:r>
          </w:p>
        </w:tc>
        <w:tc>
          <w:tcPr>
            <w:tcW w:w="586" w:type="pct"/>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占总份额比例</w:t>
            </w:r>
          </w:p>
        </w:tc>
        <w:tc>
          <w:tcPr>
            <w:tcW w:w="930" w:type="pct"/>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持有份额</w:t>
            </w:r>
          </w:p>
        </w:tc>
        <w:tc>
          <w:tcPr>
            <w:tcW w:w="568" w:type="pct"/>
            <w:tcBorders>
              <w:top w:val="single" w:color="000000" w:sz="8" w:space="0"/>
              <w:left w:val="single" w:color="000000" w:sz="8" w:space="0"/>
              <w:bottom w:val="single" w:color="000000" w:sz="8" w:space="0"/>
              <w:right w:val="single" w:color="auto" w:sz="4" w:space="0"/>
            </w:tcBorders>
            <w:vAlign w:val="center"/>
          </w:tcPr>
          <w:p>
            <w:pPr>
              <w:spacing w:line="360" w:lineRule="auto"/>
              <w:jc w:val="center"/>
              <w:rPr>
                <w:szCs w:val="21"/>
              </w:rPr>
            </w:pPr>
            <w:r>
              <w:rPr>
                <w:rFonts w:hint="eastAsia"/>
                <w:szCs w:val="21"/>
              </w:rPr>
              <w:t>占总份额比例</w:t>
            </w:r>
          </w:p>
        </w:tc>
      </w:tr>
      <w:tr>
        <w:tblPrEx>
          <w:tblCellMar>
            <w:top w:w="0" w:type="dxa"/>
            <w:left w:w="108" w:type="dxa"/>
            <w:bottom w:w="0" w:type="dxa"/>
            <w:right w:w="108" w:type="dxa"/>
          </w:tblCellMar>
        </w:tblPrEx>
        <w:trPr>
          <w:jc w:val="center"/>
        </w:trPr>
        <w:tc>
          <w:tcPr>
            <w:tcW w:w="1976" w:type="dxa"/>
            <w:tcBorders>
              <w:top w:val="single" w:color="000000" w:sz="8" w:space="0"/>
              <w:left w:val="single" w:color="000000" w:sz="8" w:space="0"/>
              <w:bottom w:val="single" w:color="000000" w:sz="8" w:space="0"/>
              <w:right w:val="single" w:color="000000" w:sz="8" w:space="0"/>
            </w:tcBorders>
            <w:vAlign w:val="center"/>
          </w:tcPr>
          <w:p>
            <w:pPr>
              <w:jc w:val="right"/>
            </w:pPr>
            <w:bookmarkStart w:id="291" w:name="_GoBack" w:colFirst="0" w:colLast="1"/>
            <w:r>
              <w:rPr>
                <w:kern w:val="0"/>
                <w:szCs w:val="21"/>
              </w:rPr>
              <w:t>576,784</w:t>
            </w:r>
          </w:p>
        </w:tc>
        <w:tc>
          <w:tcPr>
            <w:tcW w:w="1748"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Cs w:val="21"/>
              </w:rPr>
            </w:pPr>
            <w:r>
              <w:rPr>
                <w:kern w:val="0"/>
                <w:szCs w:val="21"/>
              </w:rPr>
              <w:t>4,839.97</w:t>
            </w:r>
          </w:p>
        </w:tc>
        <w:tc>
          <w:tcPr>
            <w:tcW w:w="911" w:type="pct"/>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Cs w:val="21"/>
              </w:rPr>
            </w:pPr>
            <w:r>
              <w:rPr>
                <w:kern w:val="0"/>
                <w:szCs w:val="21"/>
              </w:rPr>
              <w:t>945,594,080.55</w:t>
            </w:r>
          </w:p>
        </w:tc>
        <w:tc>
          <w:tcPr>
            <w:tcW w:w="586" w:type="pct"/>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Cs w:val="21"/>
              </w:rPr>
            </w:pPr>
            <w:r>
              <w:rPr>
                <w:kern w:val="0"/>
                <w:szCs w:val="21"/>
              </w:rPr>
              <w:t>33.87%</w:t>
            </w:r>
          </w:p>
        </w:tc>
        <w:tc>
          <w:tcPr>
            <w:tcW w:w="930" w:type="pct"/>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Cs w:val="21"/>
              </w:rPr>
            </w:pPr>
            <w:r>
              <w:rPr>
                <w:kern w:val="0"/>
                <w:szCs w:val="21"/>
              </w:rPr>
              <w:t>1,846,022,190.32</w:t>
            </w:r>
          </w:p>
        </w:tc>
        <w:tc>
          <w:tcPr>
            <w:tcW w:w="568" w:type="pct"/>
            <w:tcBorders>
              <w:top w:val="single" w:color="000000" w:sz="8" w:space="0"/>
              <w:left w:val="single" w:color="000000" w:sz="8" w:space="0"/>
              <w:bottom w:val="single" w:color="000000" w:sz="8" w:space="0"/>
              <w:right w:val="single" w:color="auto" w:sz="4" w:space="0"/>
            </w:tcBorders>
            <w:vAlign w:val="center"/>
          </w:tcPr>
          <w:p>
            <w:pPr>
              <w:spacing w:before="29" w:line="288" w:lineRule="auto"/>
              <w:jc w:val="right"/>
              <w:rPr>
                <w:kern w:val="0"/>
                <w:szCs w:val="21"/>
              </w:rPr>
            </w:pPr>
            <w:r>
              <w:rPr>
                <w:kern w:val="0"/>
                <w:szCs w:val="21"/>
              </w:rPr>
              <w:t>66.13%</w:t>
            </w:r>
          </w:p>
        </w:tc>
      </w:tr>
      <w:bookmarkEnd w:id="291"/>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44" w:name="_Toc67596704"/>
      <w:bookmarkStart w:id="245" w:name="_Toc361324891"/>
      <w:r>
        <w:rPr>
          <w:rFonts w:ascii="Times New Roman" w:hAnsi="Times New Roman"/>
          <w:kern w:val="0"/>
          <w:szCs w:val="24"/>
        </w:rPr>
        <w:t>9.2</w:t>
      </w:r>
      <w:r>
        <w:rPr>
          <w:rFonts w:hint="eastAsia" w:ascii="Times New Roman" w:hAnsi="Times New Roman"/>
          <w:kern w:val="0"/>
          <w:szCs w:val="24"/>
        </w:rPr>
        <w:t>期末基金管理人的从业人员持有本基金的情况</w:t>
      </w:r>
      <w:bookmarkEnd w:id="244"/>
      <w:bookmarkEnd w:id="245"/>
    </w:p>
    <w:tbl>
      <w:tblPr>
        <w:tblStyle w:val="32"/>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3164"/>
        <w:gridCol w:w="2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vAlign w:val="center"/>
          </w:tcPr>
          <w:p>
            <w:pPr>
              <w:widowControl/>
              <w:spacing w:before="29" w:line="288" w:lineRule="auto"/>
              <w:jc w:val="center"/>
              <w:rPr>
                <w:color w:val="000000"/>
                <w:kern w:val="0"/>
                <w:sz w:val="24"/>
              </w:rPr>
            </w:pPr>
            <w:r>
              <w:rPr>
                <w:rFonts w:hint="eastAsia"/>
                <w:color w:val="000000"/>
                <w:kern w:val="0"/>
                <w:sz w:val="24"/>
              </w:rPr>
              <w:t>项目</w:t>
            </w:r>
          </w:p>
        </w:tc>
        <w:tc>
          <w:tcPr>
            <w:tcW w:w="3164" w:type="dxa"/>
            <w:vAlign w:val="center"/>
          </w:tcPr>
          <w:p>
            <w:pPr>
              <w:widowControl/>
              <w:spacing w:before="29" w:line="288" w:lineRule="auto"/>
              <w:jc w:val="center"/>
              <w:rPr>
                <w:color w:val="000000"/>
                <w:kern w:val="0"/>
                <w:sz w:val="24"/>
              </w:rPr>
            </w:pPr>
            <w:r>
              <w:rPr>
                <w:rFonts w:hint="eastAsia"/>
                <w:color w:val="000000"/>
                <w:kern w:val="0"/>
                <w:sz w:val="24"/>
              </w:rPr>
              <w:t>持有份额总数（份）</w:t>
            </w:r>
          </w:p>
        </w:tc>
        <w:tc>
          <w:tcPr>
            <w:tcW w:w="2999" w:type="dxa"/>
            <w:vAlign w:val="center"/>
          </w:tcPr>
          <w:p>
            <w:pPr>
              <w:widowControl/>
              <w:spacing w:before="29" w:line="288" w:lineRule="auto"/>
              <w:jc w:val="center"/>
              <w:rPr>
                <w:color w:val="000000"/>
                <w:kern w:val="0"/>
                <w:sz w:val="24"/>
              </w:rPr>
            </w:pPr>
            <w:r>
              <w:rPr>
                <w:rFonts w:hint="eastAsia"/>
                <w:color w:val="000000"/>
                <w:kern w:val="0"/>
                <w:sz w:val="24"/>
              </w:rPr>
              <w:t>占基金总份额比例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vAlign w:val="center"/>
          </w:tcPr>
          <w:p>
            <w:pPr>
              <w:widowControl/>
              <w:spacing w:before="29" w:line="288" w:lineRule="auto"/>
              <w:rPr>
                <w:rFonts w:asciiTheme="minorEastAsia" w:hAnsiTheme="minorEastAsia" w:eastAsiaTheme="minorEastAsia"/>
                <w:color w:val="000000"/>
                <w:szCs w:val="21"/>
              </w:rPr>
            </w:pPr>
            <w:r>
              <w:rPr>
                <w:rFonts w:hint="eastAsia"/>
                <w:color w:val="000000"/>
                <w:kern w:val="0"/>
                <w:sz w:val="24"/>
              </w:rPr>
              <w:t>基金管理人所有从业人员持有本基金</w:t>
            </w:r>
          </w:p>
        </w:tc>
        <w:tc>
          <w:tcPr>
            <w:tcW w:w="3164" w:type="dxa"/>
            <w:vAlign w:val="center"/>
          </w:tcPr>
          <w:p>
            <w:pPr>
              <w:spacing w:before="29" w:line="288" w:lineRule="auto"/>
              <w:jc w:val="right"/>
              <w:rPr>
                <w:kern w:val="0"/>
                <w:sz w:val="24"/>
              </w:rPr>
            </w:pPr>
            <w:r>
              <w:rPr>
                <w:kern w:val="0"/>
                <w:sz w:val="24"/>
              </w:rPr>
              <w:t>2,945,387.37</w:t>
            </w:r>
          </w:p>
        </w:tc>
        <w:tc>
          <w:tcPr>
            <w:tcW w:w="2999" w:type="dxa"/>
            <w:vAlign w:val="center"/>
          </w:tcPr>
          <w:p>
            <w:pPr>
              <w:spacing w:before="29" w:line="288" w:lineRule="auto"/>
              <w:jc w:val="right"/>
              <w:rPr>
                <w:kern w:val="0"/>
                <w:sz w:val="24"/>
              </w:rPr>
            </w:pPr>
            <w:r>
              <w:rPr>
                <w:kern w:val="0"/>
                <w:sz w:val="24"/>
              </w:rPr>
              <w:t>0.11%</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46" w:name="_Toc67596705"/>
      <w:r>
        <w:rPr>
          <w:rFonts w:ascii="Times New Roman" w:hAnsi="Times New Roman"/>
          <w:kern w:val="0"/>
          <w:szCs w:val="24"/>
        </w:rPr>
        <w:t>9.3</w:t>
      </w:r>
      <w:r>
        <w:rPr>
          <w:rFonts w:hint="eastAsia" w:ascii="Times New Roman" w:hAnsi="Times New Roman"/>
          <w:kern w:val="0"/>
          <w:szCs w:val="24"/>
        </w:rPr>
        <w:t>期末基金管理人的从业人员持有本开放式基金份额总量区间的情况</w:t>
      </w:r>
      <w:bookmarkEnd w:id="246"/>
    </w:p>
    <w:tbl>
      <w:tblPr>
        <w:tblStyle w:val="31"/>
        <w:tblW w:w="50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19"/>
        <w:gridCol w:w="5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2229" w:type="pct"/>
            <w:shd w:val="clear" w:color="auto" w:fill="auto"/>
            <w:tcMar>
              <w:top w:w="0" w:type="dxa"/>
              <w:left w:w="108" w:type="dxa"/>
              <w:bottom w:w="0" w:type="dxa"/>
              <w:right w:w="108" w:type="dxa"/>
            </w:tcMar>
            <w:vAlign w:val="center"/>
          </w:tcPr>
          <w:p>
            <w:pPr>
              <w:widowControl/>
              <w:spacing w:before="29" w:line="288" w:lineRule="auto"/>
              <w:jc w:val="center"/>
              <w:rPr>
                <w:color w:val="000000"/>
                <w:kern w:val="0"/>
                <w:sz w:val="24"/>
              </w:rPr>
            </w:pPr>
            <w:r>
              <w:rPr>
                <w:rFonts w:hint="eastAsia"/>
                <w:color w:val="000000"/>
                <w:kern w:val="0"/>
                <w:sz w:val="24"/>
              </w:rPr>
              <w:t>项目</w:t>
            </w:r>
          </w:p>
        </w:tc>
        <w:tc>
          <w:tcPr>
            <w:tcW w:w="2771" w:type="pct"/>
            <w:shd w:val="clear" w:color="auto" w:fill="auto"/>
            <w:tcMar>
              <w:top w:w="0" w:type="dxa"/>
              <w:left w:w="108" w:type="dxa"/>
              <w:bottom w:w="0" w:type="dxa"/>
              <w:right w:w="108" w:type="dxa"/>
            </w:tcMar>
            <w:vAlign w:val="center"/>
          </w:tcPr>
          <w:p>
            <w:pPr>
              <w:widowControl/>
              <w:spacing w:before="29" w:line="288" w:lineRule="auto"/>
              <w:jc w:val="center"/>
              <w:rPr>
                <w:color w:val="000000"/>
                <w:kern w:val="0"/>
                <w:sz w:val="24"/>
              </w:rPr>
            </w:pPr>
            <w:r>
              <w:rPr>
                <w:rFonts w:hint="eastAsia"/>
                <w:color w:val="000000"/>
                <w:kern w:val="0"/>
                <w:sz w:val="24"/>
              </w:rPr>
              <w:t>持有基金份额总量的数量区间（万份）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3" w:hRule="atLeast"/>
        </w:trPr>
        <w:tc>
          <w:tcPr>
            <w:tcW w:w="2229" w:type="pct"/>
            <w:shd w:val="clear" w:color="auto" w:fill="auto"/>
            <w:tcMar>
              <w:top w:w="0" w:type="dxa"/>
              <w:left w:w="108" w:type="dxa"/>
              <w:bottom w:w="0" w:type="dxa"/>
              <w:right w:w="108" w:type="dxa"/>
            </w:tcMar>
            <w:vAlign w:val="center"/>
          </w:tcPr>
          <w:p>
            <w:pPr>
              <w:widowControl/>
              <w:spacing w:before="29" w:line="288" w:lineRule="auto"/>
              <w:rPr>
                <w:color w:val="000000"/>
                <w:kern w:val="0"/>
                <w:sz w:val="24"/>
              </w:rPr>
            </w:pPr>
            <w:r>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tcPr>
          <w:p>
            <w:pPr>
              <w:spacing w:before="29" w:line="288" w:lineRule="auto"/>
              <w:jc w:val="right"/>
              <w:rPr>
                <w:kern w:val="0"/>
                <w:sz w:val="24"/>
              </w:rPr>
            </w:pPr>
            <w:r>
              <w:rPr>
                <w:kern w:val="0"/>
                <w:sz w:val="24"/>
              </w:rPr>
              <w:t>50~100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2229" w:type="pct"/>
            <w:shd w:val="clear" w:color="auto" w:fill="auto"/>
            <w:tcMar>
              <w:top w:w="0" w:type="dxa"/>
              <w:left w:w="108" w:type="dxa"/>
              <w:bottom w:w="0" w:type="dxa"/>
              <w:right w:w="108" w:type="dxa"/>
            </w:tcMar>
            <w:vAlign w:val="center"/>
          </w:tcPr>
          <w:p>
            <w:pPr>
              <w:widowControl/>
              <w:spacing w:before="29" w:line="288" w:lineRule="auto"/>
              <w:rPr>
                <w:color w:val="000000"/>
                <w:kern w:val="0"/>
                <w:sz w:val="24"/>
              </w:rPr>
            </w:pPr>
            <w:r>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tcPr>
          <w:p>
            <w:pPr>
              <w:spacing w:before="29" w:line="288" w:lineRule="auto"/>
              <w:jc w:val="right"/>
              <w:rPr>
                <w:kern w:val="0"/>
                <w:sz w:val="24"/>
              </w:rPr>
            </w:pPr>
            <w:r>
              <w:rPr>
                <w:kern w:val="0"/>
                <w:sz w:val="24"/>
              </w:rPr>
              <w:t>10~50</w:t>
            </w:r>
          </w:p>
        </w:tc>
      </w:tr>
    </w:tbl>
    <w:p>
      <w:pPr>
        <w:spacing w:line="360" w:lineRule="auto"/>
        <w:rPr>
          <w:rFonts w:ascii="宋体" w:hAnsi="宋体"/>
          <w:color w:val="000000"/>
          <w:szCs w:val="21"/>
        </w:rPr>
      </w:pPr>
    </w:p>
    <w:p>
      <w:pPr>
        <w:pStyle w:val="2"/>
        <w:keepNext/>
        <w:keepLines/>
        <w:widowControl w:val="0"/>
        <w:spacing w:before="312" w:beforeLines="100" w:after="312" w:afterLines="100" w:line="288" w:lineRule="auto"/>
        <w:jc w:val="center"/>
        <w:rPr>
          <w:b/>
          <w:bCs/>
          <w:szCs w:val="24"/>
          <w:lang w:val="en-US"/>
        </w:rPr>
      </w:pPr>
      <w:bookmarkStart w:id="247" w:name="_Toc225500053"/>
      <w:bookmarkStart w:id="248" w:name="_Toc361324892"/>
      <w:bookmarkStart w:id="249" w:name="_Toc67596706"/>
      <w:r>
        <w:rPr>
          <w:rFonts w:hint="eastAsia"/>
          <w:b/>
          <w:bCs/>
          <w:szCs w:val="24"/>
          <w:lang w:val="en-US"/>
        </w:rPr>
        <w:t>§</w:t>
      </w:r>
      <w:r>
        <w:rPr>
          <w:b/>
          <w:bCs/>
          <w:szCs w:val="24"/>
          <w:lang w:val="en-US"/>
        </w:rPr>
        <w:t>10</w:t>
      </w:r>
      <w:r>
        <w:rPr>
          <w:rFonts w:hint="eastAsia"/>
          <w:b/>
          <w:bCs/>
          <w:szCs w:val="24"/>
          <w:lang w:val="en-US"/>
        </w:rPr>
        <w:t>开放式基金份额变动</w:t>
      </w:r>
      <w:bookmarkEnd w:id="247"/>
      <w:bookmarkEnd w:id="248"/>
      <w:bookmarkEnd w:id="249"/>
    </w:p>
    <w:p>
      <w:pPr>
        <w:autoSpaceDE w:val="0"/>
        <w:autoSpaceDN w:val="0"/>
        <w:adjustRightInd w:val="0"/>
        <w:spacing w:before="29" w:line="288" w:lineRule="auto"/>
        <w:ind w:left="15"/>
        <w:jc w:val="right"/>
        <w:rPr>
          <w:color w:val="000000"/>
          <w:sz w:val="24"/>
        </w:rPr>
      </w:pPr>
      <w:r>
        <w:rPr>
          <w:rFonts w:hint="eastAsia"/>
          <w:color w:val="000000"/>
          <w:sz w:val="24"/>
        </w:rPr>
        <w:t>单位：份</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5"/>
        <w:gridCol w:w="5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rFonts w:hint="eastAsia"/>
                <w:color w:val="000000"/>
                <w:kern w:val="0"/>
                <w:sz w:val="24"/>
              </w:rPr>
              <w:t>基金合同生效日(</w:t>
            </w:r>
            <w:r>
              <w:rPr>
                <w:color w:val="000000"/>
                <w:kern w:val="0"/>
                <w:sz w:val="24"/>
              </w:rPr>
              <w:t>2014年5月9日</w:t>
            </w:r>
            <w:r>
              <w:rPr>
                <w:rFonts w:hint="eastAsia"/>
                <w:color w:val="000000"/>
                <w:kern w:val="0"/>
                <w:sz w:val="24"/>
              </w:rPr>
              <w:t>)基金份额总额</w:t>
            </w:r>
          </w:p>
        </w:tc>
        <w:tc>
          <w:tcPr>
            <w:tcW w:w="2881" w:type="pct"/>
          </w:tcPr>
          <w:p>
            <w:pPr>
              <w:spacing w:before="29" w:line="288" w:lineRule="auto"/>
              <w:jc w:val="right"/>
              <w:rPr>
                <w:kern w:val="0"/>
                <w:sz w:val="24"/>
              </w:rPr>
            </w:pPr>
            <w:r>
              <w:rPr>
                <w:kern w:val="0"/>
                <w:sz w:val="24"/>
              </w:rPr>
              <w:t xml:space="preserve">391,615,340.98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rFonts w:hint="eastAsia"/>
                <w:color w:val="000000"/>
                <w:kern w:val="0"/>
                <w:sz w:val="24"/>
              </w:rPr>
              <w:t>本报告期期初基金份额总额</w:t>
            </w:r>
          </w:p>
        </w:tc>
        <w:tc>
          <w:tcPr>
            <w:tcW w:w="2881" w:type="pct"/>
          </w:tcPr>
          <w:p>
            <w:pPr>
              <w:spacing w:before="29" w:line="288" w:lineRule="auto"/>
              <w:jc w:val="right"/>
              <w:rPr>
                <w:kern w:val="0"/>
                <w:sz w:val="24"/>
              </w:rPr>
            </w:pPr>
            <w:r>
              <w:rPr>
                <w:kern w:val="0"/>
                <w:sz w:val="24"/>
              </w:rPr>
              <w:t>2,512,440,995.91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color w:val="000000"/>
                <w:kern w:val="0"/>
                <w:sz w:val="24"/>
              </w:rPr>
              <w:t>本报告期</w:t>
            </w:r>
            <w:r>
              <w:rPr>
                <w:rFonts w:hint="eastAsia"/>
                <w:color w:val="000000"/>
                <w:kern w:val="0"/>
                <w:sz w:val="24"/>
              </w:rPr>
              <w:t>基金总申购份额</w:t>
            </w:r>
          </w:p>
        </w:tc>
        <w:tc>
          <w:tcPr>
            <w:tcW w:w="2881" w:type="pct"/>
          </w:tcPr>
          <w:p>
            <w:pPr>
              <w:spacing w:before="29" w:line="288" w:lineRule="auto"/>
              <w:jc w:val="right"/>
              <w:rPr>
                <w:kern w:val="0"/>
                <w:sz w:val="24"/>
              </w:rPr>
            </w:pPr>
            <w:r>
              <w:rPr>
                <w:kern w:val="0"/>
                <w:sz w:val="24"/>
              </w:rPr>
              <w:t>2,948,915,318.11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rFonts w:hint="eastAsia"/>
                <w:color w:val="000000"/>
                <w:kern w:val="0"/>
                <w:sz w:val="24"/>
              </w:rPr>
              <w:t>减：</w:t>
            </w:r>
            <w:r>
              <w:rPr>
                <w:color w:val="000000"/>
                <w:kern w:val="0"/>
                <w:sz w:val="24"/>
              </w:rPr>
              <w:t>本报告期</w:t>
            </w:r>
            <w:r>
              <w:rPr>
                <w:rFonts w:hint="eastAsia"/>
                <w:color w:val="000000"/>
                <w:kern w:val="0"/>
                <w:sz w:val="24"/>
              </w:rPr>
              <w:t>基金总赎回份额</w:t>
            </w:r>
          </w:p>
        </w:tc>
        <w:tc>
          <w:tcPr>
            <w:tcW w:w="2881" w:type="pct"/>
          </w:tcPr>
          <w:p>
            <w:pPr>
              <w:spacing w:before="29" w:line="288" w:lineRule="auto"/>
              <w:jc w:val="right"/>
              <w:rPr>
                <w:kern w:val="0"/>
                <w:sz w:val="24"/>
              </w:rPr>
            </w:pPr>
            <w:r>
              <w:rPr>
                <w:kern w:val="0"/>
                <w:sz w:val="24"/>
              </w:rPr>
              <w:t>2,669,740,043.15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color w:val="000000"/>
                <w:kern w:val="0"/>
                <w:sz w:val="24"/>
              </w:rPr>
              <w:t>本报告期</w:t>
            </w:r>
            <w:r>
              <w:rPr>
                <w:rFonts w:hint="eastAsia"/>
                <w:color w:val="000000"/>
                <w:kern w:val="0"/>
                <w:sz w:val="24"/>
              </w:rPr>
              <w:t>基金拆分变动份额</w:t>
            </w:r>
          </w:p>
        </w:tc>
        <w:tc>
          <w:tcPr>
            <w:tcW w:w="2881" w:type="pct"/>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rFonts w:hint="eastAsia"/>
                <w:color w:val="000000"/>
                <w:kern w:val="0"/>
                <w:sz w:val="24"/>
              </w:rPr>
              <w:t>本报告期期末基金份额总额</w:t>
            </w:r>
          </w:p>
        </w:tc>
        <w:tc>
          <w:tcPr>
            <w:tcW w:w="2881" w:type="pct"/>
          </w:tcPr>
          <w:p>
            <w:pPr>
              <w:spacing w:before="29" w:line="288" w:lineRule="auto"/>
              <w:jc w:val="right"/>
              <w:rPr>
                <w:kern w:val="0"/>
                <w:sz w:val="24"/>
              </w:rPr>
            </w:pPr>
            <w:r>
              <w:rPr>
                <w:kern w:val="0"/>
                <w:sz w:val="24"/>
              </w:rPr>
              <w:t>2,791,616,270.87</w:t>
            </w:r>
          </w:p>
        </w:tc>
      </w:tr>
    </w:tbl>
    <w:p>
      <w:pPr>
        <w:tabs>
          <w:tab w:val="left" w:pos="426"/>
        </w:tabs>
        <w:spacing w:before="29" w:line="288" w:lineRule="auto"/>
        <w:jc w:val="left"/>
        <w:rPr>
          <w:kern w:val="0"/>
          <w:sz w:val="24"/>
        </w:rPr>
      </w:pPr>
      <w:r>
        <w:rPr>
          <w:kern w:val="0"/>
          <w:sz w:val="24"/>
        </w:rPr>
        <w:t xml:space="preserve">注：1、如果本报告期间发生转换入、红利再投业务，则总申购份额中包含该业务； </w:t>
      </w:r>
    </w:p>
    <w:p>
      <w:pPr>
        <w:tabs>
          <w:tab w:val="left" w:pos="426"/>
        </w:tabs>
        <w:spacing w:before="29" w:line="288" w:lineRule="auto"/>
        <w:jc w:val="left"/>
        <w:rPr>
          <w:kern w:val="0"/>
          <w:sz w:val="24"/>
        </w:rPr>
      </w:pPr>
      <w:r>
        <w:rPr>
          <w:kern w:val="0"/>
          <w:sz w:val="24"/>
        </w:rPr>
        <w:t xml:space="preserve">    2、如果本报告期间发生转换出业务，则总赎回份额中包含该业务。</w:t>
      </w:r>
    </w:p>
    <w:p>
      <w:pPr>
        <w:tabs>
          <w:tab w:val="left" w:pos="426"/>
        </w:tabs>
        <w:spacing w:before="29" w:line="288" w:lineRule="auto"/>
        <w:jc w:val="left"/>
        <w:rPr>
          <w:kern w:val="0"/>
          <w:sz w:val="24"/>
        </w:rPr>
      </w:pPr>
    </w:p>
    <w:p>
      <w:pPr>
        <w:pStyle w:val="2"/>
        <w:keepNext/>
        <w:keepLines/>
        <w:widowControl w:val="0"/>
        <w:spacing w:before="312" w:beforeLines="100" w:after="312" w:afterLines="100" w:line="288" w:lineRule="auto"/>
        <w:jc w:val="center"/>
        <w:rPr>
          <w:b/>
          <w:bCs/>
          <w:szCs w:val="24"/>
          <w:lang w:val="en-US"/>
        </w:rPr>
      </w:pPr>
      <w:bookmarkStart w:id="250" w:name="_Toc361324893"/>
      <w:bookmarkStart w:id="251" w:name="_Toc225500054"/>
      <w:bookmarkStart w:id="252" w:name="_Toc67596707"/>
      <w:r>
        <w:rPr>
          <w:rFonts w:hint="eastAsia"/>
          <w:b/>
          <w:bCs/>
          <w:szCs w:val="24"/>
          <w:lang w:val="en-US"/>
        </w:rPr>
        <w:t>§</w:t>
      </w:r>
      <w:r>
        <w:rPr>
          <w:b/>
          <w:bCs/>
          <w:szCs w:val="24"/>
          <w:lang w:val="en-US"/>
        </w:rPr>
        <w:t>11</w:t>
      </w:r>
      <w:r>
        <w:rPr>
          <w:rFonts w:hint="eastAsia"/>
          <w:b/>
          <w:bCs/>
          <w:szCs w:val="24"/>
          <w:lang w:val="en-US"/>
        </w:rPr>
        <w:t>重大事件揭示</w:t>
      </w:r>
      <w:bookmarkEnd w:id="250"/>
      <w:bookmarkEnd w:id="251"/>
      <w:bookmarkEnd w:id="252"/>
    </w:p>
    <w:p/>
    <w:p>
      <w:pPr>
        <w:pStyle w:val="3"/>
        <w:spacing w:before="29" w:after="0" w:line="288" w:lineRule="auto"/>
        <w:rPr>
          <w:rFonts w:ascii="Times New Roman" w:hAnsi="Times New Roman"/>
          <w:kern w:val="0"/>
          <w:szCs w:val="24"/>
        </w:rPr>
      </w:pPr>
      <w:bookmarkStart w:id="253" w:name="_Toc361324894"/>
      <w:bookmarkStart w:id="254" w:name="_Toc67596708"/>
      <w:r>
        <w:rPr>
          <w:rFonts w:ascii="Times New Roman" w:hAnsi="Times New Roman"/>
          <w:kern w:val="0"/>
          <w:szCs w:val="24"/>
        </w:rPr>
        <w:t>11.1</w:t>
      </w:r>
      <w:r>
        <w:rPr>
          <w:rFonts w:hint="eastAsia" w:ascii="Times New Roman" w:hAnsi="Times New Roman"/>
          <w:kern w:val="0"/>
          <w:szCs w:val="24"/>
        </w:rPr>
        <w:t>基金份额持有人大会决议</w:t>
      </w:r>
      <w:bookmarkEnd w:id="253"/>
      <w:bookmarkEnd w:id="254"/>
    </w:p>
    <w:p>
      <w:pPr>
        <w:spacing w:before="29" w:line="288" w:lineRule="auto"/>
        <w:ind w:firstLine="480" w:firstLineChars="200"/>
        <w:rPr>
          <w:color w:val="000000"/>
          <w:sz w:val="24"/>
        </w:rPr>
      </w:pPr>
      <w:r>
        <w:rPr>
          <w:color w:val="000000"/>
          <w:sz w:val="24"/>
        </w:rPr>
        <w:t>本基金本报告期内未召开基金份额持有人大会。</w:t>
      </w:r>
    </w:p>
    <w:p>
      <w:pPr>
        <w:spacing w:line="360" w:lineRule="auto"/>
        <w:ind w:firstLine="420" w:firstLineChars="2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255" w:name="_Toc361324895"/>
      <w:bookmarkStart w:id="256" w:name="_Toc67596709"/>
      <w:r>
        <w:rPr>
          <w:rFonts w:ascii="Times New Roman" w:hAnsi="Times New Roman"/>
          <w:kern w:val="0"/>
          <w:szCs w:val="24"/>
        </w:rPr>
        <w:t xml:space="preserve">11.2 </w:t>
      </w:r>
      <w:r>
        <w:rPr>
          <w:rFonts w:hint="eastAsia" w:ascii="Times New Roman" w:hAnsi="Times New Roman"/>
          <w:kern w:val="0"/>
          <w:szCs w:val="24"/>
        </w:rPr>
        <w:t>基金管理人、基金托管人的专门基金托管部门的重大人事变动</w:t>
      </w:r>
      <w:bookmarkEnd w:id="255"/>
      <w:bookmarkEnd w:id="256"/>
    </w:p>
    <w:p>
      <w:pPr>
        <w:spacing w:before="29" w:line="288" w:lineRule="auto"/>
        <w:ind w:firstLine="480" w:firstLineChars="200"/>
        <w:rPr>
          <w:color w:val="000000"/>
          <w:sz w:val="24"/>
        </w:rPr>
      </w:pPr>
      <w:r>
        <w:rPr>
          <w:color w:val="000000"/>
          <w:sz w:val="24"/>
        </w:rPr>
        <w:t xml:space="preserve">1、基金管理人的重大人事变动：本报告期内，本基金的基金管理人未发生重大人事变动。 </w:t>
      </w:r>
    </w:p>
    <w:p>
      <w:pPr>
        <w:spacing w:before="29" w:line="288" w:lineRule="auto"/>
        <w:ind w:firstLine="480" w:firstLineChars="200"/>
        <w:rPr>
          <w:color w:val="000000"/>
          <w:sz w:val="24"/>
        </w:rPr>
      </w:pPr>
      <w:r>
        <w:rPr>
          <w:color w:val="000000"/>
          <w:sz w:val="24"/>
        </w:rPr>
        <w:t>2、基金托管人的基金托管部门的重大人事变动：本基金托管人的专门基金托管部门本报告期内未发生重大人事变动。</w:t>
      </w:r>
    </w:p>
    <w:p>
      <w:pPr>
        <w:spacing w:line="360" w:lineRule="auto"/>
        <w:ind w:firstLine="420" w:firstLineChars="2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257" w:name="_Toc361324896"/>
      <w:bookmarkStart w:id="258" w:name="_Toc67596710"/>
      <w:r>
        <w:rPr>
          <w:rFonts w:ascii="Times New Roman" w:hAnsi="Times New Roman"/>
          <w:kern w:val="0"/>
          <w:szCs w:val="24"/>
        </w:rPr>
        <w:t xml:space="preserve">11.3 </w:t>
      </w:r>
      <w:r>
        <w:rPr>
          <w:rFonts w:hint="eastAsia" w:ascii="Times New Roman" w:hAnsi="Times New Roman"/>
          <w:kern w:val="0"/>
          <w:szCs w:val="24"/>
        </w:rPr>
        <w:t>涉及基金管理人、基金财产、基金托管业务的诉讼</w:t>
      </w:r>
      <w:bookmarkEnd w:id="257"/>
      <w:bookmarkEnd w:id="258"/>
    </w:p>
    <w:p>
      <w:pPr>
        <w:spacing w:before="29" w:line="288" w:lineRule="auto"/>
        <w:ind w:firstLine="480" w:firstLineChars="200"/>
        <w:rPr>
          <w:color w:val="000000"/>
          <w:sz w:val="24"/>
        </w:rPr>
      </w:pPr>
      <w:r>
        <w:rPr>
          <w:color w:val="000000"/>
          <w:sz w:val="24"/>
        </w:rPr>
        <w:t>本报告期内未发生涉及本基金管理人、基金财产、基金托管业务的诉讼事项。</w:t>
      </w:r>
    </w:p>
    <w:p>
      <w:pPr>
        <w:spacing w:line="360" w:lineRule="auto"/>
        <w:ind w:firstLine="420" w:firstLineChars="2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259" w:name="_Toc361324897"/>
      <w:bookmarkStart w:id="260" w:name="_Toc67596711"/>
      <w:r>
        <w:rPr>
          <w:rFonts w:ascii="Times New Roman" w:hAnsi="Times New Roman"/>
          <w:kern w:val="0"/>
          <w:szCs w:val="24"/>
        </w:rPr>
        <w:t xml:space="preserve">11.4 </w:t>
      </w:r>
      <w:r>
        <w:rPr>
          <w:rFonts w:hint="eastAsia" w:ascii="Times New Roman" w:hAnsi="Times New Roman"/>
          <w:kern w:val="0"/>
          <w:szCs w:val="24"/>
        </w:rPr>
        <w:t>基金投资策略的改变</w:t>
      </w:r>
      <w:bookmarkEnd w:id="259"/>
      <w:bookmarkEnd w:id="260"/>
    </w:p>
    <w:p>
      <w:pPr>
        <w:spacing w:before="29" w:line="288" w:lineRule="auto"/>
        <w:ind w:firstLine="480" w:firstLineChars="200"/>
        <w:rPr>
          <w:color w:val="000000"/>
          <w:sz w:val="24"/>
        </w:rPr>
      </w:pPr>
      <w:r>
        <w:rPr>
          <w:color w:val="000000"/>
          <w:sz w:val="24"/>
        </w:rPr>
        <w:t>本基金本报告期内投资策略未发生改变。</w:t>
      </w:r>
    </w:p>
    <w:p>
      <w:pPr>
        <w:spacing w:line="360" w:lineRule="auto"/>
        <w:ind w:firstLine="420" w:firstLineChars="200"/>
        <w:rPr>
          <w:rFonts w:asciiTheme="minorEastAsia" w:hAnsiTheme="minorEastAsia" w:eastAsiaTheme="minorEastAsia"/>
          <w:szCs w:val="21"/>
        </w:rPr>
      </w:pPr>
    </w:p>
    <w:p>
      <w:pPr>
        <w:pStyle w:val="3"/>
        <w:spacing w:before="0" w:after="0"/>
        <w:rPr>
          <w:rFonts w:ascii="Times New Roman" w:hAnsi="Times New Roman" w:eastAsiaTheme="minorEastAsia"/>
          <w:color w:val="000000" w:themeColor="text1"/>
          <w:kern w:val="0"/>
          <w:szCs w:val="24"/>
        </w:rPr>
      </w:pPr>
      <w:bookmarkStart w:id="261" w:name="_Toc361324898"/>
      <w:bookmarkStart w:id="262" w:name="_Toc409100103"/>
      <w:bookmarkStart w:id="263" w:name="_Toc67596712"/>
      <w:bookmarkStart w:id="264" w:name="_Toc409100466"/>
      <w:r>
        <w:rPr>
          <w:rFonts w:ascii="Times New Roman" w:hAnsi="Times New Roman" w:eastAsiaTheme="minorEastAsia"/>
          <w:color w:val="000000" w:themeColor="text1"/>
          <w:kern w:val="0"/>
          <w:szCs w:val="24"/>
        </w:rPr>
        <w:t>11.</w:t>
      </w:r>
      <w:bookmarkEnd w:id="261"/>
      <w:r>
        <w:rPr>
          <w:rFonts w:ascii="Times New Roman" w:hAnsi="Times New Roman" w:eastAsiaTheme="minorEastAsia"/>
          <w:color w:val="000000" w:themeColor="text1"/>
          <w:kern w:val="0"/>
          <w:szCs w:val="24"/>
        </w:rPr>
        <w:t>5</w:t>
      </w:r>
      <w:r>
        <w:rPr>
          <w:rFonts w:ascii="Times New Roman" w:hAnsi="Times New Roman" w:eastAsiaTheme="minorEastAsia"/>
          <w:color w:val="000000" w:themeColor="text1"/>
          <w:szCs w:val="24"/>
        </w:rPr>
        <w:t>为基金进行审计的会计师事务所情况</w:t>
      </w:r>
      <w:bookmarkEnd w:id="262"/>
      <w:bookmarkEnd w:id="263"/>
      <w:bookmarkEnd w:id="264"/>
    </w:p>
    <w:p>
      <w:pPr>
        <w:spacing w:line="360" w:lineRule="auto"/>
        <w:ind w:firstLine="480" w:firstLineChars="200"/>
        <w:rPr>
          <w:rFonts w:eastAsiaTheme="minorEastAsia"/>
          <w:color w:val="000000" w:themeColor="text1"/>
          <w:sz w:val="24"/>
        </w:rPr>
      </w:pPr>
      <w:bookmarkStart w:id="265" w:name="OLE_LINK3"/>
      <w:r>
        <w:rPr>
          <w:rFonts w:eastAsiaTheme="minorEastAsia"/>
          <w:color w:val="000000" w:themeColor="text1"/>
          <w:sz w:val="24"/>
        </w:rPr>
        <w:t>本报告期内，为本基金提供审计服务的会计师事务所为普华永道中天会计师事务所（特殊普通合伙），本期审计费为110,000.00元。自本基金基金合同生效以来，本基金未改聘为其审计的会计师事务所。</w:t>
      </w:r>
    </w:p>
    <w:bookmarkEnd w:id="265"/>
    <w:p>
      <w:pPr>
        <w:tabs>
          <w:tab w:val="left" w:pos="426"/>
        </w:tabs>
        <w:spacing w:before="29" w:line="288" w:lineRule="auto"/>
        <w:jc w:val="left"/>
        <w:rPr>
          <w:kern w:val="0"/>
          <w:sz w:val="24"/>
        </w:rPr>
      </w:pPr>
      <w:bookmarkStart w:id="266" w:name="_Toc361324899"/>
      <w:bookmarkStart w:id="267" w:name="_Toc409100467"/>
      <w:bookmarkStart w:id="268" w:name="_Toc409100104"/>
    </w:p>
    <w:p>
      <w:pPr>
        <w:pStyle w:val="3"/>
        <w:spacing w:before="0" w:after="0"/>
        <w:rPr>
          <w:rFonts w:ascii="Times New Roman" w:hAnsi="Times New Roman" w:eastAsiaTheme="minorEastAsia"/>
          <w:color w:val="000000" w:themeColor="text1"/>
          <w:kern w:val="0"/>
          <w:szCs w:val="24"/>
        </w:rPr>
      </w:pPr>
      <w:bookmarkStart w:id="269" w:name="_Toc67596713"/>
      <w:r>
        <w:rPr>
          <w:rFonts w:ascii="Times New Roman" w:hAnsi="Times New Roman" w:eastAsiaTheme="minorEastAsia"/>
          <w:color w:val="000000" w:themeColor="text1"/>
          <w:kern w:val="0"/>
          <w:szCs w:val="24"/>
        </w:rPr>
        <w:t>11.6 管理人、托管人及其高级管理人员受稽查或处罚等情况</w:t>
      </w:r>
      <w:bookmarkEnd w:id="266"/>
      <w:bookmarkEnd w:id="267"/>
      <w:bookmarkEnd w:id="268"/>
      <w:bookmarkEnd w:id="269"/>
    </w:p>
    <w:p>
      <w:pPr>
        <w:spacing w:line="360" w:lineRule="auto"/>
        <w:ind w:firstLine="480" w:firstLineChars="200"/>
        <w:rPr>
          <w:rFonts w:eastAsiaTheme="minorEastAsia"/>
          <w:color w:val="000000" w:themeColor="text1"/>
          <w:sz w:val="24"/>
        </w:rPr>
      </w:pPr>
      <w:r>
        <w:rPr>
          <w:rFonts w:eastAsiaTheme="minorEastAsia"/>
          <w:color w:val="000000" w:themeColor="text1"/>
          <w:sz w:val="24"/>
        </w:rPr>
        <w:t>1、管理人及其高级管理人员受稽查或处罚等情况</w:t>
      </w:r>
    </w:p>
    <w:p>
      <w:pPr>
        <w:spacing w:line="360" w:lineRule="auto"/>
        <w:ind w:firstLine="480" w:firstLineChars="20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pPr>
        <w:spacing w:line="360" w:lineRule="auto"/>
        <w:ind w:firstLine="480" w:firstLineChars="200"/>
        <w:rPr>
          <w:rFonts w:eastAsiaTheme="minorEastAsia"/>
          <w:color w:val="000000" w:themeColor="text1"/>
          <w:sz w:val="24"/>
        </w:rPr>
      </w:pPr>
      <w:r>
        <w:rPr>
          <w:rFonts w:eastAsiaTheme="minorEastAsia"/>
          <w:color w:val="000000" w:themeColor="text1"/>
          <w:sz w:val="24"/>
        </w:rPr>
        <w:t>2、托管人及其高级管理人员受稽查或处罚等情况</w:t>
      </w:r>
    </w:p>
    <w:p>
      <w:pPr>
        <w:spacing w:line="360" w:lineRule="auto"/>
        <w:ind w:firstLine="480" w:firstLineChars="20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pPr>
        <w:tabs>
          <w:tab w:val="left" w:pos="426"/>
        </w:tabs>
        <w:spacing w:before="29" w:line="288" w:lineRule="auto"/>
        <w:jc w:val="left"/>
        <w:rPr>
          <w:kern w:val="0"/>
          <w:sz w:val="24"/>
        </w:rPr>
      </w:pPr>
      <w:bookmarkStart w:id="270" w:name="_Toc409100105"/>
      <w:bookmarkStart w:id="271" w:name="_Toc361324900"/>
      <w:bookmarkStart w:id="272" w:name="_Toc409100468"/>
    </w:p>
    <w:p>
      <w:pPr>
        <w:pStyle w:val="3"/>
        <w:spacing w:before="0" w:after="0"/>
        <w:rPr>
          <w:rFonts w:ascii="Times New Roman" w:hAnsi="Times New Roman" w:eastAsiaTheme="minorEastAsia"/>
          <w:color w:val="000000" w:themeColor="text1"/>
          <w:kern w:val="0"/>
          <w:szCs w:val="24"/>
        </w:rPr>
      </w:pPr>
      <w:bookmarkStart w:id="273" w:name="_Toc67596714"/>
      <w:r>
        <w:rPr>
          <w:rFonts w:ascii="Times New Roman" w:hAnsi="Times New Roman" w:eastAsiaTheme="minorEastAsia"/>
          <w:color w:val="000000" w:themeColor="text1"/>
          <w:kern w:val="0"/>
          <w:szCs w:val="24"/>
        </w:rPr>
        <w:t>11.7 基金租用证券公司交易单元的有关情况</w:t>
      </w:r>
      <w:bookmarkEnd w:id="270"/>
      <w:bookmarkEnd w:id="271"/>
      <w:bookmarkEnd w:id="272"/>
      <w:bookmarkEnd w:id="273"/>
    </w:p>
    <w:p>
      <w:pPr>
        <w:spacing w:line="360" w:lineRule="auto"/>
        <w:rPr>
          <w:rFonts w:eastAsiaTheme="minorEastAsia"/>
          <w:b/>
          <w:color w:val="000000" w:themeColor="text1"/>
          <w:sz w:val="24"/>
        </w:rPr>
      </w:pPr>
      <w:bookmarkStart w:id="274" w:name="_Toc249760070"/>
      <w:r>
        <w:rPr>
          <w:rFonts w:eastAsiaTheme="minorEastAsia"/>
          <w:b/>
          <w:color w:val="000000" w:themeColor="text1"/>
          <w:sz w:val="24"/>
        </w:rPr>
        <w:t>11.7.1基金租用证券公司交易单元进行股票投资及佣金支付情况</w:t>
      </w:r>
      <w:bookmarkEnd w:id="274"/>
    </w:p>
    <w:p>
      <w:pPr>
        <w:pStyle w:val="4"/>
        <w:spacing w:line="360" w:lineRule="auto"/>
        <w:ind w:firstLine="6240" w:firstLineChars="2600"/>
        <w:jc w:val="right"/>
        <w:rPr>
          <w:rFonts w:eastAsiaTheme="minorEastAsia"/>
          <w:color w:val="000000" w:themeColor="text1"/>
          <w:sz w:val="24"/>
        </w:rPr>
      </w:pPr>
      <w:r>
        <w:rPr>
          <w:rFonts w:eastAsiaTheme="minorEastAsia"/>
          <w:color w:val="000000" w:themeColor="text1"/>
          <w:sz w:val="24"/>
        </w:rPr>
        <w:t>金额单位：人民币元</w:t>
      </w:r>
    </w:p>
    <w:tbl>
      <w:tblPr>
        <w:tblStyle w:val="31"/>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780"/>
        <w:gridCol w:w="1800"/>
        <w:gridCol w:w="1080"/>
        <w:gridCol w:w="1620"/>
        <w:gridCol w:w="1080"/>
        <w:gridCol w:w="1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restart"/>
            <w:vAlign w:val="center"/>
          </w:tcPr>
          <w:p>
            <w:pPr>
              <w:spacing w:line="276" w:lineRule="auto"/>
              <w:jc w:val="center"/>
              <w:rPr>
                <w:rFonts w:eastAsiaTheme="minorEastAsia"/>
                <w:color w:val="000000" w:themeColor="text1"/>
                <w:sz w:val="24"/>
              </w:rPr>
            </w:pPr>
            <w:bookmarkStart w:id="275" w:name="_Toc249760071"/>
            <w:r>
              <w:rPr>
                <w:rFonts w:eastAsiaTheme="minorEastAsia"/>
                <w:color w:val="000000" w:themeColor="text1"/>
                <w:sz w:val="24"/>
              </w:rPr>
              <w:t>券商名称</w:t>
            </w:r>
          </w:p>
        </w:tc>
        <w:tc>
          <w:tcPr>
            <w:tcW w:w="780" w:type="dxa"/>
            <w:vMerge w:val="restart"/>
            <w:vAlign w:val="center"/>
          </w:tcPr>
          <w:p>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continue"/>
            <w:vAlign w:val="center"/>
          </w:tcPr>
          <w:p>
            <w:pPr>
              <w:widowControl/>
              <w:spacing w:line="276" w:lineRule="auto"/>
              <w:jc w:val="left"/>
              <w:rPr>
                <w:rFonts w:eastAsiaTheme="minorEastAsia"/>
                <w:color w:val="000000" w:themeColor="text1"/>
                <w:sz w:val="24"/>
              </w:rPr>
            </w:pPr>
          </w:p>
        </w:tc>
        <w:tc>
          <w:tcPr>
            <w:tcW w:w="780" w:type="dxa"/>
            <w:vMerge w:val="continue"/>
            <w:vAlign w:val="center"/>
          </w:tcPr>
          <w:p>
            <w:pPr>
              <w:widowControl/>
              <w:spacing w:line="276" w:lineRule="auto"/>
              <w:jc w:val="left"/>
              <w:rPr>
                <w:rFonts w:eastAsiaTheme="minorEastAsia"/>
                <w:color w:val="000000" w:themeColor="text1"/>
                <w:sz w:val="24"/>
              </w:rPr>
            </w:pPr>
          </w:p>
        </w:tc>
        <w:tc>
          <w:tcPr>
            <w:tcW w:w="180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continue"/>
            <w:vAlign w:val="center"/>
          </w:tcPr>
          <w:p>
            <w:pPr>
              <w:widowControl/>
              <w:spacing w:line="276" w:lineRule="auto"/>
              <w:jc w:val="left"/>
              <w:rPr>
                <w:rFonts w:eastAsiaTheme="minorEastAsia"/>
                <w:color w:val="000000" w:themeColor="text1"/>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华西证券股份有限公司</w:t>
            </w:r>
          </w:p>
        </w:tc>
        <w:tc>
          <w:tcPr>
            <w:tcW w:w="780" w:type="dxa"/>
            <w:vAlign w:val="center"/>
          </w:tcPr>
          <w:p>
            <w:pPr>
              <w:jc w:val="right"/>
            </w:pPr>
            <w:r>
              <w:rPr>
                <w:rFonts w:eastAsiaTheme="minorEastAsia"/>
                <w:color w:val="000000" w:themeColor="text1"/>
                <w:sz w:val="24"/>
              </w:rPr>
              <w:t>2</w:t>
            </w:r>
          </w:p>
        </w:tc>
        <w:tc>
          <w:tcPr>
            <w:tcW w:w="1800" w:type="dxa"/>
            <w:vAlign w:val="center"/>
          </w:tcPr>
          <w:p>
            <w:pPr>
              <w:jc w:val="right"/>
            </w:pPr>
            <w:r>
              <w:rPr>
                <w:rFonts w:eastAsiaTheme="minorEastAsia"/>
                <w:color w:val="000000" w:themeColor="text1"/>
                <w:sz w:val="24"/>
              </w:rPr>
              <w:t>740,617,375.28</w:t>
            </w:r>
          </w:p>
        </w:tc>
        <w:tc>
          <w:tcPr>
            <w:tcW w:w="1080" w:type="dxa"/>
            <w:vAlign w:val="center"/>
          </w:tcPr>
          <w:p>
            <w:pPr>
              <w:jc w:val="right"/>
            </w:pPr>
            <w:r>
              <w:rPr>
                <w:rFonts w:eastAsiaTheme="minorEastAsia"/>
                <w:color w:val="000000" w:themeColor="text1"/>
                <w:sz w:val="24"/>
              </w:rPr>
              <w:t>2.55%</w:t>
            </w:r>
          </w:p>
        </w:tc>
        <w:tc>
          <w:tcPr>
            <w:tcW w:w="1620" w:type="dxa"/>
            <w:vAlign w:val="center"/>
          </w:tcPr>
          <w:p>
            <w:pPr>
              <w:jc w:val="right"/>
            </w:pPr>
            <w:r>
              <w:rPr>
                <w:rFonts w:eastAsiaTheme="minorEastAsia"/>
                <w:color w:val="000000" w:themeColor="text1"/>
                <w:sz w:val="24"/>
              </w:rPr>
              <w:t>689,741.36</w:t>
            </w:r>
          </w:p>
        </w:tc>
        <w:tc>
          <w:tcPr>
            <w:tcW w:w="1080" w:type="dxa"/>
            <w:vAlign w:val="center"/>
          </w:tcPr>
          <w:p>
            <w:pPr>
              <w:jc w:val="right"/>
            </w:pPr>
            <w:r>
              <w:rPr>
                <w:rFonts w:eastAsiaTheme="minorEastAsia"/>
                <w:color w:val="000000" w:themeColor="text1"/>
                <w:sz w:val="24"/>
              </w:rPr>
              <w:t>2.55%</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国元证券股份有限公司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727,272,102.90</w:t>
            </w:r>
          </w:p>
        </w:tc>
        <w:tc>
          <w:tcPr>
            <w:tcW w:w="1080" w:type="dxa"/>
            <w:vAlign w:val="center"/>
          </w:tcPr>
          <w:p>
            <w:pPr>
              <w:jc w:val="right"/>
            </w:pPr>
            <w:r>
              <w:rPr>
                <w:rFonts w:eastAsiaTheme="minorEastAsia"/>
                <w:color w:val="000000" w:themeColor="text1"/>
                <w:sz w:val="24"/>
              </w:rPr>
              <w:t>2.50%</w:t>
            </w:r>
          </w:p>
        </w:tc>
        <w:tc>
          <w:tcPr>
            <w:tcW w:w="1620" w:type="dxa"/>
            <w:vAlign w:val="center"/>
          </w:tcPr>
          <w:p>
            <w:pPr>
              <w:jc w:val="right"/>
            </w:pPr>
            <w:r>
              <w:rPr>
                <w:rFonts w:eastAsiaTheme="minorEastAsia"/>
                <w:color w:val="000000" w:themeColor="text1"/>
                <w:sz w:val="24"/>
              </w:rPr>
              <w:t>677,308.94</w:t>
            </w:r>
          </w:p>
        </w:tc>
        <w:tc>
          <w:tcPr>
            <w:tcW w:w="1080" w:type="dxa"/>
            <w:vAlign w:val="center"/>
          </w:tcPr>
          <w:p>
            <w:pPr>
              <w:jc w:val="right"/>
            </w:pPr>
            <w:r>
              <w:rPr>
                <w:rFonts w:eastAsiaTheme="minorEastAsia"/>
                <w:color w:val="000000" w:themeColor="text1"/>
                <w:sz w:val="24"/>
              </w:rPr>
              <w:t>2.50%</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中信证券股份有限公司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5,775,582,912.43</w:t>
            </w:r>
          </w:p>
        </w:tc>
        <w:tc>
          <w:tcPr>
            <w:tcW w:w="1080" w:type="dxa"/>
            <w:vAlign w:val="center"/>
          </w:tcPr>
          <w:p>
            <w:pPr>
              <w:jc w:val="right"/>
            </w:pPr>
            <w:r>
              <w:rPr>
                <w:rFonts w:eastAsiaTheme="minorEastAsia"/>
                <w:color w:val="000000" w:themeColor="text1"/>
                <w:sz w:val="24"/>
              </w:rPr>
              <w:t>19.88%</w:t>
            </w:r>
          </w:p>
        </w:tc>
        <w:tc>
          <w:tcPr>
            <w:tcW w:w="1620" w:type="dxa"/>
            <w:vAlign w:val="center"/>
          </w:tcPr>
          <w:p>
            <w:pPr>
              <w:jc w:val="right"/>
            </w:pPr>
            <w:r>
              <w:rPr>
                <w:rFonts w:eastAsiaTheme="minorEastAsia"/>
                <w:color w:val="000000" w:themeColor="text1"/>
                <w:sz w:val="24"/>
              </w:rPr>
              <w:t>5,383,856.71</w:t>
            </w:r>
          </w:p>
        </w:tc>
        <w:tc>
          <w:tcPr>
            <w:tcW w:w="1080" w:type="dxa"/>
            <w:vAlign w:val="center"/>
          </w:tcPr>
          <w:p>
            <w:pPr>
              <w:jc w:val="right"/>
            </w:pPr>
            <w:r>
              <w:rPr>
                <w:rFonts w:eastAsiaTheme="minorEastAsia"/>
                <w:color w:val="000000" w:themeColor="text1"/>
                <w:sz w:val="24"/>
              </w:rPr>
              <w:t>19.89%</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东北证券股份有限公司</w:t>
            </w:r>
          </w:p>
        </w:tc>
        <w:tc>
          <w:tcPr>
            <w:tcW w:w="780" w:type="dxa"/>
            <w:vAlign w:val="center"/>
          </w:tcPr>
          <w:p>
            <w:pPr>
              <w:jc w:val="right"/>
            </w:pPr>
            <w:r>
              <w:rPr>
                <w:rFonts w:eastAsiaTheme="minorEastAsia"/>
                <w:color w:val="000000" w:themeColor="text1"/>
                <w:sz w:val="24"/>
              </w:rPr>
              <w:t>2</w:t>
            </w:r>
          </w:p>
        </w:tc>
        <w:tc>
          <w:tcPr>
            <w:tcW w:w="1800" w:type="dxa"/>
            <w:vAlign w:val="center"/>
          </w:tcPr>
          <w:p>
            <w:pPr>
              <w:jc w:val="right"/>
            </w:pPr>
            <w:r>
              <w:rPr>
                <w:rFonts w:eastAsiaTheme="minorEastAsia"/>
                <w:color w:val="000000" w:themeColor="text1"/>
                <w:sz w:val="24"/>
              </w:rPr>
              <w:t>5,063,038,757.30</w:t>
            </w:r>
          </w:p>
        </w:tc>
        <w:tc>
          <w:tcPr>
            <w:tcW w:w="1080" w:type="dxa"/>
            <w:vAlign w:val="center"/>
          </w:tcPr>
          <w:p>
            <w:pPr>
              <w:jc w:val="right"/>
            </w:pPr>
            <w:r>
              <w:rPr>
                <w:rFonts w:eastAsiaTheme="minorEastAsia"/>
                <w:color w:val="000000" w:themeColor="text1"/>
                <w:sz w:val="24"/>
              </w:rPr>
              <w:t>17.43%</w:t>
            </w:r>
          </w:p>
        </w:tc>
        <w:tc>
          <w:tcPr>
            <w:tcW w:w="1620" w:type="dxa"/>
            <w:vAlign w:val="center"/>
          </w:tcPr>
          <w:p>
            <w:pPr>
              <w:jc w:val="right"/>
            </w:pPr>
            <w:r>
              <w:rPr>
                <w:rFonts w:eastAsiaTheme="minorEastAsia"/>
                <w:color w:val="000000" w:themeColor="text1"/>
                <w:sz w:val="24"/>
              </w:rPr>
              <w:t>4,715,217.67</w:t>
            </w:r>
          </w:p>
        </w:tc>
        <w:tc>
          <w:tcPr>
            <w:tcW w:w="1080" w:type="dxa"/>
            <w:vAlign w:val="center"/>
          </w:tcPr>
          <w:p>
            <w:pPr>
              <w:jc w:val="right"/>
            </w:pPr>
            <w:r>
              <w:rPr>
                <w:rFonts w:eastAsiaTheme="minorEastAsia"/>
                <w:color w:val="000000" w:themeColor="text1"/>
                <w:sz w:val="24"/>
              </w:rPr>
              <w:t>17.42%</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海通证券股份有限公司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4,946,235,037.72</w:t>
            </w:r>
          </w:p>
        </w:tc>
        <w:tc>
          <w:tcPr>
            <w:tcW w:w="1080" w:type="dxa"/>
            <w:vAlign w:val="center"/>
          </w:tcPr>
          <w:p>
            <w:pPr>
              <w:jc w:val="right"/>
            </w:pPr>
            <w:r>
              <w:rPr>
                <w:rFonts w:eastAsiaTheme="minorEastAsia"/>
                <w:color w:val="000000" w:themeColor="text1"/>
                <w:sz w:val="24"/>
              </w:rPr>
              <w:t>17.02%</w:t>
            </w:r>
          </w:p>
        </w:tc>
        <w:tc>
          <w:tcPr>
            <w:tcW w:w="1620" w:type="dxa"/>
            <w:vAlign w:val="center"/>
          </w:tcPr>
          <w:p>
            <w:pPr>
              <w:jc w:val="right"/>
            </w:pPr>
            <w:r>
              <w:rPr>
                <w:rFonts w:eastAsiaTheme="minorEastAsia"/>
                <w:color w:val="000000" w:themeColor="text1"/>
                <w:sz w:val="24"/>
              </w:rPr>
              <w:t>4,616,856.78</w:t>
            </w:r>
          </w:p>
        </w:tc>
        <w:tc>
          <w:tcPr>
            <w:tcW w:w="1080" w:type="dxa"/>
            <w:vAlign w:val="center"/>
          </w:tcPr>
          <w:p>
            <w:pPr>
              <w:jc w:val="right"/>
            </w:pPr>
            <w:r>
              <w:rPr>
                <w:rFonts w:eastAsiaTheme="minorEastAsia"/>
                <w:color w:val="000000" w:themeColor="text1"/>
                <w:sz w:val="24"/>
              </w:rPr>
              <w:t>17.05%</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国盛证券有限责任公司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4,782,365,274.41</w:t>
            </w:r>
          </w:p>
        </w:tc>
        <w:tc>
          <w:tcPr>
            <w:tcW w:w="1080" w:type="dxa"/>
            <w:vAlign w:val="center"/>
          </w:tcPr>
          <w:p>
            <w:pPr>
              <w:jc w:val="right"/>
            </w:pPr>
            <w:r>
              <w:rPr>
                <w:rFonts w:eastAsiaTheme="minorEastAsia"/>
                <w:color w:val="000000" w:themeColor="text1"/>
                <w:sz w:val="24"/>
              </w:rPr>
              <w:t>16.46%</w:t>
            </w:r>
          </w:p>
        </w:tc>
        <w:tc>
          <w:tcPr>
            <w:tcW w:w="1620" w:type="dxa"/>
            <w:vAlign w:val="center"/>
          </w:tcPr>
          <w:p>
            <w:pPr>
              <w:jc w:val="right"/>
            </w:pPr>
            <w:r>
              <w:rPr>
                <w:rFonts w:eastAsiaTheme="minorEastAsia"/>
                <w:color w:val="000000" w:themeColor="text1"/>
                <w:sz w:val="24"/>
              </w:rPr>
              <w:t>4,453,822.87</w:t>
            </w:r>
          </w:p>
        </w:tc>
        <w:tc>
          <w:tcPr>
            <w:tcW w:w="1080" w:type="dxa"/>
            <w:vAlign w:val="center"/>
          </w:tcPr>
          <w:p>
            <w:pPr>
              <w:jc w:val="right"/>
            </w:pPr>
            <w:r>
              <w:rPr>
                <w:rFonts w:eastAsiaTheme="minorEastAsia"/>
                <w:color w:val="000000" w:themeColor="text1"/>
                <w:sz w:val="24"/>
              </w:rPr>
              <w:t>16.45%</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浙商证券有限责任公司</w:t>
            </w:r>
          </w:p>
        </w:tc>
        <w:tc>
          <w:tcPr>
            <w:tcW w:w="780" w:type="dxa"/>
            <w:vAlign w:val="center"/>
          </w:tcPr>
          <w:p>
            <w:pPr>
              <w:jc w:val="right"/>
            </w:pPr>
            <w:r>
              <w:rPr>
                <w:rFonts w:eastAsiaTheme="minorEastAsia"/>
                <w:color w:val="000000" w:themeColor="text1"/>
                <w:sz w:val="24"/>
              </w:rPr>
              <w:t>2</w:t>
            </w:r>
          </w:p>
        </w:tc>
        <w:tc>
          <w:tcPr>
            <w:tcW w:w="1800" w:type="dxa"/>
            <w:vAlign w:val="center"/>
          </w:tcPr>
          <w:p>
            <w:pPr>
              <w:jc w:val="right"/>
            </w:pPr>
            <w:r>
              <w:rPr>
                <w:rFonts w:eastAsiaTheme="minorEastAsia"/>
                <w:color w:val="000000" w:themeColor="text1"/>
                <w:sz w:val="24"/>
              </w:rPr>
              <w:t>4,124,272,023.36</w:t>
            </w:r>
          </w:p>
        </w:tc>
        <w:tc>
          <w:tcPr>
            <w:tcW w:w="1080" w:type="dxa"/>
            <w:vAlign w:val="center"/>
          </w:tcPr>
          <w:p>
            <w:pPr>
              <w:jc w:val="right"/>
            </w:pPr>
            <w:r>
              <w:rPr>
                <w:rFonts w:eastAsiaTheme="minorEastAsia"/>
                <w:color w:val="000000" w:themeColor="text1"/>
                <w:sz w:val="24"/>
              </w:rPr>
              <w:t>14.20%</w:t>
            </w:r>
          </w:p>
        </w:tc>
        <w:tc>
          <w:tcPr>
            <w:tcW w:w="1620" w:type="dxa"/>
            <w:vAlign w:val="center"/>
          </w:tcPr>
          <w:p>
            <w:pPr>
              <w:jc w:val="right"/>
            </w:pPr>
            <w:r>
              <w:rPr>
                <w:rFonts w:eastAsiaTheme="minorEastAsia"/>
                <w:color w:val="000000" w:themeColor="text1"/>
                <w:sz w:val="24"/>
              </w:rPr>
              <w:t>3,840,942.31</w:t>
            </w:r>
          </w:p>
        </w:tc>
        <w:tc>
          <w:tcPr>
            <w:tcW w:w="1080" w:type="dxa"/>
            <w:vAlign w:val="center"/>
          </w:tcPr>
          <w:p>
            <w:pPr>
              <w:jc w:val="right"/>
            </w:pPr>
            <w:r>
              <w:rPr>
                <w:rFonts w:eastAsiaTheme="minorEastAsia"/>
                <w:color w:val="000000" w:themeColor="text1"/>
                <w:sz w:val="24"/>
              </w:rPr>
              <w:t>14.19%</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东吴证券股份有限公司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218,221,040.37</w:t>
            </w:r>
          </w:p>
        </w:tc>
        <w:tc>
          <w:tcPr>
            <w:tcW w:w="1080" w:type="dxa"/>
            <w:vAlign w:val="center"/>
          </w:tcPr>
          <w:p>
            <w:pPr>
              <w:jc w:val="right"/>
            </w:pPr>
            <w:r>
              <w:rPr>
                <w:rFonts w:eastAsiaTheme="minorEastAsia"/>
                <w:color w:val="000000" w:themeColor="text1"/>
                <w:sz w:val="24"/>
              </w:rPr>
              <w:t>0.75%</w:t>
            </w:r>
          </w:p>
        </w:tc>
        <w:tc>
          <w:tcPr>
            <w:tcW w:w="1620" w:type="dxa"/>
            <w:vAlign w:val="center"/>
          </w:tcPr>
          <w:p>
            <w:pPr>
              <w:jc w:val="right"/>
            </w:pPr>
            <w:r>
              <w:rPr>
                <w:rFonts w:eastAsiaTheme="minorEastAsia"/>
                <w:color w:val="000000" w:themeColor="text1"/>
                <w:sz w:val="24"/>
              </w:rPr>
              <w:t>203,229.87</w:t>
            </w:r>
          </w:p>
        </w:tc>
        <w:tc>
          <w:tcPr>
            <w:tcW w:w="1080" w:type="dxa"/>
            <w:vAlign w:val="center"/>
          </w:tcPr>
          <w:p>
            <w:pPr>
              <w:jc w:val="right"/>
            </w:pPr>
            <w:r>
              <w:rPr>
                <w:rFonts w:eastAsiaTheme="minorEastAsia"/>
                <w:color w:val="000000" w:themeColor="text1"/>
                <w:sz w:val="24"/>
              </w:rPr>
              <w:t>0.75%</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中泰证券股份有限公司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1,473,341,211.53</w:t>
            </w:r>
          </w:p>
        </w:tc>
        <w:tc>
          <w:tcPr>
            <w:tcW w:w="1080" w:type="dxa"/>
            <w:vAlign w:val="center"/>
          </w:tcPr>
          <w:p>
            <w:pPr>
              <w:jc w:val="right"/>
            </w:pPr>
            <w:r>
              <w:rPr>
                <w:rFonts w:eastAsiaTheme="minorEastAsia"/>
                <w:color w:val="000000" w:themeColor="text1"/>
                <w:sz w:val="24"/>
              </w:rPr>
              <w:t>5.07%</w:t>
            </w:r>
          </w:p>
        </w:tc>
        <w:tc>
          <w:tcPr>
            <w:tcW w:w="1620" w:type="dxa"/>
            <w:vAlign w:val="center"/>
          </w:tcPr>
          <w:p>
            <w:pPr>
              <w:jc w:val="right"/>
            </w:pPr>
            <w:r>
              <w:rPr>
                <w:rFonts w:eastAsiaTheme="minorEastAsia"/>
                <w:color w:val="000000" w:themeColor="text1"/>
                <w:sz w:val="24"/>
              </w:rPr>
              <w:t>1,372,132.06</w:t>
            </w:r>
          </w:p>
        </w:tc>
        <w:tc>
          <w:tcPr>
            <w:tcW w:w="1080" w:type="dxa"/>
            <w:vAlign w:val="center"/>
          </w:tcPr>
          <w:p>
            <w:pPr>
              <w:jc w:val="right"/>
            </w:pPr>
            <w:r>
              <w:rPr>
                <w:rFonts w:eastAsiaTheme="minorEastAsia"/>
                <w:color w:val="000000" w:themeColor="text1"/>
                <w:sz w:val="24"/>
              </w:rPr>
              <w:t>5.07%</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太平洋证券股份有限公司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1,202,203,610.61</w:t>
            </w:r>
          </w:p>
        </w:tc>
        <w:tc>
          <w:tcPr>
            <w:tcW w:w="1080" w:type="dxa"/>
            <w:vAlign w:val="center"/>
          </w:tcPr>
          <w:p>
            <w:pPr>
              <w:jc w:val="right"/>
            </w:pPr>
            <w:r>
              <w:rPr>
                <w:rFonts w:eastAsiaTheme="minorEastAsia"/>
                <w:color w:val="000000" w:themeColor="text1"/>
                <w:sz w:val="24"/>
              </w:rPr>
              <w:t>4.14%</w:t>
            </w:r>
          </w:p>
        </w:tc>
        <w:tc>
          <w:tcPr>
            <w:tcW w:w="1620" w:type="dxa"/>
            <w:vAlign w:val="center"/>
          </w:tcPr>
          <w:p>
            <w:pPr>
              <w:jc w:val="right"/>
            </w:pPr>
            <w:r>
              <w:rPr>
                <w:rFonts w:eastAsiaTheme="minorEastAsia"/>
                <w:color w:val="000000" w:themeColor="text1"/>
                <w:sz w:val="24"/>
              </w:rPr>
              <w:t>1,119,612.78</w:t>
            </w:r>
          </w:p>
        </w:tc>
        <w:tc>
          <w:tcPr>
            <w:tcW w:w="1080" w:type="dxa"/>
            <w:vAlign w:val="center"/>
          </w:tcPr>
          <w:p>
            <w:pPr>
              <w:jc w:val="right"/>
            </w:pPr>
            <w:r>
              <w:rPr>
                <w:rFonts w:eastAsiaTheme="minorEastAsia"/>
                <w:color w:val="000000" w:themeColor="text1"/>
                <w:sz w:val="24"/>
              </w:rPr>
              <w:t>4.14%</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长江证券股份有限公司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62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080" w:type="dxa"/>
            <w:vAlign w:val="center"/>
          </w:tcPr>
          <w:p>
            <w:pPr>
              <w:jc w:val="left"/>
            </w:pPr>
            <w:r>
              <w:rPr>
                <w:rFonts w:eastAsiaTheme="minorEastAsia"/>
                <w:color w:val="000000" w:themeColor="text1"/>
                <w:sz w:val="24"/>
              </w:rPr>
              <w:t>-</w:t>
            </w:r>
          </w:p>
        </w:tc>
      </w:tr>
    </w:tbl>
    <w:p>
      <w:pPr>
        <w:spacing w:before="312" w:beforeLines="100" w:line="360" w:lineRule="auto"/>
        <w:rPr>
          <w:rFonts w:eastAsiaTheme="minorEastAsia"/>
          <w:b/>
          <w:color w:val="000000" w:themeColor="text1"/>
          <w:sz w:val="24"/>
        </w:rPr>
      </w:pPr>
      <w:r>
        <w:rPr>
          <w:rFonts w:eastAsiaTheme="minorEastAsia"/>
          <w:b/>
          <w:color w:val="000000" w:themeColor="text1"/>
          <w:sz w:val="24"/>
        </w:rPr>
        <w:t>11.7.2 基金租用证券公司交易单元进行其他证券投资的情况</w:t>
      </w:r>
      <w:bookmarkEnd w:id="275"/>
    </w:p>
    <w:p>
      <w:pPr>
        <w:spacing w:line="360" w:lineRule="auto"/>
        <w:ind w:firstLine="420"/>
        <w:jc w:val="right"/>
        <w:rPr>
          <w:rFonts w:eastAsiaTheme="minorEastAsia"/>
          <w:color w:val="000000" w:themeColor="text1"/>
          <w:sz w:val="24"/>
        </w:rPr>
      </w:pPr>
      <w:bookmarkStart w:id="276" w:name="_Toc249707408"/>
      <w:r>
        <w:rPr>
          <w:rFonts w:eastAsiaTheme="minorEastAsia"/>
          <w:color w:val="000000" w:themeColor="text1"/>
          <w:sz w:val="24"/>
        </w:rPr>
        <w:t>金额单位</w:t>
      </w:r>
      <w:r>
        <w:rPr>
          <w:rFonts w:eastAsiaTheme="minorEastAsia"/>
          <w:color w:val="000000" w:themeColor="text1"/>
          <w:kern w:val="0"/>
          <w:sz w:val="24"/>
        </w:rPr>
        <w:t>：</w:t>
      </w:r>
      <w:r>
        <w:rPr>
          <w:rFonts w:eastAsiaTheme="minorEastAsia"/>
          <w:color w:val="000000" w:themeColor="text1"/>
          <w:kern w:val="0"/>
          <w:sz w:val="24"/>
          <w:lang w:val="zh-CN"/>
        </w:rPr>
        <w:t>人民币元</w:t>
      </w:r>
      <w:bookmarkEnd w:id="276"/>
    </w:p>
    <w:tbl>
      <w:tblPr>
        <w:tblStyle w:val="31"/>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1320"/>
        <w:gridCol w:w="1080"/>
        <w:gridCol w:w="1143"/>
        <w:gridCol w:w="1197"/>
        <w:gridCol w:w="1497"/>
        <w:gridCol w:w="12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restart"/>
            <w:vAlign w:val="center"/>
          </w:tcPr>
          <w:p>
            <w:pPr>
              <w:spacing w:line="276" w:lineRule="auto"/>
              <w:jc w:val="center"/>
              <w:rPr>
                <w:rFonts w:eastAsiaTheme="minorEastAsia"/>
                <w:color w:val="000000" w:themeColor="text1"/>
                <w:kern w:val="0"/>
                <w:sz w:val="24"/>
              </w:rPr>
            </w:pPr>
            <w:r>
              <w:rPr>
                <w:rFonts w:eastAsiaTheme="minorEastAsia"/>
                <w:color w:val="000000" w:themeColor="text1"/>
                <w:sz w:val="24"/>
              </w:rPr>
              <w:t>券商名称</w:t>
            </w:r>
          </w:p>
        </w:tc>
        <w:tc>
          <w:tcPr>
            <w:tcW w:w="240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债券交易</w:t>
            </w:r>
          </w:p>
        </w:tc>
        <w:tc>
          <w:tcPr>
            <w:tcW w:w="234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回购交易</w:t>
            </w:r>
          </w:p>
        </w:tc>
        <w:tc>
          <w:tcPr>
            <w:tcW w:w="270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权证交易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continue"/>
            <w:vAlign w:val="center"/>
          </w:tcPr>
          <w:p>
            <w:pPr>
              <w:widowControl/>
              <w:spacing w:line="276" w:lineRule="auto"/>
              <w:jc w:val="left"/>
              <w:rPr>
                <w:rFonts w:eastAsiaTheme="minorEastAsia"/>
                <w:color w:val="000000" w:themeColor="text1"/>
                <w:kern w:val="0"/>
                <w:sz w:val="24"/>
              </w:rPr>
            </w:pPr>
          </w:p>
        </w:tc>
        <w:tc>
          <w:tcPr>
            <w:tcW w:w="132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占当期债券成交总额的比例</w:t>
            </w:r>
          </w:p>
        </w:tc>
        <w:tc>
          <w:tcPr>
            <w:tcW w:w="1143"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197"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占当期回购成交总额的比例</w:t>
            </w:r>
          </w:p>
        </w:tc>
        <w:tc>
          <w:tcPr>
            <w:tcW w:w="1497"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203"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占当期权证成交总额的比例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center"/>
            </w:pPr>
            <w:r>
              <w:rPr>
                <w:rFonts w:eastAsiaTheme="minorEastAsia"/>
                <w:color w:val="000000" w:themeColor="text1"/>
                <w:sz w:val="24"/>
              </w:rPr>
              <w:t>华西证券股份有限公司</w:t>
            </w:r>
          </w:p>
        </w:tc>
        <w:tc>
          <w:tcPr>
            <w:tcW w:w="1320" w:type="dxa"/>
            <w:vAlign w:val="center"/>
          </w:tcPr>
          <w:p>
            <w:pPr>
              <w:jc w:val="right"/>
            </w:pPr>
            <w:r>
              <w:rPr>
                <w:rFonts w:eastAsiaTheme="minorEastAsia"/>
                <w:color w:val="000000" w:themeColor="text1"/>
                <w:sz w:val="24"/>
              </w:rPr>
              <w:t>3,313,759.01</w:t>
            </w:r>
          </w:p>
        </w:tc>
        <w:tc>
          <w:tcPr>
            <w:tcW w:w="1080" w:type="dxa"/>
            <w:vAlign w:val="center"/>
          </w:tcPr>
          <w:p>
            <w:pPr>
              <w:jc w:val="right"/>
            </w:pPr>
            <w:r>
              <w:rPr>
                <w:rFonts w:eastAsiaTheme="minorEastAsia"/>
                <w:color w:val="000000" w:themeColor="text1"/>
                <w:sz w:val="24"/>
              </w:rPr>
              <w:t>10.02%</w:t>
            </w:r>
          </w:p>
        </w:tc>
        <w:tc>
          <w:tcPr>
            <w:tcW w:w="1143" w:type="dxa"/>
            <w:vAlign w:val="center"/>
          </w:tcPr>
          <w:p>
            <w:pPr>
              <w:jc w:val="right"/>
            </w:pPr>
            <w:r>
              <w:rPr>
                <w:rFonts w:eastAsiaTheme="minorEastAsia"/>
                <w:color w:val="000000" w:themeColor="text1"/>
                <w:sz w:val="24"/>
              </w:rPr>
              <w:t>-</w:t>
            </w:r>
          </w:p>
        </w:tc>
        <w:tc>
          <w:tcPr>
            <w:tcW w:w="1197" w:type="dxa"/>
            <w:vAlign w:val="center"/>
          </w:tcPr>
          <w:p>
            <w:pPr>
              <w:jc w:val="right"/>
            </w:pPr>
            <w:r>
              <w:rPr>
                <w:rFonts w:eastAsiaTheme="minorEastAsia"/>
                <w:color w:val="000000" w:themeColor="text1"/>
                <w:sz w:val="24"/>
              </w:rPr>
              <w:t>-</w:t>
            </w:r>
          </w:p>
        </w:tc>
        <w:tc>
          <w:tcPr>
            <w:tcW w:w="1497" w:type="dxa"/>
            <w:vAlign w:val="center"/>
          </w:tcPr>
          <w:p>
            <w:pPr>
              <w:jc w:val="right"/>
            </w:pPr>
            <w:r>
              <w:rPr>
                <w:rFonts w:eastAsiaTheme="minorEastAsia"/>
                <w:color w:val="000000" w:themeColor="text1"/>
                <w:sz w:val="24"/>
              </w:rPr>
              <w:t>-</w:t>
            </w:r>
          </w:p>
        </w:tc>
        <w:tc>
          <w:tcPr>
            <w:tcW w:w="1203" w:type="dxa"/>
            <w:vAlign w:val="center"/>
          </w:tcPr>
          <w:p>
            <w:pPr>
              <w:jc w:val="righ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center"/>
            </w:pPr>
            <w:r>
              <w:rPr>
                <w:rFonts w:eastAsiaTheme="minorEastAsia"/>
                <w:color w:val="000000" w:themeColor="text1"/>
                <w:sz w:val="24"/>
              </w:rPr>
              <w:t>海通证券股份有限公司</w:t>
            </w:r>
          </w:p>
        </w:tc>
        <w:tc>
          <w:tcPr>
            <w:tcW w:w="1320" w:type="dxa"/>
            <w:vAlign w:val="center"/>
          </w:tcPr>
          <w:p>
            <w:pPr>
              <w:jc w:val="right"/>
            </w:pPr>
            <w:r>
              <w:rPr>
                <w:rFonts w:eastAsiaTheme="minorEastAsia"/>
                <w:color w:val="000000" w:themeColor="text1"/>
                <w:sz w:val="24"/>
              </w:rPr>
              <w:t>14,484,033.90</w:t>
            </w:r>
          </w:p>
        </w:tc>
        <w:tc>
          <w:tcPr>
            <w:tcW w:w="1080" w:type="dxa"/>
            <w:vAlign w:val="center"/>
          </w:tcPr>
          <w:p>
            <w:pPr>
              <w:jc w:val="right"/>
            </w:pPr>
            <w:r>
              <w:rPr>
                <w:rFonts w:eastAsiaTheme="minorEastAsia"/>
                <w:color w:val="000000" w:themeColor="text1"/>
                <w:sz w:val="24"/>
              </w:rPr>
              <w:t>43.78%</w:t>
            </w:r>
          </w:p>
        </w:tc>
        <w:tc>
          <w:tcPr>
            <w:tcW w:w="1143" w:type="dxa"/>
            <w:vAlign w:val="center"/>
          </w:tcPr>
          <w:p>
            <w:pPr>
              <w:jc w:val="right"/>
            </w:pPr>
            <w:r>
              <w:rPr>
                <w:rFonts w:eastAsiaTheme="minorEastAsia"/>
                <w:color w:val="000000" w:themeColor="text1"/>
                <w:sz w:val="24"/>
              </w:rPr>
              <w:t>-</w:t>
            </w:r>
          </w:p>
        </w:tc>
        <w:tc>
          <w:tcPr>
            <w:tcW w:w="1197" w:type="dxa"/>
            <w:vAlign w:val="center"/>
          </w:tcPr>
          <w:p>
            <w:pPr>
              <w:jc w:val="right"/>
            </w:pPr>
            <w:r>
              <w:rPr>
                <w:rFonts w:eastAsiaTheme="minorEastAsia"/>
                <w:color w:val="000000" w:themeColor="text1"/>
                <w:sz w:val="24"/>
              </w:rPr>
              <w:t>-</w:t>
            </w:r>
          </w:p>
        </w:tc>
        <w:tc>
          <w:tcPr>
            <w:tcW w:w="1497" w:type="dxa"/>
            <w:vAlign w:val="center"/>
          </w:tcPr>
          <w:p>
            <w:pPr>
              <w:jc w:val="right"/>
            </w:pPr>
            <w:r>
              <w:rPr>
                <w:rFonts w:eastAsiaTheme="minorEastAsia"/>
                <w:color w:val="000000" w:themeColor="text1"/>
                <w:sz w:val="24"/>
              </w:rPr>
              <w:t>-</w:t>
            </w:r>
          </w:p>
        </w:tc>
        <w:tc>
          <w:tcPr>
            <w:tcW w:w="1203" w:type="dxa"/>
            <w:vAlign w:val="center"/>
          </w:tcPr>
          <w:p>
            <w:pPr>
              <w:jc w:val="righ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center"/>
            </w:pPr>
            <w:r>
              <w:rPr>
                <w:rFonts w:eastAsiaTheme="minorEastAsia"/>
                <w:color w:val="000000" w:themeColor="text1"/>
                <w:sz w:val="24"/>
              </w:rPr>
              <w:t>中泰证券股份有限公司</w:t>
            </w:r>
          </w:p>
        </w:tc>
        <w:tc>
          <w:tcPr>
            <w:tcW w:w="1320" w:type="dxa"/>
            <w:vAlign w:val="center"/>
          </w:tcPr>
          <w:p>
            <w:pPr>
              <w:jc w:val="right"/>
            </w:pPr>
            <w:r>
              <w:rPr>
                <w:rFonts w:eastAsiaTheme="minorEastAsia"/>
                <w:color w:val="000000" w:themeColor="text1"/>
                <w:sz w:val="24"/>
              </w:rPr>
              <w:t>15,288,093.60</w:t>
            </w:r>
          </w:p>
        </w:tc>
        <w:tc>
          <w:tcPr>
            <w:tcW w:w="1080" w:type="dxa"/>
            <w:vAlign w:val="center"/>
          </w:tcPr>
          <w:p>
            <w:pPr>
              <w:jc w:val="right"/>
            </w:pPr>
            <w:r>
              <w:rPr>
                <w:rFonts w:eastAsiaTheme="minorEastAsia"/>
                <w:color w:val="000000" w:themeColor="text1"/>
                <w:sz w:val="24"/>
              </w:rPr>
              <w:t>46.21%</w:t>
            </w:r>
          </w:p>
        </w:tc>
        <w:tc>
          <w:tcPr>
            <w:tcW w:w="1143" w:type="dxa"/>
            <w:vAlign w:val="center"/>
          </w:tcPr>
          <w:p>
            <w:pPr>
              <w:jc w:val="right"/>
            </w:pPr>
            <w:r>
              <w:rPr>
                <w:rFonts w:eastAsiaTheme="minorEastAsia"/>
                <w:color w:val="000000" w:themeColor="text1"/>
                <w:sz w:val="24"/>
              </w:rPr>
              <w:t>-</w:t>
            </w:r>
          </w:p>
        </w:tc>
        <w:tc>
          <w:tcPr>
            <w:tcW w:w="1197" w:type="dxa"/>
            <w:vAlign w:val="center"/>
          </w:tcPr>
          <w:p>
            <w:pPr>
              <w:jc w:val="right"/>
            </w:pPr>
            <w:r>
              <w:rPr>
                <w:rFonts w:eastAsiaTheme="minorEastAsia"/>
                <w:color w:val="000000" w:themeColor="text1"/>
                <w:sz w:val="24"/>
              </w:rPr>
              <w:t>-</w:t>
            </w:r>
          </w:p>
        </w:tc>
        <w:tc>
          <w:tcPr>
            <w:tcW w:w="1497" w:type="dxa"/>
            <w:vAlign w:val="center"/>
          </w:tcPr>
          <w:p>
            <w:pPr>
              <w:jc w:val="right"/>
            </w:pPr>
            <w:r>
              <w:rPr>
                <w:rFonts w:eastAsiaTheme="minorEastAsia"/>
                <w:color w:val="000000" w:themeColor="text1"/>
                <w:sz w:val="24"/>
              </w:rPr>
              <w:t>-</w:t>
            </w:r>
          </w:p>
        </w:tc>
        <w:tc>
          <w:tcPr>
            <w:tcW w:w="1203" w:type="dxa"/>
            <w:vAlign w:val="center"/>
          </w:tcPr>
          <w:p>
            <w:pPr>
              <w:jc w:val="right"/>
            </w:pPr>
            <w:r>
              <w:rPr>
                <w:rFonts w:eastAsiaTheme="minorEastAsia"/>
                <w:color w:val="000000" w:themeColor="text1"/>
                <w:sz w:val="24"/>
              </w:rPr>
              <w:t>-</w:t>
            </w:r>
          </w:p>
        </w:tc>
      </w:tr>
    </w:tbl>
    <w:p>
      <w:pPr>
        <w:autoSpaceDE w:val="0"/>
        <w:autoSpaceDN w:val="0"/>
        <w:adjustRightInd w:val="0"/>
        <w:spacing w:line="360" w:lineRule="auto"/>
        <w:jc w:val="left"/>
        <w:rPr>
          <w:rFonts w:eastAsiaTheme="minorEastAsia"/>
          <w:color w:val="000000" w:themeColor="text1"/>
          <w:sz w:val="24"/>
        </w:rPr>
      </w:pPr>
      <w:r>
        <w:rPr>
          <w:rFonts w:eastAsiaTheme="minorEastAsia"/>
          <w:color w:val="000000" w:themeColor="text1"/>
          <w:sz w:val="24"/>
        </w:rPr>
        <w:t>注：1、报告期内，本基金新增加交易单元为华西证券股份有限公司、国元证券股份有限公司、东北证券股份有限公司、浙商证券股份有限公司、东吴证券股份有限公司和长江证券股份有限公司，其它交易单元未发生变化；</w:t>
      </w:r>
    </w:p>
    <w:p>
      <w:pPr>
        <w:autoSpaceDE w:val="0"/>
        <w:autoSpaceDN w:val="0"/>
        <w:adjustRightInd w:val="0"/>
        <w:spacing w:line="360" w:lineRule="auto"/>
        <w:ind w:firstLine="480" w:firstLineChars="200"/>
        <w:jc w:val="left"/>
        <w:rPr>
          <w:rFonts w:eastAsiaTheme="minorEastAsia"/>
          <w:color w:val="000000" w:themeColor="text1"/>
          <w:sz w:val="24"/>
        </w:rPr>
      </w:pPr>
      <w:r>
        <w:rPr>
          <w:rFonts w:eastAsiaTheme="minorEastAsia"/>
          <w:color w:val="000000" w:themeColor="text1"/>
          <w:sz w:val="24"/>
        </w:rPr>
        <w:t>2、租用证券公司交易单元的选择标准主要包括：券商基本面评价（财务状况、经营状况）、券商研究机构（评价报告质量、及时性和数量）、券商每日信息评价（及时性和有效性）和券商协作表现评价等四个方面；</w:t>
      </w:r>
    </w:p>
    <w:p>
      <w:pPr>
        <w:autoSpaceDE w:val="0"/>
        <w:autoSpaceDN w:val="0"/>
        <w:adjustRightInd w:val="0"/>
        <w:spacing w:line="360" w:lineRule="auto"/>
        <w:ind w:firstLine="480" w:firstLineChars="200"/>
        <w:jc w:val="left"/>
        <w:rPr>
          <w:rFonts w:eastAsiaTheme="minorEastAsia"/>
          <w:color w:val="000000" w:themeColor="text1"/>
          <w:sz w:val="24"/>
        </w:rPr>
      </w:pPr>
      <w:r>
        <w:rPr>
          <w:rFonts w:eastAsiaTheme="minorEastAsia"/>
          <w:color w:val="000000" w:themeColor="text1"/>
          <w:sz w:val="24"/>
        </w:rPr>
        <w:t>3、租用证券公司交易单元的程序：首先根据租用证券公司交易单元的选择标准进行综合评价，然后根据评价选择基金交易单元。研究部提交方案，并上报公司批准。</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77" w:name="_Toc67596715"/>
      <w:bookmarkStart w:id="278" w:name="_Toc361324901"/>
      <w:r>
        <w:rPr>
          <w:rFonts w:ascii="Times New Roman" w:hAnsi="Times New Roman"/>
          <w:kern w:val="0"/>
          <w:szCs w:val="24"/>
        </w:rPr>
        <w:t>11.8</w:t>
      </w:r>
      <w:r>
        <w:rPr>
          <w:rFonts w:hint="eastAsia" w:ascii="Times New Roman" w:hAnsi="Times New Roman"/>
          <w:kern w:val="0"/>
          <w:szCs w:val="24"/>
        </w:rPr>
        <w:t>其他重大事件</w:t>
      </w:r>
      <w:bookmarkEnd w:id="277"/>
      <w:bookmarkEnd w:id="278"/>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0"/>
        <w:gridCol w:w="4320"/>
        <w:gridCol w:w="2331"/>
        <w:gridCol w:w="16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spacing w:before="29" w:line="288" w:lineRule="auto"/>
              <w:jc w:val="center"/>
              <w:rPr>
                <w:color w:val="000000"/>
                <w:sz w:val="24"/>
              </w:rPr>
            </w:pPr>
            <w:r>
              <w:rPr>
                <w:rFonts w:hint="eastAsia"/>
                <w:color w:val="000000"/>
                <w:sz w:val="24"/>
              </w:rPr>
              <w:t>序号</w:t>
            </w:r>
          </w:p>
        </w:tc>
        <w:tc>
          <w:tcPr>
            <w:tcW w:w="4320" w:type="dxa"/>
            <w:vAlign w:val="center"/>
          </w:tcPr>
          <w:p>
            <w:pPr>
              <w:spacing w:before="29" w:line="288" w:lineRule="auto"/>
              <w:jc w:val="center"/>
              <w:rPr>
                <w:color w:val="000000"/>
                <w:sz w:val="24"/>
              </w:rPr>
            </w:pPr>
            <w:r>
              <w:rPr>
                <w:rFonts w:hint="eastAsia"/>
                <w:color w:val="000000"/>
                <w:sz w:val="24"/>
              </w:rPr>
              <w:t>公告事项</w:t>
            </w:r>
          </w:p>
        </w:tc>
        <w:tc>
          <w:tcPr>
            <w:tcW w:w="2331" w:type="dxa"/>
            <w:vAlign w:val="center"/>
          </w:tcPr>
          <w:p>
            <w:pPr>
              <w:spacing w:before="29" w:line="288" w:lineRule="auto"/>
              <w:jc w:val="center"/>
              <w:rPr>
                <w:color w:val="000000"/>
                <w:sz w:val="24"/>
              </w:rPr>
            </w:pPr>
            <w:r>
              <w:rPr>
                <w:rFonts w:hint="eastAsia"/>
                <w:color w:val="000000"/>
                <w:sz w:val="24"/>
              </w:rPr>
              <w:t>法定披露方式</w:t>
            </w:r>
          </w:p>
        </w:tc>
        <w:tc>
          <w:tcPr>
            <w:tcW w:w="1629" w:type="dxa"/>
            <w:vAlign w:val="center"/>
          </w:tcPr>
          <w:p>
            <w:pPr>
              <w:spacing w:before="29" w:line="288" w:lineRule="auto"/>
              <w:jc w:val="center"/>
              <w:rPr>
                <w:color w:val="000000"/>
                <w:sz w:val="24"/>
              </w:rPr>
            </w:pPr>
            <w:r>
              <w:rPr>
                <w:rFonts w:hint="eastAsia"/>
                <w:color w:val="000000"/>
                <w:sz w:val="24"/>
              </w:rPr>
              <w:t>法定披露日期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w:t>
            </w:r>
          </w:p>
        </w:tc>
        <w:tc>
          <w:tcPr>
            <w:tcW w:w="4320" w:type="dxa"/>
            <w:vAlign w:val="center"/>
          </w:tcPr>
          <w:p>
            <w:pPr>
              <w:jc w:val="left"/>
            </w:pPr>
            <w:r>
              <w:rPr>
                <w:color w:val="000000"/>
                <w:sz w:val="24"/>
              </w:rPr>
              <w:t>交银施罗德基金管理有限公司关于增加阳光人寿保险股份有限公司为旗下基金销售机构的公告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2020-01-20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w:t>
            </w:r>
          </w:p>
        </w:tc>
        <w:tc>
          <w:tcPr>
            <w:tcW w:w="4320" w:type="dxa"/>
            <w:vAlign w:val="center"/>
          </w:tcPr>
          <w:p>
            <w:pPr>
              <w:jc w:val="left"/>
            </w:pPr>
            <w:r>
              <w:rPr>
                <w:color w:val="000000"/>
                <w:sz w:val="24"/>
              </w:rPr>
              <w:t>交银施罗德新成长混合型证券投资基金2019年第4季度报告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2020-01-21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w:t>
            </w:r>
          </w:p>
        </w:tc>
        <w:tc>
          <w:tcPr>
            <w:tcW w:w="4320" w:type="dxa"/>
            <w:vAlign w:val="center"/>
          </w:tcPr>
          <w:p>
            <w:pPr>
              <w:jc w:val="left"/>
            </w:pPr>
            <w:r>
              <w:rPr>
                <w:color w:val="000000"/>
                <w:sz w:val="24"/>
              </w:rPr>
              <w:t>交银施罗德基金管理有限公司关于春节假期调整延期办理有关业务的公告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2020-01-31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4</w:t>
            </w:r>
          </w:p>
        </w:tc>
        <w:tc>
          <w:tcPr>
            <w:tcW w:w="4320" w:type="dxa"/>
            <w:vAlign w:val="center"/>
          </w:tcPr>
          <w:p>
            <w:pPr>
              <w:jc w:val="left"/>
            </w:pPr>
            <w:r>
              <w:rPr>
                <w:color w:val="000000"/>
                <w:sz w:val="24"/>
              </w:rPr>
              <w:t>交银施罗德基金管理有限公司关于增加恒泰证券股份有限公司为旗下基金销售机构的公告</w:t>
            </w:r>
          </w:p>
        </w:tc>
        <w:tc>
          <w:tcPr>
            <w:tcW w:w="2331" w:type="dxa"/>
            <w:vAlign w:val="center"/>
          </w:tcPr>
          <w:p>
            <w:pPr>
              <w:jc w:val="center"/>
            </w:pPr>
            <w:r>
              <w:rPr>
                <w:color w:val="000000"/>
                <w:sz w:val="24"/>
              </w:rPr>
              <w:t>中国证券报、证券时报、公司网站</w:t>
            </w:r>
          </w:p>
        </w:tc>
        <w:tc>
          <w:tcPr>
            <w:tcW w:w="1629" w:type="dxa"/>
            <w:vAlign w:val="center"/>
          </w:tcPr>
          <w:p>
            <w:pPr>
              <w:jc w:val="center"/>
            </w:pPr>
            <w:r>
              <w:rPr>
                <w:color w:val="000000"/>
                <w:sz w:val="24"/>
              </w:rPr>
              <w:t>2020-02-07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5</w:t>
            </w:r>
          </w:p>
        </w:tc>
        <w:tc>
          <w:tcPr>
            <w:tcW w:w="4320" w:type="dxa"/>
            <w:vAlign w:val="center"/>
          </w:tcPr>
          <w:p>
            <w:pPr>
              <w:jc w:val="left"/>
            </w:pPr>
            <w:r>
              <w:rPr>
                <w:color w:val="000000"/>
                <w:sz w:val="24"/>
              </w:rPr>
              <w:t>交银施罗德基金管理有限公司关于终止泰诚财富基金销售（大连）有限公司办理相关销售业务的公告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2020-03-21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6</w:t>
            </w:r>
          </w:p>
        </w:tc>
        <w:tc>
          <w:tcPr>
            <w:tcW w:w="4320" w:type="dxa"/>
            <w:vAlign w:val="center"/>
          </w:tcPr>
          <w:p>
            <w:pPr>
              <w:jc w:val="left"/>
            </w:pPr>
            <w:r>
              <w:rPr>
                <w:color w:val="000000"/>
                <w:sz w:val="24"/>
              </w:rPr>
              <w:t>交银施罗德基金管理有限公司关于增加中国中金财富证券有限公司为旗下基金销售机构的公告</w:t>
            </w:r>
          </w:p>
        </w:tc>
        <w:tc>
          <w:tcPr>
            <w:tcW w:w="2331" w:type="dxa"/>
            <w:vAlign w:val="center"/>
          </w:tcPr>
          <w:p>
            <w:pPr>
              <w:jc w:val="center"/>
            </w:pPr>
            <w:r>
              <w:rPr>
                <w:color w:val="000000"/>
                <w:sz w:val="24"/>
              </w:rPr>
              <w:t>中国证券报、公司网站</w:t>
            </w:r>
          </w:p>
        </w:tc>
        <w:tc>
          <w:tcPr>
            <w:tcW w:w="1629" w:type="dxa"/>
            <w:vAlign w:val="center"/>
          </w:tcPr>
          <w:p>
            <w:pPr>
              <w:jc w:val="center"/>
            </w:pPr>
            <w:r>
              <w:rPr>
                <w:color w:val="000000"/>
                <w:sz w:val="24"/>
              </w:rPr>
              <w:t>2020-03-24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7</w:t>
            </w:r>
          </w:p>
        </w:tc>
        <w:tc>
          <w:tcPr>
            <w:tcW w:w="4320" w:type="dxa"/>
            <w:vAlign w:val="center"/>
          </w:tcPr>
          <w:p>
            <w:pPr>
              <w:jc w:val="left"/>
            </w:pPr>
            <w:r>
              <w:rPr>
                <w:color w:val="000000"/>
                <w:sz w:val="24"/>
              </w:rPr>
              <w:t>交银施罗德新成长混合型证券投资基金2019年年度报告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2020-03-30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8</w:t>
            </w:r>
          </w:p>
        </w:tc>
        <w:tc>
          <w:tcPr>
            <w:tcW w:w="4320" w:type="dxa"/>
            <w:vAlign w:val="center"/>
          </w:tcPr>
          <w:p>
            <w:pPr>
              <w:jc w:val="left"/>
            </w:pPr>
            <w:r>
              <w:rPr>
                <w:color w:val="000000"/>
                <w:sz w:val="24"/>
              </w:rPr>
              <w:t>交银施罗德基金管理有限公司关于暂停部分销售机构办理相关销售业务的公告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2020-04-13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9</w:t>
            </w:r>
          </w:p>
        </w:tc>
        <w:tc>
          <w:tcPr>
            <w:tcW w:w="4320" w:type="dxa"/>
            <w:vAlign w:val="center"/>
          </w:tcPr>
          <w:p>
            <w:pPr>
              <w:jc w:val="left"/>
            </w:pPr>
            <w:r>
              <w:rPr>
                <w:color w:val="000000"/>
                <w:sz w:val="24"/>
              </w:rPr>
              <w:t>交银施罗德新成长混合型证券投资基金2020年第1季度报告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2020-04-22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10</w:t>
            </w:r>
          </w:p>
        </w:tc>
        <w:tc>
          <w:tcPr>
            <w:tcW w:w="4320" w:type="dxa"/>
            <w:vAlign w:val="center"/>
          </w:tcPr>
          <w:p>
            <w:pPr>
              <w:jc w:val="left"/>
            </w:pPr>
            <w:r>
              <w:rPr>
                <w:color w:val="000000"/>
                <w:sz w:val="24"/>
              </w:rPr>
              <w:t>交银施罗德基金管理有限公司关于旗下部分基金投资非公开发行股票的公告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2020-05-21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11</w:t>
            </w:r>
          </w:p>
        </w:tc>
        <w:tc>
          <w:tcPr>
            <w:tcW w:w="4320" w:type="dxa"/>
            <w:vAlign w:val="center"/>
          </w:tcPr>
          <w:p>
            <w:pPr>
              <w:jc w:val="left"/>
            </w:pPr>
            <w:r>
              <w:rPr>
                <w:color w:val="000000"/>
                <w:sz w:val="24"/>
              </w:rPr>
              <w:t>交银施罗德基金管理有限公司关于增加中信证券华南股份有限公司为旗下基金销售机构的公告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2020-05-27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12</w:t>
            </w:r>
          </w:p>
        </w:tc>
        <w:tc>
          <w:tcPr>
            <w:tcW w:w="4320" w:type="dxa"/>
            <w:vAlign w:val="center"/>
          </w:tcPr>
          <w:p>
            <w:pPr>
              <w:jc w:val="left"/>
            </w:pPr>
            <w:r>
              <w:rPr>
                <w:color w:val="000000"/>
                <w:sz w:val="24"/>
              </w:rPr>
              <w:t>交银施罗德新成长混合型证券投资基金（更新）招募说明书（2020年第1号）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2020-05-30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13</w:t>
            </w:r>
          </w:p>
        </w:tc>
        <w:tc>
          <w:tcPr>
            <w:tcW w:w="4320" w:type="dxa"/>
            <w:vAlign w:val="center"/>
          </w:tcPr>
          <w:p>
            <w:pPr>
              <w:jc w:val="left"/>
            </w:pPr>
            <w:r>
              <w:rPr>
                <w:color w:val="000000"/>
                <w:sz w:val="24"/>
              </w:rPr>
              <w:t>交银施罗德新成长混合型证券投资基金（更新）招募说明书摘要（2020年第1号）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2020-05-30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14</w:t>
            </w:r>
          </w:p>
        </w:tc>
        <w:tc>
          <w:tcPr>
            <w:tcW w:w="4320" w:type="dxa"/>
            <w:vAlign w:val="center"/>
          </w:tcPr>
          <w:p>
            <w:pPr>
              <w:jc w:val="left"/>
            </w:pPr>
            <w:r>
              <w:rPr>
                <w:color w:val="000000"/>
                <w:sz w:val="24"/>
              </w:rPr>
              <w:t>交银施罗德基金管理有限公司关于增加国信证券股份有限公司为旗下基金销售机构的公告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2020-06-10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15</w:t>
            </w:r>
          </w:p>
        </w:tc>
        <w:tc>
          <w:tcPr>
            <w:tcW w:w="4320" w:type="dxa"/>
            <w:vAlign w:val="center"/>
          </w:tcPr>
          <w:p>
            <w:pPr>
              <w:jc w:val="left"/>
            </w:pPr>
            <w:r>
              <w:rPr>
                <w:color w:val="000000"/>
                <w:sz w:val="24"/>
              </w:rPr>
              <w:t>交银施罗德基金管理有限公司关于增加方正证券股份有限公司为旗下基金销售机构的公告</w:t>
            </w:r>
          </w:p>
        </w:tc>
        <w:tc>
          <w:tcPr>
            <w:tcW w:w="2331" w:type="dxa"/>
            <w:vAlign w:val="center"/>
          </w:tcPr>
          <w:p>
            <w:pPr>
              <w:jc w:val="center"/>
            </w:pPr>
            <w:r>
              <w:rPr>
                <w:color w:val="000000"/>
                <w:sz w:val="24"/>
              </w:rPr>
              <w:t>中国证券报、上海证券报、公司网站</w:t>
            </w:r>
          </w:p>
        </w:tc>
        <w:tc>
          <w:tcPr>
            <w:tcW w:w="1629" w:type="dxa"/>
            <w:vAlign w:val="center"/>
          </w:tcPr>
          <w:p>
            <w:pPr>
              <w:jc w:val="center"/>
            </w:pPr>
            <w:r>
              <w:rPr>
                <w:color w:val="000000"/>
                <w:sz w:val="24"/>
              </w:rPr>
              <w:t>2020-06-18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16</w:t>
            </w:r>
          </w:p>
        </w:tc>
        <w:tc>
          <w:tcPr>
            <w:tcW w:w="4320" w:type="dxa"/>
            <w:vAlign w:val="center"/>
          </w:tcPr>
          <w:p>
            <w:pPr>
              <w:jc w:val="left"/>
            </w:pPr>
            <w:r>
              <w:rPr>
                <w:color w:val="000000"/>
                <w:sz w:val="24"/>
              </w:rPr>
              <w:t>交银施罗德基金管理有限公司关于增加华鑫证券有限责任公司为旗下基金销售机构的公告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2020-06-22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17</w:t>
            </w:r>
          </w:p>
        </w:tc>
        <w:tc>
          <w:tcPr>
            <w:tcW w:w="4320" w:type="dxa"/>
            <w:vAlign w:val="center"/>
          </w:tcPr>
          <w:p>
            <w:pPr>
              <w:jc w:val="left"/>
            </w:pPr>
            <w:r>
              <w:rPr>
                <w:color w:val="000000"/>
                <w:sz w:val="24"/>
              </w:rPr>
              <w:t>交银施罗德基金管理有限公司关于增加江苏江南农村商业银行股份有限公司为旗下基金销售机构的公告</w:t>
            </w:r>
          </w:p>
        </w:tc>
        <w:tc>
          <w:tcPr>
            <w:tcW w:w="2331" w:type="dxa"/>
            <w:vAlign w:val="center"/>
          </w:tcPr>
          <w:p>
            <w:pPr>
              <w:jc w:val="center"/>
            </w:pPr>
            <w:r>
              <w:rPr>
                <w:color w:val="000000"/>
                <w:sz w:val="24"/>
              </w:rPr>
              <w:t>中国证券报、证券时报、公司网站</w:t>
            </w:r>
          </w:p>
        </w:tc>
        <w:tc>
          <w:tcPr>
            <w:tcW w:w="1629" w:type="dxa"/>
            <w:vAlign w:val="center"/>
          </w:tcPr>
          <w:p>
            <w:pPr>
              <w:jc w:val="center"/>
            </w:pPr>
            <w:r>
              <w:rPr>
                <w:color w:val="000000"/>
                <w:sz w:val="24"/>
              </w:rPr>
              <w:t>2020-07-03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18</w:t>
            </w:r>
          </w:p>
        </w:tc>
        <w:tc>
          <w:tcPr>
            <w:tcW w:w="4320" w:type="dxa"/>
            <w:vAlign w:val="center"/>
          </w:tcPr>
          <w:p>
            <w:pPr>
              <w:jc w:val="left"/>
            </w:pPr>
            <w:r>
              <w:rPr>
                <w:color w:val="000000"/>
                <w:sz w:val="24"/>
              </w:rPr>
              <w:t>交银施罗德新成长混合型证券投资基金2020年第2季度报告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2020-07-21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19</w:t>
            </w:r>
          </w:p>
        </w:tc>
        <w:tc>
          <w:tcPr>
            <w:tcW w:w="4320" w:type="dxa"/>
            <w:vAlign w:val="center"/>
          </w:tcPr>
          <w:p>
            <w:pPr>
              <w:jc w:val="left"/>
            </w:pPr>
            <w:r>
              <w:rPr>
                <w:color w:val="000000"/>
                <w:sz w:val="24"/>
              </w:rPr>
              <w:t>交银施罗德基金管理有限公司关于增加厦门银行股份有限公司为旗下基金销售机构的公告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2020-07-24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20</w:t>
            </w:r>
          </w:p>
        </w:tc>
        <w:tc>
          <w:tcPr>
            <w:tcW w:w="4320" w:type="dxa"/>
            <w:vAlign w:val="center"/>
          </w:tcPr>
          <w:p>
            <w:pPr>
              <w:jc w:val="left"/>
            </w:pPr>
            <w:r>
              <w:rPr>
                <w:color w:val="000000"/>
                <w:sz w:val="24"/>
              </w:rPr>
              <w:t>交银施罗德基金管理有限公司关于增加安信证券股份有限公司为旗下基金销售机构的公告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2020-08-25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21</w:t>
            </w:r>
          </w:p>
        </w:tc>
        <w:tc>
          <w:tcPr>
            <w:tcW w:w="4320" w:type="dxa"/>
            <w:vAlign w:val="center"/>
          </w:tcPr>
          <w:p>
            <w:pPr>
              <w:jc w:val="left"/>
            </w:pPr>
            <w:r>
              <w:rPr>
                <w:color w:val="000000"/>
                <w:sz w:val="24"/>
              </w:rPr>
              <w:t>交银施罗德新成长混合型证券投资基金2020年中期报告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2020-08-29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22</w:t>
            </w:r>
          </w:p>
        </w:tc>
        <w:tc>
          <w:tcPr>
            <w:tcW w:w="4320" w:type="dxa"/>
            <w:vAlign w:val="center"/>
          </w:tcPr>
          <w:p>
            <w:pPr>
              <w:jc w:val="left"/>
            </w:pPr>
            <w:r>
              <w:rPr>
                <w:color w:val="000000"/>
                <w:sz w:val="24"/>
              </w:rPr>
              <w:t>交银施罗德新成长混合型证券投资基金基金产品资料概要</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2020-08-31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23</w:t>
            </w:r>
          </w:p>
        </w:tc>
        <w:tc>
          <w:tcPr>
            <w:tcW w:w="4320" w:type="dxa"/>
            <w:vAlign w:val="center"/>
          </w:tcPr>
          <w:p>
            <w:pPr>
              <w:jc w:val="left"/>
            </w:pPr>
            <w:r>
              <w:rPr>
                <w:color w:val="000000"/>
                <w:sz w:val="24"/>
              </w:rPr>
              <w:t>交银施罗德基金管理有限公司关于增加泛华普益基金销售有限公司为旗下基金销售机构的公告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24</w:t>
            </w:r>
          </w:p>
        </w:tc>
        <w:tc>
          <w:tcPr>
            <w:tcW w:w="4320" w:type="dxa"/>
            <w:vAlign w:val="center"/>
          </w:tcPr>
          <w:p>
            <w:pPr>
              <w:jc w:val="left"/>
            </w:pPr>
            <w:r>
              <w:rPr>
                <w:color w:val="000000"/>
                <w:sz w:val="24"/>
              </w:rPr>
              <w:t>交银施罗德基金管理有限公司关于增加中国邮政储蓄银行股份有限公司为旗下基金销售机构的公告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2020-09-23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25</w:t>
            </w:r>
          </w:p>
        </w:tc>
        <w:tc>
          <w:tcPr>
            <w:tcW w:w="4320" w:type="dxa"/>
            <w:vAlign w:val="center"/>
          </w:tcPr>
          <w:p>
            <w:pPr>
              <w:jc w:val="left"/>
            </w:pPr>
            <w:r>
              <w:rPr>
                <w:color w:val="000000"/>
                <w:sz w:val="24"/>
              </w:rPr>
              <w:t>交银施罗德基金管理有限公司关于暂停上海凯石财富基金销售有限公司办理相关销售业务的公告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2020-09-29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26</w:t>
            </w:r>
          </w:p>
        </w:tc>
        <w:tc>
          <w:tcPr>
            <w:tcW w:w="4320" w:type="dxa"/>
            <w:vAlign w:val="center"/>
          </w:tcPr>
          <w:p>
            <w:pPr>
              <w:jc w:val="left"/>
            </w:pPr>
            <w:r>
              <w:rPr>
                <w:color w:val="000000"/>
                <w:sz w:val="24"/>
              </w:rPr>
              <w:t>交银施罗德基金管理有限公司关于旗下部分基金投资非公开发行股票的公告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2020-10-14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27</w:t>
            </w:r>
          </w:p>
        </w:tc>
        <w:tc>
          <w:tcPr>
            <w:tcW w:w="4320" w:type="dxa"/>
            <w:vAlign w:val="center"/>
          </w:tcPr>
          <w:p>
            <w:pPr>
              <w:jc w:val="left"/>
            </w:pPr>
            <w:r>
              <w:rPr>
                <w:color w:val="000000"/>
                <w:sz w:val="24"/>
              </w:rPr>
              <w:t>交银施罗德新成长混合型证券投资基金2020年第3季度报告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2020-10-28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28</w:t>
            </w:r>
          </w:p>
        </w:tc>
        <w:tc>
          <w:tcPr>
            <w:tcW w:w="4320" w:type="dxa"/>
            <w:vAlign w:val="center"/>
          </w:tcPr>
          <w:p>
            <w:pPr>
              <w:jc w:val="left"/>
            </w:pPr>
            <w:r>
              <w:rPr>
                <w:color w:val="000000"/>
                <w:sz w:val="24"/>
              </w:rPr>
              <w:t>交银施罗德基金管理有限公司关于增加上海中欧财富基金销售有限公司为旗下基金销售机构的公告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2020-10-30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29</w:t>
            </w:r>
          </w:p>
        </w:tc>
        <w:tc>
          <w:tcPr>
            <w:tcW w:w="4320" w:type="dxa"/>
            <w:vAlign w:val="center"/>
          </w:tcPr>
          <w:p>
            <w:pPr>
              <w:jc w:val="left"/>
            </w:pPr>
            <w:r>
              <w:rPr>
                <w:color w:val="000000"/>
                <w:sz w:val="24"/>
              </w:rPr>
              <w:t>交银施罗德基金管理有限公司关于旗下部分基金投资非公开发行股票的公告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2020-11-03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30</w:t>
            </w:r>
          </w:p>
        </w:tc>
        <w:tc>
          <w:tcPr>
            <w:tcW w:w="4320" w:type="dxa"/>
            <w:vAlign w:val="center"/>
          </w:tcPr>
          <w:p>
            <w:pPr>
              <w:jc w:val="left"/>
            </w:pPr>
            <w:r>
              <w:rPr>
                <w:color w:val="000000"/>
                <w:sz w:val="24"/>
              </w:rPr>
              <w:t>交银施罗德基金管理有限公司关于增加华宝证券有限责任公司为旗下基金销售机构的公告</w:t>
            </w:r>
          </w:p>
        </w:tc>
        <w:tc>
          <w:tcPr>
            <w:tcW w:w="2331" w:type="dxa"/>
            <w:vAlign w:val="center"/>
          </w:tcPr>
          <w:p>
            <w:pPr>
              <w:jc w:val="center"/>
            </w:pPr>
            <w:r>
              <w:rPr>
                <w:color w:val="000000"/>
                <w:sz w:val="24"/>
              </w:rPr>
              <w:t>中国证券报、公司网站</w:t>
            </w:r>
          </w:p>
        </w:tc>
        <w:tc>
          <w:tcPr>
            <w:tcW w:w="1629" w:type="dxa"/>
            <w:vAlign w:val="center"/>
          </w:tcPr>
          <w:p>
            <w:pPr>
              <w:jc w:val="center"/>
            </w:pPr>
            <w:r>
              <w:rPr>
                <w:color w:val="000000"/>
                <w:sz w:val="24"/>
              </w:rPr>
              <w:t>2020-11-04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31</w:t>
            </w:r>
          </w:p>
        </w:tc>
        <w:tc>
          <w:tcPr>
            <w:tcW w:w="4320" w:type="dxa"/>
            <w:vAlign w:val="center"/>
          </w:tcPr>
          <w:p>
            <w:pPr>
              <w:jc w:val="left"/>
            </w:pPr>
            <w:r>
              <w:rPr>
                <w:color w:val="000000"/>
                <w:sz w:val="24"/>
              </w:rPr>
              <w:t>交银施罗德新成长混合型证券投资基金托管协议</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32</w:t>
            </w:r>
          </w:p>
        </w:tc>
        <w:tc>
          <w:tcPr>
            <w:tcW w:w="4320" w:type="dxa"/>
            <w:vAlign w:val="center"/>
          </w:tcPr>
          <w:p>
            <w:pPr>
              <w:jc w:val="left"/>
            </w:pPr>
            <w:r>
              <w:rPr>
                <w:color w:val="000000"/>
                <w:sz w:val="24"/>
              </w:rPr>
              <w:t>交银施罗德新成长混合型证券投资基金基金产品资料概要更新(2020年第2号)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33</w:t>
            </w:r>
          </w:p>
        </w:tc>
        <w:tc>
          <w:tcPr>
            <w:tcW w:w="4320" w:type="dxa"/>
            <w:vAlign w:val="center"/>
          </w:tcPr>
          <w:p>
            <w:pPr>
              <w:jc w:val="left"/>
            </w:pPr>
            <w:r>
              <w:rPr>
                <w:color w:val="000000"/>
                <w:sz w:val="24"/>
              </w:rPr>
              <w:t>交银施罗德基金管理有限公司关于调整旗下部分基金投资范围并相应修改法律文件的公告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34</w:t>
            </w:r>
          </w:p>
        </w:tc>
        <w:tc>
          <w:tcPr>
            <w:tcW w:w="4320" w:type="dxa"/>
            <w:vAlign w:val="center"/>
          </w:tcPr>
          <w:p>
            <w:pPr>
              <w:jc w:val="left"/>
            </w:pPr>
            <w:r>
              <w:rPr>
                <w:color w:val="000000"/>
                <w:sz w:val="24"/>
              </w:rPr>
              <w:t>交银施罗德新成长混合型证券投资基金基金合同</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35</w:t>
            </w:r>
          </w:p>
        </w:tc>
        <w:tc>
          <w:tcPr>
            <w:tcW w:w="4320" w:type="dxa"/>
            <w:vAlign w:val="center"/>
          </w:tcPr>
          <w:p>
            <w:pPr>
              <w:jc w:val="left"/>
            </w:pPr>
            <w:r>
              <w:rPr>
                <w:color w:val="000000"/>
                <w:sz w:val="24"/>
              </w:rPr>
              <w:t>交银施罗德新成长混合型证券投资基金（更新）招募说明书（2020年第2号）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36</w:t>
            </w:r>
          </w:p>
        </w:tc>
        <w:tc>
          <w:tcPr>
            <w:tcW w:w="4320" w:type="dxa"/>
            <w:vAlign w:val="center"/>
          </w:tcPr>
          <w:p>
            <w:pPr>
              <w:jc w:val="left"/>
            </w:pPr>
            <w:r>
              <w:rPr>
                <w:color w:val="000000"/>
                <w:sz w:val="24"/>
              </w:rPr>
              <w:t>交银施罗德基金管理有限公司关于旗下部分基金投资非公开发行股票的公告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2020-12-04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37</w:t>
            </w:r>
          </w:p>
        </w:tc>
        <w:tc>
          <w:tcPr>
            <w:tcW w:w="4320" w:type="dxa"/>
            <w:vAlign w:val="center"/>
          </w:tcPr>
          <w:p>
            <w:pPr>
              <w:jc w:val="left"/>
            </w:pPr>
            <w:r>
              <w:rPr>
                <w:color w:val="000000"/>
                <w:sz w:val="24"/>
              </w:rPr>
              <w:t>交银施罗德基金管理有限公司关于旗下部分基金参与招商银行股份有限公司小简易基金组合申购费率优惠的公告</w:t>
            </w:r>
          </w:p>
        </w:tc>
        <w:tc>
          <w:tcPr>
            <w:tcW w:w="2331" w:type="dxa"/>
            <w:vAlign w:val="center"/>
          </w:tcPr>
          <w:p>
            <w:pPr>
              <w:jc w:val="center"/>
            </w:pPr>
            <w:r>
              <w:rPr>
                <w:color w:val="000000"/>
                <w:sz w:val="24"/>
              </w:rPr>
              <w:t>中国证券报、公司网站</w:t>
            </w:r>
          </w:p>
        </w:tc>
        <w:tc>
          <w:tcPr>
            <w:tcW w:w="1629" w:type="dxa"/>
            <w:vAlign w:val="center"/>
          </w:tcPr>
          <w:p>
            <w:pPr>
              <w:jc w:val="center"/>
            </w:pPr>
            <w:r>
              <w:rPr>
                <w:color w:val="000000"/>
                <w:sz w:val="24"/>
              </w:rPr>
              <w:t>2020-12-07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38</w:t>
            </w:r>
          </w:p>
        </w:tc>
        <w:tc>
          <w:tcPr>
            <w:tcW w:w="4320" w:type="dxa"/>
            <w:vAlign w:val="center"/>
          </w:tcPr>
          <w:p>
            <w:pPr>
              <w:jc w:val="left"/>
            </w:pPr>
            <w:r>
              <w:rPr>
                <w:color w:val="000000"/>
                <w:sz w:val="24"/>
              </w:rPr>
              <w:t>交银施罗德基金管理有限公司关于增加中国人寿保险股份有限公司为旗下基金销售机构的公告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2020-12-14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39</w:t>
            </w:r>
          </w:p>
        </w:tc>
        <w:tc>
          <w:tcPr>
            <w:tcW w:w="4320" w:type="dxa"/>
            <w:vAlign w:val="center"/>
          </w:tcPr>
          <w:p>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2020-12-31</w:t>
            </w:r>
          </w:p>
        </w:tc>
      </w:tr>
    </w:tbl>
    <w:p>
      <w:pPr>
        <w:tabs>
          <w:tab w:val="left" w:pos="426"/>
        </w:tabs>
        <w:spacing w:before="29" w:line="288" w:lineRule="auto"/>
        <w:jc w:val="left"/>
        <w:rPr>
          <w:kern w:val="0"/>
          <w:sz w:val="24"/>
        </w:rPr>
      </w:pPr>
    </w:p>
    <w:p>
      <w:pPr>
        <w:pStyle w:val="2"/>
        <w:keepNext/>
        <w:keepLines/>
        <w:widowControl w:val="0"/>
        <w:spacing w:before="312" w:beforeLines="100" w:after="312" w:afterLines="100" w:line="360" w:lineRule="auto"/>
        <w:jc w:val="center"/>
        <w:rPr>
          <w:rFonts w:eastAsiaTheme="minorEastAsia"/>
          <w:b/>
          <w:bCs/>
          <w:szCs w:val="24"/>
          <w:lang w:val="en-US"/>
        </w:rPr>
      </w:pPr>
      <w:bookmarkStart w:id="279" w:name="_Toc374532345"/>
      <w:bookmarkStart w:id="280" w:name="_Toc67596716"/>
      <w:r>
        <w:rPr>
          <w:rFonts w:hint="eastAsia"/>
          <w:b/>
          <w:bCs/>
          <w:color w:val="000000"/>
          <w:szCs w:val="24"/>
        </w:rPr>
        <w:t>§</w:t>
      </w:r>
      <w:r>
        <w:rPr>
          <w:rFonts w:eastAsiaTheme="minorEastAsia"/>
          <w:b/>
          <w:bCs/>
          <w:szCs w:val="24"/>
          <w:lang w:val="en-US"/>
        </w:rPr>
        <w:t>12  影响投资者决策的其他重要信息</w:t>
      </w:r>
      <w:bookmarkEnd w:id="279"/>
      <w:bookmarkEnd w:id="280"/>
    </w:p>
    <w:p>
      <w:pPr>
        <w:pStyle w:val="3"/>
        <w:spacing w:before="29" w:after="0" w:line="288" w:lineRule="auto"/>
        <w:rPr>
          <w:rFonts w:ascii="Times New Roman" w:hAnsi="Times New Roman"/>
          <w:kern w:val="0"/>
          <w:szCs w:val="24"/>
        </w:rPr>
      </w:pPr>
      <w:bookmarkStart w:id="281" w:name="_Toc67596717"/>
      <w:r>
        <w:rPr>
          <w:rFonts w:hint="eastAsia" w:ascii="Times New Roman" w:hAnsi="Times New Roman"/>
          <w:kern w:val="0"/>
          <w:szCs w:val="24"/>
        </w:rPr>
        <w:t>12.1 影响投资者决策的其他重要信息</w:t>
      </w:r>
      <w:bookmarkEnd w:id="281"/>
    </w:p>
    <w:p>
      <w:pPr>
        <w:spacing w:line="360" w:lineRule="auto"/>
        <w:ind w:firstLine="480" w:firstLineChars="200"/>
        <w:rPr>
          <w:rFonts w:ascii="宋体" w:hAnsi="宋体"/>
          <w:color w:val="000000"/>
          <w:sz w:val="24"/>
        </w:rPr>
      </w:pPr>
      <w:r>
        <w:rPr>
          <w:rFonts w:ascii="宋体" w:hAnsi="宋体"/>
          <w:color w:val="000000"/>
          <w:sz w:val="24"/>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pPr>
        <w:spacing w:line="360" w:lineRule="auto"/>
        <w:ind w:firstLine="420" w:firstLineChars="200"/>
        <w:rPr>
          <w:rFonts w:asciiTheme="minorEastAsia" w:hAnsiTheme="minorEastAsia" w:eastAsiaTheme="minorEastAsia"/>
          <w:szCs w:val="21"/>
        </w:rPr>
      </w:pPr>
    </w:p>
    <w:p>
      <w:pPr>
        <w:pStyle w:val="2"/>
        <w:keepNext/>
        <w:keepLines/>
        <w:widowControl w:val="0"/>
        <w:spacing w:before="312" w:beforeLines="100" w:after="312" w:afterLines="100" w:line="288" w:lineRule="auto"/>
        <w:jc w:val="center"/>
        <w:rPr>
          <w:b/>
          <w:bCs/>
          <w:color w:val="000000"/>
          <w:szCs w:val="24"/>
        </w:rPr>
      </w:pPr>
      <w:bookmarkStart w:id="282" w:name="_Toc361324903"/>
      <w:bookmarkStart w:id="283" w:name="_Toc225500055"/>
      <w:bookmarkStart w:id="284" w:name="_Toc67596718"/>
      <w:r>
        <w:rPr>
          <w:rFonts w:hint="eastAsia"/>
          <w:b/>
          <w:bCs/>
          <w:color w:val="000000"/>
          <w:szCs w:val="24"/>
        </w:rPr>
        <w:t>§</w:t>
      </w:r>
      <w:r>
        <w:rPr>
          <w:b/>
          <w:bCs/>
          <w:color w:val="000000"/>
          <w:szCs w:val="24"/>
        </w:rPr>
        <w:t>13</w:t>
      </w:r>
      <w:r>
        <w:rPr>
          <w:rFonts w:hint="eastAsia"/>
          <w:b/>
          <w:bCs/>
          <w:color w:val="000000"/>
          <w:szCs w:val="24"/>
        </w:rPr>
        <w:t>备查文件目录</w:t>
      </w:r>
      <w:bookmarkEnd w:id="282"/>
      <w:bookmarkEnd w:id="283"/>
      <w:bookmarkEnd w:id="284"/>
    </w:p>
    <w:p>
      <w:pPr>
        <w:rPr>
          <w:lang w:val="en-GB"/>
        </w:rPr>
      </w:pPr>
    </w:p>
    <w:p>
      <w:pPr>
        <w:pStyle w:val="3"/>
        <w:spacing w:before="29" w:after="0" w:line="288" w:lineRule="auto"/>
        <w:rPr>
          <w:rFonts w:ascii="Times New Roman" w:hAnsi="Times New Roman"/>
          <w:kern w:val="0"/>
          <w:szCs w:val="24"/>
        </w:rPr>
      </w:pPr>
      <w:bookmarkStart w:id="285" w:name="_Toc361324904"/>
      <w:bookmarkStart w:id="286" w:name="_Toc67596719"/>
      <w:r>
        <w:rPr>
          <w:rFonts w:ascii="Times New Roman" w:hAnsi="Times New Roman"/>
          <w:kern w:val="0"/>
          <w:szCs w:val="24"/>
        </w:rPr>
        <w:t xml:space="preserve">13.1 </w:t>
      </w:r>
      <w:r>
        <w:rPr>
          <w:rFonts w:hint="eastAsia" w:ascii="Times New Roman" w:hAnsi="Times New Roman"/>
          <w:kern w:val="0"/>
          <w:szCs w:val="24"/>
        </w:rPr>
        <w:t>备查文件目录</w:t>
      </w:r>
      <w:bookmarkEnd w:id="285"/>
      <w:bookmarkEnd w:id="286"/>
    </w:p>
    <w:p>
      <w:pPr>
        <w:spacing w:before="29" w:line="288" w:lineRule="auto"/>
        <w:rPr>
          <w:color w:val="000000"/>
          <w:sz w:val="24"/>
        </w:rPr>
      </w:pPr>
      <w:r>
        <w:rPr>
          <w:color w:val="000000"/>
          <w:sz w:val="24"/>
        </w:rPr>
        <w:t>1、中国证监会准予交银施罗德新成长股票型证券投资基金募集注册的文件；</w:t>
      </w:r>
    </w:p>
    <w:p>
      <w:pPr>
        <w:spacing w:before="29" w:line="288" w:lineRule="auto"/>
        <w:rPr>
          <w:color w:val="000000"/>
          <w:sz w:val="24"/>
        </w:rPr>
      </w:pPr>
      <w:r>
        <w:rPr>
          <w:color w:val="000000"/>
          <w:sz w:val="24"/>
        </w:rPr>
        <w:t xml:space="preserve">2、《交银施罗德新成长混合型证券投资基金基金合同》； </w:t>
      </w:r>
    </w:p>
    <w:p>
      <w:pPr>
        <w:spacing w:before="29" w:line="288" w:lineRule="auto"/>
        <w:rPr>
          <w:color w:val="000000"/>
          <w:sz w:val="24"/>
        </w:rPr>
      </w:pPr>
      <w:r>
        <w:rPr>
          <w:color w:val="000000"/>
          <w:sz w:val="24"/>
        </w:rPr>
        <w:t xml:space="preserve">3、《交银施罗德新成长混合型证券投资基金招募说明书》； </w:t>
      </w:r>
    </w:p>
    <w:p>
      <w:pPr>
        <w:spacing w:before="29" w:line="288" w:lineRule="auto"/>
        <w:rPr>
          <w:color w:val="000000"/>
          <w:sz w:val="24"/>
        </w:rPr>
      </w:pPr>
      <w:r>
        <w:rPr>
          <w:color w:val="000000"/>
          <w:sz w:val="24"/>
        </w:rPr>
        <w:t>4、《交银施罗德新成长混合型证券投资基金托管协议》；</w:t>
      </w:r>
    </w:p>
    <w:p>
      <w:pPr>
        <w:spacing w:before="29" w:line="288" w:lineRule="auto"/>
        <w:rPr>
          <w:color w:val="000000"/>
          <w:sz w:val="24"/>
        </w:rPr>
      </w:pPr>
      <w:r>
        <w:rPr>
          <w:color w:val="000000"/>
          <w:sz w:val="24"/>
        </w:rPr>
        <w:t xml:space="preserve">5、关于申请募集注册交银施罗德新成长股票型证券投资基金的法律意见书； </w:t>
      </w:r>
    </w:p>
    <w:p>
      <w:pPr>
        <w:spacing w:before="29" w:line="288" w:lineRule="auto"/>
        <w:rPr>
          <w:color w:val="000000"/>
          <w:sz w:val="24"/>
        </w:rPr>
      </w:pPr>
      <w:r>
        <w:rPr>
          <w:color w:val="000000"/>
          <w:sz w:val="24"/>
        </w:rPr>
        <w:t>6、基金管理人业务资格批件、营业执照；</w:t>
      </w:r>
    </w:p>
    <w:p>
      <w:pPr>
        <w:spacing w:before="29" w:line="288" w:lineRule="auto"/>
        <w:rPr>
          <w:color w:val="000000"/>
          <w:sz w:val="24"/>
        </w:rPr>
      </w:pPr>
      <w:r>
        <w:rPr>
          <w:color w:val="000000"/>
          <w:sz w:val="24"/>
        </w:rPr>
        <w:t>7、基金托管人业务资格批件、营业执照；</w:t>
      </w:r>
    </w:p>
    <w:p>
      <w:pPr>
        <w:spacing w:before="29" w:line="288" w:lineRule="auto"/>
        <w:rPr>
          <w:color w:val="000000"/>
          <w:sz w:val="24"/>
        </w:rPr>
      </w:pPr>
      <w:r>
        <w:rPr>
          <w:color w:val="000000"/>
          <w:sz w:val="24"/>
        </w:rPr>
        <w:t>8、报告期内交银施罗德新成长混合型证券投资基金在指定报刊上各项公告的原稿。</w:t>
      </w:r>
    </w:p>
    <w:p>
      <w:pPr>
        <w:spacing w:line="360" w:lineRule="auto"/>
        <w:ind w:firstLine="315" w:firstLineChars="15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287" w:name="_Toc67596720"/>
      <w:bookmarkStart w:id="288" w:name="_Toc361324905"/>
      <w:r>
        <w:rPr>
          <w:rFonts w:ascii="Times New Roman" w:hAnsi="Times New Roman"/>
          <w:kern w:val="0"/>
          <w:szCs w:val="24"/>
        </w:rPr>
        <w:t>13.2</w:t>
      </w:r>
      <w:r>
        <w:rPr>
          <w:rFonts w:hint="eastAsia" w:ascii="Times New Roman" w:hAnsi="Times New Roman"/>
          <w:kern w:val="0"/>
          <w:szCs w:val="24"/>
        </w:rPr>
        <w:t>存放地点</w:t>
      </w:r>
      <w:bookmarkEnd w:id="287"/>
      <w:bookmarkEnd w:id="288"/>
    </w:p>
    <w:p>
      <w:pPr>
        <w:spacing w:before="29" w:line="288" w:lineRule="auto"/>
        <w:ind w:firstLine="480" w:firstLineChars="200"/>
        <w:rPr>
          <w:color w:val="000000"/>
          <w:sz w:val="24"/>
        </w:rPr>
      </w:pPr>
      <w:r>
        <w:rPr>
          <w:color w:val="000000"/>
          <w:sz w:val="24"/>
        </w:rPr>
        <w:t>备查文件存放于基金管理人的办公场所。</w:t>
      </w:r>
    </w:p>
    <w:p>
      <w:pPr>
        <w:spacing w:line="360" w:lineRule="auto"/>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289" w:name="_Toc67596721"/>
      <w:bookmarkStart w:id="290" w:name="_Toc361324906"/>
      <w:r>
        <w:rPr>
          <w:rFonts w:ascii="Times New Roman" w:hAnsi="Times New Roman"/>
          <w:kern w:val="0"/>
          <w:szCs w:val="24"/>
        </w:rPr>
        <w:t>13.3</w:t>
      </w:r>
      <w:r>
        <w:rPr>
          <w:rFonts w:hint="eastAsia" w:ascii="Times New Roman" w:hAnsi="Times New Roman"/>
          <w:kern w:val="0"/>
          <w:szCs w:val="24"/>
        </w:rPr>
        <w:t>查阅方式</w:t>
      </w:r>
      <w:bookmarkEnd w:id="289"/>
      <w:bookmarkEnd w:id="290"/>
    </w:p>
    <w:p>
      <w:pPr>
        <w:spacing w:before="29" w:line="288" w:lineRule="auto"/>
        <w:ind w:firstLine="480" w:firstLineChars="200"/>
        <w:rPr>
          <w:color w:val="000000"/>
          <w:sz w:val="24"/>
        </w:rPr>
      </w:pPr>
      <w:r>
        <w:rPr>
          <w:color w:val="000000"/>
          <w:sz w:val="24"/>
        </w:rPr>
        <w:t xml:space="preserve">投资者可在办公时间内至基金管理人的办公场所免费查阅备查文件，或者登录基金管理人的网站(www.fund001.com)查阅。在支付工本费后，投资者可在合理时间内取得上述文件的复制件或复印件。 </w:t>
      </w:r>
    </w:p>
    <w:p>
      <w:pPr>
        <w:spacing w:before="29" w:line="288" w:lineRule="auto"/>
        <w:ind w:firstLine="480" w:firstLineChars="200"/>
        <w:rPr>
          <w:color w:val="000000"/>
          <w:sz w:val="24"/>
        </w:rPr>
      </w:pPr>
      <w:r>
        <w:rPr>
          <w:color w:val="000000"/>
          <w:sz w:val="24"/>
        </w:rPr>
        <w:t>投资者对本报告书如有疑问，可咨询本基金管理人交银施罗德基金管理有限公司。本公司客户服务中心电话：400-700-5000（免长途话费），021-61055000，电子邮件：services@jysld.com。</w:t>
      </w: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before="29" w:line="288" w:lineRule="auto"/>
        <w:ind w:firstLine="482" w:firstLineChars="200"/>
        <w:jc w:val="right"/>
        <w:rPr>
          <w:b/>
          <w:color w:val="000000"/>
          <w:sz w:val="24"/>
        </w:rPr>
      </w:pPr>
      <w:r>
        <w:rPr>
          <w:b/>
          <w:color w:val="000000"/>
          <w:sz w:val="24"/>
        </w:rPr>
        <w:t>交银施罗德基金管理有限公司</w:t>
      </w:r>
    </w:p>
    <w:p>
      <w:pPr>
        <w:spacing w:before="29" w:line="288" w:lineRule="auto"/>
        <w:ind w:firstLine="482" w:firstLineChars="200"/>
        <w:jc w:val="right"/>
        <w:rPr>
          <w:b/>
          <w:color w:val="000000"/>
          <w:sz w:val="24"/>
        </w:rPr>
      </w:pPr>
      <w:r>
        <w:rPr>
          <w:b/>
          <w:color w:val="000000"/>
          <w:sz w:val="24"/>
        </w:rPr>
        <w:t>二〇二一年三月三十日</w:t>
      </w:r>
    </w:p>
    <w:p>
      <w:pPr>
        <w:spacing w:line="360" w:lineRule="auto"/>
        <w:rPr>
          <w:rFonts w:asciiTheme="minorEastAsia" w:hAnsiTheme="minorEastAsia" w:eastAsiaTheme="minorEastAsia"/>
          <w:szCs w:val="21"/>
        </w:rPr>
      </w:pPr>
    </w:p>
    <w:sectPr>
      <w:footerReference r:id="rId9" w:type="default"/>
      <w:footerReference r:id="rId10" w:type="even"/>
      <w:pgSz w:w="11906" w:h="16838"/>
      <w:pgMar w:top="1418" w:right="1418" w:bottom="85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Unicode MS">
    <w:altName w:val="Arial"/>
    <w:panose1 w:val="020B0604020202020204"/>
    <w:charset w:val="00"/>
    <w:family w:val="roman"/>
    <w:pitch w:val="default"/>
    <w:sig w:usb0="00000000" w:usb1="00000000" w:usb2="00000000" w:usb3="00000000" w:csb0="00000001"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kern w:val="0"/>
        <w:szCs w:val="21"/>
      </w:rPr>
      <w:t>12</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Pr>
        <w:kern w:val="0"/>
        <w:szCs w:val="21"/>
      </w:rPr>
      <w:t>32</w:t>
    </w:r>
    <w:r>
      <w:rPr>
        <w:kern w:val="0"/>
        <w:szCs w:val="21"/>
      </w:rPr>
      <w:fldChar w:fldCharType="end"/>
    </w:r>
    <w:r>
      <w:rPr>
        <w:rFonts w:hint="eastAsia"/>
        <w:kern w:val="0"/>
        <w:szCs w:val="21"/>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right" w:y="1"/>
      <w:rPr>
        <w:rStyle w:val="35"/>
      </w:rPr>
    </w:pPr>
    <w:r>
      <w:rPr>
        <w:rStyle w:val="35"/>
      </w:rPr>
      <w:fldChar w:fldCharType="begin"/>
    </w:r>
    <w:r>
      <w:rPr>
        <w:rStyle w:val="35"/>
      </w:rPr>
      <w:instrText xml:space="preserve">PAGE  </w:instrText>
    </w:r>
    <w:r>
      <w:rPr>
        <w:rStyle w:val="35"/>
      </w:rPr>
      <w:fldChar w:fldCharType="end"/>
    </w:r>
  </w:p>
  <w:p>
    <w:pPr>
      <w:pStyle w:val="1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 w:line="288" w:lineRule="auto"/>
      <w:jc w:val="right"/>
      <w:rPr>
        <w:rFonts w:eastAsiaTheme="minorEastAsia"/>
        <w:sz w:val="24"/>
      </w:rPr>
    </w:pPr>
    <w:r>
      <w:rPr>
        <w:rFonts w:eastAsiaTheme="minorEastAsia"/>
        <w:sz w:val="24"/>
      </w:rPr>
      <w:t>交银施罗德新成长混合型证券投资基金2020年年度报告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printPostScriptOverText/>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082"/>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6FEC"/>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CA8"/>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36A"/>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9D4"/>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0E7"/>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DB4"/>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39FD"/>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6BE4"/>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3C35"/>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3A6"/>
    <w:rsid w:val="00631688"/>
    <w:rsid w:val="006320D8"/>
    <w:rsid w:val="006321F5"/>
    <w:rsid w:val="0063232C"/>
    <w:rsid w:val="00632540"/>
    <w:rsid w:val="00632BA8"/>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5DB8"/>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64AA"/>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0C20"/>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2B44"/>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 w:val="07E70A6E"/>
    <w:rsid w:val="09C927FB"/>
    <w:rsid w:val="0CD90C75"/>
    <w:rsid w:val="10196EDB"/>
    <w:rsid w:val="15A61131"/>
    <w:rsid w:val="15CE64F3"/>
    <w:rsid w:val="234C3409"/>
    <w:rsid w:val="377248FC"/>
    <w:rsid w:val="38EC2316"/>
    <w:rsid w:val="44B30F10"/>
    <w:rsid w:val="450E262C"/>
    <w:rsid w:val="5C155295"/>
    <w:rsid w:val="6DA557E0"/>
    <w:rsid w:val="73BC21E4"/>
    <w:rsid w:val="767534B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nhideWhenUsed="0" w:uiPriority="0" w:semiHidden="0"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ocked="1"/>
    <w:lsdException w:qFormat="1" w:unhideWhenUsed="0" w:uiPriority="0" w:semiHidden="0" w:name="Emphasis" w:locked="1"/>
    <w:lsdException w:qFormat="1" w:unhideWhenUsed="0"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qFormat/>
    <w:uiPriority w:val="99"/>
    <w:pPr>
      <w:widowControl/>
      <w:jc w:val="left"/>
      <w:outlineLvl w:val="0"/>
    </w:pPr>
    <w:rPr>
      <w:kern w:val="0"/>
      <w:sz w:val="24"/>
      <w:szCs w:val="20"/>
      <w:lang w:val="en-GB"/>
    </w:rPr>
  </w:style>
  <w:style w:type="paragraph" w:styleId="3">
    <w:name w:val="heading 2"/>
    <w:basedOn w:val="1"/>
    <w:next w:val="4"/>
    <w:link w:val="41"/>
    <w:qFormat/>
    <w:uiPriority w:val="99"/>
    <w:pPr>
      <w:keepNext/>
      <w:keepLines/>
      <w:spacing w:before="260" w:after="260" w:line="360" w:lineRule="auto"/>
      <w:outlineLvl w:val="1"/>
    </w:pPr>
    <w:rPr>
      <w:rFonts w:ascii="Arial" w:hAnsi="Arial"/>
      <w:b/>
      <w:bCs/>
      <w:sz w:val="24"/>
      <w:szCs w:val="28"/>
    </w:rPr>
  </w:style>
  <w:style w:type="paragraph" w:styleId="5">
    <w:name w:val="heading 3"/>
    <w:basedOn w:val="1"/>
    <w:next w:val="1"/>
    <w:link w:val="42"/>
    <w:qFormat/>
    <w:uiPriority w:val="99"/>
    <w:pPr>
      <w:keepNext/>
      <w:keepLines/>
      <w:spacing w:before="260" w:after="260" w:line="416" w:lineRule="auto"/>
      <w:outlineLvl w:val="2"/>
    </w:pPr>
    <w:rPr>
      <w:b/>
      <w:bCs/>
      <w:sz w:val="32"/>
      <w:szCs w:val="32"/>
    </w:rPr>
  </w:style>
  <w:style w:type="character" w:default="1" w:styleId="33">
    <w:name w:val="Default Paragraph Font"/>
    <w:semiHidden/>
    <w:unhideWhenUsed/>
    <w:uiPriority w:val="1"/>
  </w:style>
  <w:style w:type="table" w:default="1" w:styleId="31">
    <w:name w:val="Normal Table"/>
    <w:semiHidden/>
    <w:unhideWhenUsed/>
    <w:uiPriority w:val="99"/>
    <w:tblPr>
      <w:tblCellMar>
        <w:top w:w="0" w:type="dxa"/>
        <w:left w:w="108" w:type="dxa"/>
        <w:bottom w:w="0" w:type="dxa"/>
        <w:right w:w="108" w:type="dxa"/>
      </w:tblCellMar>
    </w:tblPr>
  </w:style>
  <w:style w:type="paragraph" w:styleId="4">
    <w:name w:val="Normal Indent"/>
    <w:basedOn w:val="1"/>
    <w:qFormat/>
    <w:uiPriority w:val="99"/>
    <w:pPr>
      <w:ind w:firstLine="420" w:firstLineChars="200"/>
    </w:pPr>
  </w:style>
  <w:style w:type="paragraph" w:styleId="6">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7">
    <w:name w:val="Document Map"/>
    <w:basedOn w:val="1"/>
    <w:link w:val="72"/>
    <w:semiHidden/>
    <w:qFormat/>
    <w:uiPriority w:val="99"/>
    <w:pPr>
      <w:shd w:val="clear" w:color="auto" w:fill="000080"/>
    </w:pPr>
  </w:style>
  <w:style w:type="paragraph" w:styleId="8">
    <w:name w:val="annotation text"/>
    <w:basedOn w:val="1"/>
    <w:link w:val="69"/>
    <w:semiHidden/>
    <w:qFormat/>
    <w:uiPriority w:val="99"/>
    <w:pPr>
      <w:jc w:val="left"/>
    </w:pPr>
  </w:style>
  <w:style w:type="paragraph" w:styleId="9">
    <w:name w:val="Body Text"/>
    <w:basedOn w:val="1"/>
    <w:link w:val="50"/>
    <w:qFormat/>
    <w:uiPriority w:val="99"/>
    <w:pPr>
      <w:spacing w:after="120"/>
    </w:pPr>
  </w:style>
  <w:style w:type="paragraph" w:styleId="10">
    <w:name w:val="Body Text Indent"/>
    <w:basedOn w:val="1"/>
    <w:link w:val="44"/>
    <w:qFormat/>
    <w:uiPriority w:val="99"/>
    <w:pPr>
      <w:widowControl/>
      <w:spacing w:before="100" w:beforeAutospacing="1" w:after="100" w:afterAutospacing="1"/>
      <w:jc w:val="left"/>
    </w:pPr>
    <w:rPr>
      <w:rFonts w:ascii="Arial Unicode MS" w:hAnsi="Arial Unicode MS" w:cs="Arial Unicode MS"/>
      <w:kern w:val="0"/>
      <w:sz w:val="24"/>
    </w:rPr>
  </w:style>
  <w:style w:type="paragraph" w:styleId="11">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2">
    <w:name w:val="toc 3"/>
    <w:basedOn w:val="1"/>
    <w:next w:val="1"/>
    <w:qFormat/>
    <w:uiPriority w:val="39"/>
    <w:pPr>
      <w:ind w:left="840" w:leftChars="400"/>
    </w:pPr>
  </w:style>
  <w:style w:type="paragraph" w:styleId="13">
    <w:name w:val="Plain Text"/>
    <w:basedOn w:val="1"/>
    <w:link w:val="45"/>
    <w:qFormat/>
    <w:uiPriority w:val="0"/>
    <w:rPr>
      <w:rFonts w:ascii="宋体" w:hAnsi="Courier New"/>
      <w:szCs w:val="21"/>
    </w:rPr>
  </w:style>
  <w:style w:type="paragraph" w:styleId="14">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15">
    <w:name w:val="Date"/>
    <w:basedOn w:val="1"/>
    <w:next w:val="1"/>
    <w:link w:val="51"/>
    <w:qFormat/>
    <w:uiPriority w:val="99"/>
    <w:rPr>
      <w:sz w:val="24"/>
      <w:szCs w:val="20"/>
    </w:rPr>
  </w:style>
  <w:style w:type="paragraph" w:styleId="16">
    <w:name w:val="Body Text Indent 2"/>
    <w:basedOn w:val="1"/>
    <w:link w:val="46"/>
    <w:qFormat/>
    <w:uiPriority w:val="99"/>
    <w:pPr>
      <w:spacing w:line="560" w:lineRule="exact"/>
      <w:ind w:firstLine="480" w:firstLineChars="200"/>
    </w:pPr>
    <w:rPr>
      <w:rFonts w:ascii="宋体" w:hAnsi="宋体"/>
      <w:color w:val="FF0000"/>
      <w:sz w:val="24"/>
    </w:rPr>
  </w:style>
  <w:style w:type="paragraph" w:styleId="17">
    <w:name w:val="Balloon Text"/>
    <w:basedOn w:val="1"/>
    <w:link w:val="43"/>
    <w:semiHidden/>
    <w:qFormat/>
    <w:uiPriority w:val="99"/>
    <w:rPr>
      <w:sz w:val="18"/>
      <w:szCs w:val="18"/>
    </w:rPr>
  </w:style>
  <w:style w:type="paragraph" w:styleId="18">
    <w:name w:val="footer"/>
    <w:basedOn w:val="1"/>
    <w:link w:val="47"/>
    <w:qFormat/>
    <w:uiPriority w:val="99"/>
    <w:pPr>
      <w:tabs>
        <w:tab w:val="center" w:pos="4153"/>
        <w:tab w:val="right" w:pos="8306"/>
      </w:tabs>
      <w:snapToGrid w:val="0"/>
      <w:jc w:val="left"/>
    </w:pPr>
    <w:rPr>
      <w:sz w:val="18"/>
      <w:szCs w:val="18"/>
    </w:rPr>
  </w:style>
  <w:style w:type="paragraph" w:styleId="19">
    <w:name w:val="header"/>
    <w:basedOn w:val="1"/>
    <w:link w:val="49"/>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9072"/>
      </w:tabs>
    </w:pPr>
  </w:style>
  <w:style w:type="paragraph" w:styleId="21">
    <w:name w:val="toc 4"/>
    <w:basedOn w:val="1"/>
    <w:next w:val="1"/>
    <w:unhideWhenUsed/>
    <w:qFormat/>
    <w:uiPriority w:val="39"/>
    <w:pPr>
      <w:ind w:left="1260" w:leftChars="600"/>
    </w:pPr>
    <w:rPr>
      <w:rFonts w:asciiTheme="minorHAnsi" w:hAnsiTheme="minorHAnsi" w:eastAsiaTheme="minorEastAsia" w:cstheme="minorBidi"/>
      <w:szCs w:val="22"/>
    </w:rPr>
  </w:style>
  <w:style w:type="paragraph" w:styleId="22">
    <w:name w:val="List"/>
    <w:basedOn w:val="9"/>
    <w:qFormat/>
    <w:uiPriority w:val="99"/>
    <w:pPr>
      <w:spacing w:after="220" w:line="220" w:lineRule="atLeast"/>
      <w:ind w:left="1440" w:hanging="360"/>
    </w:pPr>
    <w:rPr>
      <w:szCs w:val="20"/>
    </w:rPr>
  </w:style>
  <w:style w:type="paragraph" w:styleId="23">
    <w:name w:val="footnote text"/>
    <w:basedOn w:val="1"/>
    <w:link w:val="74"/>
    <w:qFormat/>
    <w:uiPriority w:val="0"/>
    <w:pPr>
      <w:snapToGrid w:val="0"/>
      <w:jc w:val="left"/>
    </w:pPr>
    <w:rPr>
      <w:sz w:val="18"/>
      <w:szCs w:val="18"/>
    </w:rPr>
  </w:style>
  <w:style w:type="paragraph" w:styleId="24">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25">
    <w:name w:val="Body Text Indent 3"/>
    <w:basedOn w:val="1"/>
    <w:link w:val="48"/>
    <w:qFormat/>
    <w:uiPriority w:val="99"/>
    <w:pPr>
      <w:spacing w:line="560" w:lineRule="exact"/>
      <w:ind w:firstLine="420" w:firstLineChars="200"/>
    </w:pPr>
    <w:rPr>
      <w:rFonts w:ascii="Arial" w:hAnsi="Arial" w:cs="Arial"/>
      <w:color w:val="FF0000"/>
    </w:rPr>
  </w:style>
  <w:style w:type="paragraph" w:styleId="26">
    <w:name w:val="toc 2"/>
    <w:basedOn w:val="1"/>
    <w:next w:val="1"/>
    <w:qFormat/>
    <w:uiPriority w:val="39"/>
    <w:pPr>
      <w:tabs>
        <w:tab w:val="right" w:leader="dot" w:pos="9072"/>
      </w:tabs>
      <w:ind w:left="420" w:leftChars="200"/>
    </w:pPr>
    <w:rPr>
      <w:kern w:val="0"/>
      <w:szCs w:val="21"/>
    </w:rPr>
  </w:style>
  <w:style w:type="paragraph" w:styleId="27">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28">
    <w:name w:val="Normal (Web)"/>
    <w:basedOn w:val="1"/>
    <w:qFormat/>
    <w:uiPriority w:val="99"/>
    <w:pPr>
      <w:widowControl/>
      <w:spacing w:before="100" w:beforeAutospacing="1" w:after="100" w:afterAutospacing="1"/>
      <w:jc w:val="left"/>
    </w:pPr>
    <w:rPr>
      <w:rFonts w:ascii="宋体" w:hAnsi="宋体"/>
      <w:kern w:val="0"/>
      <w:sz w:val="24"/>
    </w:rPr>
  </w:style>
  <w:style w:type="paragraph" w:styleId="29">
    <w:name w:val="index 1"/>
    <w:basedOn w:val="1"/>
    <w:next w:val="1"/>
    <w:semiHidden/>
    <w:qFormat/>
    <w:uiPriority w:val="99"/>
    <w:pPr>
      <w:jc w:val="right"/>
    </w:pPr>
    <w:rPr>
      <w:color w:val="008000"/>
    </w:rPr>
  </w:style>
  <w:style w:type="paragraph" w:styleId="30">
    <w:name w:val="annotation subject"/>
    <w:basedOn w:val="8"/>
    <w:next w:val="8"/>
    <w:link w:val="70"/>
    <w:semiHidden/>
    <w:qFormat/>
    <w:uiPriority w:val="99"/>
    <w:rPr>
      <w:b/>
      <w:bCs/>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qFormat/>
    <w:locked/>
    <w:uiPriority w:val="22"/>
    <w:rPr>
      <w:b/>
      <w:bCs/>
    </w:rPr>
  </w:style>
  <w:style w:type="character" w:styleId="35">
    <w:name w:val="page number"/>
    <w:qFormat/>
    <w:uiPriority w:val="99"/>
    <w:rPr>
      <w:rFonts w:cs="Times New Roman"/>
    </w:rPr>
  </w:style>
  <w:style w:type="character" w:styleId="36">
    <w:name w:val="FollowedHyperlink"/>
    <w:qFormat/>
    <w:uiPriority w:val="99"/>
    <w:rPr>
      <w:rFonts w:cs="Times New Roman"/>
      <w:color w:val="800080"/>
      <w:u w:val="single"/>
    </w:rPr>
  </w:style>
  <w:style w:type="character" w:styleId="37">
    <w:name w:val="Hyperlink"/>
    <w:qFormat/>
    <w:uiPriority w:val="99"/>
    <w:rPr>
      <w:rFonts w:cs="Times New Roman"/>
      <w:color w:val="0000FF"/>
      <w:u w:val="single"/>
    </w:rPr>
  </w:style>
  <w:style w:type="character" w:styleId="38">
    <w:name w:val="annotation reference"/>
    <w:semiHidden/>
    <w:qFormat/>
    <w:uiPriority w:val="99"/>
    <w:rPr>
      <w:rFonts w:cs="Times New Roman"/>
      <w:sz w:val="21"/>
    </w:rPr>
  </w:style>
  <w:style w:type="character" w:styleId="39">
    <w:name w:val="footnote reference"/>
    <w:qFormat/>
    <w:uiPriority w:val="0"/>
    <w:rPr>
      <w:rFonts w:cs="Times New Roman"/>
      <w:vertAlign w:val="superscript"/>
    </w:rPr>
  </w:style>
  <w:style w:type="character" w:customStyle="1" w:styleId="40">
    <w:name w:val="标题 1 字符"/>
    <w:link w:val="2"/>
    <w:qFormat/>
    <w:locked/>
    <w:uiPriority w:val="99"/>
    <w:rPr>
      <w:rFonts w:cs="Times New Roman"/>
      <w:sz w:val="24"/>
      <w:lang w:val="en-GB"/>
    </w:rPr>
  </w:style>
  <w:style w:type="character" w:customStyle="1" w:styleId="41">
    <w:name w:val="标题 2 字符"/>
    <w:link w:val="3"/>
    <w:qFormat/>
    <w:locked/>
    <w:uiPriority w:val="99"/>
    <w:rPr>
      <w:rFonts w:ascii="Arial" w:hAnsi="Arial"/>
      <w:b/>
      <w:kern w:val="2"/>
      <w:sz w:val="28"/>
    </w:rPr>
  </w:style>
  <w:style w:type="character" w:customStyle="1" w:styleId="42">
    <w:name w:val="标题 3 字符"/>
    <w:link w:val="5"/>
    <w:qFormat/>
    <w:locked/>
    <w:uiPriority w:val="99"/>
    <w:rPr>
      <w:rFonts w:cs="Times New Roman"/>
      <w:b/>
      <w:bCs/>
      <w:kern w:val="2"/>
      <w:sz w:val="32"/>
      <w:szCs w:val="32"/>
    </w:rPr>
  </w:style>
  <w:style w:type="character" w:customStyle="1" w:styleId="43">
    <w:name w:val="批注框文本 字符"/>
    <w:link w:val="17"/>
    <w:semiHidden/>
    <w:qFormat/>
    <w:locked/>
    <w:uiPriority w:val="99"/>
    <w:rPr>
      <w:rFonts w:cs="Times New Roman"/>
      <w:kern w:val="2"/>
      <w:sz w:val="18"/>
      <w:szCs w:val="18"/>
    </w:rPr>
  </w:style>
  <w:style w:type="character" w:customStyle="1" w:styleId="44">
    <w:name w:val="正文文本缩进 字符"/>
    <w:link w:val="10"/>
    <w:qFormat/>
    <w:locked/>
    <w:uiPriority w:val="99"/>
    <w:rPr>
      <w:rFonts w:ascii="Arial Unicode MS" w:hAnsi="Arial Unicode MS" w:eastAsia="Times New Roman" w:cs="Arial Unicode MS"/>
      <w:sz w:val="24"/>
      <w:szCs w:val="24"/>
    </w:rPr>
  </w:style>
  <w:style w:type="character" w:customStyle="1" w:styleId="45">
    <w:name w:val="纯文本 字符"/>
    <w:link w:val="13"/>
    <w:qFormat/>
    <w:locked/>
    <w:uiPriority w:val="0"/>
    <w:rPr>
      <w:rFonts w:ascii="宋体" w:hAnsi="Courier New"/>
      <w:kern w:val="2"/>
      <w:sz w:val="21"/>
    </w:rPr>
  </w:style>
  <w:style w:type="character" w:customStyle="1" w:styleId="46">
    <w:name w:val="正文文本缩进 2 字符"/>
    <w:link w:val="16"/>
    <w:qFormat/>
    <w:locked/>
    <w:uiPriority w:val="99"/>
    <w:rPr>
      <w:rFonts w:ascii="宋体" w:eastAsia="宋体" w:cs="Times New Roman"/>
      <w:color w:val="FF0000"/>
      <w:kern w:val="2"/>
      <w:sz w:val="24"/>
      <w:szCs w:val="24"/>
    </w:rPr>
  </w:style>
  <w:style w:type="character" w:customStyle="1" w:styleId="47">
    <w:name w:val="页脚 字符"/>
    <w:link w:val="18"/>
    <w:qFormat/>
    <w:locked/>
    <w:uiPriority w:val="99"/>
    <w:rPr>
      <w:rFonts w:cs="Times New Roman"/>
      <w:kern w:val="2"/>
      <w:sz w:val="18"/>
      <w:szCs w:val="18"/>
    </w:rPr>
  </w:style>
  <w:style w:type="character" w:customStyle="1" w:styleId="48">
    <w:name w:val="正文文本缩进 3 字符"/>
    <w:link w:val="25"/>
    <w:qFormat/>
    <w:locked/>
    <w:uiPriority w:val="99"/>
    <w:rPr>
      <w:rFonts w:ascii="Arial" w:hAnsi="Arial" w:cs="Arial"/>
      <w:color w:val="FF0000"/>
      <w:kern w:val="2"/>
      <w:sz w:val="24"/>
      <w:szCs w:val="24"/>
    </w:rPr>
  </w:style>
  <w:style w:type="character" w:customStyle="1" w:styleId="49">
    <w:name w:val="页眉 字符"/>
    <w:link w:val="19"/>
    <w:qFormat/>
    <w:locked/>
    <w:uiPriority w:val="99"/>
    <w:rPr>
      <w:rFonts w:cs="Times New Roman"/>
      <w:kern w:val="2"/>
      <w:sz w:val="18"/>
      <w:szCs w:val="18"/>
    </w:rPr>
  </w:style>
  <w:style w:type="character" w:customStyle="1" w:styleId="50">
    <w:name w:val="正文文本 字符"/>
    <w:link w:val="9"/>
    <w:qFormat/>
    <w:locked/>
    <w:uiPriority w:val="99"/>
    <w:rPr>
      <w:rFonts w:cs="Times New Roman"/>
      <w:kern w:val="2"/>
      <w:sz w:val="24"/>
      <w:szCs w:val="24"/>
    </w:rPr>
  </w:style>
  <w:style w:type="character" w:customStyle="1" w:styleId="51">
    <w:name w:val="日期 字符"/>
    <w:link w:val="15"/>
    <w:qFormat/>
    <w:locked/>
    <w:uiPriority w:val="99"/>
    <w:rPr>
      <w:rFonts w:cs="Times New Roman"/>
      <w:kern w:val="2"/>
      <w:sz w:val="24"/>
    </w:rPr>
  </w:style>
  <w:style w:type="character" w:customStyle="1" w:styleId="52">
    <w:name w:val="c1"/>
    <w:qFormat/>
    <w:uiPriority w:val="99"/>
    <w:rPr>
      <w:color w:val="000000"/>
      <w:spacing w:val="300"/>
      <w:sz w:val="18"/>
    </w:rPr>
  </w:style>
  <w:style w:type="paragraph" w:customStyle="1" w:styleId="53">
    <w:name w:val="font5"/>
    <w:basedOn w:val="1"/>
    <w:qFormat/>
    <w:uiPriority w:val="99"/>
    <w:pPr>
      <w:widowControl/>
      <w:spacing w:before="100" w:beforeAutospacing="1" w:after="100" w:afterAutospacing="1"/>
      <w:jc w:val="left"/>
    </w:pPr>
    <w:rPr>
      <w:rFonts w:ascii="宋体" w:hAnsi="宋体" w:cs="Arial Unicode MS"/>
      <w:kern w:val="0"/>
      <w:sz w:val="18"/>
      <w:szCs w:val="18"/>
    </w:rPr>
  </w:style>
  <w:style w:type="paragraph" w:customStyle="1" w:styleId="54">
    <w:name w:val="xl24"/>
    <w:basedOn w:val="1"/>
    <w:qFormat/>
    <w:uiPriority w:val="99"/>
    <w:pPr>
      <w:widowControl/>
      <w:pBdr>
        <w:top w:val="double" w:color="000000" w:sz="6"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55">
    <w:name w:val="xl25"/>
    <w:basedOn w:val="1"/>
    <w:qFormat/>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left"/>
    </w:pPr>
    <w:rPr>
      <w:rFonts w:ascii="Arial Unicode MS" w:hAnsi="Arial Unicode MS" w:cs="Arial Unicode MS"/>
      <w:b/>
      <w:bCs/>
      <w:color w:val="000000"/>
      <w:kern w:val="0"/>
      <w:sz w:val="24"/>
    </w:rPr>
  </w:style>
  <w:style w:type="paragraph" w:customStyle="1" w:styleId="56">
    <w:name w:val="xl26"/>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57">
    <w:name w:val="xl27"/>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58">
    <w:name w:val="xl28"/>
    <w:basedOn w:val="1"/>
    <w:qFormat/>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59">
    <w:name w:val="xl29"/>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60">
    <w:name w:val="xl30"/>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61">
    <w:name w:val="xl31"/>
    <w:basedOn w:val="1"/>
    <w:qFormat/>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62">
    <w:name w:val="xl32"/>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63">
    <w:name w:val="xl33"/>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64">
    <w:name w:val="xl34"/>
    <w:basedOn w:val="1"/>
    <w:qFormat/>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65">
    <w:name w:val="xl35"/>
    <w:basedOn w:val="1"/>
    <w:qFormat/>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66">
    <w:name w:val="xl36"/>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67">
    <w:name w:val="xl37"/>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68">
    <w:name w:val="xl38"/>
    <w:basedOn w:val="1"/>
    <w:qFormat/>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69">
    <w:name w:val="批注文字 字符"/>
    <w:link w:val="8"/>
    <w:semiHidden/>
    <w:qFormat/>
    <w:locked/>
    <w:uiPriority w:val="99"/>
    <w:rPr>
      <w:rFonts w:cs="Times New Roman"/>
      <w:kern w:val="2"/>
      <w:sz w:val="24"/>
      <w:szCs w:val="24"/>
    </w:rPr>
  </w:style>
  <w:style w:type="character" w:customStyle="1" w:styleId="70">
    <w:name w:val="批注主题 字符"/>
    <w:link w:val="30"/>
    <w:semiHidden/>
    <w:qFormat/>
    <w:locked/>
    <w:uiPriority w:val="99"/>
    <w:rPr>
      <w:rFonts w:cs="Times New Roman"/>
      <w:b/>
      <w:bCs/>
      <w:kern w:val="2"/>
      <w:sz w:val="24"/>
      <w:szCs w:val="24"/>
    </w:rPr>
  </w:style>
  <w:style w:type="paragraph" w:customStyle="1" w:styleId="71">
    <w:name w:val="Char"/>
    <w:basedOn w:val="1"/>
    <w:qFormat/>
    <w:uiPriority w:val="99"/>
  </w:style>
  <w:style w:type="character" w:customStyle="1" w:styleId="72">
    <w:name w:val="文档结构图 字符"/>
    <w:link w:val="7"/>
    <w:semiHidden/>
    <w:qFormat/>
    <w:locked/>
    <w:uiPriority w:val="99"/>
    <w:rPr>
      <w:rFonts w:cs="Times New Roman"/>
      <w:kern w:val="2"/>
      <w:sz w:val="24"/>
      <w:szCs w:val="24"/>
      <w:shd w:val="clear" w:color="auto" w:fill="000080"/>
    </w:rPr>
  </w:style>
  <w:style w:type="paragraph" w:customStyle="1" w:styleId="73">
    <w:name w:val="正文 + (符号) 宋体"/>
    <w:basedOn w:val="1"/>
    <w:qFormat/>
    <w:uiPriority w:val="99"/>
    <w:pPr>
      <w:autoSpaceDE w:val="0"/>
      <w:autoSpaceDN w:val="0"/>
      <w:adjustRightInd w:val="0"/>
      <w:ind w:right="1409" w:rightChars="671" w:firstLine="1229" w:firstLineChars="512"/>
      <w:jc w:val="distribute"/>
    </w:pPr>
    <w:rPr>
      <w:sz w:val="24"/>
    </w:rPr>
  </w:style>
  <w:style w:type="character" w:customStyle="1" w:styleId="74">
    <w:name w:val="脚注文本 字符"/>
    <w:link w:val="23"/>
    <w:qFormat/>
    <w:locked/>
    <w:uiPriority w:val="0"/>
    <w:rPr>
      <w:rFonts w:cs="Times New Roman"/>
      <w:kern w:val="2"/>
      <w:sz w:val="18"/>
      <w:szCs w:val="18"/>
    </w:rPr>
  </w:style>
  <w:style w:type="paragraph" w:customStyle="1" w:styleId="75">
    <w:name w:val="Char1"/>
    <w:basedOn w:val="1"/>
    <w:qFormat/>
    <w:uiPriority w:val="99"/>
  </w:style>
  <w:style w:type="paragraph" w:customStyle="1" w:styleId="76">
    <w:name w:val="Char Char Char Char Char Char1 Char Char Char"/>
    <w:basedOn w:val="1"/>
    <w:qFormat/>
    <w:uiPriority w:val="99"/>
    <w:pPr>
      <w:autoSpaceDE w:val="0"/>
      <w:autoSpaceDN w:val="0"/>
      <w:adjustRightInd w:val="0"/>
      <w:jc w:val="left"/>
      <w:textAlignment w:val="baseline"/>
    </w:pPr>
    <w:rPr>
      <w:rFonts w:ascii="宋体"/>
      <w:kern w:val="0"/>
      <w:sz w:val="34"/>
      <w:szCs w:val="20"/>
    </w:rPr>
  </w:style>
  <w:style w:type="paragraph" w:customStyle="1" w:styleId="77">
    <w:name w:val="Char Char Char Char"/>
    <w:basedOn w:val="1"/>
    <w:qFormat/>
    <w:uiPriority w:val="99"/>
    <w:pPr>
      <w:tabs>
        <w:tab w:val="left" w:pos="840"/>
      </w:tabs>
      <w:adjustRightInd w:val="0"/>
      <w:spacing w:line="360" w:lineRule="atLeast"/>
      <w:ind w:left="840" w:hanging="360"/>
      <w:textAlignment w:val="baseline"/>
    </w:pPr>
    <w:rPr>
      <w:sz w:val="24"/>
    </w:rPr>
  </w:style>
  <w:style w:type="paragraph" w:customStyle="1" w:styleId="78">
    <w:name w:val="Char Char Char Char Char Char1 Char Char Char1"/>
    <w:basedOn w:val="1"/>
    <w:qFormat/>
    <w:uiPriority w:val="99"/>
    <w:pPr>
      <w:autoSpaceDE w:val="0"/>
      <w:autoSpaceDN w:val="0"/>
      <w:adjustRightInd w:val="0"/>
      <w:jc w:val="left"/>
      <w:textAlignment w:val="baseline"/>
    </w:pPr>
    <w:rPr>
      <w:rFonts w:ascii="宋体"/>
      <w:kern w:val="0"/>
      <w:sz w:val="34"/>
      <w:szCs w:val="20"/>
    </w:rPr>
  </w:style>
  <w:style w:type="paragraph" w:customStyle="1" w:styleId="79">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80">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81">
    <w:name w:val="Unresolved Mention"/>
    <w:basedOn w:val="3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FD2870-1B3C-4564-8D87-3646A067BDE8}">
  <ds:schemaRefs/>
</ds:datastoreItem>
</file>

<file path=docProps/app.xml><?xml version="1.0" encoding="utf-8"?>
<Properties xmlns="http://schemas.openxmlformats.org/officeDocument/2006/extended-properties" xmlns:vt="http://schemas.openxmlformats.org/officeDocument/2006/docPropsVTypes">
  <Template>Normal</Template>
  <Pages>63</Pages>
  <Words>9064</Words>
  <Characters>51665</Characters>
  <Lines>430</Lines>
  <Paragraphs>121</Paragraphs>
  <TotalTime>0</TotalTime>
  <ScaleCrop>false</ScaleCrop>
  <LinksUpToDate>false</LinksUpToDate>
  <CharactersWithSpaces>60608</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2013-08-07T09:12:00Z</dcterms:created>
  <dc:creator>bonnieliu</dc:creator>
  <cp:lastModifiedBy>qianchao</cp:lastModifiedBy>
  <cp:lastPrinted>2007-07-19T00:46:00Z</cp:lastPrinted>
  <dcterms:modified xsi:type="dcterms:W3CDTF">2021-03-31T04:03:39Z</dcterms:modified>
  <cp:revision>1514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