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交银施罗德优势行业灵活配置混合型证券投资基金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中国工商银行股份有限公司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225498243"/>
      <w:bookmarkStart w:id="3" w:name="_Toc361324842"/>
      <w:bookmarkStart w:id="4" w:name="_Toc67591722"/>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67591723"/>
      <w:bookmarkStart w:id="6" w:name="_Toc361324843"/>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中国工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spacing w:before="29" w:line="288" w:lineRule="auto"/>
        <w:rPr>
          <w:b/>
          <w:bCs/>
          <w:kern w:val="0"/>
          <w:sz w:val="24"/>
        </w:rPr>
      </w:pPr>
      <w:r>
        <w:rPr>
          <w:rFonts w:asciiTheme="minorEastAsia" w:hAnsiTheme="minorEastAsia" w:eastAsiaTheme="minorEastAsia"/>
          <w:szCs w:val="21"/>
        </w:rPr>
        <w:br w:type="page"/>
      </w:r>
      <w:bookmarkStart w:id="7" w:name="_Toc245193808"/>
      <w:r>
        <w:rPr>
          <w:b/>
          <w:bCs/>
          <w:kern w:val="0"/>
          <w:sz w:val="24"/>
        </w:rPr>
        <w:t>1.2</w:t>
      </w:r>
      <w:r>
        <w:rPr>
          <w:rFonts w:hint="eastAsia"/>
          <w:b/>
          <w:bCs/>
          <w:kern w:val="0"/>
          <w:sz w:val="24"/>
        </w:rPr>
        <w:t>目录</w:t>
      </w:r>
      <w:bookmarkEnd w:id="7"/>
    </w:p>
    <w:p>
      <w:pPr>
        <w:spacing w:line="360" w:lineRule="auto"/>
        <w:ind w:firstLine="105" w:firstLineChars="50"/>
        <w:rPr>
          <w:rFonts w:ascii="宋体" w:hAnsi="宋体"/>
          <w:b/>
          <w:color w:val="000000"/>
          <w:szCs w:val="21"/>
        </w:rPr>
      </w:pPr>
    </w:p>
    <w:p>
      <w:pPr>
        <w:pStyle w:val="20"/>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"_Toc67591722" </w:instrText>
      </w:r>
      <w:r>
        <w:fldChar w:fldCharType="separate"/>
      </w:r>
      <w:r>
        <w:rPr>
          <w:rStyle w:val="37"/>
          <w:b/>
          <w:bCs/>
        </w:rPr>
        <w:t>§1  重要提示及目录</w:t>
      </w:r>
      <w:r>
        <w:tab/>
      </w:r>
      <w:r>
        <w:fldChar w:fldCharType="begin"/>
      </w:r>
      <w:r>
        <w:instrText xml:space="preserve"> PAGEREF _Toc67591722 \h </w:instrText>
      </w:r>
      <w:r>
        <w:fldChar w:fldCharType="separate"/>
      </w:r>
      <w:r>
        <w:t>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"_Toc67591723" </w:instrText>
      </w:r>
      <w:r>
        <w:fldChar w:fldCharType="separate"/>
      </w:r>
      <w:r>
        <w:rPr>
          <w:rStyle w:val="37"/>
        </w:rPr>
        <w:t>1.1 重要提示</w:t>
      </w:r>
      <w:r>
        <w:tab/>
      </w:r>
      <w:r>
        <w:fldChar w:fldCharType="begin"/>
      </w:r>
      <w:r>
        <w:instrText xml:space="preserve"> PAGEREF _Toc67591723 \h </w:instrText>
      </w:r>
      <w:r>
        <w:fldChar w:fldCharType="separate"/>
      </w:r>
      <w:r>
        <w:t>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"_Toc67591724" </w:instrText>
      </w:r>
      <w:r>
        <w:fldChar w:fldCharType="separate"/>
      </w:r>
      <w:r>
        <w:rPr>
          <w:rStyle w:val="37"/>
          <w:b/>
          <w:bCs/>
        </w:rPr>
        <w:t>§2  基金简介</w:t>
      </w:r>
      <w:r>
        <w:tab/>
      </w:r>
      <w:r>
        <w:fldChar w:fldCharType="begin"/>
      </w:r>
      <w:r>
        <w:instrText xml:space="preserve"> PAGEREF _Toc67591724 \h </w:instrText>
      </w:r>
      <w:r>
        <w:fldChar w:fldCharType="separate"/>
      </w:r>
      <w:r>
        <w:t>7</w:t>
      </w:r>
      <w:r>
        <w:fldChar w:fldCharType="end"/>
      </w:r>
      <w:r>
        <w:fldChar w:fldCharType="end"/>
      </w:r>
    </w:p>
    <w:p>
      <w:pPr>
        <w:pStyle w:val="26"/>
        <w:tabs>
          <w:tab w:val="left" w:pos="1050"/>
        </w:tabs>
        <w:rPr>
          <w:rFonts w:asciiTheme="minorHAnsi" w:hAnsiTheme="minorHAnsi" w:eastAsiaTheme="minorEastAsia" w:cstheme="minorBidi"/>
          <w:kern w:val="2"/>
          <w:szCs w:val="22"/>
        </w:rPr>
      </w:pPr>
      <w:r>
        <w:fldChar w:fldCharType="begin"/>
      </w:r>
      <w:r>
        <w:instrText xml:space="preserve"> HYPERLINK \l "_Toc67591725" </w:instrText>
      </w:r>
      <w:r>
        <w:fldChar w:fldCharType="separate"/>
      </w:r>
      <w:r>
        <w:rPr>
          <w:rStyle w:val="37"/>
        </w:rPr>
        <w:t>2.1 基金基本情况</w:t>
      </w:r>
      <w:r>
        <w:tab/>
      </w:r>
      <w:r>
        <w:fldChar w:fldCharType="begin"/>
      </w:r>
      <w:r>
        <w:instrText xml:space="preserve"> PAGEREF _Toc67591725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"_Toc67591726" </w:instrText>
      </w:r>
      <w:r>
        <w:fldChar w:fldCharType="separate"/>
      </w:r>
      <w:r>
        <w:rPr>
          <w:rStyle w:val="37"/>
        </w:rPr>
        <w:t>2.2 基金产品说明</w:t>
      </w:r>
      <w:r>
        <w:tab/>
      </w:r>
      <w:r>
        <w:fldChar w:fldCharType="begin"/>
      </w:r>
      <w:r>
        <w:instrText xml:space="preserve"> PAGEREF _Toc67591726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"_Toc67591727" </w:instrText>
      </w:r>
      <w:r>
        <w:fldChar w:fldCharType="separate"/>
      </w:r>
      <w:r>
        <w:rPr>
          <w:rStyle w:val="37"/>
        </w:rPr>
        <w:t>2.3 基金管理人和基金托管人</w:t>
      </w:r>
      <w:r>
        <w:tab/>
      </w:r>
      <w:r>
        <w:fldChar w:fldCharType="begin"/>
      </w:r>
      <w:r>
        <w:instrText xml:space="preserve"> PAGEREF _Toc67591727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"_Toc67591728" </w:instrText>
      </w:r>
      <w:r>
        <w:fldChar w:fldCharType="separate"/>
      </w:r>
      <w:r>
        <w:rPr>
          <w:rStyle w:val="37"/>
        </w:rPr>
        <w:t>2.4 信息披露方式</w:t>
      </w:r>
      <w:r>
        <w:tab/>
      </w:r>
      <w:r>
        <w:fldChar w:fldCharType="begin"/>
      </w:r>
      <w:r>
        <w:instrText xml:space="preserve"> PAGEREF _Toc67591728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"_Toc67591729" </w:instrText>
      </w:r>
      <w:r>
        <w:fldChar w:fldCharType="separate"/>
      </w:r>
      <w:r>
        <w:rPr>
          <w:rStyle w:val="37"/>
        </w:rPr>
        <w:t>2.5 其他相关资料</w:t>
      </w:r>
      <w:r>
        <w:tab/>
      </w:r>
      <w:r>
        <w:fldChar w:fldCharType="begin"/>
      </w:r>
      <w:r>
        <w:instrText xml:space="preserve"> PAGEREF _Toc67591729 \h </w:instrText>
      </w:r>
      <w:r>
        <w:fldChar w:fldCharType="separate"/>
      </w:r>
      <w:r>
        <w:t>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"_Toc67591730" </w:instrText>
      </w:r>
      <w:r>
        <w:fldChar w:fldCharType="separate"/>
      </w:r>
      <w:r>
        <w:rPr>
          <w:rStyle w:val="37"/>
          <w:b/>
          <w:bCs/>
        </w:rPr>
        <w:t>§3 主要财务指标、基金净值表现及利润分配情况</w:t>
      </w:r>
      <w:r>
        <w:tab/>
      </w:r>
      <w:r>
        <w:fldChar w:fldCharType="begin"/>
      </w:r>
      <w:r>
        <w:instrText xml:space="preserve"> PAGEREF _Toc67591730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"_Toc67591731" </w:instrText>
      </w:r>
      <w:r>
        <w:fldChar w:fldCharType="separate"/>
      </w:r>
      <w:r>
        <w:rPr>
          <w:rStyle w:val="37"/>
        </w:rPr>
        <w:t>3.1 主要会计数据和财务指标</w:t>
      </w:r>
      <w:r>
        <w:tab/>
      </w:r>
      <w:r>
        <w:fldChar w:fldCharType="begin"/>
      </w:r>
      <w:r>
        <w:instrText xml:space="preserve"> PAGEREF _Toc67591731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"_Toc67591732" </w:instrText>
      </w:r>
      <w:r>
        <w:fldChar w:fldCharType="separate"/>
      </w:r>
      <w:r>
        <w:rPr>
          <w:rStyle w:val="37"/>
        </w:rPr>
        <w:t>3.2 基金净值表现</w:t>
      </w:r>
      <w:r>
        <w:tab/>
      </w:r>
      <w:r>
        <w:fldChar w:fldCharType="begin"/>
      </w:r>
      <w:r>
        <w:instrText xml:space="preserve"> PAGEREF _Toc67591732 \h </w:instrText>
      </w:r>
      <w:r>
        <w:fldChar w:fldCharType="separate"/>
      </w:r>
      <w:r>
        <w:t>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"_Toc67591734" </w:instrText>
      </w:r>
      <w:r>
        <w:fldChar w:fldCharType="separate"/>
      </w:r>
      <w:r>
        <w:rPr>
          <w:rStyle w:val="37"/>
        </w:rPr>
        <w:t>3.3 过去三年基金的利润分配情况</w:t>
      </w:r>
      <w:r>
        <w:tab/>
      </w:r>
      <w:r>
        <w:fldChar w:fldCharType="begin"/>
      </w:r>
      <w:r>
        <w:instrText xml:space="preserve"> PAGEREF _Toc67591734 \h </w:instrText>
      </w:r>
      <w:r>
        <w:fldChar w:fldCharType="separate"/>
      </w:r>
      <w:r>
        <w:t>11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"_Toc67591735" </w:instrText>
      </w:r>
      <w:r>
        <w:fldChar w:fldCharType="separate"/>
      </w:r>
      <w:r>
        <w:rPr>
          <w:rStyle w:val="37"/>
          <w:b/>
          <w:bCs/>
        </w:rPr>
        <w:t>§4  管理人报告</w:t>
      </w:r>
      <w:r>
        <w:tab/>
      </w:r>
      <w:r>
        <w:fldChar w:fldCharType="begin"/>
      </w:r>
      <w:r>
        <w:instrText xml:space="preserve"> PAGEREF _Toc67591735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"_Toc67591736" </w:instrText>
      </w:r>
      <w:r>
        <w:fldChar w:fldCharType="separate"/>
      </w:r>
      <w:r>
        <w:rPr>
          <w:rStyle w:val="37"/>
        </w:rPr>
        <w:t>4.1 基金管理人及基金经理情况</w:t>
      </w:r>
      <w:r>
        <w:tab/>
      </w:r>
      <w:r>
        <w:fldChar w:fldCharType="begin"/>
      </w:r>
      <w:r>
        <w:instrText xml:space="preserve"> PAGEREF _Toc67591736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"_Toc67591739" </w:instrText>
      </w:r>
      <w:r>
        <w:fldChar w:fldCharType="separate"/>
      </w:r>
      <w:r>
        <w:rPr>
          <w:rStyle w:val="37"/>
        </w:rPr>
        <w:t>4.2 管理人对报告期内本基金运作遵规守信情况的说明</w:t>
      </w:r>
      <w:r>
        <w:tab/>
      </w:r>
      <w:r>
        <w:fldChar w:fldCharType="begin"/>
      </w:r>
      <w:r>
        <w:instrText xml:space="preserve"> PAGEREF _Toc67591739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"_Toc67591740" </w:instrText>
      </w:r>
      <w:r>
        <w:fldChar w:fldCharType="separate"/>
      </w:r>
      <w:r>
        <w:rPr>
          <w:rStyle w:val="37"/>
        </w:rPr>
        <w:t>4.3 管理人对报告期内公平交易情况的专项说明</w:t>
      </w:r>
      <w:r>
        <w:tab/>
      </w:r>
      <w:r>
        <w:fldChar w:fldCharType="begin"/>
      </w:r>
      <w:r>
        <w:instrText xml:space="preserve"> PAGEREF _Toc67591740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"_Toc67591744" </w:instrText>
      </w:r>
      <w:r>
        <w:fldChar w:fldCharType="separate"/>
      </w:r>
      <w:r>
        <w:rPr>
          <w:rStyle w:val="37"/>
        </w:rPr>
        <w:t>4.4 管理人对报告期内基金的投资策略和业绩表现的说明</w:t>
      </w:r>
      <w:r>
        <w:tab/>
      </w:r>
      <w:r>
        <w:fldChar w:fldCharType="begin"/>
      </w:r>
      <w:r>
        <w:instrText xml:space="preserve"> PAGEREF _Toc67591744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"_Toc67591747" </w:instrText>
      </w:r>
      <w:r>
        <w:fldChar w:fldCharType="separate"/>
      </w:r>
      <w:r>
        <w:rPr>
          <w:rStyle w:val="37"/>
        </w:rPr>
        <w:t>4.5 管理人对宏观经济、证券市场及行业走势的简要展望</w:t>
      </w:r>
      <w:r>
        <w:tab/>
      </w:r>
      <w:r>
        <w:fldChar w:fldCharType="begin"/>
      </w:r>
      <w:r>
        <w:instrText xml:space="preserve"> PAGEREF _Toc67591747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"_Toc67591748" </w:instrText>
      </w:r>
      <w:r>
        <w:fldChar w:fldCharType="separate"/>
      </w:r>
      <w:r>
        <w:rPr>
          <w:rStyle w:val="37"/>
        </w:rPr>
        <w:t>4.6 管理人内部有关本基金的监察稽核工作情况</w:t>
      </w:r>
      <w:r>
        <w:tab/>
      </w:r>
      <w:r>
        <w:fldChar w:fldCharType="begin"/>
      </w:r>
      <w:r>
        <w:instrText xml:space="preserve"> PAGEREF _Toc67591748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"_Toc67591749" </w:instrText>
      </w:r>
      <w:r>
        <w:fldChar w:fldCharType="separate"/>
      </w:r>
      <w:r>
        <w:rPr>
          <w:rStyle w:val="37"/>
        </w:rPr>
        <w:t>4.7 管理人对报告期内基金估值程序等事项的说明</w:t>
      </w:r>
      <w:r>
        <w:tab/>
      </w:r>
      <w:r>
        <w:fldChar w:fldCharType="begin"/>
      </w:r>
      <w:r>
        <w:instrText xml:space="preserve"> PAGEREF _Toc67591749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"_Toc67591750" </w:instrText>
      </w:r>
      <w:r>
        <w:fldChar w:fldCharType="separate"/>
      </w:r>
      <w:r>
        <w:rPr>
          <w:rStyle w:val="37"/>
        </w:rPr>
        <w:t>4.8 管理人对报告期内基金利润分配情况的说明</w:t>
      </w:r>
      <w:r>
        <w:tab/>
      </w:r>
      <w:r>
        <w:fldChar w:fldCharType="begin"/>
      </w:r>
      <w:r>
        <w:instrText xml:space="preserve"> PAGEREF _Toc67591750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"_Toc67591751" </w:instrText>
      </w:r>
      <w:r>
        <w:fldChar w:fldCharType="separate"/>
      </w:r>
      <w:r>
        <w:rPr>
          <w:rStyle w:val="37"/>
        </w:rPr>
        <w:t>4.9 报告期内管理人对本基金持有人数或基金资产净值预警情形的说明</w:t>
      </w:r>
      <w:r>
        <w:tab/>
      </w:r>
      <w:r>
        <w:fldChar w:fldCharType="begin"/>
      </w:r>
      <w:r>
        <w:instrText xml:space="preserve"> PAGEREF _Toc67591751 \h </w:instrText>
      </w:r>
      <w:r>
        <w:fldChar w:fldCharType="separate"/>
      </w:r>
      <w:r>
        <w:t>16</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"_Toc67591752" </w:instrText>
      </w:r>
      <w:r>
        <w:fldChar w:fldCharType="separate"/>
      </w:r>
      <w:r>
        <w:rPr>
          <w:rStyle w:val="37"/>
          <w:b/>
          <w:bCs/>
        </w:rPr>
        <w:t>§5  托管人报告</w:t>
      </w:r>
      <w:r>
        <w:tab/>
      </w:r>
      <w:r>
        <w:fldChar w:fldCharType="begin"/>
      </w:r>
      <w:r>
        <w:instrText xml:space="preserve"> PAGEREF _Toc67591752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"_Toc67591753" </w:instrText>
      </w:r>
      <w:r>
        <w:fldChar w:fldCharType="separate"/>
      </w:r>
      <w:r>
        <w:rPr>
          <w:rStyle w:val="37"/>
        </w:rPr>
        <w:t>5.1 报告期内本基金托管人遵规守信情况声明</w:t>
      </w:r>
      <w:r>
        <w:tab/>
      </w:r>
      <w:r>
        <w:fldChar w:fldCharType="begin"/>
      </w:r>
      <w:r>
        <w:instrText xml:space="preserve"> PAGEREF _Toc67591753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"_Toc67591754" </w:instrText>
      </w:r>
      <w:r>
        <w:fldChar w:fldCharType="separate"/>
      </w:r>
      <w:r>
        <w:rPr>
          <w:rStyle w:val="37"/>
        </w:rPr>
        <w:t>5.2 托管人对报告期内本基金投资运作遵规守信、净值计算、利润分配等情况的说明</w:t>
      </w:r>
      <w:r>
        <w:tab/>
      </w:r>
      <w:r>
        <w:fldChar w:fldCharType="begin"/>
      </w:r>
      <w:r>
        <w:instrText xml:space="preserve"> PAGEREF _Toc67591754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"_Toc67591755" </w:instrText>
      </w:r>
      <w:r>
        <w:fldChar w:fldCharType="separate"/>
      </w:r>
      <w:r>
        <w:rPr>
          <w:rStyle w:val="37"/>
        </w:rPr>
        <w:t>5.3 托管人对本年度报告中财务信息等内容的真实、准确和完整发表意见</w:t>
      </w:r>
      <w:r>
        <w:tab/>
      </w:r>
      <w:r>
        <w:fldChar w:fldCharType="begin"/>
      </w:r>
      <w:r>
        <w:instrText xml:space="preserve"> PAGEREF _Toc67591755 \h </w:instrText>
      </w:r>
      <w:r>
        <w:fldChar w:fldCharType="separate"/>
      </w:r>
      <w:r>
        <w:t>17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"_Toc67591756" </w:instrText>
      </w:r>
      <w:r>
        <w:fldChar w:fldCharType="separate"/>
      </w:r>
      <w:r>
        <w:rPr>
          <w:rStyle w:val="37"/>
          <w:b/>
          <w:bCs/>
        </w:rPr>
        <w:t>§6  审计报告</w:t>
      </w:r>
      <w:r>
        <w:tab/>
      </w:r>
      <w:r>
        <w:fldChar w:fldCharType="begin"/>
      </w:r>
      <w:r>
        <w:instrText xml:space="preserve"> PAGEREF _Toc67591756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"_Toc67591757" </w:instrText>
      </w:r>
      <w:r>
        <w:fldChar w:fldCharType="separate"/>
      </w:r>
      <w:r>
        <w:rPr>
          <w:rStyle w:val="37"/>
        </w:rPr>
        <w:t>6.1 审计意见</w:t>
      </w:r>
      <w:r>
        <w:tab/>
      </w:r>
      <w:r>
        <w:fldChar w:fldCharType="begin"/>
      </w:r>
      <w:r>
        <w:instrText xml:space="preserve"> PAGEREF _Toc67591757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"_Toc67591758" </w:instrText>
      </w:r>
      <w:r>
        <w:fldChar w:fldCharType="separate"/>
      </w:r>
      <w:r>
        <w:rPr>
          <w:rStyle w:val="37"/>
        </w:rPr>
        <w:t>6.2 形成审计意见的基础</w:t>
      </w:r>
      <w:r>
        <w:tab/>
      </w:r>
      <w:r>
        <w:fldChar w:fldCharType="begin"/>
      </w:r>
      <w:r>
        <w:instrText xml:space="preserve"> PAGEREF _Toc67591758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"_Toc67591759" </w:instrText>
      </w:r>
      <w:r>
        <w:fldChar w:fldCharType="separate"/>
      </w:r>
      <w:r>
        <w:rPr>
          <w:rStyle w:val="37"/>
        </w:rPr>
        <w:t>6.3 管理层和治理层对财务报表的责任</w:t>
      </w:r>
      <w:r>
        <w:tab/>
      </w:r>
      <w:r>
        <w:fldChar w:fldCharType="begin"/>
      </w:r>
      <w:r>
        <w:instrText xml:space="preserve"> PAGEREF _Toc67591759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"_Toc67591760" </w:instrText>
      </w:r>
      <w:r>
        <w:fldChar w:fldCharType="separate"/>
      </w:r>
      <w:r>
        <w:rPr>
          <w:rStyle w:val="37"/>
        </w:rPr>
        <w:t>6.4 注册会计师对财务报表审计的责任</w:t>
      </w:r>
      <w:r>
        <w:tab/>
      </w:r>
      <w:r>
        <w:fldChar w:fldCharType="begin"/>
      </w:r>
      <w:r>
        <w:instrText xml:space="preserve"> PAGEREF _Toc67591760 \h </w:instrText>
      </w:r>
      <w:r>
        <w:fldChar w:fldCharType="separate"/>
      </w:r>
      <w:r>
        <w:t>18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"_Toc67591761" </w:instrText>
      </w:r>
      <w:r>
        <w:fldChar w:fldCharType="separate"/>
      </w:r>
      <w:r>
        <w:rPr>
          <w:rStyle w:val="37"/>
          <w:b/>
          <w:bCs/>
        </w:rPr>
        <w:t>§7年度财务报表</w:t>
      </w:r>
      <w:r>
        <w:tab/>
      </w:r>
      <w:r>
        <w:fldChar w:fldCharType="begin"/>
      </w:r>
      <w:r>
        <w:instrText xml:space="preserve"> PAGEREF _Toc67591761 \h </w:instrText>
      </w:r>
      <w:r>
        <w:fldChar w:fldCharType="separate"/>
      </w:r>
      <w:r>
        <w:t>19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"_Toc67591762" </w:instrText>
      </w:r>
      <w:r>
        <w:fldChar w:fldCharType="separate"/>
      </w:r>
      <w:r>
        <w:rPr>
          <w:rStyle w:val="37"/>
        </w:rPr>
        <w:t>7.1 资产负债表</w:t>
      </w:r>
      <w:r>
        <w:tab/>
      </w:r>
      <w:r>
        <w:fldChar w:fldCharType="begin"/>
      </w:r>
      <w:r>
        <w:instrText xml:space="preserve"> PAGEREF _Toc67591762 \h </w:instrText>
      </w:r>
      <w:r>
        <w:fldChar w:fldCharType="separate"/>
      </w:r>
      <w:r>
        <w:t>19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"_Toc67591763" </w:instrText>
      </w:r>
      <w:r>
        <w:fldChar w:fldCharType="separate"/>
      </w:r>
      <w:r>
        <w:rPr>
          <w:rStyle w:val="37"/>
        </w:rPr>
        <w:t>7.2 利润表</w:t>
      </w:r>
      <w:r>
        <w:tab/>
      </w:r>
      <w:r>
        <w:fldChar w:fldCharType="begin"/>
      </w:r>
      <w:r>
        <w:instrText xml:space="preserve"> PAGEREF _Toc67591763 \h </w:instrText>
      </w:r>
      <w:r>
        <w:fldChar w:fldCharType="separate"/>
      </w:r>
      <w:r>
        <w:t>20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"_Toc67591764" </w:instrText>
      </w:r>
      <w:r>
        <w:fldChar w:fldCharType="separate"/>
      </w:r>
      <w:r>
        <w:rPr>
          <w:rStyle w:val="37"/>
        </w:rPr>
        <w:t>7.3 所有者权益（基金净值）变动表</w:t>
      </w:r>
      <w:r>
        <w:tab/>
      </w:r>
      <w:r>
        <w:fldChar w:fldCharType="begin"/>
      </w:r>
      <w:r>
        <w:instrText xml:space="preserve"> PAGEREF _Toc67591764 \h </w:instrText>
      </w:r>
      <w:r>
        <w:fldChar w:fldCharType="separate"/>
      </w:r>
      <w:r>
        <w:t>22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"_Toc67591765" </w:instrText>
      </w:r>
      <w:r>
        <w:fldChar w:fldCharType="separate"/>
      </w:r>
      <w:r>
        <w:rPr>
          <w:rStyle w:val="37"/>
        </w:rPr>
        <w:t>7.4 报表附注</w:t>
      </w:r>
      <w:r>
        <w:tab/>
      </w:r>
      <w:r>
        <w:fldChar w:fldCharType="begin"/>
      </w:r>
      <w:r>
        <w:instrText xml:space="preserve"> PAGEREF _Toc67591765 \h </w:instrText>
      </w:r>
      <w:r>
        <w:fldChar w:fldCharType="separate"/>
      </w:r>
      <w:r>
        <w:t>23</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"_Toc67591836" </w:instrText>
      </w:r>
      <w:r>
        <w:fldChar w:fldCharType="separate"/>
      </w:r>
      <w:r>
        <w:rPr>
          <w:rStyle w:val="37"/>
          <w:b/>
        </w:rPr>
        <w:t>§8投资组合报告</w:t>
      </w:r>
      <w:r>
        <w:tab/>
      </w:r>
      <w:r>
        <w:fldChar w:fldCharType="begin"/>
      </w:r>
      <w:r>
        <w:instrText xml:space="preserve"> PAGEREF _Toc67591836 \h </w:instrText>
      </w:r>
      <w:r>
        <w:fldChar w:fldCharType="separate"/>
      </w:r>
      <w:r>
        <w:t>49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"_Toc67591837" </w:instrText>
      </w:r>
      <w:r>
        <w:fldChar w:fldCharType="separate"/>
      </w:r>
      <w:r>
        <w:rPr>
          <w:rStyle w:val="37"/>
        </w:rPr>
        <w:t>8.1 期末基金资产组合情况</w:t>
      </w:r>
      <w:r>
        <w:tab/>
      </w:r>
      <w:r>
        <w:fldChar w:fldCharType="begin"/>
      </w:r>
      <w:r>
        <w:instrText xml:space="preserve"> PAGEREF _Toc67591837 \h </w:instrText>
      </w:r>
      <w:r>
        <w:fldChar w:fldCharType="separate"/>
      </w:r>
      <w:r>
        <w:t>49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"_Toc67591838" </w:instrText>
      </w:r>
      <w:r>
        <w:fldChar w:fldCharType="separate"/>
      </w:r>
      <w:r>
        <w:rPr>
          <w:rStyle w:val="37"/>
        </w:rPr>
        <w:t>8.2 期末按行业分类的股票投资组合</w:t>
      </w:r>
      <w:r>
        <w:tab/>
      </w:r>
      <w:r>
        <w:fldChar w:fldCharType="begin"/>
      </w:r>
      <w:r>
        <w:instrText xml:space="preserve"> PAGEREF _Toc67591838 \h </w:instrText>
      </w:r>
      <w:r>
        <w:fldChar w:fldCharType="separate"/>
      </w:r>
      <w:r>
        <w:t>50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"_Toc67591839" </w:instrText>
      </w:r>
      <w:r>
        <w:fldChar w:fldCharType="separate"/>
      </w:r>
      <w:r>
        <w:rPr>
          <w:rStyle w:val="37"/>
        </w:rPr>
        <w:t>8.3 期末按公允价值占基金资产净值比例大小排序的所有股票投资明细</w:t>
      </w:r>
      <w:r>
        <w:tab/>
      </w:r>
      <w:r>
        <w:fldChar w:fldCharType="begin"/>
      </w:r>
      <w:r>
        <w:instrText xml:space="preserve"> PAGEREF _Toc67591839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"_Toc67591840" </w:instrText>
      </w:r>
      <w:r>
        <w:fldChar w:fldCharType="separate"/>
      </w:r>
      <w:r>
        <w:rPr>
          <w:rStyle w:val="37"/>
        </w:rPr>
        <w:t>8.4 报告期内股票投资组合的重大变动</w:t>
      </w:r>
      <w:r>
        <w:tab/>
      </w:r>
      <w:r>
        <w:fldChar w:fldCharType="begin"/>
      </w:r>
      <w:r>
        <w:instrText xml:space="preserve"> PAGEREF _Toc67591840 \h </w:instrText>
      </w:r>
      <w:r>
        <w:fldChar w:fldCharType="separate"/>
      </w:r>
      <w:r>
        <w:t>53</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"_Toc67591844" </w:instrText>
      </w:r>
      <w:r>
        <w:fldChar w:fldCharType="separate"/>
      </w:r>
      <w:r>
        <w:rPr>
          <w:rStyle w:val="37"/>
        </w:rPr>
        <w:t>8.5 期末按债券品种分类的债券投资组合</w:t>
      </w:r>
      <w:r>
        <w:tab/>
      </w:r>
      <w:r>
        <w:fldChar w:fldCharType="begin"/>
      </w:r>
      <w:r>
        <w:instrText xml:space="preserve"> PAGEREF _Toc67591844 \h </w:instrText>
      </w:r>
      <w:r>
        <w:fldChar w:fldCharType="separate"/>
      </w:r>
      <w:r>
        <w:t>55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"_Toc67591845" </w:instrText>
      </w:r>
      <w:r>
        <w:fldChar w:fldCharType="separate"/>
      </w:r>
      <w:r>
        <w:rPr>
          <w:rStyle w:val="37"/>
        </w:rPr>
        <w:t>8.6期末按公允价值占基金资产净值比例大小排序的前五名债券投资明细</w:t>
      </w:r>
      <w:r>
        <w:tab/>
      </w:r>
      <w:r>
        <w:fldChar w:fldCharType="begin"/>
      </w:r>
      <w:r>
        <w:instrText xml:space="preserve"> PAGEREF _Toc67591845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"_Toc67591846" </w:instrText>
      </w:r>
      <w:r>
        <w:fldChar w:fldCharType="separate"/>
      </w:r>
      <w:r>
        <w:rPr>
          <w:rStyle w:val="37"/>
        </w:rPr>
        <w:t>8.7期末按公允价值占基金资产净值比例大小排序的所有资产支持证券投资明细</w:t>
      </w:r>
      <w:r>
        <w:tab/>
      </w:r>
      <w:r>
        <w:fldChar w:fldCharType="begin"/>
      </w:r>
      <w:r>
        <w:instrText xml:space="preserve"> PAGEREF _Toc67591846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"_Toc67591847" </w:instrText>
      </w:r>
      <w:r>
        <w:fldChar w:fldCharType="separate"/>
      </w:r>
      <w:r>
        <w:rPr>
          <w:rStyle w:val="37"/>
        </w:rPr>
        <w:t>8.8报告期末按公允价值占基金资产净值比例大小排序的前五名贵金属投资明细</w:t>
      </w:r>
      <w:r>
        <w:tab/>
      </w:r>
      <w:r>
        <w:fldChar w:fldCharType="begin"/>
      </w:r>
      <w:r>
        <w:instrText xml:space="preserve"> PAGEREF _Toc67591847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"_Toc67591848" </w:instrText>
      </w:r>
      <w:r>
        <w:fldChar w:fldCharType="separate"/>
      </w:r>
      <w:r>
        <w:rPr>
          <w:rStyle w:val="37"/>
        </w:rPr>
        <w:t>8.9期末按公允价值占基金资产净值比例大小排序的前五名权证投资明细</w:t>
      </w:r>
      <w:r>
        <w:tab/>
      </w:r>
      <w:r>
        <w:fldChar w:fldCharType="begin"/>
      </w:r>
      <w:r>
        <w:instrText xml:space="preserve"> PAGEREF _Toc67591848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"_Toc67591849" </w:instrText>
      </w:r>
      <w:r>
        <w:fldChar w:fldCharType="separate"/>
      </w:r>
      <w:r>
        <w:rPr>
          <w:rStyle w:val="37"/>
        </w:rPr>
        <w:t>8.10 报告期末本基金投资的股指期货交易情况说明</w:t>
      </w:r>
      <w:r>
        <w:tab/>
      </w:r>
      <w:r>
        <w:fldChar w:fldCharType="begin"/>
      </w:r>
      <w:r>
        <w:instrText xml:space="preserve"> PAGEREF _Toc67591849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"_Toc67591850" </w:instrText>
      </w:r>
      <w:r>
        <w:fldChar w:fldCharType="separate"/>
      </w:r>
      <w:r>
        <w:rPr>
          <w:rStyle w:val="37"/>
        </w:rPr>
        <w:t>8.11 报告期末本基金投资的国债期货交易情况说明</w:t>
      </w:r>
      <w:r>
        <w:tab/>
      </w:r>
      <w:r>
        <w:fldChar w:fldCharType="begin"/>
      </w:r>
      <w:r>
        <w:instrText xml:space="preserve"> PAGEREF _Toc67591850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"_Toc67591851" </w:instrText>
      </w:r>
      <w:r>
        <w:fldChar w:fldCharType="separate"/>
      </w:r>
      <w:r>
        <w:rPr>
          <w:rStyle w:val="37"/>
        </w:rPr>
        <w:t>8.12 投资组合报告附注</w:t>
      </w:r>
      <w:r>
        <w:tab/>
      </w:r>
      <w:r>
        <w:fldChar w:fldCharType="begin"/>
      </w:r>
      <w:r>
        <w:instrText xml:space="preserve"> PAGEREF _Toc67591851 \h </w:instrText>
      </w:r>
      <w:r>
        <w:fldChar w:fldCharType="separate"/>
      </w:r>
      <w:r>
        <w:t>57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"_Toc67591856" </w:instrText>
      </w:r>
      <w:r>
        <w:fldChar w:fldCharType="separate"/>
      </w:r>
      <w:r>
        <w:rPr>
          <w:rStyle w:val="37"/>
          <w:b/>
        </w:rPr>
        <w:t>§9基金份额持有人信息</w:t>
      </w:r>
      <w:r>
        <w:tab/>
      </w:r>
      <w:r>
        <w:fldChar w:fldCharType="begin"/>
      </w:r>
      <w:r>
        <w:instrText xml:space="preserve"> PAGEREF _Toc67591856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"_Toc67591857" </w:instrText>
      </w:r>
      <w:r>
        <w:fldChar w:fldCharType="separate"/>
      </w:r>
      <w:r>
        <w:rPr>
          <w:rStyle w:val="37"/>
        </w:rPr>
        <w:t>9.1 期末基金份额持有人户数及持有人结构</w:t>
      </w:r>
      <w:r>
        <w:tab/>
      </w:r>
      <w:r>
        <w:fldChar w:fldCharType="begin"/>
      </w:r>
      <w:r>
        <w:instrText xml:space="preserve"> PAGEREF _Toc67591857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"_Toc67591858" </w:instrText>
      </w:r>
      <w:r>
        <w:fldChar w:fldCharType="separate"/>
      </w:r>
      <w:r>
        <w:rPr>
          <w:rStyle w:val="37"/>
        </w:rPr>
        <w:t>9.2期末基金管理人的从业人员持有本基金的情况</w:t>
      </w:r>
      <w:r>
        <w:tab/>
      </w:r>
      <w:r>
        <w:fldChar w:fldCharType="begin"/>
      </w:r>
      <w:r>
        <w:instrText xml:space="preserve"> PAGEREF _Toc67591858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"_Toc67591859" </w:instrText>
      </w:r>
      <w:r>
        <w:fldChar w:fldCharType="separate"/>
      </w:r>
      <w:r>
        <w:rPr>
          <w:rStyle w:val="37"/>
        </w:rPr>
        <w:t>9.3期末基金管理人的从业人员持有本开放式基金份额总量区间的情况</w:t>
      </w:r>
      <w:r>
        <w:tab/>
      </w:r>
      <w:r>
        <w:fldChar w:fldCharType="begin"/>
      </w:r>
      <w:r>
        <w:instrText xml:space="preserve"> PAGEREF _Toc67591859 \h </w:instrText>
      </w:r>
      <w:r>
        <w:fldChar w:fldCharType="separate"/>
      </w:r>
      <w:r>
        <w:t>58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"_Toc67591860" </w:instrText>
      </w:r>
      <w:r>
        <w:fldChar w:fldCharType="separate"/>
      </w:r>
      <w:r>
        <w:rPr>
          <w:rStyle w:val="37"/>
          <w:b/>
          <w:bCs/>
        </w:rPr>
        <w:t>§10开放式基金份额变动</w:t>
      </w:r>
      <w:r>
        <w:tab/>
      </w:r>
      <w:r>
        <w:fldChar w:fldCharType="begin"/>
      </w:r>
      <w:r>
        <w:instrText xml:space="preserve"> PAGEREF _Toc67591860 \h </w:instrText>
      </w:r>
      <w:r>
        <w:fldChar w:fldCharType="separate"/>
      </w:r>
      <w:r>
        <w:t>58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"_Toc67591861" </w:instrText>
      </w:r>
      <w:r>
        <w:fldChar w:fldCharType="separate"/>
      </w:r>
      <w:r>
        <w:rPr>
          <w:rStyle w:val="37"/>
          <w:b/>
          <w:bCs/>
        </w:rPr>
        <w:t>§11重大事件揭示</w:t>
      </w:r>
      <w:r>
        <w:tab/>
      </w:r>
      <w:r>
        <w:fldChar w:fldCharType="begin"/>
      </w:r>
      <w:r>
        <w:instrText xml:space="preserve"> PAGEREF _Toc67591861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"_Toc67591862" </w:instrText>
      </w:r>
      <w:r>
        <w:fldChar w:fldCharType="separate"/>
      </w:r>
      <w:r>
        <w:rPr>
          <w:rStyle w:val="37"/>
        </w:rPr>
        <w:t>11.1基金份额持有人大会决议</w:t>
      </w:r>
      <w:r>
        <w:tab/>
      </w:r>
      <w:r>
        <w:fldChar w:fldCharType="begin"/>
      </w:r>
      <w:r>
        <w:instrText xml:space="preserve"> PAGEREF _Toc67591862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"_Toc67591863" </w:instrText>
      </w:r>
      <w:r>
        <w:fldChar w:fldCharType="separate"/>
      </w:r>
      <w:r>
        <w:rPr>
          <w:rStyle w:val="37"/>
        </w:rPr>
        <w:t>11.2 基金管理人、基金托管人的专门基金托管部门的重大人事变动</w:t>
      </w:r>
      <w:r>
        <w:tab/>
      </w:r>
      <w:r>
        <w:fldChar w:fldCharType="begin"/>
      </w:r>
      <w:r>
        <w:instrText xml:space="preserve"> PAGEREF _Toc67591863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"_Toc67591864" </w:instrText>
      </w:r>
      <w:r>
        <w:fldChar w:fldCharType="separate"/>
      </w:r>
      <w:r>
        <w:rPr>
          <w:rStyle w:val="37"/>
        </w:rPr>
        <w:t>11.3 涉及基金管理人、基金财产、基金托管业务的诉讼</w:t>
      </w:r>
      <w:r>
        <w:tab/>
      </w:r>
      <w:r>
        <w:fldChar w:fldCharType="begin"/>
      </w:r>
      <w:r>
        <w:instrText xml:space="preserve"> PAGEREF _Toc67591864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"_Toc67591865" </w:instrText>
      </w:r>
      <w:r>
        <w:fldChar w:fldCharType="separate"/>
      </w:r>
      <w:r>
        <w:rPr>
          <w:rStyle w:val="37"/>
        </w:rPr>
        <w:t>11.4 基金投资策略的改变</w:t>
      </w:r>
      <w:r>
        <w:tab/>
      </w:r>
      <w:r>
        <w:fldChar w:fldCharType="begin"/>
      </w:r>
      <w:r>
        <w:instrText xml:space="preserve"> PAGEREF _Toc67591865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"_Toc67591866" </w:instrText>
      </w:r>
      <w:r>
        <w:fldChar w:fldCharType="separate"/>
      </w:r>
      <w:r>
        <w:rPr>
          <w:rStyle w:val="37"/>
        </w:rPr>
        <w:t>11.5 为基金进行审计的会计师事务所情况</w:t>
      </w:r>
      <w:r>
        <w:tab/>
      </w:r>
      <w:r>
        <w:fldChar w:fldCharType="begin"/>
      </w:r>
      <w:r>
        <w:instrText xml:space="preserve"> PAGEREF _Toc67591866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"_Toc67591867" </w:instrText>
      </w:r>
      <w:r>
        <w:fldChar w:fldCharType="separate"/>
      </w:r>
      <w:r>
        <w:rPr>
          <w:rStyle w:val="37"/>
        </w:rPr>
        <w:t>11.6 管理人、托管人及其高级管理人员受稽查或处罚等情况</w:t>
      </w:r>
      <w:r>
        <w:tab/>
      </w:r>
      <w:r>
        <w:fldChar w:fldCharType="begin"/>
      </w:r>
      <w:r>
        <w:instrText xml:space="preserve"> PAGEREF _Toc67591867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"_Toc67591868" </w:instrText>
      </w:r>
      <w:r>
        <w:fldChar w:fldCharType="separate"/>
      </w:r>
      <w:r>
        <w:rPr>
          <w:rStyle w:val="37"/>
        </w:rPr>
        <w:t>11.7 基金租用证券公司交易单元的有关情况</w:t>
      </w:r>
      <w:r>
        <w:tab/>
      </w:r>
      <w:r>
        <w:fldChar w:fldCharType="begin"/>
      </w:r>
      <w:r>
        <w:instrText xml:space="preserve"> PAGEREF _Toc67591868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"_Toc67591869" </w:instrText>
      </w:r>
      <w:r>
        <w:fldChar w:fldCharType="separate"/>
      </w:r>
      <w:r>
        <w:rPr>
          <w:rStyle w:val="37"/>
        </w:rPr>
        <w:t>11.8其他重大事件</w:t>
      </w:r>
      <w:r>
        <w:tab/>
      </w:r>
      <w:r>
        <w:fldChar w:fldCharType="begin"/>
      </w:r>
      <w:r>
        <w:instrText xml:space="preserve"> PAGEREF _Toc67591869 \h </w:instrText>
      </w:r>
      <w:r>
        <w:fldChar w:fldCharType="separate"/>
      </w:r>
      <w:r>
        <w:t>61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"_Toc67591870" </w:instrText>
      </w:r>
      <w:r>
        <w:fldChar w:fldCharType="separate"/>
      </w:r>
      <w:r>
        <w:rPr>
          <w:rStyle w:val="37"/>
          <w:b/>
          <w:bCs/>
        </w:rPr>
        <w:t>§12 影响投资者决策的其他重要信息</w:t>
      </w:r>
      <w:r>
        <w:tab/>
      </w:r>
      <w:r>
        <w:fldChar w:fldCharType="begin"/>
      </w:r>
      <w:r>
        <w:instrText xml:space="preserve"> PAGEREF _Toc67591870 \h </w:instrText>
      </w:r>
      <w:r>
        <w:fldChar w:fldCharType="separate"/>
      </w:r>
      <w:r>
        <w:t>63</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"_Toc67591871" </w:instrText>
      </w:r>
      <w:r>
        <w:fldChar w:fldCharType="separate"/>
      </w:r>
      <w:r>
        <w:rPr>
          <w:rStyle w:val="37"/>
          <w:b/>
          <w:bCs/>
        </w:rPr>
        <w:t>§13 备查文件目录</w:t>
      </w:r>
      <w:r>
        <w:tab/>
      </w:r>
      <w:r>
        <w:fldChar w:fldCharType="begin"/>
      </w:r>
      <w:r>
        <w:instrText xml:space="preserve"> PAGEREF _Toc67591871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"_Toc67591872" </w:instrText>
      </w:r>
      <w:r>
        <w:fldChar w:fldCharType="separate"/>
      </w:r>
      <w:r>
        <w:rPr>
          <w:rStyle w:val="37"/>
        </w:rPr>
        <w:t>13.1 备查文件目录</w:t>
      </w:r>
      <w:r>
        <w:tab/>
      </w:r>
      <w:r>
        <w:fldChar w:fldCharType="begin"/>
      </w:r>
      <w:r>
        <w:instrText xml:space="preserve"> PAGEREF _Toc67591872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"_Toc67591873" </w:instrText>
      </w:r>
      <w:r>
        <w:fldChar w:fldCharType="separate"/>
      </w:r>
      <w:r>
        <w:rPr>
          <w:rStyle w:val="37"/>
        </w:rPr>
        <w:t>13.2存放地点</w:t>
      </w:r>
      <w:r>
        <w:tab/>
      </w:r>
      <w:r>
        <w:fldChar w:fldCharType="begin"/>
      </w:r>
      <w:r>
        <w:instrText xml:space="preserve"> PAGEREF _Toc67591873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"_Toc67591874" </w:instrText>
      </w:r>
      <w:r>
        <w:fldChar w:fldCharType="separate"/>
      </w:r>
      <w:r>
        <w:rPr>
          <w:rStyle w:val="37"/>
        </w:rPr>
        <w:t>13.3查阅方式</w:t>
      </w:r>
      <w:r>
        <w:tab/>
      </w:r>
      <w:r>
        <w:fldChar w:fldCharType="begin"/>
      </w:r>
      <w:r>
        <w:instrText xml:space="preserve"> PAGEREF _Toc67591874 \h </w:instrText>
      </w:r>
      <w:r>
        <w:fldChar w:fldCharType="separate"/>
      </w:r>
      <w:r>
        <w:t>64</w:t>
      </w:r>
      <w:r>
        <w:fldChar w:fldCharType="end"/>
      </w:r>
      <w:r>
        <w:fldChar w:fldCharType="end"/>
      </w:r>
    </w:p>
    <w:p>
      <w:pPr>
        <w:spacing w:before="29" w:line="288" w:lineRule="auto"/>
        <w:ind w:firstLine="480" w:firstLineChars="200"/>
        <w:rPr>
          <w:rFonts w:asciiTheme="minorEastAsia" w:hAnsiTheme="minorEastAsia" w:eastAsiaTheme="minorEastAsia"/>
          <w:b/>
          <w:color w:val="000000"/>
          <w:kern w:val="0"/>
          <w:sz w:val="24"/>
        </w:rPr>
      </w:pPr>
      <w:r>
        <w:rPr>
          <w:color w:val="000000"/>
          <w:kern w:val="0"/>
          <w:sz w:val="24"/>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8" w:name="_Toc225498244"/>
      <w:bookmarkStart w:id="9" w:name="_Toc361324844"/>
      <w:bookmarkStart w:id="10" w:name="_Toc67591724"/>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p>
      <w:pPr>
        <w:pStyle w:val="3"/>
        <w:spacing w:before="29" w:after="0" w:line="288" w:lineRule="auto"/>
        <w:rPr>
          <w:rFonts w:ascii="Times New Roman" w:hAnsi="Times New Roman"/>
          <w:kern w:val="0"/>
          <w:szCs w:val="24"/>
        </w:rPr>
      </w:pPr>
      <w:bookmarkStart w:id="11" w:name="_Toc361324845"/>
      <w:bookmarkStart w:id="12" w:name="_Toc67591725"/>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1"/>
      <w:bookmarkEnd w:id="12"/>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6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vAlign w:val="center"/>
          </w:tcPr>
          <w:p>
            <w:pPr>
              <w:spacing w:before="29" w:line="288" w:lineRule="auto"/>
              <w:jc w:val="center"/>
              <w:rPr>
                <w:sz w:val="24"/>
              </w:rPr>
            </w:pPr>
            <w:r>
              <w:rPr>
                <w:sz w:val="24"/>
              </w:rPr>
              <w:t>交银施罗德优势行业灵活配置混合型证券投资基金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基金简称</w:t>
            </w:r>
          </w:p>
        </w:tc>
        <w:tc>
          <w:tcPr>
            <w:tcW w:w="6021" w:type="dxa"/>
            <w:vAlign w:val="center"/>
          </w:tcPr>
          <w:p>
            <w:pPr>
              <w:spacing w:before="29" w:line="288" w:lineRule="auto"/>
              <w:jc w:val="center"/>
              <w:rPr>
                <w:sz w:val="24"/>
              </w:rPr>
            </w:pPr>
            <w:r>
              <w:rPr>
                <w:sz w:val="24"/>
              </w:rPr>
              <w:t>交银优势行业混合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基金主代码</w:t>
            </w:r>
          </w:p>
        </w:tc>
        <w:tc>
          <w:tcPr>
            <w:tcW w:w="6021" w:type="dxa"/>
            <w:vAlign w:val="center"/>
          </w:tcPr>
          <w:p>
            <w:pPr>
              <w:spacing w:before="29" w:line="288" w:lineRule="auto"/>
              <w:jc w:val="center"/>
              <w:rPr>
                <w:sz w:val="24"/>
              </w:rPr>
            </w:pPr>
            <w:r>
              <w:rPr>
                <w:sz w:val="24"/>
              </w:rPr>
              <w:t>519697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6021" w:type="dxa"/>
            <w:vAlign w:val="center"/>
          </w:tcPr>
          <w:p>
            <w:pPr>
              <w:spacing w:before="29" w:line="288" w:lineRule="auto"/>
              <w:jc w:val="center"/>
              <w:rPr>
                <w:sz w:val="24"/>
              </w:rPr>
            </w:pPr>
            <w:r>
              <w:rPr>
                <w:sz w:val="24"/>
              </w:rPr>
              <w:t>519697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vAlign w:val="center"/>
          </w:tcPr>
          <w:p>
            <w:pPr>
              <w:spacing w:before="29" w:line="288" w:lineRule="auto"/>
              <w:jc w:val="center"/>
              <w:rPr>
                <w:sz w:val="24"/>
              </w:rPr>
            </w:pPr>
            <w:r>
              <w:rPr>
                <w:sz w:val="24"/>
              </w:rPr>
              <w:t>2012年2月3日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基金托管人</w:t>
            </w:r>
          </w:p>
        </w:tc>
        <w:tc>
          <w:tcPr>
            <w:tcW w:w="6021"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报告期末基金份额总额</w:t>
            </w:r>
          </w:p>
        </w:tc>
        <w:tc>
          <w:tcPr>
            <w:tcW w:w="6021" w:type="dxa"/>
            <w:vAlign w:val="center"/>
          </w:tcPr>
          <w:p>
            <w:pPr>
              <w:spacing w:before="29" w:line="288" w:lineRule="auto"/>
              <w:jc w:val="center"/>
              <w:rPr>
                <w:sz w:val="24"/>
              </w:rPr>
            </w:pPr>
            <w:r>
              <w:rPr>
                <w:sz w:val="24"/>
              </w:rPr>
              <w:t>1,217,120,234.14</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基金合同存续期</w:t>
            </w:r>
          </w:p>
        </w:tc>
        <w:tc>
          <w:tcPr>
            <w:tcW w:w="6021" w:type="dxa"/>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 w:name="_Toc361324846"/>
      <w:bookmarkStart w:id="14" w:name="_Toc67591726"/>
      <w:r>
        <w:rPr>
          <w:rFonts w:ascii="Times New Roman" w:hAnsi="Times New Roman"/>
          <w:kern w:val="0"/>
          <w:szCs w:val="24"/>
        </w:rPr>
        <w:t xml:space="preserve">2.2 </w:t>
      </w:r>
      <w:r>
        <w:rPr>
          <w:rFonts w:hint="eastAsia" w:ascii="Times New Roman" w:hAnsi="Times New Roman"/>
          <w:kern w:val="0"/>
          <w:szCs w:val="24"/>
        </w:rPr>
        <w:t>基金产品说明</w:t>
      </w:r>
      <w:bookmarkEnd w:id="13"/>
      <w:bookmarkEnd w:id="14"/>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根据宏观经济周期和市场环境的变化，自上而下灵活配置资产，积极把握行业发展趋势和行业景气轮换中蕴含的投资机会，在控制风险并保持基金资产良好的流动性的前提下，力求实现基金资产的长期稳定增值。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充分发挥基金管理人的研究优势，将严谨、规范化的选股方法与积极主动的投资风格相结合，在分析和判断宏观经济周期和市场环境变化趋势的基础上，动态调整投资组合比例，自上而下灵活配置资产；通过把握和判断行业发展趋势及行业景气程度变化，挖掘预期具有良好增长前景的优势行业，精选个股，以谋求超额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60%×沪深300指数收益率+40%×中证综合债券指数收益率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本基金是一只灵活配置的混合型基金，属于基金中的较高风险品种，风险与预期收益介于股票型基金和债券型基金之间。</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 w:name="_Toc225498247"/>
      <w:bookmarkStart w:id="16" w:name="_Toc361324847"/>
      <w:bookmarkStart w:id="17" w:name="_Toc67591727"/>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5"/>
      <w:bookmarkEnd w:id="16"/>
      <w:bookmarkEnd w:id="17"/>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郭明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010-66105799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custody@icbc.com.cn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010-66105798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100140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sz w:val="24"/>
              </w:rPr>
              <w:t>陈四清</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 w:name="_Toc361324848"/>
      <w:bookmarkStart w:id="19" w:name="_Toc67591728"/>
      <w:bookmarkStart w:id="20" w:name="_Toc225498248"/>
      <w:r>
        <w:rPr>
          <w:rFonts w:ascii="Times New Roman" w:hAnsi="Times New Roman"/>
          <w:kern w:val="0"/>
          <w:szCs w:val="24"/>
        </w:rPr>
        <w:t xml:space="preserve">2.4 </w:t>
      </w:r>
      <w:r>
        <w:rPr>
          <w:rFonts w:hint="eastAsia" w:ascii="Times New Roman" w:hAnsi="Times New Roman"/>
          <w:kern w:val="0"/>
          <w:szCs w:val="24"/>
        </w:rPr>
        <w:t>信息披露方式</w:t>
      </w:r>
      <w:bookmarkEnd w:id="18"/>
      <w:bookmarkEnd w:id="19"/>
      <w:bookmarkEnd w:id="20"/>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《上海证券报》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 w:name="_Toc225498249"/>
      <w:bookmarkStart w:id="22" w:name="_Toc361324849"/>
      <w:bookmarkStart w:id="23" w:name="_Toc67591729"/>
      <w:r>
        <w:rPr>
          <w:rFonts w:ascii="Times New Roman" w:hAnsi="Times New Roman"/>
          <w:kern w:val="0"/>
          <w:szCs w:val="24"/>
        </w:rPr>
        <w:t xml:space="preserve">2.5 </w:t>
      </w:r>
      <w:r>
        <w:rPr>
          <w:rFonts w:hint="eastAsia" w:ascii="Times New Roman" w:hAnsi="Times New Roman"/>
          <w:kern w:val="0"/>
          <w:szCs w:val="24"/>
        </w:rPr>
        <w:t>其他相关资料</w:t>
      </w:r>
      <w:bookmarkEnd w:id="21"/>
      <w:bookmarkEnd w:id="22"/>
      <w:bookmarkEnd w:id="2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4" w:name="_Toc225498250"/>
      <w:bookmarkStart w:id="25" w:name="_Toc67591730"/>
      <w:bookmarkStart w:id="26" w:name="_Toc361324850"/>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p>
      <w:pPr>
        <w:pStyle w:val="3"/>
        <w:spacing w:before="29" w:after="0" w:line="288" w:lineRule="auto"/>
        <w:rPr>
          <w:rFonts w:ascii="Times New Roman" w:hAnsi="Times New Roman"/>
          <w:kern w:val="0"/>
          <w:szCs w:val="24"/>
        </w:rPr>
      </w:pPr>
      <w:bookmarkStart w:id="27" w:name="_Toc286996129"/>
      <w:bookmarkStart w:id="28" w:name="_Toc67591731"/>
      <w:bookmarkStart w:id="29" w:name="_Toc361324851"/>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7"/>
      <w:bookmarkEnd w:id="28"/>
      <w:bookmarkEnd w:id="29"/>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2409"/>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w:t>
            </w:r>
          </w:p>
        </w:tc>
        <w:tc>
          <w:tcPr>
            <w:tcW w:w="1297" w:type="pct"/>
            <w:vAlign w:val="center"/>
          </w:tcPr>
          <w:p>
            <w:pPr>
              <w:spacing w:before="29" w:line="288" w:lineRule="auto"/>
              <w:jc w:val="center"/>
              <w:rPr>
                <w:b/>
                <w:szCs w:val="21"/>
              </w:rPr>
            </w:pPr>
            <w:r>
              <w:rPr>
                <w:b/>
                <w:szCs w:val="21"/>
              </w:rPr>
              <w:t>2019年</w:t>
            </w:r>
          </w:p>
        </w:tc>
        <w:tc>
          <w:tcPr>
            <w:tcW w:w="1278" w:type="pct"/>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1,249,369,935.50</w:t>
            </w:r>
          </w:p>
        </w:tc>
        <w:tc>
          <w:tcPr>
            <w:tcW w:w="1297" w:type="pct"/>
            <w:vAlign w:val="center"/>
          </w:tcPr>
          <w:p>
            <w:pPr>
              <w:spacing w:before="29" w:line="288" w:lineRule="auto"/>
              <w:jc w:val="right"/>
              <w:rPr>
                <w:szCs w:val="21"/>
              </w:rPr>
            </w:pPr>
            <w:r>
              <w:rPr>
                <w:szCs w:val="21"/>
              </w:rPr>
              <w:t>740,681,008.88</w:t>
            </w:r>
          </w:p>
        </w:tc>
        <w:tc>
          <w:tcPr>
            <w:tcW w:w="1278" w:type="pct"/>
            <w:vAlign w:val="center"/>
          </w:tcPr>
          <w:p>
            <w:pPr>
              <w:spacing w:before="29" w:line="288" w:lineRule="auto"/>
              <w:jc w:val="right"/>
              <w:rPr>
                <w:szCs w:val="21"/>
              </w:rPr>
            </w:pPr>
            <w:r>
              <w:rPr>
                <w:szCs w:val="21"/>
              </w:rPr>
              <w:t>-130,991,461.71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1,661,917,708.70</w:t>
            </w:r>
          </w:p>
        </w:tc>
        <w:tc>
          <w:tcPr>
            <w:tcW w:w="1297" w:type="pct"/>
            <w:vAlign w:val="center"/>
          </w:tcPr>
          <w:p>
            <w:pPr>
              <w:spacing w:before="29" w:line="288" w:lineRule="auto"/>
              <w:jc w:val="right"/>
              <w:rPr>
                <w:szCs w:val="21"/>
              </w:rPr>
            </w:pPr>
            <w:r>
              <w:rPr>
                <w:szCs w:val="21"/>
              </w:rPr>
              <w:t>1,160,677,643.31</w:t>
            </w:r>
          </w:p>
        </w:tc>
        <w:tc>
          <w:tcPr>
            <w:tcW w:w="1278" w:type="pct"/>
            <w:vAlign w:val="center"/>
          </w:tcPr>
          <w:p>
            <w:pPr>
              <w:spacing w:before="29" w:line="288" w:lineRule="auto"/>
              <w:jc w:val="right"/>
              <w:rPr>
                <w:szCs w:val="21"/>
              </w:rPr>
            </w:pPr>
            <w:r>
              <w:rPr>
                <w:szCs w:val="21"/>
              </w:rPr>
              <w:t>-279,807,922.53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1.4201</w:t>
            </w:r>
          </w:p>
        </w:tc>
        <w:tc>
          <w:tcPr>
            <w:tcW w:w="1297" w:type="pct"/>
            <w:vAlign w:val="center"/>
          </w:tcPr>
          <w:p>
            <w:pPr>
              <w:spacing w:before="29" w:line="288" w:lineRule="auto"/>
              <w:jc w:val="right"/>
              <w:rPr>
                <w:szCs w:val="21"/>
              </w:rPr>
            </w:pPr>
            <w:r>
              <w:rPr>
                <w:szCs w:val="21"/>
              </w:rPr>
              <w:t>1.2104</w:t>
            </w:r>
          </w:p>
        </w:tc>
        <w:tc>
          <w:tcPr>
            <w:tcW w:w="1278" w:type="pct"/>
            <w:vAlign w:val="center"/>
          </w:tcPr>
          <w:p>
            <w:pPr>
              <w:spacing w:before="29" w:line="288" w:lineRule="auto"/>
              <w:jc w:val="right"/>
              <w:rPr>
                <w:szCs w:val="21"/>
              </w:rPr>
            </w:pPr>
            <w:r>
              <w:rPr>
                <w:szCs w:val="21"/>
              </w:rPr>
              <w:t>-0.4652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29.70%</w:t>
            </w:r>
          </w:p>
        </w:tc>
        <w:tc>
          <w:tcPr>
            <w:tcW w:w="1297" w:type="pct"/>
            <w:vAlign w:val="center"/>
          </w:tcPr>
          <w:p>
            <w:pPr>
              <w:spacing w:before="29" w:line="288" w:lineRule="auto"/>
              <w:jc w:val="right"/>
              <w:rPr>
                <w:szCs w:val="21"/>
              </w:rPr>
            </w:pPr>
            <w:r>
              <w:rPr>
                <w:szCs w:val="21"/>
              </w:rPr>
              <w:t>34.68%</w:t>
            </w:r>
          </w:p>
        </w:tc>
        <w:tc>
          <w:tcPr>
            <w:tcW w:w="1278" w:type="pct"/>
            <w:vAlign w:val="center"/>
          </w:tcPr>
          <w:p>
            <w:pPr>
              <w:spacing w:before="29" w:line="288" w:lineRule="auto"/>
              <w:jc w:val="right"/>
              <w:rPr>
                <w:szCs w:val="21"/>
              </w:rPr>
            </w:pPr>
            <w:r>
              <w:rPr>
                <w:szCs w:val="21"/>
              </w:rPr>
              <w:t>-15.35%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35.93%</w:t>
            </w:r>
          </w:p>
        </w:tc>
        <w:tc>
          <w:tcPr>
            <w:tcW w:w="1297" w:type="pct"/>
            <w:vAlign w:val="center"/>
          </w:tcPr>
          <w:p>
            <w:pPr>
              <w:spacing w:before="29" w:line="288" w:lineRule="auto"/>
              <w:jc w:val="right"/>
              <w:rPr>
                <w:szCs w:val="21"/>
              </w:rPr>
            </w:pPr>
            <w:r>
              <w:rPr>
                <w:szCs w:val="21"/>
              </w:rPr>
              <w:t>43.90%</w:t>
            </w:r>
          </w:p>
        </w:tc>
        <w:tc>
          <w:tcPr>
            <w:tcW w:w="1278" w:type="pct"/>
            <w:vAlign w:val="center"/>
          </w:tcPr>
          <w:p>
            <w:pPr>
              <w:spacing w:before="29" w:line="288" w:lineRule="auto"/>
              <w:jc w:val="right"/>
              <w:rPr>
                <w:szCs w:val="21"/>
              </w:rPr>
            </w:pPr>
            <w:r>
              <w:rPr>
                <w:szCs w:val="21"/>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4,639,289,337.59</w:t>
            </w:r>
          </w:p>
        </w:tc>
        <w:tc>
          <w:tcPr>
            <w:tcW w:w="1297" w:type="pct"/>
            <w:vAlign w:val="center"/>
          </w:tcPr>
          <w:p>
            <w:pPr>
              <w:spacing w:before="29" w:line="288" w:lineRule="auto"/>
              <w:jc w:val="right"/>
              <w:rPr>
                <w:szCs w:val="21"/>
              </w:rPr>
            </w:pPr>
            <w:r>
              <w:rPr>
                <w:szCs w:val="21"/>
              </w:rPr>
              <w:t>2,556,740,776.25</w:t>
            </w:r>
          </w:p>
        </w:tc>
        <w:tc>
          <w:tcPr>
            <w:tcW w:w="1278" w:type="pct"/>
            <w:vAlign w:val="center"/>
          </w:tcPr>
          <w:p>
            <w:pPr>
              <w:spacing w:before="29" w:line="288" w:lineRule="auto"/>
              <w:jc w:val="right"/>
              <w:rPr>
                <w:szCs w:val="21"/>
              </w:rPr>
            </w:pPr>
            <w:r>
              <w:rPr>
                <w:szCs w:val="21"/>
              </w:rPr>
              <w:t>1,782,058,877.56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3.812</w:t>
            </w:r>
          </w:p>
        </w:tc>
        <w:tc>
          <w:tcPr>
            <w:tcW w:w="1297" w:type="pct"/>
            <w:vAlign w:val="center"/>
          </w:tcPr>
          <w:p>
            <w:pPr>
              <w:spacing w:before="29" w:line="288" w:lineRule="auto"/>
              <w:jc w:val="right"/>
              <w:rPr>
                <w:szCs w:val="21"/>
              </w:rPr>
            </w:pPr>
            <w:r>
              <w:rPr>
                <w:szCs w:val="21"/>
              </w:rPr>
              <w:t>2.725</w:t>
            </w:r>
          </w:p>
        </w:tc>
        <w:tc>
          <w:tcPr>
            <w:tcW w:w="1278" w:type="pct"/>
            <w:vAlign w:val="center"/>
          </w:tcPr>
          <w:p>
            <w:pPr>
              <w:spacing w:before="29" w:line="288" w:lineRule="auto"/>
              <w:jc w:val="right"/>
              <w:rPr>
                <w:szCs w:val="21"/>
              </w:rPr>
            </w:pPr>
            <w:r>
              <w:rPr>
                <w:szCs w:val="21"/>
              </w:rPr>
              <w:t>1.820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6,713,594,414.49</w:t>
            </w:r>
          </w:p>
        </w:tc>
        <w:tc>
          <w:tcPr>
            <w:tcW w:w="1297" w:type="pct"/>
            <w:vAlign w:val="center"/>
          </w:tcPr>
          <w:p>
            <w:pPr>
              <w:spacing w:before="29" w:line="288" w:lineRule="auto"/>
              <w:jc w:val="right"/>
              <w:rPr>
                <w:szCs w:val="21"/>
              </w:rPr>
            </w:pPr>
            <w:r>
              <w:rPr>
                <w:szCs w:val="21"/>
              </w:rPr>
              <w:t>3,806,829,219.05</w:t>
            </w:r>
          </w:p>
        </w:tc>
        <w:tc>
          <w:tcPr>
            <w:tcW w:w="1278" w:type="pct"/>
            <w:vAlign w:val="center"/>
          </w:tcPr>
          <w:p>
            <w:pPr>
              <w:spacing w:before="29" w:line="288" w:lineRule="auto"/>
              <w:jc w:val="right"/>
              <w:rPr>
                <w:szCs w:val="21"/>
              </w:rPr>
            </w:pPr>
            <w:r>
              <w:rPr>
                <w:szCs w:val="21"/>
              </w:rPr>
              <w:t>2,761,378,019.34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5.516</w:t>
            </w:r>
          </w:p>
        </w:tc>
        <w:tc>
          <w:tcPr>
            <w:tcW w:w="1297" w:type="pct"/>
            <w:vAlign w:val="center"/>
          </w:tcPr>
          <w:p>
            <w:pPr>
              <w:spacing w:before="29" w:line="288" w:lineRule="auto"/>
              <w:jc w:val="right"/>
              <w:rPr>
                <w:szCs w:val="21"/>
              </w:rPr>
            </w:pPr>
            <w:r>
              <w:rPr>
                <w:szCs w:val="21"/>
              </w:rPr>
              <w:t>4.058</w:t>
            </w:r>
          </w:p>
        </w:tc>
        <w:tc>
          <w:tcPr>
            <w:tcW w:w="1278" w:type="pct"/>
            <w:vAlign w:val="center"/>
          </w:tcPr>
          <w:p>
            <w:pPr>
              <w:spacing w:before="29" w:line="288" w:lineRule="auto"/>
              <w:jc w:val="right"/>
              <w:rPr>
                <w:szCs w:val="21"/>
              </w:rPr>
            </w:pPr>
            <w:r>
              <w:rPr>
                <w:szCs w:val="21"/>
              </w:rPr>
              <w:t>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518.95%</w:t>
            </w:r>
          </w:p>
        </w:tc>
        <w:tc>
          <w:tcPr>
            <w:tcW w:w="1297" w:type="pct"/>
            <w:vAlign w:val="center"/>
          </w:tcPr>
          <w:p>
            <w:pPr>
              <w:spacing w:before="29" w:line="288" w:lineRule="auto"/>
              <w:jc w:val="right"/>
              <w:rPr>
                <w:szCs w:val="21"/>
              </w:rPr>
            </w:pPr>
            <w:r>
              <w:rPr>
                <w:szCs w:val="21"/>
              </w:rPr>
              <w:t>355.35%</w:t>
            </w:r>
          </w:p>
        </w:tc>
        <w:tc>
          <w:tcPr>
            <w:tcW w:w="1278" w:type="pct"/>
            <w:vAlign w:val="center"/>
          </w:tcPr>
          <w:p>
            <w:pPr>
              <w:spacing w:before="29" w:line="288" w:lineRule="auto"/>
              <w:jc w:val="right"/>
              <w:rPr>
                <w:szCs w:val="21"/>
              </w:rPr>
            </w:pPr>
            <w:r>
              <w:rPr>
                <w:szCs w:val="21"/>
              </w:rPr>
              <w:t>253.58%</w:t>
            </w:r>
          </w:p>
        </w:tc>
      </w:tr>
    </w:tbl>
    <w:p>
      <w:pPr>
        <w:tabs>
          <w:tab w:val="left" w:pos="426"/>
        </w:tabs>
        <w:spacing w:before="29" w:line="288" w:lineRule="auto"/>
        <w:jc w:val="left"/>
        <w:rPr>
          <w:kern w:val="0"/>
          <w:sz w:val="24"/>
        </w:rPr>
      </w:pPr>
      <w:r>
        <w:rPr>
          <w:kern w:val="0"/>
          <w:sz w:val="24"/>
        </w:rPr>
        <w:t>注：1、本基金业绩指标不包括持有人认购或交易基金的各项费用，计入费用后的实际</w:t>
      </w:r>
    </w:p>
    <w:p>
      <w:pPr>
        <w:tabs>
          <w:tab w:val="left" w:pos="426"/>
        </w:tabs>
        <w:spacing w:before="29" w:line="288" w:lineRule="auto"/>
        <w:jc w:val="left"/>
        <w:rPr>
          <w:kern w:val="0"/>
          <w:sz w:val="24"/>
        </w:rPr>
      </w:pPr>
      <w:r>
        <w:rPr>
          <w:kern w:val="0"/>
          <w:sz w:val="24"/>
        </w:rPr>
        <w:t>收益水平要低于所列数字；</w:t>
      </w:r>
    </w:p>
    <w:p>
      <w:pPr>
        <w:tabs>
          <w:tab w:val="left" w:pos="426"/>
        </w:tabs>
        <w:spacing w:before="29" w:line="288" w:lineRule="auto"/>
        <w:jc w:val="left"/>
        <w:rPr>
          <w:kern w:val="0"/>
          <w:sz w:val="24"/>
        </w:rPr>
      </w:pPr>
      <w:r>
        <w:rPr>
          <w:kern w:val="0"/>
          <w:sz w:val="24"/>
        </w:rPr>
        <w:t xml:space="preserve">    2、本期已实现收益指基金本期利息收入、投资收益、其他收入（不含公允价值变动收益）扣除相关费用后的余额，本期利润为本期已实现收益加上本期公允价值变动收益；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0" w:name="_Toc225498252"/>
      <w:bookmarkStart w:id="31" w:name="_Toc361324852"/>
      <w:bookmarkStart w:id="32" w:name="_Toc67591732"/>
      <w:r>
        <w:rPr>
          <w:rFonts w:ascii="Times New Roman" w:hAnsi="Times New Roman"/>
          <w:kern w:val="0"/>
          <w:szCs w:val="24"/>
        </w:rPr>
        <w:t xml:space="preserve">3.2 </w:t>
      </w:r>
      <w:r>
        <w:rPr>
          <w:rFonts w:hint="eastAsia" w:ascii="Times New Roman" w:hAnsi="Times New Roman"/>
          <w:kern w:val="0"/>
          <w:szCs w:val="24"/>
        </w:rPr>
        <w:t>基金净值表现</w:t>
      </w:r>
      <w:bookmarkEnd w:id="30"/>
      <w:bookmarkEnd w:id="31"/>
      <w:bookmarkEnd w:id="32"/>
    </w:p>
    <w:p>
      <w:pPr>
        <w:pStyle w:val="3"/>
        <w:spacing w:before="29" w:after="0" w:line="288" w:lineRule="auto"/>
        <w:rPr>
          <w:rFonts w:ascii="Times New Roman" w:hAnsi="Times New Roman"/>
          <w:kern w:val="0"/>
          <w:szCs w:val="24"/>
        </w:rPr>
      </w:pPr>
      <w:bookmarkStart w:id="33" w:name="_Toc67591733"/>
      <w:r>
        <w:rPr>
          <w:rFonts w:ascii="Times New Roman" w:hAnsi="Times New Roman"/>
          <w:kern w:val="0"/>
          <w:szCs w:val="24"/>
        </w:rPr>
        <w:t xml:space="preserve">3.2.1 </w:t>
      </w:r>
      <w:r>
        <w:rPr>
          <w:rFonts w:hint="eastAsia" w:ascii="Times New Roman" w:hAnsi="Times New Roman"/>
          <w:kern w:val="0"/>
          <w:szCs w:val="24"/>
        </w:rPr>
        <w:t>基金份额净值增长率及其与同期业绩比较基准收益率的比较</w:t>
      </w:r>
      <w:bookmarkEnd w:id="33"/>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8.78%</w:t>
            </w:r>
          </w:p>
        </w:tc>
        <w:tc>
          <w:tcPr>
            <w:tcW w:w="1286" w:type="dxa"/>
            <w:vAlign w:val="center"/>
          </w:tcPr>
          <w:p>
            <w:pPr>
              <w:jc w:val="center"/>
            </w:pPr>
            <w:r>
              <w:rPr>
                <w:color w:val="000000"/>
                <w:sz w:val="24"/>
              </w:rPr>
              <w:t>0.89%</w:t>
            </w:r>
          </w:p>
        </w:tc>
        <w:tc>
          <w:tcPr>
            <w:tcW w:w="1285" w:type="dxa"/>
            <w:vAlign w:val="center"/>
          </w:tcPr>
          <w:p>
            <w:pPr>
              <w:jc w:val="center"/>
            </w:pPr>
            <w:r>
              <w:rPr>
                <w:color w:val="000000"/>
                <w:sz w:val="24"/>
              </w:rPr>
              <w:t>8.55%</w:t>
            </w:r>
          </w:p>
        </w:tc>
        <w:tc>
          <w:tcPr>
            <w:tcW w:w="1285" w:type="dxa"/>
            <w:vAlign w:val="center"/>
          </w:tcPr>
          <w:p>
            <w:pPr>
              <w:jc w:val="center"/>
            </w:pPr>
            <w:r>
              <w:rPr>
                <w:color w:val="000000"/>
                <w:sz w:val="24"/>
              </w:rPr>
              <w:t>0.59%</w:t>
            </w:r>
          </w:p>
        </w:tc>
        <w:tc>
          <w:tcPr>
            <w:tcW w:w="1285" w:type="dxa"/>
            <w:vAlign w:val="center"/>
          </w:tcPr>
          <w:p>
            <w:pPr>
              <w:jc w:val="center"/>
            </w:pPr>
            <w:r>
              <w:rPr>
                <w:color w:val="000000"/>
                <w:sz w:val="24"/>
              </w:rPr>
              <w:t>0.23%</w:t>
            </w:r>
          </w:p>
        </w:tc>
        <w:tc>
          <w:tcPr>
            <w:tcW w:w="1285" w:type="dxa"/>
            <w:vAlign w:val="center"/>
          </w:tcPr>
          <w:p>
            <w:pPr>
              <w:jc w:val="center"/>
            </w:pPr>
            <w:r>
              <w:rPr>
                <w:color w:val="000000"/>
                <w:sz w:val="24"/>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19.16%</w:t>
            </w:r>
          </w:p>
        </w:tc>
        <w:tc>
          <w:tcPr>
            <w:tcW w:w="1286" w:type="dxa"/>
            <w:vAlign w:val="center"/>
          </w:tcPr>
          <w:p>
            <w:pPr>
              <w:jc w:val="center"/>
            </w:pPr>
            <w:r>
              <w:rPr>
                <w:color w:val="000000"/>
                <w:sz w:val="24"/>
              </w:rPr>
              <w:t>1.08%</w:t>
            </w:r>
          </w:p>
        </w:tc>
        <w:tc>
          <w:tcPr>
            <w:tcW w:w="1285" w:type="dxa"/>
            <w:vAlign w:val="center"/>
          </w:tcPr>
          <w:p>
            <w:pPr>
              <w:jc w:val="center"/>
            </w:pPr>
            <w:r>
              <w:rPr>
                <w:color w:val="000000"/>
                <w:sz w:val="24"/>
              </w:rPr>
              <w:t>15.02%</w:t>
            </w:r>
          </w:p>
        </w:tc>
        <w:tc>
          <w:tcPr>
            <w:tcW w:w="1285" w:type="dxa"/>
            <w:vAlign w:val="center"/>
          </w:tcPr>
          <w:p>
            <w:pPr>
              <w:jc w:val="center"/>
            </w:pPr>
            <w:r>
              <w:rPr>
                <w:color w:val="000000"/>
                <w:sz w:val="24"/>
              </w:rPr>
              <w:t>0.80%</w:t>
            </w:r>
          </w:p>
        </w:tc>
        <w:tc>
          <w:tcPr>
            <w:tcW w:w="1285" w:type="dxa"/>
            <w:vAlign w:val="center"/>
          </w:tcPr>
          <w:p>
            <w:pPr>
              <w:jc w:val="center"/>
            </w:pPr>
            <w:r>
              <w:rPr>
                <w:color w:val="000000"/>
                <w:sz w:val="24"/>
              </w:rPr>
              <w:t>4.14%</w:t>
            </w:r>
          </w:p>
        </w:tc>
        <w:tc>
          <w:tcPr>
            <w:tcW w:w="1285" w:type="dxa"/>
            <w:vAlign w:val="center"/>
          </w:tcPr>
          <w:p>
            <w:pPr>
              <w:jc w:val="center"/>
            </w:pPr>
            <w:r>
              <w:rPr>
                <w:color w:val="000000"/>
                <w:sz w:val="24"/>
              </w:rPr>
              <w:t>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35.93%</w:t>
            </w:r>
          </w:p>
        </w:tc>
        <w:tc>
          <w:tcPr>
            <w:tcW w:w="1286" w:type="dxa"/>
            <w:vAlign w:val="center"/>
          </w:tcPr>
          <w:p>
            <w:pPr>
              <w:jc w:val="center"/>
            </w:pPr>
            <w:r>
              <w:rPr>
                <w:color w:val="000000"/>
                <w:sz w:val="24"/>
              </w:rPr>
              <w:t>1.12%</w:t>
            </w:r>
          </w:p>
        </w:tc>
        <w:tc>
          <w:tcPr>
            <w:tcW w:w="1285" w:type="dxa"/>
            <w:vAlign w:val="center"/>
          </w:tcPr>
          <w:p>
            <w:pPr>
              <w:jc w:val="center"/>
            </w:pPr>
            <w:r>
              <w:rPr>
                <w:color w:val="000000"/>
                <w:sz w:val="24"/>
              </w:rPr>
              <w:t>17.63%</w:t>
            </w:r>
          </w:p>
        </w:tc>
        <w:tc>
          <w:tcPr>
            <w:tcW w:w="1285" w:type="dxa"/>
            <w:vAlign w:val="center"/>
          </w:tcPr>
          <w:p>
            <w:pPr>
              <w:jc w:val="center"/>
            </w:pPr>
            <w:r>
              <w:rPr>
                <w:color w:val="000000"/>
                <w:sz w:val="24"/>
              </w:rPr>
              <w:t>0.85%</w:t>
            </w:r>
          </w:p>
        </w:tc>
        <w:tc>
          <w:tcPr>
            <w:tcW w:w="1285" w:type="dxa"/>
            <w:vAlign w:val="center"/>
          </w:tcPr>
          <w:p>
            <w:pPr>
              <w:jc w:val="center"/>
            </w:pPr>
            <w:r>
              <w:rPr>
                <w:color w:val="000000"/>
                <w:sz w:val="24"/>
              </w:rPr>
              <w:t>18.30%</w:t>
            </w:r>
          </w:p>
        </w:tc>
        <w:tc>
          <w:tcPr>
            <w:tcW w:w="1285" w:type="dxa"/>
            <w:vAlign w:val="center"/>
          </w:tcPr>
          <w:p>
            <w:pPr>
              <w:jc w:val="center"/>
            </w:pPr>
            <w:r>
              <w:rPr>
                <w:color w:val="000000"/>
                <w:sz w:val="24"/>
              </w:rPr>
              <w:t>0.27%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过去三年</w:t>
            </w:r>
          </w:p>
        </w:tc>
        <w:tc>
          <w:tcPr>
            <w:tcW w:w="1286" w:type="dxa"/>
            <w:vAlign w:val="center"/>
          </w:tcPr>
          <w:p>
            <w:pPr>
              <w:jc w:val="center"/>
            </w:pPr>
            <w:r>
              <w:rPr>
                <w:color w:val="000000"/>
                <w:sz w:val="24"/>
              </w:rPr>
              <w:t>96.23%</w:t>
            </w:r>
          </w:p>
        </w:tc>
        <w:tc>
          <w:tcPr>
            <w:tcW w:w="1286" w:type="dxa"/>
            <w:vAlign w:val="center"/>
          </w:tcPr>
          <w:p>
            <w:pPr>
              <w:jc w:val="center"/>
            </w:pPr>
            <w:r>
              <w:rPr>
                <w:color w:val="000000"/>
                <w:sz w:val="24"/>
              </w:rPr>
              <w:t>1.22%</w:t>
            </w:r>
          </w:p>
        </w:tc>
        <w:tc>
          <w:tcPr>
            <w:tcW w:w="1285" w:type="dxa"/>
            <w:vAlign w:val="center"/>
          </w:tcPr>
          <w:p>
            <w:pPr>
              <w:jc w:val="center"/>
            </w:pPr>
            <w:r>
              <w:rPr>
                <w:color w:val="000000"/>
                <w:sz w:val="24"/>
              </w:rPr>
              <w:t>26.08%</w:t>
            </w:r>
          </w:p>
        </w:tc>
        <w:tc>
          <w:tcPr>
            <w:tcW w:w="1285" w:type="dxa"/>
            <w:vAlign w:val="center"/>
          </w:tcPr>
          <w:p>
            <w:pPr>
              <w:jc w:val="center"/>
            </w:pPr>
            <w:r>
              <w:rPr>
                <w:color w:val="000000"/>
                <w:sz w:val="24"/>
              </w:rPr>
              <w:t>0.80%</w:t>
            </w:r>
          </w:p>
        </w:tc>
        <w:tc>
          <w:tcPr>
            <w:tcW w:w="1285" w:type="dxa"/>
            <w:vAlign w:val="center"/>
          </w:tcPr>
          <w:p>
            <w:pPr>
              <w:jc w:val="center"/>
            </w:pPr>
            <w:r>
              <w:rPr>
                <w:color w:val="000000"/>
                <w:sz w:val="24"/>
              </w:rPr>
              <w:t>70.15%</w:t>
            </w:r>
          </w:p>
        </w:tc>
        <w:tc>
          <w:tcPr>
            <w:tcW w:w="1285" w:type="dxa"/>
            <w:vAlign w:val="center"/>
          </w:tcPr>
          <w:p>
            <w:pPr>
              <w:jc w:val="center"/>
            </w:pPr>
            <w:r>
              <w:rPr>
                <w:color w:val="000000"/>
                <w:sz w:val="24"/>
              </w:rPr>
              <w:t>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过去五年</w:t>
            </w:r>
          </w:p>
        </w:tc>
        <w:tc>
          <w:tcPr>
            <w:tcW w:w="1286" w:type="dxa"/>
            <w:vAlign w:val="center"/>
          </w:tcPr>
          <w:p>
            <w:pPr>
              <w:jc w:val="center"/>
            </w:pPr>
            <w:r>
              <w:rPr>
                <w:color w:val="000000"/>
                <w:sz w:val="24"/>
              </w:rPr>
              <w:t>127.55%</w:t>
            </w:r>
          </w:p>
        </w:tc>
        <w:tc>
          <w:tcPr>
            <w:tcW w:w="1286" w:type="dxa"/>
            <w:vAlign w:val="center"/>
          </w:tcPr>
          <w:p>
            <w:pPr>
              <w:jc w:val="center"/>
            </w:pPr>
            <w:r>
              <w:rPr>
                <w:color w:val="000000"/>
                <w:sz w:val="24"/>
              </w:rPr>
              <w:t>1.20%</w:t>
            </w:r>
          </w:p>
        </w:tc>
        <w:tc>
          <w:tcPr>
            <w:tcW w:w="1285" w:type="dxa"/>
            <w:vAlign w:val="center"/>
          </w:tcPr>
          <w:p>
            <w:pPr>
              <w:jc w:val="center"/>
            </w:pPr>
            <w:r>
              <w:rPr>
                <w:color w:val="000000"/>
                <w:sz w:val="24"/>
              </w:rPr>
              <w:t>34.27%</w:t>
            </w:r>
          </w:p>
        </w:tc>
        <w:tc>
          <w:tcPr>
            <w:tcW w:w="1285" w:type="dxa"/>
            <w:vAlign w:val="center"/>
          </w:tcPr>
          <w:p>
            <w:pPr>
              <w:jc w:val="center"/>
            </w:pPr>
            <w:r>
              <w:rPr>
                <w:color w:val="000000"/>
                <w:sz w:val="24"/>
              </w:rPr>
              <w:t>0.75%</w:t>
            </w:r>
          </w:p>
        </w:tc>
        <w:tc>
          <w:tcPr>
            <w:tcW w:w="1285" w:type="dxa"/>
            <w:vAlign w:val="center"/>
          </w:tcPr>
          <w:p>
            <w:pPr>
              <w:jc w:val="center"/>
            </w:pPr>
            <w:r>
              <w:rPr>
                <w:color w:val="000000"/>
                <w:sz w:val="24"/>
              </w:rPr>
              <w:t>93.28%</w:t>
            </w:r>
          </w:p>
        </w:tc>
        <w:tc>
          <w:tcPr>
            <w:tcW w:w="1285" w:type="dxa"/>
            <w:vAlign w:val="center"/>
          </w:tcPr>
          <w:p>
            <w:pPr>
              <w:jc w:val="center"/>
            </w:pPr>
            <w:r>
              <w:rPr>
                <w:color w:val="000000"/>
                <w:sz w:val="24"/>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自基金转型起至今</w:t>
            </w:r>
          </w:p>
        </w:tc>
        <w:tc>
          <w:tcPr>
            <w:tcW w:w="1286" w:type="dxa"/>
            <w:vAlign w:val="center"/>
          </w:tcPr>
          <w:p>
            <w:pPr>
              <w:jc w:val="center"/>
            </w:pPr>
            <w:r>
              <w:rPr>
                <w:color w:val="000000"/>
                <w:sz w:val="24"/>
              </w:rPr>
              <w:t>518.95%</w:t>
            </w:r>
          </w:p>
        </w:tc>
        <w:tc>
          <w:tcPr>
            <w:tcW w:w="1286" w:type="dxa"/>
            <w:vAlign w:val="center"/>
          </w:tcPr>
          <w:p>
            <w:pPr>
              <w:jc w:val="center"/>
            </w:pPr>
            <w:r>
              <w:rPr>
                <w:color w:val="000000"/>
                <w:sz w:val="24"/>
              </w:rPr>
              <w:t>1.28%</w:t>
            </w:r>
          </w:p>
        </w:tc>
        <w:tc>
          <w:tcPr>
            <w:tcW w:w="1285" w:type="dxa"/>
            <w:vAlign w:val="center"/>
          </w:tcPr>
          <w:p>
            <w:pPr>
              <w:jc w:val="center"/>
            </w:pPr>
            <w:r>
              <w:rPr>
                <w:color w:val="000000"/>
                <w:sz w:val="24"/>
              </w:rPr>
              <w:t>91.70%</w:t>
            </w:r>
          </w:p>
        </w:tc>
        <w:tc>
          <w:tcPr>
            <w:tcW w:w="1285" w:type="dxa"/>
            <w:vAlign w:val="center"/>
          </w:tcPr>
          <w:p>
            <w:pPr>
              <w:jc w:val="center"/>
            </w:pPr>
            <w:r>
              <w:rPr>
                <w:color w:val="000000"/>
                <w:sz w:val="24"/>
              </w:rPr>
              <w:t>0.87%</w:t>
            </w:r>
          </w:p>
        </w:tc>
        <w:tc>
          <w:tcPr>
            <w:tcW w:w="1285" w:type="dxa"/>
            <w:vAlign w:val="center"/>
          </w:tcPr>
          <w:p>
            <w:pPr>
              <w:jc w:val="center"/>
            </w:pPr>
            <w:r>
              <w:rPr>
                <w:color w:val="000000"/>
                <w:sz w:val="24"/>
              </w:rPr>
              <w:t>427.25%</w:t>
            </w:r>
          </w:p>
        </w:tc>
        <w:tc>
          <w:tcPr>
            <w:tcW w:w="1285" w:type="dxa"/>
            <w:vAlign w:val="center"/>
          </w:tcPr>
          <w:p>
            <w:pPr>
              <w:jc w:val="center"/>
            </w:pPr>
            <w:r>
              <w:rPr>
                <w:color w:val="000000"/>
                <w:sz w:val="24"/>
              </w:rPr>
              <w:t>0.41%</w:t>
            </w:r>
          </w:p>
        </w:tc>
      </w:tr>
    </w:tbl>
    <w:p>
      <w:pPr>
        <w:tabs>
          <w:tab w:val="left" w:pos="426"/>
        </w:tabs>
        <w:spacing w:before="29" w:line="288" w:lineRule="auto"/>
        <w:jc w:val="left"/>
        <w:rPr>
          <w:rFonts w:asciiTheme="minorEastAsia" w:hAnsiTheme="minorEastAsia" w:eastAsiaTheme="minorEastAsia"/>
          <w:szCs w:val="21"/>
        </w:rPr>
      </w:pPr>
      <w:r>
        <w:rPr>
          <w:kern w:val="0"/>
          <w:sz w:val="24"/>
        </w:rPr>
        <w:t>注：1、交银施罗德保本混合型证券投资基金从2012年2月3日起正式转型为交银施罗德优势行业灵活配置混合型证券投资基金，本表列示的是基金转型后的基金净值表现。</w:t>
      </w:r>
    </w:p>
    <w:p>
      <w:pPr>
        <w:tabs>
          <w:tab w:val="left" w:pos="426"/>
        </w:tabs>
        <w:spacing w:before="29" w:line="288" w:lineRule="auto"/>
        <w:jc w:val="left"/>
        <w:rPr>
          <w:rFonts w:asciiTheme="minorEastAsia" w:hAnsiTheme="minorEastAsia" w:eastAsiaTheme="minorEastAsia"/>
          <w:szCs w:val="21"/>
        </w:rPr>
      </w:pPr>
      <w:r>
        <w:rPr>
          <w:kern w:val="0"/>
          <w:sz w:val="24"/>
        </w:rPr>
        <w:t xml:space="preserve">    2、本基金业绩比较基准自2015年10月1日起，由“60%×沪深300指数收益率+40%×中信标普全债指数收益率”变更为“60%×沪深300指数收益率+40%×中证综合债券指数收益率”，3.2.2和3.2.3同。详情见本基金管理人于2015年9月28日发布的《交银施罗德基金管理有限公司关于旗下部分基金业绩比较基准变更并修改基金合同相关内容的公告》。</w:t>
      </w:r>
    </w:p>
    <w:p>
      <w:pPr>
        <w:tabs>
          <w:tab w:val="left" w:pos="426"/>
        </w:tabs>
        <w:spacing w:before="29" w:line="288" w:lineRule="auto"/>
        <w:jc w:val="left"/>
        <w:rPr>
          <w:rFonts w:asciiTheme="minorEastAsia" w:hAnsiTheme="minorEastAsia" w:eastAsiaTheme="minorEastAsia"/>
          <w:szCs w:val="21"/>
        </w:rPr>
      </w:pPr>
      <w:r>
        <w:rPr>
          <w:kern w:val="0"/>
          <w:sz w:val="24"/>
        </w:rPr>
        <w:t xml:space="preserve">    3、本基金的业绩比较基准每日进行再平衡过程。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自基金转型以来基金份额累计净值增长率变动及其与同期业绩比较基准收益率变动的比较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由交银施罗德保本混合型证券投资基金转型而来。基金转型日为2012年2月3日。本基金的投资转型期为交银施罗德保本混合型证券投资基金保本周期到期选择期截止日次日（即2012年2月3日）起的3个月。截至投资转型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4" w:name="_Toc249760033"/>
      <w:bookmarkStart w:id="35" w:name="_Toc361324853"/>
      <w:bookmarkStart w:id="36" w:name="_Toc67591734"/>
      <w:r>
        <w:rPr>
          <w:rFonts w:ascii="Times New Roman" w:hAnsi="Times New Roman"/>
          <w:kern w:val="0"/>
          <w:szCs w:val="24"/>
        </w:rPr>
        <w:t>3.3</w:t>
      </w:r>
      <w:r>
        <w:rPr>
          <w:rFonts w:hint="eastAsia" w:ascii="Times New Roman" w:hAnsi="Times New Roman"/>
          <w:kern w:val="0"/>
          <w:szCs w:val="24"/>
        </w:rPr>
        <w:t>过去三年基金的利润分配情况</w:t>
      </w:r>
      <w:bookmarkEnd w:id="34"/>
      <w:bookmarkEnd w:id="35"/>
      <w:bookmarkEnd w:id="36"/>
    </w:p>
    <w:p>
      <w:pPr>
        <w:pStyle w:val="4"/>
        <w:spacing w:line="360" w:lineRule="auto"/>
        <w:ind w:firstLine="480"/>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7" w:name="_Toc225498254"/>
      <w:bookmarkStart w:id="38" w:name="_Toc361324854"/>
      <w:bookmarkStart w:id="39" w:name="_Toc67591735"/>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0" w:name="_Toc361324855"/>
      <w:bookmarkStart w:id="41" w:name="_Toc67591736"/>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0"/>
      <w:bookmarkEnd w:id="41"/>
    </w:p>
    <w:p>
      <w:pPr>
        <w:pStyle w:val="3"/>
        <w:spacing w:before="29" w:after="0" w:line="288" w:lineRule="auto"/>
        <w:rPr>
          <w:rFonts w:ascii="Times New Roman" w:hAnsi="Times New Roman"/>
          <w:kern w:val="0"/>
          <w:szCs w:val="24"/>
        </w:rPr>
      </w:pPr>
      <w:bookmarkStart w:id="42" w:name="_Toc67591737"/>
      <w:r>
        <w:rPr>
          <w:rFonts w:ascii="Times New Roman" w:hAnsi="Times New Roman"/>
          <w:kern w:val="0"/>
          <w:szCs w:val="24"/>
        </w:rPr>
        <w:t>4.1.1</w:t>
      </w:r>
      <w:r>
        <w:rPr>
          <w:rFonts w:hint="eastAsia" w:ascii="Times New Roman" w:hAnsi="Times New Roman"/>
          <w:kern w:val="0"/>
          <w:szCs w:val="24"/>
        </w:rPr>
        <w:t>基金管理人及其管理基金的经验</w:t>
      </w:r>
      <w:bookmarkEnd w:id="42"/>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3" w:name="_Toc67591738"/>
      <w:r>
        <w:rPr>
          <w:rFonts w:ascii="Times New Roman" w:hAnsi="Times New Roman"/>
          <w:kern w:val="0"/>
          <w:szCs w:val="24"/>
        </w:rPr>
        <w:t>4.1.2</w:t>
      </w:r>
      <w:r>
        <w:rPr>
          <w:rFonts w:hint="eastAsia" w:ascii="Times New Roman" w:hAnsi="Times New Roman"/>
          <w:kern w:val="0"/>
          <w:szCs w:val="24"/>
        </w:rPr>
        <w:t>基金经理（或基金经理小组）及基金经理助理的简介</w:t>
      </w:r>
      <w:bookmarkEnd w:id="4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何帅</w:t>
            </w:r>
          </w:p>
        </w:tc>
        <w:tc>
          <w:tcPr>
            <w:tcW w:w="1416" w:type="dxa"/>
            <w:vAlign w:val="center"/>
          </w:tcPr>
          <w:p>
            <w:pPr>
              <w:jc w:val="center"/>
            </w:pPr>
            <w:r>
              <w:rPr>
                <w:color w:val="000000"/>
                <w:sz w:val="24"/>
              </w:rPr>
              <w:t>交银优势行业混合、交银阿尔法核心混合、交银持续成长主题混合的基金经理</w:t>
            </w:r>
          </w:p>
        </w:tc>
        <w:tc>
          <w:tcPr>
            <w:tcW w:w="1238" w:type="dxa"/>
            <w:vAlign w:val="center"/>
          </w:tcPr>
          <w:p>
            <w:pPr>
              <w:jc w:val="center"/>
            </w:pPr>
            <w:r>
              <w:rPr>
                <w:color w:val="000000"/>
                <w:sz w:val="24"/>
              </w:rPr>
              <w:t>2015-07-09</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10年</w:t>
            </w:r>
          </w:p>
        </w:tc>
        <w:tc>
          <w:tcPr>
            <w:tcW w:w="3040" w:type="dxa"/>
            <w:vAlign w:val="center"/>
          </w:tcPr>
          <w:p>
            <w:r>
              <w:rPr>
                <w:color w:val="000000"/>
                <w:sz w:val="24"/>
              </w:rPr>
              <w:t>何帅先生，上海财经大学硕士。历任国联安基金管理有限公司研究员。2012年加入交银施罗德基金管理有限公司，历任行业分析师。</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 xml:space="preserve">2、本表所列基金经理（助理）证券从业年限中的“证券从业”的含义遵从中国证券业协会《证券业从业人员资格管理办法》的相关规定； </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4" w:name="_Toc225498256"/>
      <w:bookmarkStart w:id="45" w:name="_Toc361324856"/>
      <w:bookmarkStart w:id="46" w:name="_Toc67591739"/>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4"/>
      <w:bookmarkEnd w:id="45"/>
      <w:bookmarkEnd w:id="46"/>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7" w:name="_Toc225498257"/>
      <w:bookmarkStart w:id="48" w:name="_Toc361324857"/>
      <w:bookmarkStart w:id="49" w:name="_Toc67591740"/>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7"/>
      <w:bookmarkEnd w:id="48"/>
      <w:bookmarkEnd w:id="49"/>
    </w:p>
    <w:p>
      <w:pPr>
        <w:pStyle w:val="3"/>
        <w:spacing w:before="29" w:after="0" w:line="288" w:lineRule="auto"/>
        <w:rPr>
          <w:rFonts w:ascii="Times New Roman" w:hAnsi="Times New Roman"/>
          <w:kern w:val="0"/>
          <w:szCs w:val="24"/>
        </w:rPr>
      </w:pPr>
      <w:bookmarkStart w:id="50" w:name="_Toc67591741"/>
      <w:r>
        <w:rPr>
          <w:rFonts w:ascii="Times New Roman" w:hAnsi="Times New Roman"/>
          <w:kern w:val="0"/>
          <w:szCs w:val="24"/>
        </w:rPr>
        <w:t>4.3.1</w:t>
      </w:r>
      <w:r>
        <w:rPr>
          <w:rFonts w:hint="eastAsia" w:ascii="Times New Roman" w:hAnsi="Times New Roman"/>
          <w:kern w:val="0"/>
          <w:szCs w:val="24"/>
        </w:rPr>
        <w:t>公平交易制度和控制方法</w:t>
      </w:r>
      <w:bookmarkEnd w:id="50"/>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1" w:name="_Toc67591742"/>
      <w:r>
        <w:rPr>
          <w:rFonts w:ascii="Times New Roman" w:hAnsi="Times New Roman"/>
          <w:kern w:val="0"/>
          <w:szCs w:val="24"/>
        </w:rPr>
        <w:t>4.3.2</w:t>
      </w:r>
      <w:r>
        <w:rPr>
          <w:rFonts w:hint="eastAsia" w:ascii="Times New Roman" w:hAnsi="Times New Roman"/>
          <w:kern w:val="0"/>
          <w:szCs w:val="24"/>
        </w:rPr>
        <w:t>公平交易制度的执行情况</w:t>
      </w:r>
      <w:bookmarkEnd w:id="51"/>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2" w:name="_Toc67591743"/>
      <w:r>
        <w:rPr>
          <w:rFonts w:ascii="Times New Roman" w:hAnsi="Times New Roman"/>
          <w:kern w:val="0"/>
          <w:szCs w:val="24"/>
        </w:rPr>
        <w:t>4.3.3</w:t>
      </w:r>
      <w:r>
        <w:rPr>
          <w:rFonts w:hint="eastAsia" w:ascii="Times New Roman" w:hAnsi="Times New Roman"/>
          <w:kern w:val="0"/>
          <w:szCs w:val="24"/>
        </w:rPr>
        <w:t>异常交易行为的专项说明</w:t>
      </w:r>
      <w:bookmarkEnd w:id="52"/>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3" w:name="_Toc225498258"/>
      <w:bookmarkStart w:id="54" w:name="_Toc361324858"/>
      <w:bookmarkStart w:id="55" w:name="_Toc67591744"/>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53"/>
      <w:bookmarkEnd w:id="54"/>
      <w:bookmarkEnd w:id="55"/>
    </w:p>
    <w:p>
      <w:pPr>
        <w:pStyle w:val="3"/>
        <w:spacing w:before="29" w:after="0" w:line="288" w:lineRule="auto"/>
        <w:rPr>
          <w:rFonts w:ascii="Times New Roman" w:hAnsi="Times New Roman"/>
          <w:kern w:val="0"/>
          <w:szCs w:val="24"/>
        </w:rPr>
      </w:pPr>
      <w:bookmarkStart w:id="56" w:name="_Toc67591745"/>
      <w:r>
        <w:rPr>
          <w:rFonts w:ascii="Times New Roman" w:hAnsi="Times New Roman"/>
          <w:kern w:val="0"/>
          <w:szCs w:val="24"/>
        </w:rPr>
        <w:t>4.4.1</w:t>
      </w:r>
      <w:r>
        <w:rPr>
          <w:rFonts w:hint="eastAsia" w:ascii="Times New Roman" w:hAnsi="Times New Roman"/>
          <w:kern w:val="0"/>
          <w:szCs w:val="24"/>
        </w:rPr>
        <w:t>报告期内基金投资策略和运作分析</w:t>
      </w:r>
      <w:bookmarkEnd w:id="56"/>
    </w:p>
    <w:p>
      <w:pPr>
        <w:spacing w:before="29" w:line="288" w:lineRule="auto"/>
        <w:ind w:firstLine="480" w:firstLineChars="200"/>
        <w:rPr>
          <w:color w:val="000000"/>
          <w:sz w:val="24"/>
        </w:rPr>
      </w:pPr>
      <w:r>
        <w:rPr>
          <w:color w:val="000000"/>
          <w:sz w:val="24"/>
        </w:rPr>
        <w:t>2020年本基金收益率35.93%，从现任基金经理管理至</w:t>
      </w:r>
      <w:r>
        <w:rPr>
          <w:rFonts w:hint="eastAsia"/>
          <w:color w:val="000000"/>
          <w:sz w:val="24"/>
        </w:rPr>
        <w:t>2</w:t>
      </w:r>
      <w:r>
        <w:rPr>
          <w:color w:val="000000"/>
          <w:sz w:val="24"/>
        </w:rPr>
        <w:t>020年年底，年复合收益率23.81%。绝对收益的框架主要由两部分组成，第一个是能力圈，是对公司未来现金流的预测能力；第二个是安全边际，希望相关投资标的具有价格优势的同时具备容错空间。虽然本基金2020年仍获得了一定的绝对回报，但相对于同类基金的收益率并不理想。分析其中原因，主要是我们的投资框架对于估值较为重视，希望找到比较充分的安全边际，这限制了我们的视野和持股周期。组合配置上以相对低估的低估值公司为主，而对于高品质的企业及高景气度的机会配置较少。其中，房地产行业的投资对于</w:t>
      </w:r>
      <w:r>
        <w:rPr>
          <w:rFonts w:hint="eastAsia"/>
          <w:color w:val="000000"/>
          <w:sz w:val="24"/>
        </w:rPr>
        <w:t>2</w:t>
      </w:r>
      <w:r>
        <w:rPr>
          <w:color w:val="000000"/>
          <w:sz w:val="24"/>
        </w:rPr>
        <w:t>020年业绩拖累明显。原因是我们研究了不少经历了20多年的市场化竞争从而发展起来的龙头房企，公司文化和激励稳健积极，从企业家到管理团队优秀且稳定，并且在经历了多轮周期后依然持续地发展，所以我们首先是选择优秀的公司和团队。其次,更重要的原因是价格，不少房企都是明显低估的。所以房地产行业投资并不是“破圈”，仍然是基于明确绝对收益框架下的选择。但利率下行的市场并未过多关注价值低估型的标的，而是更关注长期确定性和远期现金流空间，从而影响了组合的投资业绩。</w:t>
      </w:r>
    </w:p>
    <w:p>
      <w:pPr>
        <w:spacing w:before="29" w:line="288" w:lineRule="auto"/>
        <w:ind w:firstLine="480" w:firstLineChars="200"/>
        <w:rPr>
          <w:color w:val="000000"/>
          <w:sz w:val="24"/>
        </w:rPr>
      </w:pPr>
      <w:r>
        <w:rPr>
          <w:color w:val="000000"/>
          <w:sz w:val="24"/>
        </w:rPr>
        <w:t>过去一年显然是我们不断反思并完善投资框架非常好的机会。</w:t>
      </w:r>
    </w:p>
    <w:p>
      <w:pPr>
        <w:spacing w:line="360" w:lineRule="auto"/>
        <w:ind w:firstLine="420" w:firstLineChars="200"/>
        <w:rPr>
          <w:rFonts w:asciiTheme="minorEastAsia" w:hAnsiTheme="minorEastAsia" w:eastAsiaTheme="minorEastAsia"/>
          <w:kern w:val="0"/>
          <w:szCs w:val="21"/>
        </w:rPr>
      </w:pPr>
    </w:p>
    <w:p>
      <w:pPr>
        <w:pStyle w:val="3"/>
        <w:spacing w:before="29" w:after="0" w:line="288" w:lineRule="auto"/>
        <w:rPr>
          <w:rFonts w:ascii="Times New Roman" w:hAnsi="Times New Roman"/>
          <w:kern w:val="0"/>
          <w:szCs w:val="24"/>
        </w:rPr>
      </w:pPr>
      <w:bookmarkStart w:id="57" w:name="_Toc67591746"/>
      <w:r>
        <w:rPr>
          <w:rFonts w:ascii="Times New Roman" w:hAnsi="Times New Roman"/>
          <w:kern w:val="0"/>
          <w:szCs w:val="24"/>
        </w:rPr>
        <w:t>4.4.2</w:t>
      </w:r>
      <w:r>
        <w:rPr>
          <w:rFonts w:hint="eastAsia" w:ascii="Times New Roman" w:hAnsi="Times New Roman"/>
          <w:kern w:val="0"/>
          <w:szCs w:val="24"/>
        </w:rPr>
        <w:t>报告期内基金的业绩表现</w:t>
      </w:r>
      <w:bookmarkEnd w:id="57"/>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8" w:name="_Toc361324859"/>
      <w:bookmarkStart w:id="59" w:name="_Toc225498259"/>
      <w:bookmarkStart w:id="60" w:name="_Toc67591747"/>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8"/>
      <w:bookmarkEnd w:id="59"/>
      <w:bookmarkEnd w:id="60"/>
    </w:p>
    <w:p>
      <w:pPr>
        <w:spacing w:before="29" w:line="288" w:lineRule="auto"/>
        <w:ind w:firstLine="480" w:firstLineChars="200"/>
        <w:rPr>
          <w:color w:val="000000"/>
          <w:sz w:val="24"/>
        </w:rPr>
      </w:pPr>
      <w:r>
        <w:rPr>
          <w:color w:val="000000"/>
          <w:sz w:val="24"/>
        </w:rPr>
        <w:t>展望2021年，我们有如下的一些改变和想法。投资框架上，首先我们将更加偏向于标的质量。例如，投资决策的配比可能是从“要求80分以上的质量配合90分以上的价格，逐渐转向到90分以上的质量可以接受80分的价格”，但我们依然会坚守安全边际，不会接受“60分”以下的价格。其次，过去我们组合中有较多细分行业龙头，这些利基行业的基本面影响因素较少，公司相对竞争优势明显，通常能够规避经济周期，配合合理的价格，我们初衷是追求“稳稳的幸福”，但随着基金规模的上升和集中度提高，未来对“主流市场”存在的机会我们也会更加关注，当然组合可能也要面对更多宏观的影响。</w:t>
      </w:r>
    </w:p>
    <w:p>
      <w:pPr>
        <w:spacing w:before="29" w:line="288" w:lineRule="auto"/>
        <w:ind w:firstLine="480" w:firstLineChars="200"/>
        <w:rPr>
          <w:color w:val="000000"/>
          <w:sz w:val="24"/>
        </w:rPr>
      </w:pPr>
      <w:r>
        <w:rPr>
          <w:color w:val="000000"/>
          <w:sz w:val="24"/>
        </w:rPr>
        <w:t>2021年我们有三个看好的方向：第一，我们定义2020年可能是新能源车的元年，新能源车不再依靠补贴或牌照红利吸引消费者，而是通过提升智能化水平和改善驾驶体验来真正打动消费者，靠产品本身扩展消费群体，猜想未来，随着新能源车的普及，类似自动驾驶算法、充电桩配套等也会加快补充，使得产品体验实现正向循环。但大家都看好的趋势也会使得竞争非常激烈，像100年前的汽油车，只有在相应环节具有明显竞争优势的公司，才能维持高利润率并且享受行业增长。第二，消费行为将呈现出“哑铃型”状态，在高客单价领域大家更愿意为优秀的产品和服务支付溢价，而另一边低客单价领域，消费行为将呈现更多的随机性和趣味性，这可能会打破原有渠道和品牌的份额。相比前者，我们会更关注第二种消费习惯的变化。第三，也是我们最看好的一个趋势，就是国内大量企业在全球化的分工中，将从成本领先逐渐升级到技术领先，我们发现这种升级的机会往往需要一种行业层面的巨大变化来支持，例如新能源车对国内汽车产业链的推动、华为事件对电子产业链的推动、甚至是大分子药对于国内创新药产业链的推动。这种弯道超车的背后，是这些公司依然还在</w:t>
      </w:r>
      <w:r>
        <w:rPr>
          <w:rFonts w:hint="eastAsia"/>
          <w:color w:val="000000"/>
          <w:sz w:val="24"/>
        </w:rPr>
        <w:t>第一代或者第二代</w:t>
      </w:r>
      <w:r>
        <w:rPr>
          <w:color w:val="000000"/>
          <w:sz w:val="24"/>
        </w:rPr>
        <w:t>企业家的管理之下，他们面对变化更加积极进取，并且敢于投入研发和扩张产能。</w:t>
      </w:r>
    </w:p>
    <w:p>
      <w:pPr>
        <w:spacing w:before="29" w:line="288" w:lineRule="auto"/>
        <w:ind w:firstLine="480" w:firstLineChars="200"/>
        <w:rPr>
          <w:color w:val="000000"/>
          <w:sz w:val="24"/>
        </w:rPr>
      </w:pPr>
      <w:r>
        <w:rPr>
          <w:color w:val="000000"/>
          <w:sz w:val="24"/>
        </w:rPr>
        <w:t>最后想再谈谈我们的基金产品观。每个基金经理都有自己的投资风格，但无论保守还是激进，对于基金份额持有人而言丰厚的基金收益率一定是要通过长期持有才能实现。</w:t>
      </w:r>
      <w:r>
        <w:rPr>
          <w:rFonts w:hint="eastAsia"/>
          <w:color w:val="000000"/>
          <w:sz w:val="24"/>
        </w:rPr>
        <w:t>我们的偏好是</w:t>
      </w:r>
      <w:r>
        <w:rPr>
          <w:color w:val="000000"/>
          <w:sz w:val="24"/>
        </w:rPr>
        <w:t>尽力减少大幅回撤的可能，并在思考运作的产品能否使持有人不用担心净值的大幅波动，不用时常想着“高抛低吸”，而是稳定、长期的持有或者定投，追求多年之后可能会获得的丰厚回报。在此非常感谢基金份额持有人的耐心和信任，希望通过我们的努力，持续为持有人创造长期稳定的超额收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1" w:name="_Toc67591748"/>
      <w:bookmarkStart w:id="62" w:name="_Toc361324860"/>
      <w:bookmarkStart w:id="63" w:name="_Toc245801806"/>
      <w:bookmarkStart w:id="64" w:name="_Toc247959456"/>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61"/>
      <w:bookmarkEnd w:id="62"/>
      <w:bookmarkEnd w:id="63"/>
      <w:bookmarkEnd w:id="64"/>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591749"/>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65"/>
      <w:bookmarkEnd w:id="66"/>
      <w:bookmarkEnd w:id="67"/>
      <w:bookmarkEnd w:id="68"/>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591750"/>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69"/>
      <w:bookmarkEnd w:id="70"/>
      <w:bookmarkEnd w:id="71"/>
      <w:bookmarkEnd w:id="72"/>
      <w:bookmarkEnd w:id="73"/>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74" w:name="_Toc67591751"/>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74"/>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75" w:name="_Toc225498263"/>
      <w:bookmarkStart w:id="76" w:name="_Toc361324864"/>
      <w:bookmarkStart w:id="77" w:name="_Toc67591752"/>
      <w:r>
        <w:rPr>
          <w:rFonts w:hint="eastAsia"/>
          <w:b/>
          <w:bCs/>
          <w:szCs w:val="24"/>
          <w:lang w:val="en-US"/>
        </w:rPr>
        <w:t>§</w:t>
      </w:r>
      <w:r>
        <w:rPr>
          <w:b/>
          <w:bCs/>
          <w:szCs w:val="24"/>
          <w:lang w:val="en-US"/>
        </w:rPr>
        <w:t xml:space="preserve">5  </w:t>
      </w:r>
      <w:r>
        <w:rPr>
          <w:rFonts w:hint="eastAsia"/>
          <w:b/>
          <w:bCs/>
          <w:szCs w:val="24"/>
          <w:lang w:val="en-US"/>
        </w:rPr>
        <w:t>托管人报告</w:t>
      </w:r>
      <w:bookmarkEnd w:id="75"/>
      <w:bookmarkEnd w:id="76"/>
      <w:bookmarkEnd w:id="77"/>
    </w:p>
    <w:p/>
    <w:p>
      <w:pPr>
        <w:pStyle w:val="3"/>
        <w:spacing w:before="29" w:after="0" w:line="288" w:lineRule="auto"/>
        <w:rPr>
          <w:rFonts w:ascii="Times New Roman" w:hAnsi="Times New Roman"/>
          <w:kern w:val="0"/>
          <w:szCs w:val="24"/>
        </w:rPr>
      </w:pPr>
      <w:bookmarkStart w:id="78" w:name="_Toc225498264"/>
      <w:bookmarkStart w:id="79" w:name="_Toc361324865"/>
      <w:bookmarkStart w:id="80" w:name="_Toc67591753"/>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8"/>
      <w:bookmarkEnd w:id="79"/>
      <w:bookmarkEnd w:id="80"/>
    </w:p>
    <w:p>
      <w:pPr>
        <w:spacing w:before="29" w:line="288" w:lineRule="auto"/>
        <w:ind w:firstLine="480" w:firstLineChars="200"/>
        <w:rPr>
          <w:color w:val="000000"/>
          <w:sz w:val="24"/>
        </w:rPr>
      </w:pPr>
      <w:r>
        <w:rPr>
          <w:color w:val="000000"/>
          <w:sz w:val="24"/>
        </w:rPr>
        <w:t>本报告期内，本基金托管人在对交银施罗德优势行业灵活配置混合型证券投资基金的托管过程中，严格遵守《</w:t>
      </w:r>
      <w:r>
        <w:rPr>
          <w:rFonts w:hint="eastAsia"/>
          <w:color w:val="000000"/>
          <w:sz w:val="24"/>
        </w:rPr>
        <w:t>中华人民共和国证券投资基金法</w:t>
      </w:r>
      <w:r>
        <w:rPr>
          <w:color w:val="000000"/>
          <w:sz w:val="24"/>
        </w:rPr>
        <w:t>》及其他法律法规和基金合同的有关规定，不存在任何损害基金份额持有人利益的行为，完全尽职尽责地履行了基金托管人应尽的义务。</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1" w:name="_Toc225498265"/>
      <w:bookmarkStart w:id="82" w:name="_Toc361324866"/>
      <w:bookmarkStart w:id="83" w:name="_Toc67591754"/>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81"/>
      <w:r>
        <w:rPr>
          <w:rFonts w:hint="eastAsia" w:ascii="Times New Roman" w:hAnsi="Times New Roman"/>
          <w:kern w:val="0"/>
          <w:szCs w:val="24"/>
        </w:rPr>
        <w:t>说明</w:t>
      </w:r>
      <w:bookmarkEnd w:id="82"/>
      <w:bookmarkEnd w:id="83"/>
    </w:p>
    <w:p>
      <w:pPr>
        <w:spacing w:before="29" w:line="288" w:lineRule="auto"/>
        <w:ind w:firstLine="480" w:firstLineChars="200"/>
        <w:rPr>
          <w:color w:val="000000"/>
          <w:sz w:val="24"/>
        </w:rPr>
      </w:pPr>
      <w:r>
        <w:rPr>
          <w:color w:val="000000"/>
          <w:sz w:val="24"/>
        </w:rPr>
        <w:t>本报告期内，交银施罗德优势行业灵活配置混合型证券投资基金的管理人——交银施罗德基金管理有限公司在交银施罗德优势行业灵活配置混合型证券投资基金的投资运作、基金资产净值计算、基金份额申购赎回价格计算、基金费用开支等问题上，不存在任何损害基金份额持有人利益的行为，在各重要方面的运作严格按照基金合同的规定进行。</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84" w:name="_Toc225498266"/>
      <w:bookmarkStart w:id="85" w:name="_Toc361324867"/>
      <w:bookmarkStart w:id="86" w:name="_Toc67591755"/>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84"/>
      <w:bookmarkEnd w:id="85"/>
      <w:bookmarkEnd w:id="86"/>
    </w:p>
    <w:p>
      <w:pPr>
        <w:spacing w:before="29" w:line="288" w:lineRule="auto"/>
        <w:ind w:firstLine="480" w:firstLineChars="200"/>
        <w:rPr>
          <w:color w:val="000000"/>
          <w:sz w:val="24"/>
        </w:rPr>
      </w:pPr>
      <w:r>
        <w:rPr>
          <w:color w:val="000000"/>
          <w:sz w:val="24"/>
        </w:rPr>
        <w:t>本托管人依法对交银施罗德基金管理有限公司编制和披露的交银施罗德优势行业灵活配置混合型证券投资基金2020年年度报告中财务指标、净值表现、利润分配情况、财务会计报告、投资组合报告等内容进行了核查，以上内容真实、准确和完整。</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591756"/>
      <w:bookmarkStart w:id="95" w:name="_Toc361324872"/>
      <w:r>
        <w:rPr>
          <w:rFonts w:eastAsiaTheme="minorEastAsia"/>
          <w:b/>
          <w:bCs/>
          <w:szCs w:val="24"/>
          <w:lang w:val="en-US"/>
        </w:rPr>
        <w:t>§6  审计报告</w:t>
      </w:r>
      <w:bookmarkEnd w:id="87"/>
      <w:bookmarkEnd w:id="88"/>
      <w:bookmarkEnd w:id="89"/>
      <w:bookmarkEnd w:id="90"/>
      <w:bookmarkEnd w:id="91"/>
      <w:bookmarkEnd w:id="92"/>
      <w:bookmarkEnd w:id="93"/>
      <w:bookmarkEnd w:id="94"/>
    </w:p>
    <w:p>
      <w:pPr>
        <w:widowControl/>
        <w:spacing w:line="288" w:lineRule="auto"/>
        <w:jc w:val="right"/>
        <w:rPr>
          <w:rFonts w:eastAsiaTheme="minorEastAsia"/>
          <w:sz w:val="24"/>
        </w:rPr>
      </w:pPr>
      <w:r>
        <w:rPr>
          <w:rFonts w:eastAsiaTheme="minorEastAsia"/>
          <w:kern w:val="0"/>
          <w:sz w:val="24"/>
        </w:rPr>
        <w:t>普华永道中天审字(2021)第24499号</w:t>
      </w:r>
    </w:p>
    <w:p>
      <w:pPr>
        <w:widowControl/>
        <w:spacing w:line="288" w:lineRule="auto"/>
        <w:jc w:val="left"/>
        <w:rPr>
          <w:rFonts w:eastAsiaTheme="minorEastAsia"/>
          <w:kern w:val="0"/>
          <w:sz w:val="24"/>
        </w:rPr>
      </w:pPr>
      <w:r>
        <w:rPr>
          <w:rFonts w:eastAsiaTheme="minorEastAsia"/>
          <w:kern w:val="0"/>
          <w:sz w:val="24"/>
        </w:rPr>
        <w:t>交银施罗德优势行业灵活配置混合型证券投资基金全体基金份额持有人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591757"/>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96"/>
      <w:bookmarkEnd w:id="97"/>
      <w:bookmarkEnd w:id="98"/>
      <w:bookmarkEnd w:id="99"/>
      <w:bookmarkEnd w:id="100"/>
      <w:bookmarkEnd w:id="101"/>
      <w:bookmarkEnd w:id="102"/>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优势行业灵活配置混合型证券投资基金(以下简称“交银优势行业混合基金”)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优势行业混合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09" w:name="_Toc67591758"/>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09"/>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按照中国注册会计师职业道德守则，我们独立于交银优势行业混合基金，并履行了职业道德方面的其他责任。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0" w:name="_Toc67591759"/>
      <w:r>
        <w:rPr>
          <w:rFonts w:ascii="Times New Roman" w:hAnsi="Times New Roman" w:eastAsiaTheme="minorEastAsia"/>
          <w:kern w:val="0"/>
          <w:szCs w:val="24"/>
        </w:rPr>
        <w:t xml:space="preserve">6.3 </w:t>
      </w:r>
      <w:bookmarkEnd w:id="103"/>
      <w:bookmarkEnd w:id="104"/>
      <w:bookmarkEnd w:id="105"/>
      <w:bookmarkEnd w:id="106"/>
      <w:bookmarkEnd w:id="107"/>
      <w:bookmarkEnd w:id="108"/>
      <w:r>
        <w:rPr>
          <w:rFonts w:hint="eastAsia" w:ascii="Times New Roman" w:hAnsi="Times New Roman" w:eastAsiaTheme="minorEastAsia"/>
          <w:kern w:val="0"/>
          <w:szCs w:val="24"/>
        </w:rPr>
        <w:t>管理层和治理层对财务报表的责任</w:t>
      </w:r>
      <w:bookmarkEnd w:id="110"/>
    </w:p>
    <w:p>
      <w:pPr>
        <w:spacing w:line="288" w:lineRule="auto"/>
        <w:ind w:firstLine="480" w:firstLineChars="200"/>
        <w:rPr>
          <w:rFonts w:eastAsiaTheme="minorEastAsia"/>
          <w:sz w:val="24"/>
        </w:rPr>
      </w:pPr>
      <w:r>
        <w:rPr>
          <w:rFonts w:eastAsiaTheme="minorEastAsia"/>
          <w:sz w:val="24"/>
        </w:rPr>
        <w:t>交银优势行业混合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优势行业混合基金的持续经营能力，披露与持续经营相关的事项(如适用)，并运用持续经营假设，除非基金管理人管理层计划清算交银优势行业混合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基金管理人治理层负责监督交银优势行业混合基金的财务报告过程。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591760"/>
      <w:r>
        <w:rPr>
          <w:rFonts w:ascii="Times New Roman" w:hAnsi="Times New Roman" w:eastAsiaTheme="minorEastAsia"/>
          <w:kern w:val="0"/>
          <w:szCs w:val="24"/>
        </w:rPr>
        <w:t xml:space="preserve">6.4 </w:t>
      </w:r>
      <w:bookmarkEnd w:id="111"/>
      <w:bookmarkEnd w:id="112"/>
      <w:bookmarkEnd w:id="113"/>
      <w:bookmarkEnd w:id="114"/>
      <w:bookmarkEnd w:id="115"/>
      <w:bookmarkEnd w:id="116"/>
      <w:r>
        <w:rPr>
          <w:rFonts w:hint="eastAsia" w:ascii="Times New Roman" w:hAnsi="Times New Roman" w:eastAsiaTheme="minorEastAsia"/>
          <w:kern w:val="0"/>
          <w:szCs w:val="24"/>
        </w:rPr>
        <w:t>注册会计师对财务报表审计的责任</w:t>
      </w:r>
      <w:bookmarkEnd w:id="117"/>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优势行业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优势行业混合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18" w:name="_Toc67591761"/>
      <w:r>
        <w:rPr>
          <w:rFonts w:hint="eastAsia"/>
          <w:b/>
          <w:bCs/>
          <w:szCs w:val="24"/>
          <w:lang w:val="en-US"/>
        </w:rPr>
        <w:t>§</w:t>
      </w:r>
      <w:r>
        <w:rPr>
          <w:b/>
          <w:bCs/>
          <w:szCs w:val="24"/>
          <w:lang w:val="en-US"/>
        </w:rPr>
        <w:t>7</w:t>
      </w:r>
      <w:r>
        <w:rPr>
          <w:rFonts w:hint="eastAsia"/>
          <w:b/>
          <w:bCs/>
          <w:szCs w:val="24"/>
          <w:lang w:val="en-US"/>
        </w:rPr>
        <w:t>年度财务报表</w:t>
      </w:r>
      <w:bookmarkEnd w:id="95"/>
      <w:bookmarkEnd w:id="118"/>
    </w:p>
    <w:p/>
    <w:p>
      <w:pPr>
        <w:pStyle w:val="3"/>
        <w:spacing w:before="29" w:after="0" w:line="288" w:lineRule="auto"/>
        <w:rPr>
          <w:rFonts w:ascii="Times New Roman" w:hAnsi="Times New Roman"/>
          <w:kern w:val="0"/>
          <w:szCs w:val="24"/>
        </w:rPr>
      </w:pPr>
      <w:bookmarkStart w:id="119" w:name="_Toc225498268"/>
      <w:bookmarkStart w:id="120" w:name="_Toc361324873"/>
      <w:bookmarkStart w:id="121" w:name="_Toc67591762"/>
      <w:r>
        <w:rPr>
          <w:rFonts w:ascii="Times New Roman" w:hAnsi="Times New Roman"/>
          <w:kern w:val="0"/>
          <w:szCs w:val="24"/>
        </w:rPr>
        <w:t xml:space="preserve">7.1 </w:t>
      </w:r>
      <w:r>
        <w:rPr>
          <w:rFonts w:hint="eastAsia" w:ascii="Times New Roman" w:hAnsi="Times New Roman"/>
          <w:kern w:val="0"/>
          <w:szCs w:val="24"/>
        </w:rPr>
        <w:t>资产负债表</w:t>
      </w:r>
      <w:bookmarkEnd w:id="119"/>
      <w:bookmarkEnd w:id="120"/>
      <w:bookmarkEnd w:id="121"/>
    </w:p>
    <w:p>
      <w:pPr>
        <w:spacing w:before="29" w:line="288" w:lineRule="auto"/>
        <w:rPr>
          <w:color w:val="000000"/>
          <w:sz w:val="24"/>
        </w:rPr>
      </w:pPr>
      <w:r>
        <w:rPr>
          <w:rFonts w:hint="eastAsia"/>
          <w:color w:val="000000"/>
          <w:sz w:val="24"/>
        </w:rPr>
        <w:t>会计主体：</w:t>
      </w:r>
      <w:r>
        <w:rPr>
          <w:color w:val="000000"/>
          <w:sz w:val="24"/>
        </w:rPr>
        <w:t>交银施罗德优势行业灵活配置混合型证券投资基金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1,135,333,628.54</w:t>
            </w:r>
          </w:p>
        </w:tc>
        <w:tc>
          <w:tcPr>
            <w:tcW w:w="2520" w:type="dxa"/>
            <w:vAlign w:val="center"/>
          </w:tcPr>
          <w:p>
            <w:pPr>
              <w:spacing w:before="29" w:line="288" w:lineRule="auto"/>
              <w:jc w:val="right"/>
              <w:rPr>
                <w:color w:val="000000"/>
                <w:sz w:val="24"/>
              </w:rPr>
            </w:pPr>
            <w:r>
              <w:rPr>
                <w:color w:val="000000"/>
                <w:sz w:val="24"/>
              </w:rPr>
              <w:t>160,805,208.46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5,742,657.49</w:t>
            </w:r>
          </w:p>
        </w:tc>
        <w:tc>
          <w:tcPr>
            <w:tcW w:w="2520" w:type="dxa"/>
            <w:vAlign w:val="center"/>
          </w:tcPr>
          <w:p>
            <w:pPr>
              <w:spacing w:before="29" w:line="288" w:lineRule="auto"/>
              <w:jc w:val="right"/>
              <w:rPr>
                <w:color w:val="000000"/>
                <w:sz w:val="24"/>
              </w:rPr>
            </w:pPr>
            <w:r>
              <w:rPr>
                <w:color w:val="000000"/>
                <w:sz w:val="24"/>
              </w:rPr>
              <w:t>4,881,398.38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839,481.25</w:t>
            </w:r>
          </w:p>
        </w:tc>
        <w:tc>
          <w:tcPr>
            <w:tcW w:w="2520" w:type="dxa"/>
            <w:vAlign w:val="center"/>
          </w:tcPr>
          <w:p>
            <w:pPr>
              <w:spacing w:before="29" w:line="288" w:lineRule="auto"/>
              <w:jc w:val="right"/>
              <w:rPr>
                <w:color w:val="000000"/>
                <w:sz w:val="24"/>
              </w:rPr>
            </w:pPr>
            <w:r>
              <w:rPr>
                <w:color w:val="000000"/>
                <w:sz w:val="24"/>
              </w:rPr>
              <w:t>736,803.58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5,604,495,104.86</w:t>
            </w:r>
          </w:p>
        </w:tc>
        <w:tc>
          <w:tcPr>
            <w:tcW w:w="2520" w:type="dxa"/>
            <w:vAlign w:val="center"/>
          </w:tcPr>
          <w:p>
            <w:pPr>
              <w:spacing w:before="29" w:line="288" w:lineRule="auto"/>
              <w:jc w:val="right"/>
              <w:rPr>
                <w:color w:val="000000"/>
                <w:sz w:val="24"/>
              </w:rPr>
            </w:pPr>
            <w:r>
              <w:rPr>
                <w:color w:val="000000"/>
                <w:sz w:val="24"/>
              </w:rPr>
              <w:t>2,730,156,916.70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5,284,849,104.86</w:t>
            </w:r>
          </w:p>
        </w:tc>
        <w:tc>
          <w:tcPr>
            <w:tcW w:w="2520" w:type="dxa"/>
            <w:vAlign w:val="center"/>
          </w:tcPr>
          <w:p>
            <w:pPr>
              <w:spacing w:before="29" w:line="288" w:lineRule="auto"/>
              <w:jc w:val="right"/>
              <w:rPr>
                <w:color w:val="000000"/>
                <w:sz w:val="24"/>
              </w:rPr>
            </w:pPr>
            <w:r>
              <w:rPr>
                <w:color w:val="000000"/>
                <w:sz w:val="24"/>
              </w:rPr>
              <w:t>2,539,873,916.70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319,646,000.00</w:t>
            </w:r>
          </w:p>
        </w:tc>
        <w:tc>
          <w:tcPr>
            <w:tcW w:w="2520" w:type="dxa"/>
            <w:vAlign w:val="center"/>
          </w:tcPr>
          <w:p>
            <w:pPr>
              <w:spacing w:before="29" w:line="288" w:lineRule="auto"/>
              <w:jc w:val="right"/>
              <w:rPr>
                <w:color w:val="000000"/>
                <w:sz w:val="24"/>
              </w:rPr>
            </w:pPr>
            <w:r>
              <w:rPr>
                <w:color w:val="000000"/>
                <w:sz w:val="24"/>
              </w:rPr>
              <w:t>190,283,000.00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891,001,120.00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38,576,025.41</w:t>
            </w:r>
          </w:p>
        </w:tc>
        <w:tc>
          <w:tcPr>
            <w:tcW w:w="2520" w:type="dxa"/>
            <w:vAlign w:val="center"/>
          </w:tcPr>
          <w:p>
            <w:pPr>
              <w:spacing w:before="29" w:line="288" w:lineRule="auto"/>
              <w:jc w:val="right"/>
              <w:rPr>
                <w:color w:val="000000"/>
                <w:sz w:val="24"/>
              </w:rPr>
            </w:pPr>
            <w:r>
              <w:rPr>
                <w:color w:val="000000"/>
                <w:sz w:val="24"/>
              </w:rPr>
              <w:t>34,562,355.20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3,344,399.24</w:t>
            </w:r>
          </w:p>
        </w:tc>
        <w:tc>
          <w:tcPr>
            <w:tcW w:w="2520" w:type="dxa"/>
            <w:vAlign w:val="center"/>
          </w:tcPr>
          <w:p>
            <w:pPr>
              <w:spacing w:before="29" w:line="288" w:lineRule="auto"/>
              <w:jc w:val="right"/>
              <w:rPr>
                <w:color w:val="000000"/>
                <w:sz w:val="24"/>
              </w:rPr>
            </w:pPr>
            <w:r>
              <w:rPr>
                <w:color w:val="000000"/>
                <w:sz w:val="24"/>
              </w:rPr>
              <w:t>3,182,610.81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17,693,717.00</w:t>
            </w:r>
          </w:p>
        </w:tc>
        <w:tc>
          <w:tcPr>
            <w:tcW w:w="2520" w:type="dxa"/>
            <w:vAlign w:val="center"/>
          </w:tcPr>
          <w:p>
            <w:pPr>
              <w:spacing w:before="29" w:line="288" w:lineRule="auto"/>
              <w:jc w:val="right"/>
              <w:rPr>
                <w:color w:val="000000"/>
                <w:sz w:val="24"/>
              </w:rPr>
            </w:pPr>
            <w:r>
              <w:rPr>
                <w:color w:val="000000"/>
                <w:sz w:val="24"/>
              </w:rPr>
              <w:t>29,089,067.64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6,806,025,013.79</w:t>
            </w:r>
          </w:p>
        </w:tc>
        <w:tc>
          <w:tcPr>
            <w:tcW w:w="2520" w:type="dxa"/>
            <w:vAlign w:val="center"/>
          </w:tcPr>
          <w:p>
            <w:pPr>
              <w:spacing w:line="360" w:lineRule="auto"/>
              <w:jc w:val="right"/>
              <w:rPr>
                <w:b/>
                <w:color w:val="000000"/>
                <w:sz w:val="24"/>
              </w:rPr>
            </w:pPr>
            <w:r>
              <w:rPr>
                <w:b/>
                <w:color w:val="000000"/>
                <w:sz w:val="24"/>
              </w:rPr>
              <w:t>3,854,415,480.77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23,209,450.29</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55,135,549.91</w:t>
            </w:r>
          </w:p>
        </w:tc>
        <w:tc>
          <w:tcPr>
            <w:tcW w:w="2520" w:type="dxa"/>
            <w:vAlign w:val="center"/>
          </w:tcPr>
          <w:p>
            <w:pPr>
              <w:spacing w:before="29" w:line="288" w:lineRule="auto"/>
              <w:jc w:val="right"/>
              <w:rPr>
                <w:color w:val="000000"/>
                <w:sz w:val="24"/>
              </w:rPr>
            </w:pPr>
            <w:r>
              <w:rPr>
                <w:color w:val="000000"/>
                <w:sz w:val="24"/>
              </w:rPr>
              <w:t>38,573,358.70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8,264,901.74</w:t>
            </w:r>
          </w:p>
        </w:tc>
        <w:tc>
          <w:tcPr>
            <w:tcW w:w="2520" w:type="dxa"/>
            <w:vAlign w:val="center"/>
          </w:tcPr>
          <w:p>
            <w:pPr>
              <w:spacing w:before="29" w:line="288" w:lineRule="auto"/>
              <w:jc w:val="right"/>
              <w:rPr>
                <w:color w:val="000000"/>
                <w:sz w:val="24"/>
              </w:rPr>
            </w:pPr>
            <w:r>
              <w:rPr>
                <w:color w:val="000000"/>
                <w:sz w:val="24"/>
              </w:rPr>
              <w:t>4,651,232.69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1,377,483.66</w:t>
            </w:r>
          </w:p>
        </w:tc>
        <w:tc>
          <w:tcPr>
            <w:tcW w:w="2520" w:type="dxa"/>
            <w:vAlign w:val="center"/>
          </w:tcPr>
          <w:p>
            <w:pPr>
              <w:spacing w:before="29" w:line="288" w:lineRule="auto"/>
              <w:jc w:val="right"/>
              <w:rPr>
                <w:color w:val="000000"/>
                <w:sz w:val="24"/>
              </w:rPr>
            </w:pPr>
            <w:r>
              <w:rPr>
                <w:color w:val="000000"/>
                <w:sz w:val="24"/>
              </w:rPr>
              <w:t>775,205.42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4,050,279.15</w:t>
            </w:r>
          </w:p>
        </w:tc>
        <w:tc>
          <w:tcPr>
            <w:tcW w:w="2520" w:type="dxa"/>
            <w:vAlign w:val="center"/>
          </w:tcPr>
          <w:p>
            <w:pPr>
              <w:spacing w:before="29" w:line="288" w:lineRule="auto"/>
              <w:jc w:val="right"/>
              <w:rPr>
                <w:color w:val="000000"/>
                <w:sz w:val="24"/>
              </w:rPr>
            </w:pPr>
            <w:r>
              <w:rPr>
                <w:color w:val="000000"/>
                <w:sz w:val="24"/>
              </w:rPr>
              <w:t>3,218,088.40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2.26</w:t>
            </w:r>
          </w:p>
        </w:tc>
        <w:tc>
          <w:tcPr>
            <w:tcW w:w="2520" w:type="dxa"/>
            <w:vAlign w:val="center"/>
          </w:tcPr>
          <w:p>
            <w:pPr>
              <w:spacing w:before="29" w:line="288" w:lineRule="auto"/>
              <w:jc w:val="right"/>
              <w:rPr>
                <w:color w:val="000000"/>
                <w:sz w:val="24"/>
              </w:rPr>
            </w:pPr>
            <w:r>
              <w:rPr>
                <w:color w:val="000000"/>
                <w:sz w:val="24"/>
              </w:rPr>
              <w:t>2,172.71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392,932.29</w:t>
            </w:r>
          </w:p>
        </w:tc>
        <w:tc>
          <w:tcPr>
            <w:tcW w:w="2520" w:type="dxa"/>
            <w:vAlign w:val="center"/>
          </w:tcPr>
          <w:p>
            <w:pPr>
              <w:spacing w:before="29" w:line="288" w:lineRule="auto"/>
              <w:jc w:val="right"/>
              <w:rPr>
                <w:color w:val="000000"/>
                <w:sz w:val="24"/>
              </w:rPr>
            </w:pPr>
            <w:r>
              <w:rPr>
                <w:color w:val="000000"/>
                <w:sz w:val="24"/>
              </w:rPr>
              <w:t>366,203.80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92,430,599.30</w:t>
            </w:r>
          </w:p>
        </w:tc>
        <w:tc>
          <w:tcPr>
            <w:tcW w:w="2520" w:type="dxa"/>
            <w:vAlign w:val="center"/>
          </w:tcPr>
          <w:p>
            <w:pPr>
              <w:spacing w:before="29" w:line="288" w:lineRule="auto"/>
              <w:jc w:val="right"/>
              <w:rPr>
                <w:b/>
                <w:color w:val="000000"/>
                <w:sz w:val="24"/>
              </w:rPr>
            </w:pPr>
            <w:r>
              <w:rPr>
                <w:b/>
                <w:color w:val="000000"/>
                <w:sz w:val="24"/>
              </w:rPr>
              <w:t>47,586,261.72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1,217,120,234.14</w:t>
            </w:r>
          </w:p>
        </w:tc>
        <w:tc>
          <w:tcPr>
            <w:tcW w:w="2520" w:type="dxa"/>
            <w:vAlign w:val="center"/>
          </w:tcPr>
          <w:p>
            <w:pPr>
              <w:spacing w:before="29" w:line="288" w:lineRule="auto"/>
              <w:jc w:val="right"/>
              <w:rPr>
                <w:color w:val="000000"/>
                <w:sz w:val="24"/>
              </w:rPr>
            </w:pPr>
            <w:r>
              <w:rPr>
                <w:color w:val="000000"/>
                <w:sz w:val="24"/>
              </w:rPr>
              <w:t>938,158,668.40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5,496,474,180.35</w:t>
            </w:r>
          </w:p>
        </w:tc>
        <w:tc>
          <w:tcPr>
            <w:tcW w:w="2520" w:type="dxa"/>
            <w:vAlign w:val="center"/>
          </w:tcPr>
          <w:p>
            <w:pPr>
              <w:spacing w:before="29" w:line="288" w:lineRule="auto"/>
              <w:jc w:val="right"/>
              <w:rPr>
                <w:color w:val="000000"/>
                <w:sz w:val="24"/>
              </w:rPr>
            </w:pPr>
            <w:r>
              <w:rPr>
                <w:color w:val="000000"/>
                <w:sz w:val="24"/>
              </w:rPr>
              <w:t>2,868,670,550.65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6,713,594,414.49</w:t>
            </w:r>
          </w:p>
        </w:tc>
        <w:tc>
          <w:tcPr>
            <w:tcW w:w="2520" w:type="dxa"/>
            <w:vAlign w:val="center"/>
          </w:tcPr>
          <w:p>
            <w:pPr>
              <w:spacing w:before="29" w:line="288" w:lineRule="auto"/>
              <w:jc w:val="right"/>
              <w:rPr>
                <w:b/>
                <w:color w:val="000000"/>
                <w:sz w:val="24"/>
              </w:rPr>
            </w:pPr>
            <w:r>
              <w:rPr>
                <w:b/>
                <w:color w:val="000000"/>
                <w:sz w:val="24"/>
              </w:rPr>
              <w:t>3,806,829,219.05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6,806,025,013.79</w:t>
            </w:r>
          </w:p>
        </w:tc>
        <w:tc>
          <w:tcPr>
            <w:tcW w:w="2520" w:type="dxa"/>
            <w:vAlign w:val="center"/>
          </w:tcPr>
          <w:p>
            <w:pPr>
              <w:spacing w:before="29" w:line="288" w:lineRule="auto"/>
              <w:jc w:val="right"/>
              <w:rPr>
                <w:b/>
                <w:color w:val="000000"/>
                <w:sz w:val="24"/>
              </w:rPr>
            </w:pPr>
            <w:r>
              <w:rPr>
                <w:b/>
                <w:color w:val="000000"/>
                <w:sz w:val="24"/>
              </w:rPr>
              <w:t>3,854,415,480.77</w:t>
            </w:r>
          </w:p>
        </w:tc>
      </w:tr>
    </w:tbl>
    <w:p>
      <w:pPr>
        <w:tabs>
          <w:tab w:val="left" w:pos="426"/>
        </w:tabs>
        <w:spacing w:before="29" w:line="288" w:lineRule="auto"/>
        <w:jc w:val="left"/>
        <w:rPr>
          <w:kern w:val="0"/>
          <w:sz w:val="24"/>
        </w:rPr>
      </w:pPr>
      <w:r>
        <w:rPr>
          <w:kern w:val="0"/>
          <w:sz w:val="24"/>
        </w:rPr>
        <w:t>注：报告截止日2020年12月31日，基金份额净值5.516元，基金份额总额1,217,120,234.14份。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22" w:name="_Toc225498269"/>
      <w:bookmarkStart w:id="123" w:name="_Toc361324874"/>
      <w:bookmarkStart w:id="124" w:name="_Toc67591763"/>
      <w:r>
        <w:rPr>
          <w:rFonts w:ascii="Times New Roman" w:hAnsi="Times New Roman"/>
          <w:kern w:val="0"/>
          <w:szCs w:val="24"/>
        </w:rPr>
        <w:t xml:space="preserve">7.2 </w:t>
      </w:r>
      <w:r>
        <w:rPr>
          <w:rFonts w:hint="eastAsia" w:ascii="Times New Roman" w:hAnsi="Times New Roman"/>
          <w:kern w:val="0"/>
          <w:szCs w:val="24"/>
        </w:rPr>
        <w:t>利润表</w:t>
      </w:r>
      <w:bookmarkEnd w:id="122"/>
      <w:bookmarkEnd w:id="123"/>
      <w:bookmarkEnd w:id="124"/>
    </w:p>
    <w:p>
      <w:pPr>
        <w:spacing w:before="29" w:line="288" w:lineRule="auto"/>
        <w:rPr>
          <w:color w:val="000000"/>
          <w:sz w:val="24"/>
        </w:rPr>
      </w:pPr>
      <w:r>
        <w:rPr>
          <w:rFonts w:hint="eastAsia"/>
          <w:color w:val="000000"/>
          <w:sz w:val="24"/>
        </w:rPr>
        <w:t>会计主体：</w:t>
      </w:r>
      <w:r>
        <w:rPr>
          <w:color w:val="000000"/>
          <w:sz w:val="24"/>
        </w:rPr>
        <w:t>交银施罗德优势行业灵活配置混合型证券投资基金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225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2020年1月1日</w:t>
            </w:r>
            <w:r>
              <w:rPr>
                <w:rFonts w:hint="eastAsia"/>
                <w:b/>
                <w:color w:val="000000"/>
              </w:rPr>
              <w:t>至</w:t>
            </w:r>
            <w:r>
              <w:rPr>
                <w:b/>
                <w:color w:val="000000"/>
              </w:rPr>
              <w:t>2020年12月31日</w:t>
            </w:r>
          </w:p>
        </w:tc>
        <w:tc>
          <w:tcPr>
            <w:tcW w:w="2250" w:type="dxa"/>
            <w:vAlign w:val="center"/>
          </w:tcPr>
          <w:p>
            <w:pPr>
              <w:spacing w:before="29" w:line="288" w:lineRule="auto"/>
              <w:jc w:val="center"/>
              <w:rPr>
                <w:b/>
                <w:color w:val="000000"/>
              </w:rPr>
            </w:pPr>
            <w:r>
              <w:rPr>
                <w:rFonts w:hint="eastAsia"/>
                <w:b/>
                <w:color w:val="000000"/>
              </w:rPr>
              <w:t>上年度可比期间</w:t>
            </w:r>
          </w:p>
          <w:p>
            <w:pPr>
              <w:spacing w:before="29" w:line="288" w:lineRule="auto"/>
              <w:jc w:val="center"/>
              <w:rPr>
                <w:b/>
                <w:color w:val="000000"/>
              </w:rPr>
            </w:pPr>
            <w:r>
              <w:rPr>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1,789,483,755.81</w:t>
            </w:r>
          </w:p>
        </w:tc>
        <w:tc>
          <w:tcPr>
            <w:tcW w:w="2250" w:type="dxa"/>
            <w:vAlign w:val="center"/>
          </w:tcPr>
          <w:p>
            <w:pPr>
              <w:spacing w:before="29" w:line="288" w:lineRule="auto"/>
              <w:jc w:val="right"/>
              <w:rPr>
                <w:b/>
                <w:color w:val="000000"/>
                <w:sz w:val="24"/>
              </w:rPr>
            </w:pPr>
            <w:r>
              <w:rPr>
                <w:b/>
                <w:color w:val="000000"/>
                <w:sz w:val="24"/>
              </w:rPr>
              <w:t>1,238,430,994.22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13,990,006.76</w:t>
            </w:r>
          </w:p>
        </w:tc>
        <w:tc>
          <w:tcPr>
            <w:tcW w:w="2250" w:type="dxa"/>
            <w:vAlign w:val="center"/>
          </w:tcPr>
          <w:p>
            <w:pPr>
              <w:spacing w:before="29" w:line="288" w:lineRule="auto"/>
              <w:jc w:val="right"/>
              <w:rPr>
                <w:color w:val="000000"/>
                <w:sz w:val="24"/>
              </w:rPr>
            </w:pPr>
            <w:r>
              <w:rPr>
                <w:color w:val="000000"/>
                <w:sz w:val="24"/>
              </w:rPr>
              <w:t>9,129,251.33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6,435,966.90</w:t>
            </w:r>
          </w:p>
        </w:tc>
        <w:tc>
          <w:tcPr>
            <w:tcW w:w="2250" w:type="dxa"/>
            <w:vAlign w:val="center"/>
          </w:tcPr>
          <w:p>
            <w:pPr>
              <w:spacing w:before="29" w:line="288" w:lineRule="auto"/>
              <w:jc w:val="right"/>
              <w:rPr>
                <w:color w:val="000000"/>
                <w:sz w:val="24"/>
              </w:rPr>
            </w:pPr>
            <w:r>
              <w:rPr>
                <w:color w:val="000000"/>
                <w:sz w:val="24"/>
              </w:rPr>
              <w:t>4,354,952.17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6,342,844.82</w:t>
            </w:r>
          </w:p>
        </w:tc>
        <w:tc>
          <w:tcPr>
            <w:tcW w:w="2250" w:type="dxa"/>
            <w:vAlign w:val="center"/>
          </w:tcPr>
          <w:p>
            <w:pPr>
              <w:spacing w:before="29" w:line="288" w:lineRule="auto"/>
              <w:jc w:val="right"/>
              <w:rPr>
                <w:color w:val="000000"/>
                <w:sz w:val="24"/>
              </w:rPr>
            </w:pPr>
            <w:r>
              <w:rPr>
                <w:color w:val="000000"/>
                <w:sz w:val="24"/>
              </w:rPr>
              <w:t>3,783,282.27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1,211,195.04</w:t>
            </w:r>
          </w:p>
        </w:tc>
        <w:tc>
          <w:tcPr>
            <w:tcW w:w="2250" w:type="dxa"/>
            <w:vAlign w:val="center"/>
          </w:tcPr>
          <w:p>
            <w:pPr>
              <w:spacing w:before="29" w:line="288" w:lineRule="auto"/>
              <w:jc w:val="right"/>
              <w:rPr>
                <w:color w:val="000000"/>
                <w:sz w:val="24"/>
              </w:rPr>
            </w:pPr>
            <w:r>
              <w:rPr>
                <w:color w:val="000000"/>
                <w:sz w:val="24"/>
              </w:rPr>
              <w:t>991,016.89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1,354,097,220.89</w:t>
            </w:r>
          </w:p>
        </w:tc>
        <w:tc>
          <w:tcPr>
            <w:tcW w:w="2250" w:type="dxa"/>
            <w:vAlign w:val="center"/>
          </w:tcPr>
          <w:p>
            <w:pPr>
              <w:spacing w:before="29" w:line="288" w:lineRule="auto"/>
              <w:jc w:val="right"/>
              <w:rPr>
                <w:color w:val="000000"/>
                <w:sz w:val="24"/>
              </w:rPr>
            </w:pPr>
            <w:r>
              <w:rPr>
                <w:color w:val="000000"/>
                <w:sz w:val="24"/>
              </w:rPr>
              <w:t>800,941,195.03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1,275,998,589.22</w:t>
            </w:r>
          </w:p>
        </w:tc>
        <w:tc>
          <w:tcPr>
            <w:tcW w:w="2250" w:type="dxa"/>
            <w:vAlign w:val="center"/>
          </w:tcPr>
          <w:p>
            <w:pPr>
              <w:spacing w:before="29" w:line="288" w:lineRule="auto"/>
              <w:jc w:val="right"/>
              <w:rPr>
                <w:color w:val="000000"/>
                <w:sz w:val="24"/>
              </w:rPr>
            </w:pPr>
            <w:r>
              <w:rPr>
                <w:color w:val="000000"/>
                <w:sz w:val="24"/>
              </w:rPr>
              <w:t>783,768,375.12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1,960,277.40</w:t>
            </w:r>
          </w:p>
        </w:tc>
        <w:tc>
          <w:tcPr>
            <w:tcW w:w="2250" w:type="dxa"/>
            <w:vAlign w:val="center"/>
          </w:tcPr>
          <w:p>
            <w:pPr>
              <w:spacing w:before="29" w:line="288" w:lineRule="auto"/>
              <w:jc w:val="right"/>
              <w:rPr>
                <w:color w:val="000000"/>
                <w:sz w:val="24"/>
              </w:rPr>
            </w:pPr>
            <w:r>
              <w:rPr>
                <w:color w:val="000000"/>
                <w:sz w:val="24"/>
              </w:rPr>
              <w:t>992,355.49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76,138,354.27</w:t>
            </w:r>
          </w:p>
        </w:tc>
        <w:tc>
          <w:tcPr>
            <w:tcW w:w="2250" w:type="dxa"/>
            <w:vAlign w:val="center"/>
          </w:tcPr>
          <w:p>
            <w:pPr>
              <w:spacing w:before="29" w:line="288" w:lineRule="auto"/>
              <w:jc w:val="right"/>
              <w:rPr>
                <w:color w:val="000000"/>
                <w:sz w:val="24"/>
              </w:rPr>
            </w:pPr>
            <w:r>
              <w:rPr>
                <w:color w:val="000000"/>
                <w:sz w:val="24"/>
              </w:rPr>
              <w:t>16,180,464.42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412,547,773.20</w:t>
            </w:r>
          </w:p>
        </w:tc>
        <w:tc>
          <w:tcPr>
            <w:tcW w:w="2250" w:type="dxa"/>
            <w:vAlign w:val="center"/>
          </w:tcPr>
          <w:p>
            <w:pPr>
              <w:spacing w:before="29" w:line="288" w:lineRule="auto"/>
              <w:jc w:val="right"/>
              <w:rPr>
                <w:color w:val="000000"/>
                <w:sz w:val="24"/>
              </w:rPr>
            </w:pPr>
            <w:r>
              <w:rPr>
                <w:color w:val="000000"/>
                <w:sz w:val="24"/>
              </w:rPr>
              <w:t>419,996,634.43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8,848,754.96</w:t>
            </w:r>
          </w:p>
        </w:tc>
        <w:tc>
          <w:tcPr>
            <w:tcW w:w="2250" w:type="dxa"/>
            <w:vAlign w:val="center"/>
          </w:tcPr>
          <w:p>
            <w:pPr>
              <w:spacing w:before="29" w:line="288" w:lineRule="auto"/>
              <w:jc w:val="right"/>
              <w:rPr>
                <w:color w:val="000000"/>
                <w:sz w:val="24"/>
              </w:rPr>
            </w:pPr>
            <w:r>
              <w:rPr>
                <w:color w:val="000000"/>
                <w:sz w:val="24"/>
              </w:rPr>
              <w:t>8,363,913.43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127,566,047.11</w:t>
            </w:r>
          </w:p>
        </w:tc>
        <w:tc>
          <w:tcPr>
            <w:tcW w:w="2250" w:type="dxa"/>
            <w:vAlign w:val="center"/>
          </w:tcPr>
          <w:p>
            <w:pPr>
              <w:spacing w:before="29" w:line="288" w:lineRule="auto"/>
              <w:jc w:val="right"/>
              <w:rPr>
                <w:b/>
                <w:color w:val="000000"/>
                <w:sz w:val="24"/>
              </w:rPr>
            </w:pPr>
            <w:r>
              <w:rPr>
                <w:b/>
                <w:color w:val="000000"/>
                <w:sz w:val="24"/>
              </w:rPr>
              <w:t>77,753,350.91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83,550,155.96</w:t>
            </w:r>
          </w:p>
        </w:tc>
        <w:tc>
          <w:tcPr>
            <w:tcW w:w="2250" w:type="dxa"/>
            <w:vAlign w:val="center"/>
          </w:tcPr>
          <w:p>
            <w:pPr>
              <w:spacing w:before="29" w:line="288" w:lineRule="auto"/>
              <w:jc w:val="right"/>
              <w:rPr>
                <w:color w:val="000000"/>
                <w:sz w:val="24"/>
              </w:rPr>
            </w:pPr>
            <w:r>
              <w:rPr>
                <w:color w:val="000000"/>
                <w:sz w:val="24"/>
              </w:rPr>
              <w:t>50,071,394.52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13,925,026.06</w:t>
            </w:r>
          </w:p>
        </w:tc>
        <w:tc>
          <w:tcPr>
            <w:tcW w:w="2250" w:type="dxa"/>
            <w:vAlign w:val="center"/>
          </w:tcPr>
          <w:p>
            <w:pPr>
              <w:spacing w:before="29" w:line="288" w:lineRule="auto"/>
              <w:jc w:val="right"/>
              <w:rPr>
                <w:color w:val="000000"/>
                <w:sz w:val="24"/>
              </w:rPr>
            </w:pPr>
            <w:r>
              <w:rPr>
                <w:color w:val="000000"/>
                <w:sz w:val="24"/>
              </w:rPr>
              <w:t>8,345,232.39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29,828,211.38</w:t>
            </w:r>
          </w:p>
        </w:tc>
        <w:tc>
          <w:tcPr>
            <w:tcW w:w="2250" w:type="dxa"/>
            <w:vAlign w:val="center"/>
          </w:tcPr>
          <w:p>
            <w:pPr>
              <w:spacing w:before="29" w:line="288" w:lineRule="auto"/>
              <w:jc w:val="right"/>
              <w:rPr>
                <w:color w:val="000000"/>
                <w:sz w:val="24"/>
              </w:rPr>
            </w:pPr>
            <w:r>
              <w:rPr>
                <w:color w:val="000000"/>
                <w:sz w:val="24"/>
              </w:rPr>
              <w:t>19,057,090.64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8"/>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4,366.47</w:t>
            </w:r>
          </w:p>
        </w:tc>
        <w:tc>
          <w:tcPr>
            <w:tcW w:w="2250" w:type="dxa"/>
            <w:vAlign w:val="bottom"/>
          </w:tcPr>
          <w:p>
            <w:pPr>
              <w:jc w:val="right"/>
              <w:rPr>
                <w:rFonts w:eastAsiaTheme="minorEastAsia"/>
                <w:color w:val="000000"/>
                <w:sz w:val="24"/>
              </w:rPr>
            </w:pPr>
            <w:r>
              <w:rPr>
                <w:rFonts w:eastAsiaTheme="minorEastAsia"/>
                <w:color w:val="000000"/>
                <w:sz w:val="24"/>
              </w:rPr>
              <w:t>3,429.07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258,287.24</w:t>
            </w:r>
          </w:p>
        </w:tc>
        <w:tc>
          <w:tcPr>
            <w:tcW w:w="2250" w:type="dxa"/>
            <w:vAlign w:val="center"/>
          </w:tcPr>
          <w:p>
            <w:pPr>
              <w:spacing w:before="29" w:line="288" w:lineRule="auto"/>
              <w:jc w:val="right"/>
              <w:rPr>
                <w:color w:val="000000"/>
                <w:sz w:val="24"/>
              </w:rPr>
            </w:pPr>
            <w:r>
              <w:rPr>
                <w:color w:val="000000"/>
                <w:sz w:val="24"/>
              </w:rPr>
              <w:t>276,204.29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1,661,917,708.70</w:t>
            </w:r>
          </w:p>
        </w:tc>
        <w:tc>
          <w:tcPr>
            <w:tcW w:w="2250" w:type="dxa"/>
            <w:vAlign w:val="center"/>
          </w:tcPr>
          <w:p>
            <w:pPr>
              <w:spacing w:before="29" w:line="288" w:lineRule="auto"/>
              <w:jc w:val="right"/>
              <w:rPr>
                <w:b/>
                <w:color w:val="000000"/>
                <w:sz w:val="24"/>
              </w:rPr>
            </w:pPr>
            <w:r>
              <w:rPr>
                <w:b/>
                <w:color w:val="000000"/>
                <w:sz w:val="24"/>
              </w:rPr>
              <w:t>1,160,677,643.31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1,661,917,708.70</w:t>
            </w:r>
          </w:p>
        </w:tc>
        <w:tc>
          <w:tcPr>
            <w:tcW w:w="2250" w:type="dxa"/>
            <w:vAlign w:val="center"/>
          </w:tcPr>
          <w:p>
            <w:pPr>
              <w:spacing w:before="29" w:line="288" w:lineRule="auto"/>
              <w:jc w:val="right"/>
              <w:rPr>
                <w:b/>
                <w:color w:val="000000"/>
                <w:sz w:val="24"/>
              </w:rPr>
            </w:pPr>
            <w:r>
              <w:rPr>
                <w:b/>
                <w:color w:val="000000"/>
                <w:sz w:val="24"/>
              </w:rPr>
              <w:t>1,160,677,643.31</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5" w:name="_Toc225498270"/>
      <w:bookmarkStart w:id="126" w:name="_Toc361324875"/>
      <w:bookmarkStart w:id="127" w:name="_Toc67591764"/>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25"/>
      <w:bookmarkEnd w:id="126"/>
      <w:bookmarkEnd w:id="127"/>
    </w:p>
    <w:p>
      <w:pPr>
        <w:spacing w:before="29" w:line="288" w:lineRule="auto"/>
        <w:rPr>
          <w:color w:val="000000"/>
          <w:sz w:val="24"/>
        </w:rPr>
      </w:pPr>
      <w:r>
        <w:rPr>
          <w:rFonts w:hint="eastAsia"/>
          <w:color w:val="000000"/>
          <w:sz w:val="24"/>
        </w:rPr>
        <w:t>会计主体：</w:t>
      </w:r>
      <w:r>
        <w:rPr>
          <w:color w:val="000000"/>
          <w:sz w:val="24"/>
        </w:rPr>
        <w:t>交银施罗德优势行业灵活配置混合型证券投资基金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938,158,668.40</w:t>
            </w:r>
          </w:p>
        </w:tc>
        <w:tc>
          <w:tcPr>
            <w:tcW w:w="2197" w:type="dxa"/>
            <w:vAlign w:val="center"/>
          </w:tcPr>
          <w:p>
            <w:pPr>
              <w:spacing w:before="29" w:line="288" w:lineRule="auto"/>
              <w:jc w:val="right"/>
              <w:rPr>
                <w:color w:val="000000"/>
                <w:sz w:val="24"/>
              </w:rPr>
            </w:pPr>
            <w:r>
              <w:rPr>
                <w:color w:val="000000"/>
                <w:sz w:val="24"/>
              </w:rPr>
              <w:t>2,868,670,550.65</w:t>
            </w:r>
          </w:p>
        </w:tc>
        <w:tc>
          <w:tcPr>
            <w:tcW w:w="2197" w:type="dxa"/>
            <w:vAlign w:val="center"/>
          </w:tcPr>
          <w:p>
            <w:pPr>
              <w:spacing w:before="29" w:line="288" w:lineRule="auto"/>
              <w:jc w:val="right"/>
              <w:rPr>
                <w:color w:val="000000"/>
                <w:sz w:val="24"/>
              </w:rPr>
            </w:pPr>
            <w:r>
              <w:rPr>
                <w:color w:val="000000"/>
                <w:sz w:val="24"/>
              </w:rPr>
              <w:t>3,806,829,219.05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1,661,917,708.70</w:t>
            </w:r>
          </w:p>
        </w:tc>
        <w:tc>
          <w:tcPr>
            <w:tcW w:w="2197" w:type="dxa"/>
            <w:vAlign w:val="center"/>
          </w:tcPr>
          <w:p>
            <w:pPr>
              <w:spacing w:before="29" w:line="288" w:lineRule="auto"/>
              <w:jc w:val="right"/>
              <w:rPr>
                <w:color w:val="000000"/>
                <w:sz w:val="24"/>
              </w:rPr>
            </w:pPr>
            <w:r>
              <w:rPr>
                <w:color w:val="000000"/>
                <w:sz w:val="24"/>
              </w:rPr>
              <w:t>1,661,917,708.70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278,961,565.74</w:t>
            </w:r>
          </w:p>
        </w:tc>
        <w:tc>
          <w:tcPr>
            <w:tcW w:w="2197" w:type="dxa"/>
            <w:vAlign w:val="center"/>
          </w:tcPr>
          <w:p>
            <w:pPr>
              <w:spacing w:before="29" w:line="288" w:lineRule="auto"/>
              <w:jc w:val="right"/>
              <w:rPr>
                <w:color w:val="000000"/>
                <w:sz w:val="24"/>
              </w:rPr>
            </w:pPr>
            <w:r>
              <w:rPr>
                <w:color w:val="000000"/>
                <w:sz w:val="24"/>
              </w:rPr>
              <w:t>965,885,921.00</w:t>
            </w:r>
          </w:p>
        </w:tc>
        <w:tc>
          <w:tcPr>
            <w:tcW w:w="2197" w:type="dxa"/>
            <w:vAlign w:val="center"/>
          </w:tcPr>
          <w:p>
            <w:pPr>
              <w:spacing w:before="29" w:line="288" w:lineRule="auto"/>
              <w:jc w:val="right"/>
              <w:rPr>
                <w:color w:val="000000"/>
                <w:sz w:val="24"/>
              </w:rPr>
            </w:pPr>
            <w:r>
              <w:rPr>
                <w:color w:val="000000"/>
                <w:sz w:val="24"/>
              </w:rPr>
              <w:t>1,244,847,486.74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1,800,456,758.92</w:t>
            </w:r>
          </w:p>
        </w:tc>
        <w:tc>
          <w:tcPr>
            <w:tcW w:w="2197" w:type="dxa"/>
            <w:vAlign w:val="center"/>
          </w:tcPr>
          <w:p>
            <w:pPr>
              <w:spacing w:before="29" w:line="288" w:lineRule="auto"/>
              <w:jc w:val="right"/>
              <w:rPr>
                <w:color w:val="000000"/>
                <w:sz w:val="24"/>
              </w:rPr>
            </w:pPr>
            <w:r>
              <w:rPr>
                <w:color w:val="000000"/>
                <w:sz w:val="24"/>
              </w:rPr>
              <w:t>6,572,618,645.58</w:t>
            </w:r>
          </w:p>
        </w:tc>
        <w:tc>
          <w:tcPr>
            <w:tcW w:w="2197" w:type="dxa"/>
            <w:vAlign w:val="center"/>
          </w:tcPr>
          <w:p>
            <w:pPr>
              <w:spacing w:before="29" w:line="288" w:lineRule="auto"/>
              <w:jc w:val="right"/>
              <w:rPr>
                <w:color w:val="000000"/>
                <w:sz w:val="24"/>
              </w:rPr>
            </w:pPr>
            <w:r>
              <w:rPr>
                <w:color w:val="000000"/>
                <w:sz w:val="24"/>
              </w:rPr>
              <w:t>8,373,075,404.50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-1,521,495,193.18</w:t>
            </w:r>
          </w:p>
        </w:tc>
        <w:tc>
          <w:tcPr>
            <w:tcW w:w="2197" w:type="dxa"/>
            <w:vAlign w:val="center"/>
          </w:tcPr>
          <w:p>
            <w:pPr>
              <w:spacing w:before="29" w:line="288" w:lineRule="auto"/>
              <w:jc w:val="right"/>
              <w:rPr>
                <w:color w:val="000000"/>
                <w:sz w:val="24"/>
              </w:rPr>
            </w:pPr>
            <w:r>
              <w:rPr>
                <w:color w:val="000000"/>
                <w:sz w:val="24"/>
              </w:rPr>
              <w:t>-5,606,732,724.58</w:t>
            </w:r>
          </w:p>
        </w:tc>
        <w:tc>
          <w:tcPr>
            <w:tcW w:w="2197" w:type="dxa"/>
            <w:vAlign w:val="center"/>
          </w:tcPr>
          <w:p>
            <w:pPr>
              <w:spacing w:before="29" w:line="288" w:lineRule="auto"/>
              <w:jc w:val="right"/>
              <w:rPr>
                <w:color w:val="000000"/>
                <w:sz w:val="24"/>
              </w:rPr>
            </w:pPr>
            <w:r>
              <w:rPr>
                <w:color w:val="000000"/>
                <w:sz w:val="24"/>
              </w:rPr>
              <w:t>-7,128,227,917.76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1,217,120,234.14</w:t>
            </w:r>
          </w:p>
        </w:tc>
        <w:tc>
          <w:tcPr>
            <w:tcW w:w="2197" w:type="dxa"/>
            <w:vAlign w:val="center"/>
          </w:tcPr>
          <w:p>
            <w:pPr>
              <w:spacing w:before="29" w:line="288" w:lineRule="auto"/>
              <w:jc w:val="right"/>
              <w:rPr>
                <w:color w:val="000000"/>
                <w:sz w:val="24"/>
              </w:rPr>
            </w:pPr>
            <w:r>
              <w:rPr>
                <w:color w:val="000000"/>
                <w:sz w:val="24"/>
              </w:rPr>
              <w:t>5,496,474,180.35</w:t>
            </w:r>
          </w:p>
        </w:tc>
        <w:tc>
          <w:tcPr>
            <w:tcW w:w="2197" w:type="dxa"/>
            <w:vAlign w:val="center"/>
          </w:tcPr>
          <w:p>
            <w:pPr>
              <w:spacing w:before="29" w:line="288" w:lineRule="auto"/>
              <w:jc w:val="right"/>
              <w:rPr>
                <w:color w:val="000000"/>
                <w:sz w:val="24"/>
              </w:rPr>
            </w:pPr>
            <w:r>
              <w:rPr>
                <w:color w:val="000000"/>
                <w:sz w:val="24"/>
              </w:rPr>
              <w:t>6,713,594,414.49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979,319,141.78</w:t>
            </w:r>
          </w:p>
        </w:tc>
        <w:tc>
          <w:tcPr>
            <w:tcW w:w="2197" w:type="dxa"/>
            <w:vAlign w:val="center"/>
          </w:tcPr>
          <w:p>
            <w:pPr>
              <w:spacing w:before="29" w:line="288" w:lineRule="auto"/>
              <w:jc w:val="right"/>
              <w:rPr>
                <w:color w:val="000000"/>
                <w:sz w:val="24"/>
              </w:rPr>
            </w:pPr>
            <w:r>
              <w:rPr>
                <w:color w:val="000000"/>
                <w:sz w:val="24"/>
              </w:rPr>
              <w:t>1,782,058,877.56</w:t>
            </w:r>
          </w:p>
        </w:tc>
        <w:tc>
          <w:tcPr>
            <w:tcW w:w="2197" w:type="dxa"/>
            <w:vAlign w:val="center"/>
          </w:tcPr>
          <w:p>
            <w:pPr>
              <w:spacing w:before="29" w:line="288" w:lineRule="auto"/>
              <w:jc w:val="right"/>
              <w:rPr>
                <w:color w:val="000000"/>
                <w:sz w:val="24"/>
              </w:rPr>
            </w:pPr>
            <w:r>
              <w:rPr>
                <w:color w:val="000000"/>
                <w:sz w:val="24"/>
              </w:rPr>
              <w:t>2,761,378,019.34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1,160,677,643.31</w:t>
            </w:r>
          </w:p>
        </w:tc>
        <w:tc>
          <w:tcPr>
            <w:tcW w:w="2197" w:type="dxa"/>
            <w:vAlign w:val="center"/>
          </w:tcPr>
          <w:p>
            <w:pPr>
              <w:spacing w:before="29" w:line="288" w:lineRule="auto"/>
              <w:jc w:val="right"/>
              <w:rPr>
                <w:color w:val="000000"/>
                <w:sz w:val="24"/>
              </w:rPr>
            </w:pPr>
            <w:r>
              <w:rPr>
                <w:color w:val="000000"/>
                <w:sz w:val="24"/>
              </w:rPr>
              <w:t>1,160,677,643.31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-41,160,473.38</w:t>
            </w:r>
          </w:p>
        </w:tc>
        <w:tc>
          <w:tcPr>
            <w:tcW w:w="2197" w:type="dxa"/>
            <w:vAlign w:val="center"/>
          </w:tcPr>
          <w:p>
            <w:pPr>
              <w:spacing w:before="29" w:line="288" w:lineRule="auto"/>
              <w:jc w:val="right"/>
              <w:rPr>
                <w:color w:val="000000"/>
                <w:sz w:val="24"/>
              </w:rPr>
            </w:pPr>
            <w:r>
              <w:rPr>
                <w:color w:val="000000"/>
                <w:sz w:val="24"/>
              </w:rPr>
              <w:t>-74,065,970.22</w:t>
            </w:r>
          </w:p>
        </w:tc>
        <w:tc>
          <w:tcPr>
            <w:tcW w:w="2197" w:type="dxa"/>
            <w:vAlign w:val="center"/>
          </w:tcPr>
          <w:p>
            <w:pPr>
              <w:spacing w:before="29" w:line="288" w:lineRule="auto"/>
              <w:jc w:val="right"/>
              <w:rPr>
                <w:color w:val="000000"/>
                <w:sz w:val="24"/>
              </w:rPr>
            </w:pPr>
            <w:r>
              <w:rPr>
                <w:color w:val="000000"/>
                <w:sz w:val="24"/>
              </w:rPr>
              <w:t>-115,226,443.60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1,524,440,154.01</w:t>
            </w:r>
          </w:p>
        </w:tc>
        <w:tc>
          <w:tcPr>
            <w:tcW w:w="2197" w:type="dxa"/>
            <w:vAlign w:val="center"/>
          </w:tcPr>
          <w:p>
            <w:pPr>
              <w:spacing w:line="360" w:lineRule="auto"/>
              <w:jc w:val="right"/>
              <w:rPr>
                <w:color w:val="000000"/>
                <w:sz w:val="24"/>
              </w:rPr>
            </w:pPr>
            <w:r>
              <w:rPr>
                <w:color w:val="000000"/>
                <w:sz w:val="24"/>
              </w:rPr>
              <w:t>3,849,856,377.83</w:t>
            </w:r>
          </w:p>
        </w:tc>
        <w:tc>
          <w:tcPr>
            <w:tcW w:w="2197" w:type="dxa"/>
            <w:vAlign w:val="center"/>
          </w:tcPr>
          <w:p>
            <w:pPr>
              <w:spacing w:line="360" w:lineRule="auto"/>
              <w:jc w:val="right"/>
              <w:rPr>
                <w:color w:val="000000"/>
                <w:sz w:val="24"/>
              </w:rPr>
            </w:pPr>
            <w:r>
              <w:rPr>
                <w:color w:val="000000"/>
                <w:sz w:val="24"/>
              </w:rPr>
              <w:t>5,374,296,531.84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-1,565,600,627.39</w:t>
            </w:r>
          </w:p>
        </w:tc>
        <w:tc>
          <w:tcPr>
            <w:tcW w:w="2197" w:type="dxa"/>
            <w:vAlign w:val="center"/>
          </w:tcPr>
          <w:p>
            <w:pPr>
              <w:spacing w:before="29" w:line="288" w:lineRule="auto"/>
              <w:jc w:val="right"/>
              <w:rPr>
                <w:color w:val="000000"/>
                <w:sz w:val="24"/>
              </w:rPr>
            </w:pPr>
            <w:r>
              <w:rPr>
                <w:color w:val="000000"/>
                <w:sz w:val="24"/>
              </w:rPr>
              <w:t>-3,923,922,348.05</w:t>
            </w:r>
          </w:p>
        </w:tc>
        <w:tc>
          <w:tcPr>
            <w:tcW w:w="2197" w:type="dxa"/>
            <w:vAlign w:val="center"/>
          </w:tcPr>
          <w:p>
            <w:pPr>
              <w:spacing w:before="29" w:line="288" w:lineRule="auto"/>
              <w:jc w:val="right"/>
              <w:rPr>
                <w:color w:val="000000"/>
                <w:sz w:val="24"/>
              </w:rPr>
            </w:pPr>
            <w:r>
              <w:rPr>
                <w:color w:val="000000"/>
                <w:sz w:val="24"/>
              </w:rPr>
              <w:t>-5,489,522,975.44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938,158,668.40</w:t>
            </w:r>
          </w:p>
        </w:tc>
        <w:tc>
          <w:tcPr>
            <w:tcW w:w="2197" w:type="dxa"/>
            <w:vAlign w:val="center"/>
          </w:tcPr>
          <w:p>
            <w:pPr>
              <w:spacing w:before="29" w:line="288" w:lineRule="auto"/>
              <w:jc w:val="right"/>
              <w:rPr>
                <w:color w:val="000000"/>
                <w:sz w:val="24"/>
              </w:rPr>
            </w:pPr>
            <w:r>
              <w:rPr>
                <w:color w:val="000000"/>
                <w:sz w:val="24"/>
              </w:rPr>
              <w:t>2,868,670,550.65</w:t>
            </w:r>
          </w:p>
        </w:tc>
        <w:tc>
          <w:tcPr>
            <w:tcW w:w="2197" w:type="dxa"/>
            <w:vAlign w:val="center"/>
          </w:tcPr>
          <w:p>
            <w:pPr>
              <w:spacing w:before="29" w:line="288" w:lineRule="auto"/>
              <w:jc w:val="right"/>
              <w:rPr>
                <w:color w:val="000000"/>
                <w:sz w:val="24"/>
              </w:rPr>
            </w:pPr>
            <w:r>
              <w:rPr>
                <w:color w:val="000000"/>
                <w:sz w:val="24"/>
              </w:rPr>
              <w:t>3,806,829,219.05</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8" w:name="_Toc225498271"/>
      <w:bookmarkStart w:id="129" w:name="_Toc361324876"/>
      <w:bookmarkStart w:id="130" w:name="_Toc67591765"/>
      <w:r>
        <w:rPr>
          <w:rFonts w:ascii="Times New Roman" w:hAnsi="Times New Roman"/>
          <w:kern w:val="0"/>
          <w:szCs w:val="24"/>
        </w:rPr>
        <w:t xml:space="preserve">7.4 </w:t>
      </w:r>
      <w:r>
        <w:rPr>
          <w:rFonts w:hint="eastAsia" w:ascii="Times New Roman" w:hAnsi="Times New Roman"/>
          <w:kern w:val="0"/>
          <w:szCs w:val="24"/>
        </w:rPr>
        <w:t>报表附注</w:t>
      </w:r>
      <w:bookmarkEnd w:id="128"/>
      <w:bookmarkEnd w:id="129"/>
      <w:bookmarkEnd w:id="130"/>
    </w:p>
    <w:p>
      <w:pPr>
        <w:pStyle w:val="3"/>
        <w:spacing w:before="29" w:after="0" w:line="288" w:lineRule="auto"/>
        <w:rPr>
          <w:rFonts w:ascii="Times New Roman" w:hAnsi="Times New Roman"/>
          <w:kern w:val="0"/>
          <w:szCs w:val="24"/>
        </w:rPr>
      </w:pPr>
      <w:bookmarkStart w:id="131" w:name="_Toc67591766"/>
      <w:r>
        <w:rPr>
          <w:rFonts w:ascii="Times New Roman" w:hAnsi="Times New Roman"/>
          <w:kern w:val="0"/>
          <w:szCs w:val="24"/>
        </w:rPr>
        <w:t>7.4.1</w:t>
      </w:r>
      <w:r>
        <w:rPr>
          <w:rFonts w:hint="eastAsia" w:ascii="Times New Roman" w:hAnsi="Times New Roman"/>
          <w:kern w:val="0"/>
          <w:szCs w:val="24"/>
        </w:rPr>
        <w:t>基金基本情况</w:t>
      </w:r>
      <w:bookmarkEnd w:id="131"/>
    </w:p>
    <w:p>
      <w:pPr>
        <w:spacing w:before="29" w:line="288" w:lineRule="auto"/>
        <w:ind w:firstLine="480" w:firstLineChars="200"/>
        <w:rPr>
          <w:color w:val="000000"/>
          <w:sz w:val="24"/>
        </w:rPr>
      </w:pPr>
      <w:r>
        <w:rPr>
          <w:color w:val="000000"/>
          <w:sz w:val="24"/>
        </w:rPr>
        <w:t>交银施罗德优势行业灵活配置混合型证券投资基金(以下简称“本基金”)是由交银施罗德保本混合型证券投资基金(以下简称“交银施罗德保本基金”)转型而来。按照原《交银施罗德保本混合型证券投资基金基金合同》的约定，交银施罗德保本基金自基金合同生效之日起至三个公历年后对应日止为基金保本期(如保本周期届满的最后一日为非工作日，则保本周期到期日顺延至下一个工作日)，保本周期到期后转型为非保本的混合型基金，名称相应变更为“交银施罗德优势行业灵活配置混合型证券投资基金”。自2012年2月3日起，《交银施罗德优势行业灵活配置混合型证券投资基金基金合同》正式生效。本基金为契约型开放式，存续期限不定。本基金的基金管理人为交银施罗德基金管理有限公司，基金托管人为中国工商银行股份有限公司。</w:t>
      </w:r>
    </w:p>
    <w:p>
      <w:pPr>
        <w:spacing w:before="29" w:line="288" w:lineRule="auto"/>
        <w:ind w:firstLine="480" w:firstLineChars="200"/>
        <w:rPr>
          <w:color w:val="000000"/>
          <w:sz w:val="24"/>
        </w:rPr>
      </w:pPr>
      <w:r>
        <w:rPr>
          <w:color w:val="000000"/>
          <w:sz w:val="24"/>
        </w:rPr>
        <w:t>原交银施罗德保本基金经中国证券监督管理委员会(以下简称“中国证监会”)证监许可[2008]1285号《关于核准交银施罗德保本混合型证券投资基金募集的批复》核准，由交银施罗德基金管理有限公司依照《中华人民共和国证券投资基金法》和《交银施罗德保本混合型证券投资基金基金合同》负责公开募集。原交银施罗德保本基金首次设立募集不包括认购资金利息共募集人民币4,953,570,766.25元，业经普华永道中天会计师事务所有限公司普华永道中天验字(2009)第012号验资报告予以验证。经向中国证监会备案，《交银施罗德保本混合型证券投资基金基金合同》于2009年1月21日正式生效，基金合同生效日的基金份额总额为4,956,375,599.84份基金份额，其中认购资金利息折合2,804,833.59份基金份额。</w:t>
      </w:r>
    </w:p>
    <w:p>
      <w:pPr>
        <w:spacing w:before="29" w:line="288" w:lineRule="auto"/>
        <w:ind w:firstLine="480" w:firstLineChars="200"/>
        <w:rPr>
          <w:color w:val="000000"/>
          <w:sz w:val="24"/>
        </w:rPr>
      </w:pPr>
      <w:r>
        <w:rPr>
          <w:color w:val="000000"/>
          <w:sz w:val="24"/>
        </w:rPr>
        <w:t>根据《中华人民共和国证券投资基金法》和《交银施罗德优势行业灵活配置混合型证券投资基金基金合同》的有关规定，本基金的投资范围为具有良好流动性的金融工具，包括国内依法发行上市的股票、债券、货币市场工具、权证、资产支持证券以及法律法规或中国证监会允许基金投资的其他金融工具。本基金的投资组合比例为：股票资产(含存托凭证)占基金资产的30%-80%；债券、货币市场工具、权证、资产支持证券以及法律法规或中国证监会允许基金投资的其他证券品种占基金资产的20%-70%，其中基金保留的现金以及投资于到期日在一年以内的政府债券的比例合计不低于基金资产净值的5%，其中现金不包括结算备付金、存出保证金和应收申购款等。自基金合同生效日至2015年9月30日，本基金的业绩比较基准为：60%×沪深300指数收益率+40%×中信标普全债指数收益率。根据本基金的基金管理人于2015年9月28日发布的《交银施罗德基金管理有限公司关于旗下部分基金业绩比较基准变更并修改基金合同相关内容的公告》，自2015年10月1日起，本基金的业绩比较基准变更为：60%×沪深300指数收益率+40%×中证综合债券指数收益率。</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2" w:name="_Toc67591767"/>
      <w:r>
        <w:rPr>
          <w:rFonts w:ascii="Times New Roman" w:hAnsi="Times New Roman"/>
          <w:kern w:val="0"/>
          <w:szCs w:val="24"/>
        </w:rPr>
        <w:t>7.4.2</w:t>
      </w:r>
      <w:r>
        <w:rPr>
          <w:rFonts w:hint="eastAsia" w:ascii="Times New Roman" w:hAnsi="Times New Roman"/>
          <w:kern w:val="0"/>
          <w:szCs w:val="24"/>
        </w:rPr>
        <w:t>会计报表的编制基础</w:t>
      </w:r>
      <w:bookmarkEnd w:id="132"/>
    </w:p>
    <w:p>
      <w:pPr>
        <w:spacing w:before="29" w:line="288" w:lineRule="auto"/>
        <w:ind w:firstLine="480" w:firstLineChars="200"/>
        <w:rPr>
          <w:color w:val="000000"/>
          <w:sz w:val="24"/>
        </w:rPr>
      </w:pPr>
      <w:r>
        <w:rPr>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优势行业灵活配置混合型证券投资基金基金合同》和在财务报表附注7.4.4所列示的中国证监会、中国基金业协会发布的有关规定及允许的基金行业实务操作编制。</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3" w:name="_Toc67591768"/>
      <w:r>
        <w:rPr>
          <w:rFonts w:ascii="Times New Roman" w:hAnsi="Times New Roman"/>
          <w:kern w:val="0"/>
          <w:szCs w:val="24"/>
        </w:rPr>
        <w:t>7.4.3</w:t>
      </w:r>
      <w:r>
        <w:rPr>
          <w:rFonts w:hint="eastAsia" w:ascii="Times New Roman" w:hAnsi="Times New Roman"/>
          <w:kern w:val="0"/>
          <w:szCs w:val="24"/>
        </w:rPr>
        <w:t>遵循企业会计准则及其他有关规定的声明</w:t>
      </w:r>
      <w:bookmarkEnd w:id="133"/>
    </w:p>
    <w:p>
      <w:pPr>
        <w:spacing w:before="29" w:line="288" w:lineRule="auto"/>
        <w:ind w:firstLine="480" w:firstLineChars="200"/>
        <w:rPr>
          <w:color w:val="000000"/>
          <w:sz w:val="24"/>
        </w:rPr>
      </w:pPr>
      <w:r>
        <w:rPr>
          <w:color w:val="00000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4" w:name="_Toc67591769"/>
      <w:r>
        <w:rPr>
          <w:rFonts w:ascii="Times New Roman" w:hAnsi="Times New Roman"/>
          <w:kern w:val="0"/>
          <w:szCs w:val="24"/>
        </w:rPr>
        <w:t>7.4.4</w:t>
      </w:r>
      <w:r>
        <w:rPr>
          <w:rFonts w:hint="eastAsia" w:ascii="Times New Roman" w:hAnsi="Times New Roman"/>
          <w:kern w:val="0"/>
          <w:szCs w:val="24"/>
        </w:rPr>
        <w:t>重要会计政策和会计估计</w:t>
      </w:r>
      <w:bookmarkEnd w:id="134"/>
    </w:p>
    <w:p>
      <w:pPr>
        <w:pStyle w:val="3"/>
        <w:spacing w:before="29" w:after="0" w:line="288" w:lineRule="auto"/>
        <w:rPr>
          <w:rFonts w:ascii="Times New Roman" w:hAnsi="Times New Roman"/>
          <w:kern w:val="0"/>
          <w:szCs w:val="24"/>
        </w:rPr>
      </w:pPr>
      <w:bookmarkStart w:id="135" w:name="_Toc67591770"/>
      <w:r>
        <w:rPr>
          <w:rFonts w:ascii="Times New Roman" w:hAnsi="Times New Roman"/>
          <w:kern w:val="0"/>
          <w:szCs w:val="24"/>
        </w:rPr>
        <w:t>7.4.4.1</w:t>
      </w:r>
      <w:r>
        <w:rPr>
          <w:rFonts w:hint="eastAsia" w:ascii="Times New Roman" w:hAnsi="Times New Roman"/>
          <w:kern w:val="0"/>
          <w:szCs w:val="24"/>
        </w:rPr>
        <w:t>会计年度</w:t>
      </w:r>
      <w:bookmarkEnd w:id="135"/>
    </w:p>
    <w:p>
      <w:pPr>
        <w:spacing w:before="29" w:line="288" w:lineRule="auto"/>
        <w:ind w:firstLine="480" w:firstLineChars="200"/>
        <w:rPr>
          <w:color w:val="000000"/>
          <w:sz w:val="24"/>
        </w:rPr>
      </w:pPr>
      <w:r>
        <w:rPr>
          <w:color w:val="000000"/>
          <w:sz w:val="24"/>
        </w:rPr>
        <w:t>本基金会计年度为公历1月1日起至12月31日止。</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6" w:name="_Toc67591771"/>
      <w:r>
        <w:rPr>
          <w:rFonts w:ascii="Times New Roman" w:hAnsi="Times New Roman"/>
          <w:kern w:val="0"/>
          <w:szCs w:val="24"/>
        </w:rPr>
        <w:t xml:space="preserve">7.4.4.2 </w:t>
      </w:r>
      <w:r>
        <w:rPr>
          <w:rFonts w:hint="eastAsia" w:ascii="Times New Roman" w:hAnsi="Times New Roman"/>
          <w:kern w:val="0"/>
          <w:szCs w:val="24"/>
        </w:rPr>
        <w:t>记账本位币</w:t>
      </w:r>
      <w:bookmarkEnd w:id="136"/>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7" w:name="_Toc67591772"/>
      <w:r>
        <w:rPr>
          <w:rFonts w:ascii="Times New Roman" w:hAnsi="Times New Roman"/>
          <w:kern w:val="0"/>
          <w:szCs w:val="24"/>
        </w:rPr>
        <w:t xml:space="preserve">7.4.4.3 </w:t>
      </w:r>
      <w:r>
        <w:rPr>
          <w:rFonts w:hint="eastAsia" w:ascii="Times New Roman" w:hAnsi="Times New Roman"/>
          <w:kern w:val="0"/>
          <w:szCs w:val="24"/>
        </w:rPr>
        <w:t>金融资产和金融负债的分类</w:t>
      </w:r>
      <w:bookmarkEnd w:id="137"/>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8" w:name="_Toc67591773"/>
      <w:r>
        <w:rPr>
          <w:rFonts w:ascii="Times New Roman" w:hAnsi="Times New Roman"/>
          <w:kern w:val="0"/>
          <w:szCs w:val="24"/>
        </w:rPr>
        <w:t xml:space="preserve">7.4.4.4 </w:t>
      </w:r>
      <w:r>
        <w:rPr>
          <w:rFonts w:hint="eastAsia" w:ascii="Times New Roman" w:hAnsi="Times New Roman"/>
          <w:kern w:val="0"/>
          <w:szCs w:val="24"/>
        </w:rPr>
        <w:t>金融资产和金融负债的初始确认、后续计量和终止确认</w:t>
      </w:r>
      <w:bookmarkEnd w:id="138"/>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9" w:name="_Toc67591774"/>
      <w:r>
        <w:rPr>
          <w:rFonts w:ascii="Times New Roman" w:hAnsi="Times New Roman"/>
          <w:kern w:val="0"/>
          <w:szCs w:val="24"/>
        </w:rPr>
        <w:t xml:space="preserve">7.4.4.5 </w:t>
      </w:r>
      <w:r>
        <w:rPr>
          <w:rFonts w:hint="eastAsia" w:ascii="Times New Roman" w:hAnsi="Times New Roman"/>
          <w:kern w:val="0"/>
          <w:szCs w:val="24"/>
        </w:rPr>
        <w:t>金融资产和金融负债的估值原则</w:t>
      </w:r>
      <w:bookmarkEnd w:id="139"/>
    </w:p>
    <w:p>
      <w:pPr>
        <w:spacing w:before="29" w:line="288" w:lineRule="auto"/>
        <w:ind w:firstLine="480" w:firstLineChars="200"/>
        <w:rPr>
          <w:color w:val="000000"/>
          <w:sz w:val="24"/>
        </w:rPr>
      </w:pPr>
      <w:r>
        <w:rPr>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pStyle w:val="3"/>
        <w:spacing w:before="29" w:after="0" w:line="288" w:lineRule="auto"/>
        <w:rPr>
          <w:rFonts w:ascii="Times New Roman" w:hAnsi="Times New Roman"/>
          <w:kern w:val="0"/>
          <w:szCs w:val="24"/>
        </w:rPr>
      </w:pPr>
      <w:bookmarkStart w:id="140" w:name="_Toc67591775"/>
      <w:r>
        <w:rPr>
          <w:rFonts w:ascii="Times New Roman" w:hAnsi="Times New Roman"/>
          <w:kern w:val="0"/>
          <w:szCs w:val="24"/>
        </w:rPr>
        <w:t xml:space="preserve">7.4.4.6 </w:t>
      </w:r>
      <w:r>
        <w:rPr>
          <w:rFonts w:hint="eastAsia" w:ascii="Times New Roman" w:hAnsi="Times New Roman"/>
          <w:kern w:val="0"/>
          <w:szCs w:val="24"/>
        </w:rPr>
        <w:t>金融资产和金融负债的抵销</w:t>
      </w:r>
      <w:bookmarkEnd w:id="140"/>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1" w:name="_Toc67591776"/>
      <w:r>
        <w:rPr>
          <w:rFonts w:ascii="Times New Roman" w:hAnsi="Times New Roman"/>
          <w:kern w:val="0"/>
          <w:szCs w:val="24"/>
        </w:rPr>
        <w:t xml:space="preserve">7.4.4.7 </w:t>
      </w:r>
      <w:r>
        <w:rPr>
          <w:rFonts w:hint="eastAsia" w:ascii="Times New Roman" w:hAnsi="Times New Roman"/>
          <w:kern w:val="0"/>
          <w:szCs w:val="24"/>
        </w:rPr>
        <w:t>实收基金</w:t>
      </w:r>
      <w:bookmarkEnd w:id="141"/>
    </w:p>
    <w:p>
      <w:pPr>
        <w:spacing w:before="29" w:line="288" w:lineRule="auto"/>
        <w:ind w:firstLine="480" w:firstLineChars="20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2" w:name="_Toc67591777"/>
      <w:r>
        <w:rPr>
          <w:rFonts w:ascii="Times New Roman" w:hAnsi="Times New Roman"/>
          <w:kern w:val="0"/>
          <w:szCs w:val="24"/>
        </w:rPr>
        <w:t xml:space="preserve">7.4.4.8 </w:t>
      </w:r>
      <w:r>
        <w:rPr>
          <w:rFonts w:hint="eastAsia" w:ascii="Times New Roman" w:hAnsi="Times New Roman"/>
          <w:kern w:val="0"/>
          <w:szCs w:val="24"/>
        </w:rPr>
        <w:t>损益平准金</w:t>
      </w:r>
      <w:bookmarkEnd w:id="142"/>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heme="minorEastAsia" w:hAnsiTheme="minorEastAsia" w:eastAsiaTheme="minorEastAsia"/>
          <w:b w:val="0"/>
          <w:color w:val="000000"/>
          <w:kern w:val="0"/>
          <w:szCs w:val="21"/>
        </w:rPr>
      </w:pPr>
      <w:bookmarkStart w:id="143" w:name="_Toc67591778"/>
      <w:r>
        <w:rPr>
          <w:rFonts w:ascii="Times New Roman" w:hAnsi="Times New Roman"/>
          <w:kern w:val="0"/>
          <w:szCs w:val="24"/>
        </w:rPr>
        <w:t xml:space="preserve">7.4.4.9 </w:t>
      </w:r>
      <w:r>
        <w:rPr>
          <w:rFonts w:hint="eastAsia" w:ascii="Times New Roman" w:hAnsi="Times New Roman"/>
          <w:kern w:val="0"/>
          <w:szCs w:val="24"/>
        </w:rPr>
        <w:t>收入</w:t>
      </w:r>
      <w:r>
        <w:rPr>
          <w:rFonts w:ascii="Times New Roman" w:hAnsi="Times New Roman"/>
          <w:kern w:val="0"/>
          <w:szCs w:val="24"/>
        </w:rPr>
        <w:t>/(</w:t>
      </w:r>
      <w:r>
        <w:rPr>
          <w:rFonts w:hint="eastAsia" w:ascii="Times New Roman" w:hAnsi="Times New Roman"/>
          <w:kern w:val="0"/>
          <w:szCs w:val="24"/>
        </w:rPr>
        <w:t>损失</w:t>
      </w:r>
      <w:r>
        <w:rPr>
          <w:rFonts w:ascii="Times New Roman" w:hAnsi="Times New Roman"/>
          <w:kern w:val="0"/>
          <w:szCs w:val="24"/>
        </w:rPr>
        <w:t>)</w:t>
      </w:r>
      <w:r>
        <w:rPr>
          <w:rFonts w:hint="eastAsia" w:ascii="Times New Roman" w:hAnsi="Times New Roman"/>
          <w:kern w:val="0"/>
          <w:szCs w:val="24"/>
        </w:rPr>
        <w:t>的确认和计量</w:t>
      </w:r>
      <w:bookmarkEnd w:id="143"/>
    </w:p>
    <w:p>
      <w:pPr>
        <w:spacing w:before="29" w:line="288" w:lineRule="auto"/>
        <w:ind w:firstLine="480" w:firstLineChars="20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4" w:name="_Toc67591779"/>
      <w:r>
        <w:rPr>
          <w:rFonts w:ascii="Times New Roman" w:hAnsi="Times New Roman"/>
          <w:kern w:val="0"/>
          <w:szCs w:val="24"/>
        </w:rPr>
        <w:t xml:space="preserve">7.4.4.10 </w:t>
      </w:r>
      <w:r>
        <w:rPr>
          <w:rFonts w:hint="eastAsia" w:ascii="Times New Roman" w:hAnsi="Times New Roman"/>
          <w:kern w:val="0"/>
          <w:szCs w:val="24"/>
        </w:rPr>
        <w:t>费用的确认和计量</w:t>
      </w:r>
      <w:bookmarkEnd w:id="144"/>
    </w:p>
    <w:p>
      <w:pPr>
        <w:spacing w:before="29" w:line="288" w:lineRule="auto"/>
        <w:ind w:firstLine="480" w:firstLineChars="200"/>
        <w:rPr>
          <w:color w:val="000000"/>
          <w:sz w:val="24"/>
        </w:rPr>
      </w:pPr>
      <w:r>
        <w:rPr>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5" w:name="_Toc67591780"/>
      <w:r>
        <w:rPr>
          <w:rFonts w:ascii="Times New Roman" w:hAnsi="Times New Roman"/>
          <w:kern w:val="0"/>
          <w:szCs w:val="24"/>
        </w:rPr>
        <w:t xml:space="preserve">7.4.4.11 </w:t>
      </w:r>
      <w:r>
        <w:rPr>
          <w:rFonts w:hint="eastAsia" w:ascii="Times New Roman" w:hAnsi="Times New Roman"/>
          <w:kern w:val="0"/>
          <w:szCs w:val="24"/>
        </w:rPr>
        <w:t>基金的收益分配政策</w:t>
      </w:r>
      <w:bookmarkEnd w:id="145"/>
    </w:p>
    <w:p>
      <w:pPr>
        <w:spacing w:before="29" w:line="288" w:lineRule="auto"/>
        <w:ind w:firstLine="480" w:firstLineChars="20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6" w:name="_Toc67591781"/>
      <w:r>
        <w:rPr>
          <w:rFonts w:ascii="Times New Roman" w:hAnsi="Times New Roman"/>
          <w:kern w:val="0"/>
          <w:szCs w:val="24"/>
        </w:rPr>
        <w:t xml:space="preserve">7.4.4.12 </w:t>
      </w:r>
      <w:r>
        <w:rPr>
          <w:rFonts w:hint="eastAsia" w:ascii="Times New Roman" w:hAnsi="Times New Roman"/>
          <w:kern w:val="0"/>
          <w:szCs w:val="24"/>
        </w:rPr>
        <w:t>分部报告</w:t>
      </w:r>
      <w:bookmarkEnd w:id="146"/>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7" w:name="_Toc67591782"/>
      <w:r>
        <w:rPr>
          <w:rFonts w:ascii="Times New Roman" w:hAnsi="Times New Roman"/>
          <w:kern w:val="0"/>
          <w:szCs w:val="24"/>
        </w:rPr>
        <w:t xml:space="preserve">7.4.4.13 </w:t>
      </w:r>
      <w:r>
        <w:rPr>
          <w:rFonts w:hint="eastAsia" w:ascii="Times New Roman" w:hAnsi="Times New Roman"/>
          <w:kern w:val="0"/>
          <w:szCs w:val="24"/>
        </w:rPr>
        <w:t>其他重要的会计政策和会计估计</w:t>
      </w:r>
      <w:bookmarkEnd w:id="147"/>
    </w:p>
    <w:p>
      <w:pPr>
        <w:spacing w:before="29" w:line="288" w:lineRule="auto"/>
        <w:ind w:firstLine="480" w:firstLineChars="20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color w:val="000000"/>
          <w:sz w:val="24"/>
        </w:rPr>
        <w:t>(3) 对于在证券交易所上市或挂牌转让的固定收益品种(可转换债券、可交换债券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8" w:name="_Toc67591783"/>
      <w:r>
        <w:rPr>
          <w:rFonts w:ascii="Times New Roman" w:hAnsi="Times New Roman"/>
          <w:kern w:val="0"/>
          <w:szCs w:val="24"/>
        </w:rPr>
        <w:t>7.4.5</w:t>
      </w:r>
      <w:r>
        <w:rPr>
          <w:rFonts w:hint="eastAsia" w:ascii="Times New Roman" w:hAnsi="Times New Roman"/>
          <w:kern w:val="0"/>
          <w:szCs w:val="24"/>
        </w:rPr>
        <w:t>会计政策和会计估计变更以及差错更正的说明</w:t>
      </w:r>
      <w:bookmarkEnd w:id="148"/>
    </w:p>
    <w:p>
      <w:pPr>
        <w:pStyle w:val="3"/>
        <w:spacing w:before="29" w:after="0" w:line="288" w:lineRule="auto"/>
        <w:rPr>
          <w:rFonts w:ascii="Times New Roman" w:hAnsi="Times New Roman"/>
          <w:kern w:val="0"/>
          <w:szCs w:val="24"/>
        </w:rPr>
      </w:pPr>
      <w:bookmarkStart w:id="149" w:name="_Toc67591784"/>
      <w:r>
        <w:rPr>
          <w:rFonts w:ascii="Times New Roman" w:hAnsi="Times New Roman"/>
          <w:kern w:val="0"/>
          <w:szCs w:val="24"/>
        </w:rPr>
        <w:t xml:space="preserve">7.4.5.1 </w:t>
      </w:r>
      <w:r>
        <w:rPr>
          <w:rFonts w:hint="eastAsia" w:ascii="Times New Roman" w:hAnsi="Times New Roman"/>
          <w:kern w:val="0"/>
          <w:szCs w:val="24"/>
        </w:rPr>
        <w:t>会计政策变更的说明</w:t>
      </w:r>
      <w:bookmarkEnd w:id="149"/>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0" w:name="_Toc67591785"/>
      <w:r>
        <w:rPr>
          <w:rFonts w:ascii="Times New Roman" w:hAnsi="Times New Roman"/>
          <w:kern w:val="0"/>
          <w:szCs w:val="24"/>
        </w:rPr>
        <w:t xml:space="preserve">7.4.5.2 </w:t>
      </w:r>
      <w:r>
        <w:rPr>
          <w:rFonts w:hint="eastAsia" w:ascii="Times New Roman" w:hAnsi="Times New Roman"/>
          <w:kern w:val="0"/>
          <w:szCs w:val="24"/>
        </w:rPr>
        <w:t>会计估计变更的说明</w:t>
      </w:r>
      <w:bookmarkEnd w:id="150"/>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1" w:name="_Toc67591786"/>
      <w:r>
        <w:rPr>
          <w:rFonts w:ascii="Times New Roman" w:hAnsi="Times New Roman"/>
          <w:kern w:val="0"/>
          <w:szCs w:val="24"/>
        </w:rPr>
        <w:t xml:space="preserve">7.4.5.3 </w:t>
      </w:r>
      <w:r>
        <w:rPr>
          <w:rFonts w:hint="eastAsia" w:ascii="Times New Roman" w:hAnsi="Times New Roman"/>
          <w:kern w:val="0"/>
          <w:szCs w:val="24"/>
        </w:rPr>
        <w:t>差错更正的说明</w:t>
      </w:r>
      <w:bookmarkEnd w:id="151"/>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2" w:name="_Toc67591787"/>
      <w:r>
        <w:rPr>
          <w:rFonts w:ascii="Times New Roman" w:hAnsi="Times New Roman"/>
          <w:kern w:val="0"/>
          <w:szCs w:val="24"/>
        </w:rPr>
        <w:t>7.4.6</w:t>
      </w:r>
      <w:r>
        <w:rPr>
          <w:rFonts w:hint="eastAsia" w:ascii="Times New Roman" w:hAnsi="Times New Roman"/>
          <w:kern w:val="0"/>
          <w:szCs w:val="24"/>
        </w:rPr>
        <w:t>税项</w:t>
      </w:r>
      <w:bookmarkEnd w:id="152"/>
    </w:p>
    <w:p>
      <w:pPr>
        <w:spacing w:before="29" w:line="288" w:lineRule="auto"/>
        <w:ind w:firstLine="480" w:firstLineChars="200"/>
        <w:rPr>
          <w:color w:val="000000"/>
          <w:sz w:val="24"/>
        </w:rPr>
      </w:pPr>
      <w:r>
        <w:rPr>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color w:val="000000"/>
          <w:sz w:val="24"/>
        </w:rPr>
        <w:t>(4) 基金卖出股票按0.1%的税率缴纳股票交易印花税，买入股票不征收股票交易印花税。</w:t>
      </w:r>
    </w:p>
    <w:p>
      <w:pPr>
        <w:spacing w:before="29" w:line="288" w:lineRule="auto"/>
        <w:ind w:firstLine="480" w:firstLineChars="200"/>
        <w:rPr>
          <w:color w:val="000000"/>
          <w:sz w:val="24"/>
        </w:rPr>
      </w:pPr>
      <w:r>
        <w:rPr>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1,135,333,628.54</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160,805,208.46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1,135,333,628.54</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160,805,208.46</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53" w:name="_Toc67591788"/>
      <w:r>
        <w:rPr>
          <w:rFonts w:ascii="Times New Roman" w:hAnsi="Times New Roman"/>
          <w:kern w:val="0"/>
          <w:szCs w:val="24"/>
        </w:rPr>
        <w:t>7.4.7.2</w:t>
      </w:r>
      <w:r>
        <w:rPr>
          <w:rFonts w:hint="eastAsia" w:ascii="Times New Roman" w:hAnsi="Times New Roman"/>
          <w:kern w:val="0"/>
          <w:szCs w:val="24"/>
        </w:rPr>
        <w:t>交易性金融资产</w:t>
      </w:r>
      <w:bookmarkEnd w:id="153"/>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4,594,159,935.65</w:t>
            </w:r>
          </w:p>
        </w:tc>
        <w:tc>
          <w:tcPr>
            <w:tcW w:w="2339" w:type="dxa"/>
            <w:vAlign w:val="center"/>
          </w:tcPr>
          <w:p>
            <w:pPr>
              <w:spacing w:before="29" w:line="288" w:lineRule="auto"/>
              <w:jc w:val="right"/>
              <w:rPr>
                <w:kern w:val="0"/>
                <w:sz w:val="24"/>
              </w:rPr>
            </w:pPr>
            <w:r>
              <w:rPr>
                <w:kern w:val="0"/>
                <w:sz w:val="24"/>
              </w:rPr>
              <w:t>5,284,849,104.86</w:t>
            </w:r>
          </w:p>
        </w:tc>
        <w:tc>
          <w:tcPr>
            <w:tcW w:w="2340" w:type="dxa"/>
            <w:vAlign w:val="center"/>
          </w:tcPr>
          <w:p>
            <w:pPr>
              <w:spacing w:before="29" w:line="288" w:lineRule="auto"/>
              <w:jc w:val="right"/>
              <w:rPr>
                <w:kern w:val="0"/>
                <w:sz w:val="24"/>
              </w:rPr>
            </w:pPr>
            <w:r>
              <w:rPr>
                <w:kern w:val="0"/>
                <w:sz w:val="24"/>
              </w:rPr>
              <w:t>690,689,169.21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Theme="minorEastAsia" w:hAnsiTheme="minorEastAsia" w:eastAsiaTheme="minorEastAsia"/>
                <w:color w:val="000000"/>
                <w:kern w:val="0"/>
                <w:szCs w:val="21"/>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319,451,152.05</w:t>
            </w:r>
          </w:p>
        </w:tc>
        <w:tc>
          <w:tcPr>
            <w:tcW w:w="2339" w:type="dxa"/>
            <w:vAlign w:val="center"/>
          </w:tcPr>
          <w:p>
            <w:pPr>
              <w:spacing w:before="29" w:line="288" w:lineRule="auto"/>
              <w:jc w:val="right"/>
              <w:rPr>
                <w:kern w:val="0"/>
                <w:sz w:val="24"/>
              </w:rPr>
            </w:pPr>
            <w:r>
              <w:rPr>
                <w:kern w:val="0"/>
                <w:sz w:val="24"/>
              </w:rPr>
              <w:t>319,646,000.00</w:t>
            </w:r>
          </w:p>
        </w:tc>
        <w:tc>
          <w:tcPr>
            <w:tcW w:w="2340" w:type="dxa"/>
            <w:vAlign w:val="center"/>
          </w:tcPr>
          <w:p>
            <w:pPr>
              <w:spacing w:before="29" w:line="288" w:lineRule="auto"/>
              <w:jc w:val="right"/>
              <w:rPr>
                <w:kern w:val="0"/>
                <w:sz w:val="24"/>
              </w:rPr>
            </w:pPr>
            <w:r>
              <w:rPr>
                <w:kern w:val="0"/>
                <w:sz w:val="24"/>
              </w:rPr>
              <w:t>194,847.95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319,451,152.05</w:t>
            </w:r>
          </w:p>
        </w:tc>
        <w:tc>
          <w:tcPr>
            <w:tcW w:w="2339" w:type="dxa"/>
            <w:vAlign w:val="center"/>
          </w:tcPr>
          <w:p>
            <w:pPr>
              <w:spacing w:before="29" w:line="288" w:lineRule="auto"/>
              <w:jc w:val="right"/>
              <w:rPr>
                <w:kern w:val="0"/>
                <w:sz w:val="24"/>
              </w:rPr>
            </w:pPr>
            <w:r>
              <w:rPr>
                <w:kern w:val="0"/>
                <w:sz w:val="24"/>
              </w:rPr>
              <w:t>319,646,000.00</w:t>
            </w:r>
          </w:p>
        </w:tc>
        <w:tc>
          <w:tcPr>
            <w:tcW w:w="2340" w:type="dxa"/>
            <w:vAlign w:val="center"/>
          </w:tcPr>
          <w:p>
            <w:pPr>
              <w:spacing w:before="29" w:line="288" w:lineRule="auto"/>
              <w:jc w:val="right"/>
              <w:rPr>
                <w:kern w:val="0"/>
                <w:sz w:val="24"/>
              </w:rPr>
            </w:pPr>
            <w:r>
              <w:rPr>
                <w:kern w:val="0"/>
                <w:sz w:val="24"/>
              </w:rPr>
              <w:t>194,847.95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4,913,611,087.70</w:t>
            </w:r>
          </w:p>
        </w:tc>
        <w:tc>
          <w:tcPr>
            <w:tcW w:w="2339" w:type="dxa"/>
            <w:vAlign w:val="center"/>
          </w:tcPr>
          <w:p>
            <w:pPr>
              <w:spacing w:before="29" w:line="288" w:lineRule="auto"/>
              <w:jc w:val="right"/>
              <w:rPr>
                <w:kern w:val="0"/>
                <w:sz w:val="24"/>
              </w:rPr>
            </w:pPr>
            <w:r>
              <w:rPr>
                <w:kern w:val="0"/>
                <w:sz w:val="24"/>
              </w:rPr>
              <w:t>5,604,495,104.86</w:t>
            </w:r>
          </w:p>
        </w:tc>
        <w:tc>
          <w:tcPr>
            <w:tcW w:w="2340" w:type="dxa"/>
            <w:vAlign w:val="center"/>
          </w:tcPr>
          <w:p>
            <w:pPr>
              <w:spacing w:before="29" w:line="288" w:lineRule="auto"/>
              <w:jc w:val="right"/>
              <w:rPr>
                <w:kern w:val="0"/>
                <w:sz w:val="24"/>
              </w:rPr>
            </w:pPr>
            <w:r>
              <w:rPr>
                <w:kern w:val="0"/>
                <w:sz w:val="24"/>
              </w:rPr>
              <w:t>690,884,017.16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2,261,714,686.67</w:t>
            </w:r>
          </w:p>
        </w:tc>
        <w:tc>
          <w:tcPr>
            <w:tcW w:w="2339" w:type="dxa"/>
            <w:vAlign w:val="center"/>
          </w:tcPr>
          <w:p>
            <w:pPr>
              <w:spacing w:before="29" w:line="288" w:lineRule="auto"/>
              <w:jc w:val="right"/>
              <w:rPr>
                <w:kern w:val="0"/>
                <w:sz w:val="24"/>
              </w:rPr>
            </w:pPr>
            <w:r>
              <w:rPr>
                <w:kern w:val="0"/>
                <w:sz w:val="24"/>
              </w:rPr>
              <w:t>2,539,873,916.70</w:t>
            </w:r>
          </w:p>
        </w:tc>
        <w:tc>
          <w:tcPr>
            <w:tcW w:w="2340" w:type="dxa"/>
            <w:vAlign w:val="center"/>
          </w:tcPr>
          <w:p>
            <w:pPr>
              <w:spacing w:before="29" w:line="288" w:lineRule="auto"/>
              <w:jc w:val="right"/>
              <w:rPr>
                <w:kern w:val="0"/>
                <w:sz w:val="24"/>
              </w:rPr>
            </w:pPr>
            <w:r>
              <w:rPr>
                <w:kern w:val="0"/>
                <w:sz w:val="24"/>
              </w:rPr>
              <w:t>278,159,230.03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190,105,986.07</w:t>
            </w:r>
          </w:p>
        </w:tc>
        <w:tc>
          <w:tcPr>
            <w:tcW w:w="2339" w:type="dxa"/>
            <w:vAlign w:val="center"/>
          </w:tcPr>
          <w:p>
            <w:pPr>
              <w:spacing w:before="29" w:line="288" w:lineRule="auto"/>
              <w:jc w:val="right"/>
              <w:rPr>
                <w:kern w:val="0"/>
                <w:sz w:val="24"/>
              </w:rPr>
            </w:pPr>
            <w:r>
              <w:rPr>
                <w:kern w:val="0"/>
                <w:sz w:val="24"/>
              </w:rPr>
              <w:t>190,283,000.00</w:t>
            </w:r>
          </w:p>
        </w:tc>
        <w:tc>
          <w:tcPr>
            <w:tcW w:w="2340" w:type="dxa"/>
            <w:vAlign w:val="center"/>
          </w:tcPr>
          <w:p>
            <w:pPr>
              <w:spacing w:before="29" w:line="288" w:lineRule="auto"/>
              <w:jc w:val="right"/>
              <w:rPr>
                <w:kern w:val="0"/>
                <w:sz w:val="24"/>
              </w:rPr>
            </w:pPr>
            <w:r>
              <w:rPr>
                <w:kern w:val="0"/>
                <w:sz w:val="24"/>
              </w:rPr>
              <w:t>177,013.93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190,105,986.07</w:t>
            </w:r>
          </w:p>
        </w:tc>
        <w:tc>
          <w:tcPr>
            <w:tcW w:w="2339" w:type="dxa"/>
            <w:vAlign w:val="center"/>
          </w:tcPr>
          <w:p>
            <w:pPr>
              <w:spacing w:before="29" w:line="288" w:lineRule="auto"/>
              <w:jc w:val="right"/>
              <w:rPr>
                <w:kern w:val="0"/>
                <w:sz w:val="24"/>
              </w:rPr>
            </w:pPr>
            <w:r>
              <w:rPr>
                <w:kern w:val="0"/>
                <w:sz w:val="24"/>
              </w:rPr>
              <w:t>190,283,000.00</w:t>
            </w:r>
          </w:p>
        </w:tc>
        <w:tc>
          <w:tcPr>
            <w:tcW w:w="2340" w:type="dxa"/>
            <w:vAlign w:val="center"/>
          </w:tcPr>
          <w:p>
            <w:pPr>
              <w:spacing w:before="29" w:line="288" w:lineRule="auto"/>
              <w:jc w:val="right"/>
              <w:rPr>
                <w:kern w:val="0"/>
                <w:sz w:val="24"/>
              </w:rPr>
            </w:pPr>
            <w:r>
              <w:rPr>
                <w:kern w:val="0"/>
                <w:sz w:val="24"/>
              </w:rPr>
              <w:t>177,013.93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2,451,820,672.74</w:t>
            </w:r>
          </w:p>
        </w:tc>
        <w:tc>
          <w:tcPr>
            <w:tcW w:w="2339" w:type="dxa"/>
            <w:vAlign w:val="center"/>
          </w:tcPr>
          <w:p>
            <w:pPr>
              <w:spacing w:before="29" w:line="288" w:lineRule="auto"/>
              <w:jc w:val="right"/>
              <w:rPr>
                <w:kern w:val="0"/>
                <w:sz w:val="24"/>
              </w:rPr>
            </w:pPr>
            <w:r>
              <w:rPr>
                <w:kern w:val="0"/>
                <w:sz w:val="24"/>
              </w:rPr>
              <w:t>2,730,156,916.70</w:t>
            </w:r>
          </w:p>
        </w:tc>
        <w:tc>
          <w:tcPr>
            <w:tcW w:w="2340" w:type="dxa"/>
            <w:vAlign w:val="center"/>
          </w:tcPr>
          <w:p>
            <w:pPr>
              <w:spacing w:before="29" w:line="288" w:lineRule="auto"/>
              <w:jc w:val="right"/>
              <w:rPr>
                <w:kern w:val="0"/>
                <w:sz w:val="24"/>
              </w:rPr>
            </w:pPr>
            <w:r>
              <w:rPr>
                <w:kern w:val="0"/>
                <w:sz w:val="24"/>
              </w:rPr>
              <w:t>278,336,243.96</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4" w:name="_Toc67591789"/>
      <w:r>
        <w:rPr>
          <w:rFonts w:ascii="Times New Roman" w:hAnsi="Times New Roman"/>
          <w:kern w:val="0"/>
          <w:szCs w:val="24"/>
        </w:rPr>
        <w:t>7.4.7.3</w:t>
      </w:r>
      <w:r>
        <w:rPr>
          <w:rFonts w:hint="eastAsia" w:ascii="Times New Roman" w:hAnsi="Times New Roman"/>
          <w:kern w:val="0"/>
          <w:szCs w:val="24"/>
        </w:rPr>
        <w:t>衍生金融资产</w:t>
      </w:r>
      <w:r>
        <w:rPr>
          <w:rFonts w:ascii="Times New Roman" w:hAnsi="Times New Roman"/>
          <w:kern w:val="0"/>
          <w:szCs w:val="24"/>
        </w:rPr>
        <w:t>/</w:t>
      </w:r>
      <w:r>
        <w:rPr>
          <w:rFonts w:hint="eastAsia" w:ascii="Times New Roman" w:hAnsi="Times New Roman"/>
          <w:kern w:val="0"/>
          <w:szCs w:val="24"/>
        </w:rPr>
        <w:t>负债</w:t>
      </w:r>
      <w:bookmarkEnd w:id="154"/>
    </w:p>
    <w:p>
      <w:pPr>
        <w:tabs>
          <w:tab w:val="left" w:pos="426"/>
        </w:tabs>
        <w:spacing w:before="29" w:line="288" w:lineRule="auto"/>
        <w:jc w:val="left"/>
        <w:rPr>
          <w:kern w:val="0"/>
          <w:sz w:val="24"/>
        </w:rPr>
      </w:pPr>
      <w:r>
        <w:rPr>
          <w:kern w:val="0"/>
          <w:sz w:val="24"/>
        </w:rPr>
        <w:t>本基金本报告期末及上年度末未持有衍生金融工具。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7.4.7.4</w:t>
      </w:r>
      <w:r>
        <w:rPr>
          <w:rFonts w:hint="eastAsia" w:eastAsiaTheme="minorEastAsia"/>
          <w:b/>
          <w:sz w:val="24"/>
        </w:rPr>
        <w:t>买入返售金融资产</w:t>
      </w:r>
    </w:p>
    <w:p>
      <w:pPr>
        <w:spacing w:before="29" w:line="288" w:lineRule="auto"/>
        <w:rPr>
          <w:rFonts w:eastAsiaTheme="minorEastAsia"/>
          <w:b/>
          <w:sz w:val="24"/>
        </w:rPr>
      </w:pPr>
      <w:r>
        <w:rPr>
          <w:rFonts w:eastAsiaTheme="minorEastAsia"/>
          <w:b/>
          <w:sz w:val="24"/>
        </w:rPr>
        <w:t>7.4.7.4.1</w:t>
      </w:r>
      <w:r>
        <w:rPr>
          <w:rFonts w:hint="eastAsia" w:eastAsiaTheme="minorEastAsia"/>
          <w:b/>
          <w:sz w:val="24"/>
        </w:rPr>
        <w:t>各项买入返售金融资产期末余额</w:t>
      </w:r>
    </w:p>
    <w:p>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1"/>
        <w:gridCol w:w="3260"/>
        <w:gridCol w:w="3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restart"/>
            <w:vAlign w:val="center"/>
          </w:tcPr>
          <w:p>
            <w:pPr>
              <w:spacing w:line="360" w:lineRule="auto"/>
              <w:jc w:val="center"/>
              <w:rPr>
                <w:rFonts w:eastAsiaTheme="minorEastAsia"/>
                <w:sz w:val="24"/>
              </w:rPr>
            </w:pPr>
            <w:r>
              <w:rPr>
                <w:rFonts w:eastAsiaTheme="minorEastAsia"/>
                <w:sz w:val="24"/>
              </w:rPr>
              <w:t>项目</w:t>
            </w:r>
          </w:p>
        </w:tc>
        <w:tc>
          <w:tcPr>
            <w:tcW w:w="6631" w:type="dxa"/>
            <w:gridSpan w:val="2"/>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continue"/>
            <w:vAlign w:val="center"/>
          </w:tcPr>
          <w:p>
            <w:pPr>
              <w:widowControl/>
              <w:spacing w:line="360" w:lineRule="auto"/>
              <w:jc w:val="left"/>
              <w:rPr>
                <w:rFonts w:eastAsiaTheme="minorEastAsia"/>
                <w:sz w:val="24"/>
              </w:rPr>
            </w:pPr>
          </w:p>
        </w:tc>
        <w:tc>
          <w:tcPr>
            <w:tcW w:w="3260" w:type="dxa"/>
          </w:tcPr>
          <w:p>
            <w:pPr>
              <w:spacing w:line="360" w:lineRule="auto"/>
              <w:jc w:val="center"/>
              <w:rPr>
                <w:rFonts w:eastAsiaTheme="minorEastAsia"/>
                <w:sz w:val="24"/>
              </w:rPr>
            </w:pPr>
            <w:r>
              <w:rPr>
                <w:rFonts w:eastAsiaTheme="minorEastAsia"/>
                <w:sz w:val="24"/>
              </w:rPr>
              <w:t>账面余额</w:t>
            </w:r>
          </w:p>
        </w:tc>
        <w:tc>
          <w:tcPr>
            <w:tcW w:w="3371" w:type="dxa"/>
          </w:tcPr>
          <w:p>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交易所市场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银行间市场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spacing w:line="360" w:lineRule="auto"/>
              <w:jc w:val="left"/>
              <w:rPr>
                <w:rFonts w:eastAsiaTheme="minorEastAsia"/>
                <w:sz w:val="24"/>
              </w:rPr>
            </w:pPr>
            <w:r>
              <w:rPr>
                <w:rFonts w:eastAsiaTheme="minorEastAsia"/>
                <w:sz w:val="24"/>
              </w:rPr>
              <w:t>合计</w:t>
            </w:r>
          </w:p>
        </w:tc>
        <w:tc>
          <w:tcPr>
            <w:tcW w:w="3260" w:type="dxa"/>
            <w:vAlign w:val="center"/>
          </w:tcPr>
          <w:p>
            <w:pPr>
              <w:spacing w:line="360" w:lineRule="auto"/>
              <w:jc w:val="right"/>
              <w:rPr>
                <w:rFonts w:eastAsiaTheme="minorEastAsia"/>
                <w:sz w:val="24"/>
              </w:rPr>
            </w:pPr>
            <w:r>
              <w:rPr>
                <w:rFonts w:eastAsiaTheme="minorEastAsia"/>
                <w:sz w:val="24"/>
              </w:rPr>
              <w:t>-</w:t>
            </w:r>
          </w:p>
        </w:tc>
        <w:tc>
          <w:tcPr>
            <w:tcW w:w="3371"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restart"/>
            <w:vAlign w:val="center"/>
          </w:tcPr>
          <w:p>
            <w:pPr>
              <w:spacing w:line="360" w:lineRule="auto"/>
              <w:jc w:val="center"/>
              <w:rPr>
                <w:rFonts w:eastAsiaTheme="minorEastAsia"/>
                <w:sz w:val="24"/>
              </w:rPr>
            </w:pPr>
            <w:r>
              <w:rPr>
                <w:rFonts w:eastAsiaTheme="minorEastAsia"/>
                <w:sz w:val="24"/>
              </w:rPr>
              <w:t>项目</w:t>
            </w:r>
          </w:p>
        </w:tc>
        <w:tc>
          <w:tcPr>
            <w:tcW w:w="6631" w:type="dxa"/>
            <w:gridSpan w:val="2"/>
          </w:tcPr>
          <w:p>
            <w:pPr>
              <w:spacing w:line="360" w:lineRule="auto"/>
              <w:jc w:val="center"/>
              <w:rPr>
                <w:rFonts w:eastAsiaTheme="minorEastAsia"/>
                <w:color w:val="000000"/>
                <w:kern w:val="0"/>
                <w:sz w:val="24"/>
              </w:rPr>
            </w:pPr>
            <w:r>
              <w:rPr>
                <w:rFonts w:eastAsiaTheme="minorEastAsia"/>
                <w:color w:val="000000"/>
                <w:kern w:val="0"/>
                <w:sz w:val="24"/>
              </w:rPr>
              <w:t>上年度末</w:t>
            </w:r>
          </w:p>
          <w:p>
            <w:pPr>
              <w:spacing w:line="360" w:lineRule="auto"/>
              <w:jc w:val="center"/>
              <w:rPr>
                <w:rFonts w:eastAsiaTheme="minorEastAsia"/>
                <w:sz w:val="24"/>
              </w:rPr>
            </w:pPr>
            <w:r>
              <w:rPr>
                <w:rFonts w:eastAsiaTheme="minorEastAsia"/>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continue"/>
            <w:vAlign w:val="center"/>
          </w:tcPr>
          <w:p>
            <w:pPr>
              <w:widowControl/>
              <w:spacing w:line="360" w:lineRule="auto"/>
              <w:jc w:val="left"/>
              <w:rPr>
                <w:rFonts w:eastAsiaTheme="minorEastAsia"/>
                <w:sz w:val="24"/>
              </w:rPr>
            </w:pPr>
          </w:p>
        </w:tc>
        <w:tc>
          <w:tcPr>
            <w:tcW w:w="3260" w:type="dxa"/>
          </w:tcPr>
          <w:p>
            <w:pPr>
              <w:spacing w:line="360" w:lineRule="auto"/>
              <w:jc w:val="center"/>
              <w:rPr>
                <w:rFonts w:eastAsiaTheme="minorEastAsia"/>
                <w:sz w:val="24"/>
              </w:rPr>
            </w:pPr>
            <w:r>
              <w:rPr>
                <w:rFonts w:eastAsiaTheme="minorEastAsia"/>
                <w:sz w:val="24"/>
              </w:rPr>
              <w:t>账面余额</w:t>
            </w:r>
          </w:p>
        </w:tc>
        <w:tc>
          <w:tcPr>
            <w:tcW w:w="3371" w:type="dxa"/>
          </w:tcPr>
          <w:p>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交易所市场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银行间市场</w:t>
            </w:r>
          </w:p>
        </w:tc>
        <w:tc>
          <w:tcPr>
            <w:tcW w:w="3260" w:type="dxa"/>
          </w:tcPr>
          <w:p>
            <w:pPr>
              <w:jc w:val="right"/>
              <w:rPr>
                <w:rFonts w:eastAsiaTheme="minorEastAsia"/>
                <w:sz w:val="24"/>
              </w:rPr>
            </w:pPr>
            <w:r>
              <w:rPr>
                <w:rFonts w:eastAsiaTheme="minorEastAsia"/>
                <w:sz w:val="24"/>
              </w:rPr>
              <w:t>891,001,120.00</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spacing w:line="360" w:lineRule="auto"/>
              <w:jc w:val="left"/>
              <w:rPr>
                <w:rFonts w:eastAsiaTheme="minorEastAsia"/>
                <w:sz w:val="24"/>
              </w:rPr>
            </w:pPr>
            <w:r>
              <w:rPr>
                <w:rFonts w:eastAsiaTheme="minorEastAsia"/>
                <w:sz w:val="24"/>
              </w:rPr>
              <w:t>合计</w:t>
            </w:r>
          </w:p>
        </w:tc>
        <w:tc>
          <w:tcPr>
            <w:tcW w:w="3260" w:type="dxa"/>
            <w:vAlign w:val="center"/>
          </w:tcPr>
          <w:p>
            <w:pPr>
              <w:spacing w:line="360" w:lineRule="auto"/>
              <w:jc w:val="right"/>
              <w:rPr>
                <w:rFonts w:eastAsiaTheme="minorEastAsia"/>
                <w:sz w:val="24"/>
              </w:rPr>
            </w:pPr>
            <w:r>
              <w:rPr>
                <w:rFonts w:eastAsiaTheme="minorEastAsia"/>
                <w:sz w:val="24"/>
              </w:rPr>
              <w:t>891,001,120.00</w:t>
            </w:r>
          </w:p>
        </w:tc>
        <w:tc>
          <w:tcPr>
            <w:tcW w:w="3371" w:type="dxa"/>
            <w:vAlign w:val="center"/>
          </w:tcPr>
          <w:p>
            <w:pPr>
              <w:spacing w:line="360" w:lineRule="auto"/>
              <w:jc w:val="right"/>
              <w:rPr>
                <w:rFonts w:eastAsiaTheme="minorEastAsia"/>
                <w:sz w:val="24"/>
              </w:rPr>
            </w:pPr>
            <w:r>
              <w:rPr>
                <w:rFonts w:eastAsiaTheme="minorEastAsia"/>
                <w:sz w:val="24"/>
              </w:rPr>
              <w:t>-</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5" w:name="_Toc67591790"/>
      <w:r>
        <w:rPr>
          <w:rFonts w:ascii="Times New Roman" w:hAnsi="Times New Roman"/>
          <w:kern w:val="0"/>
          <w:szCs w:val="24"/>
        </w:rPr>
        <w:t>7.4.7.4.2</w:t>
      </w:r>
      <w:r>
        <w:rPr>
          <w:rFonts w:hint="eastAsia" w:ascii="Times New Roman" w:hAnsi="Times New Roman"/>
          <w:kern w:val="0"/>
          <w:szCs w:val="24"/>
        </w:rPr>
        <w:t>期末买断式逆回购交易中取得的债券</w:t>
      </w:r>
      <w:bookmarkEnd w:id="155"/>
    </w:p>
    <w:p>
      <w:pPr>
        <w:tabs>
          <w:tab w:val="left" w:pos="426"/>
        </w:tabs>
        <w:spacing w:before="29" w:line="288" w:lineRule="auto"/>
        <w:jc w:val="left"/>
        <w:rPr>
          <w:kern w:val="0"/>
          <w:sz w:val="24"/>
        </w:rPr>
      </w:pPr>
      <w:r>
        <w:rPr>
          <w:kern w:val="0"/>
          <w:sz w:val="24"/>
        </w:rPr>
        <w:t>本基金本报告期末及上年度末未持有从买断式逆回购交易中取得的债券。</w:t>
      </w: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31"/>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123,541.05</w:t>
            </w:r>
          </w:p>
        </w:tc>
        <w:tc>
          <w:tcPr>
            <w:tcW w:w="3406" w:type="dxa"/>
            <w:noWrap/>
            <w:vAlign w:val="center"/>
          </w:tcPr>
          <w:p>
            <w:pPr>
              <w:spacing w:line="360" w:lineRule="auto"/>
              <w:jc w:val="right"/>
              <w:rPr>
                <w:rFonts w:eastAsiaTheme="minorEastAsia"/>
                <w:sz w:val="24"/>
              </w:rPr>
            </w:pPr>
            <w:r>
              <w:rPr>
                <w:rFonts w:eastAsiaTheme="minorEastAsia"/>
                <w:sz w:val="24"/>
              </w:rPr>
              <w:t>182,835.22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2,842.62</w:t>
            </w:r>
          </w:p>
        </w:tc>
        <w:tc>
          <w:tcPr>
            <w:tcW w:w="3406" w:type="dxa"/>
            <w:noWrap/>
            <w:vAlign w:val="center"/>
          </w:tcPr>
          <w:p>
            <w:pPr>
              <w:spacing w:line="360" w:lineRule="auto"/>
              <w:jc w:val="right"/>
              <w:rPr>
                <w:rFonts w:eastAsiaTheme="minorEastAsia"/>
                <w:sz w:val="24"/>
              </w:rPr>
            </w:pPr>
            <w:r>
              <w:rPr>
                <w:rFonts w:eastAsiaTheme="minorEastAsia"/>
                <w:sz w:val="24"/>
              </w:rPr>
              <w:t>2,416.26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3,217,557.46</w:t>
            </w:r>
          </w:p>
        </w:tc>
        <w:tc>
          <w:tcPr>
            <w:tcW w:w="3406" w:type="dxa"/>
            <w:noWrap/>
            <w:vAlign w:val="center"/>
          </w:tcPr>
          <w:p>
            <w:pPr>
              <w:spacing w:line="360" w:lineRule="auto"/>
              <w:jc w:val="right"/>
              <w:rPr>
                <w:rFonts w:eastAsiaTheme="minorEastAsia"/>
                <w:sz w:val="24"/>
              </w:rPr>
            </w:pPr>
            <w:r>
              <w:rPr>
                <w:rFonts w:eastAsiaTheme="minorEastAsia"/>
                <w:sz w:val="24"/>
              </w:rPr>
              <w:t>2,930,325.14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66,570.14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42.53</w:t>
            </w:r>
          </w:p>
        </w:tc>
        <w:tc>
          <w:tcPr>
            <w:tcW w:w="3406" w:type="dxa"/>
            <w:noWrap/>
            <w:vAlign w:val="center"/>
          </w:tcPr>
          <w:p>
            <w:pPr>
              <w:spacing w:line="360" w:lineRule="auto"/>
              <w:jc w:val="right"/>
              <w:rPr>
                <w:rFonts w:eastAsiaTheme="minorEastAsia"/>
                <w:sz w:val="24"/>
              </w:rPr>
            </w:pPr>
            <w:r>
              <w:rPr>
                <w:rFonts w:eastAsiaTheme="minorEastAsia"/>
                <w:sz w:val="24"/>
              </w:rPr>
              <w:t>99.29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415.58</w:t>
            </w:r>
          </w:p>
        </w:tc>
        <w:tc>
          <w:tcPr>
            <w:tcW w:w="3406" w:type="dxa"/>
            <w:noWrap/>
            <w:vAlign w:val="center"/>
          </w:tcPr>
          <w:p>
            <w:pPr>
              <w:spacing w:line="360" w:lineRule="auto"/>
              <w:jc w:val="right"/>
              <w:rPr>
                <w:rFonts w:eastAsiaTheme="minorEastAsia"/>
                <w:sz w:val="24"/>
              </w:rPr>
            </w:pPr>
            <w:r>
              <w:rPr>
                <w:rFonts w:eastAsiaTheme="minorEastAsia"/>
                <w:sz w:val="24"/>
              </w:rPr>
              <w:t>364.76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3,344,399.24</w:t>
            </w:r>
          </w:p>
        </w:tc>
        <w:tc>
          <w:tcPr>
            <w:tcW w:w="3406" w:type="dxa"/>
            <w:noWrap/>
            <w:vAlign w:val="center"/>
          </w:tcPr>
          <w:p>
            <w:pPr>
              <w:spacing w:line="360" w:lineRule="auto"/>
              <w:jc w:val="right"/>
              <w:rPr>
                <w:rFonts w:eastAsiaTheme="minorEastAsia"/>
                <w:sz w:val="24"/>
              </w:rPr>
            </w:pPr>
            <w:r>
              <w:rPr>
                <w:rFonts w:eastAsiaTheme="minorEastAsia"/>
                <w:sz w:val="24"/>
              </w:rPr>
              <w:t>3,182,610.81</w:t>
            </w:r>
          </w:p>
        </w:tc>
      </w:tr>
    </w:tbl>
    <w:p>
      <w:pPr>
        <w:spacing w:line="360" w:lineRule="auto"/>
        <w:rPr>
          <w:rFonts w:asciiTheme="minorEastAsia" w:hAnsiTheme="minorEastAsia" w:eastAsiaTheme="minorEastAsia"/>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w:t>
      </w:r>
      <w:r>
        <w:rPr>
          <w:rFonts w:hint="eastAsia" w:eastAsiaTheme="minorEastAsia"/>
          <w:color w:val="000000" w:themeColor="text1"/>
          <w:kern w:val="0"/>
          <w:sz w:val="24"/>
        </w:rPr>
        <w:t>及</w:t>
      </w:r>
      <w:r>
        <w:rPr>
          <w:rFonts w:eastAsiaTheme="minorEastAsia"/>
          <w:color w:val="000000" w:themeColor="text1"/>
          <w:kern w:val="0"/>
          <w:sz w:val="24"/>
        </w:rPr>
        <w:t>上年度末未持有其他资产。</w:t>
      </w:r>
    </w:p>
    <w:p>
      <w:pPr>
        <w:tabs>
          <w:tab w:val="left" w:pos="426"/>
        </w:tabs>
        <w:spacing w:line="360" w:lineRule="auto"/>
        <w:ind w:firstLine="480" w:firstLineChars="200"/>
        <w:jc w:val="left"/>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56" w:name="_Toc67591791"/>
      <w:r>
        <w:rPr>
          <w:rFonts w:ascii="Times New Roman" w:hAnsi="Times New Roman"/>
          <w:kern w:val="0"/>
          <w:szCs w:val="24"/>
        </w:rPr>
        <w:t>7.4.7.7</w:t>
      </w:r>
      <w:r>
        <w:rPr>
          <w:rFonts w:hint="eastAsia" w:ascii="Times New Roman" w:hAnsi="Times New Roman"/>
          <w:kern w:val="0"/>
          <w:szCs w:val="24"/>
        </w:rPr>
        <w:t>应付交易费用</w:t>
      </w:r>
      <w:bookmarkEnd w:id="15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pPr>
              <w:spacing w:before="29" w:line="288" w:lineRule="auto"/>
              <w:jc w:val="right"/>
              <w:rPr>
                <w:kern w:val="0"/>
                <w:sz w:val="24"/>
              </w:rPr>
            </w:pPr>
            <w:r>
              <w:rPr>
                <w:kern w:val="0"/>
                <w:sz w:val="24"/>
              </w:rPr>
              <w:t>4,049,345.87</w:t>
            </w:r>
          </w:p>
        </w:tc>
        <w:tc>
          <w:tcPr>
            <w:tcW w:w="3150" w:type="dxa"/>
            <w:vAlign w:val="center"/>
          </w:tcPr>
          <w:p>
            <w:pPr>
              <w:spacing w:before="29" w:line="288" w:lineRule="auto"/>
              <w:jc w:val="right"/>
              <w:rPr>
                <w:kern w:val="0"/>
                <w:sz w:val="24"/>
              </w:rPr>
            </w:pPr>
            <w:r>
              <w:rPr>
                <w:kern w:val="0"/>
                <w:sz w:val="24"/>
              </w:rPr>
              <w:t>3,215,166.44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pPr>
              <w:spacing w:before="29" w:line="288" w:lineRule="auto"/>
              <w:jc w:val="right"/>
              <w:rPr>
                <w:kern w:val="0"/>
                <w:sz w:val="24"/>
              </w:rPr>
            </w:pPr>
            <w:r>
              <w:rPr>
                <w:kern w:val="0"/>
                <w:sz w:val="24"/>
              </w:rPr>
              <w:t>933.28</w:t>
            </w:r>
          </w:p>
        </w:tc>
        <w:tc>
          <w:tcPr>
            <w:tcW w:w="3150" w:type="dxa"/>
            <w:vAlign w:val="center"/>
          </w:tcPr>
          <w:p>
            <w:pPr>
              <w:spacing w:before="29" w:line="288" w:lineRule="auto"/>
              <w:jc w:val="right"/>
              <w:rPr>
                <w:kern w:val="0"/>
                <w:sz w:val="24"/>
              </w:rPr>
            </w:pPr>
            <w:r>
              <w:rPr>
                <w:kern w:val="0"/>
                <w:sz w:val="24"/>
              </w:rPr>
              <w:t>2,921.96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4,050,279.15</w:t>
            </w:r>
          </w:p>
        </w:tc>
        <w:tc>
          <w:tcPr>
            <w:tcW w:w="3150" w:type="dxa"/>
            <w:vAlign w:val="center"/>
          </w:tcPr>
          <w:p>
            <w:pPr>
              <w:spacing w:before="29" w:line="288" w:lineRule="auto"/>
              <w:jc w:val="right"/>
              <w:rPr>
                <w:kern w:val="0"/>
                <w:sz w:val="24"/>
              </w:rPr>
            </w:pPr>
            <w:r>
              <w:rPr>
                <w:kern w:val="0"/>
                <w:sz w:val="24"/>
              </w:rPr>
              <w:t>3,218,088.40</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7" w:name="_Toc67591792"/>
      <w:r>
        <w:rPr>
          <w:rFonts w:ascii="Times New Roman" w:hAnsi="Times New Roman"/>
          <w:kern w:val="0"/>
          <w:szCs w:val="24"/>
        </w:rPr>
        <w:t>7.4.7.8</w:t>
      </w:r>
      <w:r>
        <w:rPr>
          <w:rFonts w:hint="eastAsia" w:ascii="Times New Roman" w:hAnsi="Times New Roman"/>
          <w:kern w:val="0"/>
          <w:szCs w:val="24"/>
        </w:rPr>
        <w:t>其他负债</w:t>
      </w:r>
      <w:bookmarkEnd w:id="157"/>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pPr>
              <w:spacing w:before="29" w:line="288" w:lineRule="auto"/>
              <w:jc w:val="right"/>
              <w:rPr>
                <w:kern w:val="0"/>
                <w:sz w:val="24"/>
              </w:rPr>
            </w:pPr>
            <w:r>
              <w:rPr>
                <w:kern w:val="0"/>
                <w:sz w:val="24"/>
              </w:rPr>
              <w:t>172,604.19</w:t>
            </w:r>
          </w:p>
        </w:tc>
        <w:tc>
          <w:tcPr>
            <w:tcW w:w="3150" w:type="dxa"/>
            <w:vAlign w:val="center"/>
          </w:tcPr>
          <w:p>
            <w:pPr>
              <w:spacing w:before="29" w:line="288" w:lineRule="auto"/>
              <w:jc w:val="right"/>
              <w:rPr>
                <w:kern w:val="0"/>
                <w:sz w:val="24"/>
              </w:rPr>
            </w:pPr>
            <w:r>
              <w:rPr>
                <w:kern w:val="0"/>
                <w:sz w:val="24"/>
              </w:rPr>
              <w:t>125,331.71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3150" w:type="dxa"/>
            <w:vAlign w:val="center"/>
          </w:tcPr>
          <w:p>
            <w:pPr>
              <w:jc w:val="right"/>
            </w:pPr>
            <w:r>
              <w:rPr>
                <w:kern w:val="0"/>
                <w:sz w:val="24"/>
              </w:rPr>
              <w:t>120,000.00</w:t>
            </w:r>
          </w:p>
        </w:tc>
        <w:tc>
          <w:tcPr>
            <w:tcW w:w="3150" w:type="dxa"/>
            <w:vAlign w:val="center"/>
          </w:tcPr>
          <w:p>
            <w:pPr>
              <w:jc w:val="right"/>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3150" w:type="dxa"/>
            <w:vAlign w:val="center"/>
          </w:tcPr>
          <w:p>
            <w:pPr>
              <w:jc w:val="right"/>
            </w:pPr>
            <w:r>
              <w:rPr>
                <w:kern w:val="0"/>
                <w:sz w:val="24"/>
              </w:rPr>
              <w:t>90,000.00</w:t>
            </w:r>
          </w:p>
        </w:tc>
        <w:tc>
          <w:tcPr>
            <w:tcW w:w="3150" w:type="dxa"/>
            <w:vAlign w:val="center"/>
          </w:tcPr>
          <w:p>
            <w:pPr>
              <w:jc w:val="right"/>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3150" w:type="dxa"/>
            <w:vAlign w:val="center"/>
          </w:tcPr>
          <w:p>
            <w:pPr>
              <w:jc w:val="right"/>
            </w:pPr>
            <w:r>
              <w:rPr>
                <w:kern w:val="0"/>
                <w:sz w:val="24"/>
              </w:rPr>
              <w:t>9,300.00</w:t>
            </w:r>
          </w:p>
        </w:tc>
        <w:tc>
          <w:tcPr>
            <w:tcW w:w="3150" w:type="dxa"/>
            <w:vAlign w:val="center"/>
          </w:tcPr>
          <w:p>
            <w:pPr>
              <w:jc w:val="right"/>
            </w:pPr>
            <w:r>
              <w:rPr>
                <w:kern w:val="0"/>
                <w:sz w:val="24"/>
              </w:rPr>
              <w:t>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3150" w:type="dxa"/>
            <w:vAlign w:val="center"/>
          </w:tcPr>
          <w:p>
            <w:pPr>
              <w:jc w:val="right"/>
            </w:pPr>
            <w:r>
              <w:rPr>
                <w:kern w:val="0"/>
                <w:sz w:val="24"/>
              </w:rPr>
              <w:t>1,028.10</w:t>
            </w:r>
          </w:p>
        </w:tc>
        <w:tc>
          <w:tcPr>
            <w:tcW w:w="3150" w:type="dxa"/>
            <w:vAlign w:val="center"/>
          </w:tcPr>
          <w:p>
            <w:pPr>
              <w:jc w:val="right"/>
            </w:pPr>
            <w:r>
              <w:rPr>
                <w:kern w:val="0"/>
                <w:sz w:val="24"/>
              </w:rPr>
              <w:t>1,572.09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pPr>
              <w:spacing w:before="29" w:line="288" w:lineRule="auto"/>
              <w:jc w:val="right"/>
              <w:rPr>
                <w:kern w:val="0"/>
                <w:sz w:val="24"/>
              </w:rPr>
            </w:pPr>
            <w:r>
              <w:rPr>
                <w:kern w:val="0"/>
                <w:sz w:val="24"/>
              </w:rPr>
              <w:t>392,932.29</w:t>
            </w:r>
          </w:p>
        </w:tc>
        <w:tc>
          <w:tcPr>
            <w:tcW w:w="3150" w:type="dxa"/>
            <w:vAlign w:val="bottom"/>
          </w:tcPr>
          <w:p>
            <w:pPr>
              <w:spacing w:before="29" w:line="288" w:lineRule="auto"/>
              <w:jc w:val="right"/>
              <w:rPr>
                <w:kern w:val="0"/>
                <w:sz w:val="24"/>
              </w:rPr>
            </w:pPr>
            <w:r>
              <w:rPr>
                <w:kern w:val="0"/>
                <w:sz w:val="24"/>
              </w:rPr>
              <w:t>366,203.80</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8" w:name="_Toc67591793"/>
      <w:r>
        <w:rPr>
          <w:rFonts w:ascii="Times New Roman" w:hAnsi="Times New Roman"/>
          <w:kern w:val="0"/>
          <w:szCs w:val="24"/>
        </w:rPr>
        <w:t>7.4.7.9</w:t>
      </w:r>
      <w:r>
        <w:rPr>
          <w:rFonts w:hint="eastAsia" w:ascii="Times New Roman" w:hAnsi="Times New Roman"/>
          <w:kern w:val="0"/>
          <w:szCs w:val="24"/>
        </w:rPr>
        <w:t>实收基金</w:t>
      </w:r>
      <w:bookmarkEnd w:id="158"/>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上年度末</w:t>
            </w:r>
          </w:p>
        </w:tc>
        <w:tc>
          <w:tcPr>
            <w:tcW w:w="2873" w:type="dxa"/>
            <w:vAlign w:val="center"/>
          </w:tcPr>
          <w:p>
            <w:pPr>
              <w:spacing w:before="29" w:line="288" w:lineRule="auto"/>
              <w:jc w:val="right"/>
              <w:rPr>
                <w:kern w:val="0"/>
                <w:sz w:val="24"/>
              </w:rPr>
            </w:pPr>
            <w:r>
              <w:rPr>
                <w:kern w:val="0"/>
                <w:sz w:val="24"/>
              </w:rPr>
              <w:t>938,158,668.40</w:t>
            </w:r>
          </w:p>
        </w:tc>
        <w:tc>
          <w:tcPr>
            <w:tcW w:w="3364" w:type="dxa"/>
            <w:vAlign w:val="center"/>
          </w:tcPr>
          <w:p>
            <w:pPr>
              <w:spacing w:before="29" w:line="288" w:lineRule="auto"/>
              <w:jc w:val="right"/>
              <w:rPr>
                <w:kern w:val="0"/>
                <w:sz w:val="24"/>
              </w:rPr>
            </w:pPr>
            <w:r>
              <w:rPr>
                <w:kern w:val="0"/>
                <w:sz w:val="24"/>
              </w:rPr>
              <w:t>938,158,668.40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1,800,456,758.92</w:t>
            </w:r>
          </w:p>
        </w:tc>
        <w:tc>
          <w:tcPr>
            <w:tcW w:w="3364" w:type="dxa"/>
            <w:vAlign w:val="center"/>
          </w:tcPr>
          <w:p>
            <w:pPr>
              <w:spacing w:before="29" w:line="288" w:lineRule="auto"/>
              <w:jc w:val="right"/>
              <w:rPr>
                <w:kern w:val="0"/>
                <w:sz w:val="24"/>
              </w:rPr>
            </w:pPr>
            <w:r>
              <w:rPr>
                <w:kern w:val="0"/>
                <w:sz w:val="24"/>
              </w:rPr>
              <w:t>1,800,456,758.92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-1,521,495,193.18</w:t>
            </w:r>
          </w:p>
        </w:tc>
        <w:tc>
          <w:tcPr>
            <w:tcW w:w="3364" w:type="dxa"/>
            <w:vAlign w:val="center"/>
          </w:tcPr>
          <w:p>
            <w:pPr>
              <w:spacing w:before="29" w:line="288" w:lineRule="auto"/>
              <w:jc w:val="right"/>
              <w:rPr>
                <w:kern w:val="0"/>
                <w:sz w:val="24"/>
              </w:rPr>
            </w:pPr>
            <w:r>
              <w:rPr>
                <w:kern w:val="0"/>
                <w:sz w:val="24"/>
              </w:rPr>
              <w:t>-1,521,495,193.18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1,217,120,234.14</w:t>
            </w:r>
          </w:p>
        </w:tc>
        <w:tc>
          <w:tcPr>
            <w:tcW w:w="3364" w:type="dxa"/>
            <w:vAlign w:val="center"/>
          </w:tcPr>
          <w:p>
            <w:pPr>
              <w:spacing w:before="29" w:line="288" w:lineRule="auto"/>
              <w:jc w:val="right"/>
              <w:rPr>
                <w:kern w:val="0"/>
                <w:sz w:val="24"/>
              </w:rPr>
            </w:pPr>
            <w:r>
              <w:rPr>
                <w:kern w:val="0"/>
                <w:sz w:val="24"/>
              </w:rPr>
              <w:t>1,217,120,234.14</w:t>
            </w:r>
          </w:p>
        </w:tc>
      </w:tr>
    </w:tbl>
    <w:p>
      <w:pPr>
        <w:tabs>
          <w:tab w:val="left" w:pos="426"/>
        </w:tabs>
        <w:spacing w:before="29" w:line="288" w:lineRule="auto"/>
        <w:jc w:val="left"/>
        <w:rPr>
          <w:kern w:val="0"/>
          <w:sz w:val="24"/>
        </w:rPr>
      </w:pPr>
      <w:r>
        <w:rPr>
          <w:kern w:val="0"/>
          <w:sz w:val="24"/>
        </w:rPr>
        <w:t>注：</w:t>
      </w:r>
    </w:p>
    <w:p>
      <w:pPr>
        <w:tabs>
          <w:tab w:val="left" w:pos="426"/>
        </w:tabs>
        <w:spacing w:before="29" w:line="288" w:lineRule="auto"/>
        <w:jc w:val="left"/>
        <w:rPr>
          <w:kern w:val="0"/>
          <w:sz w:val="24"/>
        </w:rPr>
      </w:pPr>
      <w:r>
        <w:rPr>
          <w:kern w:val="0"/>
          <w:sz w:val="24"/>
        </w:rPr>
        <w:t>1.如果本报告期间发生红利再投、转换入业务，则总申购份额中包含该业务；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9" w:name="_Toc67591794"/>
      <w:r>
        <w:rPr>
          <w:rFonts w:ascii="Times New Roman" w:hAnsi="Times New Roman"/>
          <w:kern w:val="0"/>
          <w:szCs w:val="24"/>
        </w:rPr>
        <w:t>7.4.7.10</w:t>
      </w:r>
      <w:r>
        <w:rPr>
          <w:rFonts w:hint="eastAsia" w:ascii="Times New Roman" w:hAnsi="Times New Roman"/>
          <w:kern w:val="0"/>
          <w:szCs w:val="24"/>
        </w:rPr>
        <w:t>未分配利润</w:t>
      </w:r>
      <w:bookmarkEnd w:id="159"/>
    </w:p>
    <w:p>
      <w:pPr>
        <w:adjustRightInd w:val="0"/>
        <w:snapToGrid w:val="0"/>
        <w:spacing w:line="360" w:lineRule="auto"/>
        <w:jc w:val="right"/>
        <w:rPr>
          <w:color w:val="000000"/>
          <w:sz w:val="24"/>
        </w:rPr>
      </w:pPr>
      <w:r>
        <w:rPr>
          <w:rFonts w:hint="eastAsia"/>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上年度末</w:t>
            </w:r>
          </w:p>
        </w:tc>
        <w:tc>
          <w:tcPr>
            <w:tcW w:w="2122" w:type="dxa"/>
            <w:vAlign w:val="center"/>
          </w:tcPr>
          <w:p>
            <w:pPr>
              <w:spacing w:before="29" w:line="288" w:lineRule="auto"/>
              <w:jc w:val="right"/>
              <w:rPr>
                <w:kern w:val="0"/>
                <w:sz w:val="24"/>
              </w:rPr>
            </w:pPr>
            <w:r>
              <w:rPr>
                <w:kern w:val="0"/>
                <w:sz w:val="24"/>
              </w:rPr>
              <w:t>2,556,740,776.25</w:t>
            </w:r>
          </w:p>
        </w:tc>
        <w:tc>
          <w:tcPr>
            <w:tcW w:w="2126" w:type="dxa"/>
            <w:vAlign w:val="center"/>
          </w:tcPr>
          <w:p>
            <w:pPr>
              <w:spacing w:before="29" w:line="288" w:lineRule="auto"/>
              <w:jc w:val="right"/>
              <w:rPr>
                <w:kern w:val="0"/>
                <w:sz w:val="24"/>
              </w:rPr>
            </w:pPr>
            <w:r>
              <w:rPr>
                <w:kern w:val="0"/>
                <w:sz w:val="24"/>
              </w:rPr>
              <w:t>311,929,774.40</w:t>
            </w:r>
          </w:p>
        </w:tc>
        <w:tc>
          <w:tcPr>
            <w:tcW w:w="2052" w:type="dxa"/>
            <w:vAlign w:val="center"/>
          </w:tcPr>
          <w:p>
            <w:pPr>
              <w:spacing w:before="29" w:line="288" w:lineRule="auto"/>
              <w:jc w:val="right"/>
              <w:rPr>
                <w:kern w:val="0"/>
                <w:sz w:val="24"/>
              </w:rPr>
            </w:pPr>
            <w:r>
              <w:rPr>
                <w:kern w:val="0"/>
                <w:sz w:val="24"/>
              </w:rPr>
              <w:t>2,868,670,550.65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1,249,369,935.50</w:t>
            </w:r>
          </w:p>
        </w:tc>
        <w:tc>
          <w:tcPr>
            <w:tcW w:w="2126" w:type="dxa"/>
            <w:vAlign w:val="center"/>
          </w:tcPr>
          <w:p>
            <w:pPr>
              <w:spacing w:before="29" w:line="288" w:lineRule="auto"/>
              <w:jc w:val="right"/>
              <w:rPr>
                <w:kern w:val="0"/>
                <w:sz w:val="24"/>
              </w:rPr>
            </w:pPr>
            <w:r>
              <w:rPr>
                <w:kern w:val="0"/>
                <w:sz w:val="24"/>
              </w:rPr>
              <w:t>412,547,773.20</w:t>
            </w:r>
          </w:p>
        </w:tc>
        <w:tc>
          <w:tcPr>
            <w:tcW w:w="2052" w:type="dxa"/>
            <w:vAlign w:val="center"/>
          </w:tcPr>
          <w:p>
            <w:pPr>
              <w:spacing w:before="29" w:line="288" w:lineRule="auto"/>
              <w:jc w:val="right"/>
              <w:rPr>
                <w:kern w:val="0"/>
                <w:sz w:val="24"/>
              </w:rPr>
            </w:pPr>
            <w:r>
              <w:rPr>
                <w:kern w:val="0"/>
                <w:sz w:val="24"/>
              </w:rPr>
              <w:t>1,661,917,708.70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833,178,625.84</w:t>
            </w:r>
          </w:p>
        </w:tc>
        <w:tc>
          <w:tcPr>
            <w:tcW w:w="2126" w:type="dxa"/>
            <w:vAlign w:val="center"/>
          </w:tcPr>
          <w:p>
            <w:pPr>
              <w:spacing w:before="29" w:line="288" w:lineRule="auto"/>
              <w:jc w:val="right"/>
              <w:rPr>
                <w:kern w:val="0"/>
                <w:sz w:val="24"/>
              </w:rPr>
            </w:pPr>
            <w:r>
              <w:rPr>
                <w:kern w:val="0"/>
                <w:sz w:val="24"/>
              </w:rPr>
              <w:t>132,707,295.16</w:t>
            </w:r>
          </w:p>
        </w:tc>
        <w:tc>
          <w:tcPr>
            <w:tcW w:w="2052" w:type="dxa"/>
            <w:vAlign w:val="center"/>
          </w:tcPr>
          <w:p>
            <w:pPr>
              <w:spacing w:before="29" w:line="288" w:lineRule="auto"/>
              <w:jc w:val="right"/>
              <w:rPr>
                <w:kern w:val="0"/>
                <w:sz w:val="24"/>
              </w:rPr>
            </w:pPr>
            <w:r>
              <w:rPr>
                <w:kern w:val="0"/>
                <w:sz w:val="24"/>
              </w:rPr>
              <w:t>965,885,921.00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5,684,188,733.62</w:t>
            </w:r>
          </w:p>
        </w:tc>
        <w:tc>
          <w:tcPr>
            <w:tcW w:w="2126" w:type="dxa"/>
            <w:vAlign w:val="center"/>
          </w:tcPr>
          <w:p>
            <w:pPr>
              <w:spacing w:before="29" w:line="288" w:lineRule="auto"/>
              <w:jc w:val="right"/>
              <w:rPr>
                <w:kern w:val="0"/>
                <w:sz w:val="24"/>
              </w:rPr>
            </w:pPr>
            <w:r>
              <w:rPr>
                <w:kern w:val="0"/>
                <w:sz w:val="24"/>
              </w:rPr>
              <w:t>888,429,911.96</w:t>
            </w:r>
          </w:p>
        </w:tc>
        <w:tc>
          <w:tcPr>
            <w:tcW w:w="2052" w:type="dxa"/>
            <w:vAlign w:val="center"/>
          </w:tcPr>
          <w:p>
            <w:pPr>
              <w:spacing w:before="29" w:line="288" w:lineRule="auto"/>
              <w:jc w:val="right"/>
              <w:rPr>
                <w:kern w:val="0"/>
                <w:sz w:val="24"/>
              </w:rPr>
            </w:pPr>
            <w:r>
              <w:rPr>
                <w:kern w:val="0"/>
                <w:sz w:val="24"/>
              </w:rPr>
              <w:t>6,572,618,645.58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-4,851,010,107.78</w:t>
            </w:r>
          </w:p>
        </w:tc>
        <w:tc>
          <w:tcPr>
            <w:tcW w:w="2126" w:type="dxa"/>
            <w:vAlign w:val="center"/>
          </w:tcPr>
          <w:p>
            <w:pPr>
              <w:spacing w:before="29" w:line="288" w:lineRule="auto"/>
              <w:jc w:val="right"/>
              <w:rPr>
                <w:kern w:val="0"/>
                <w:sz w:val="24"/>
              </w:rPr>
            </w:pPr>
            <w:r>
              <w:rPr>
                <w:kern w:val="0"/>
                <w:sz w:val="24"/>
              </w:rPr>
              <w:t>-755,722,616.80</w:t>
            </w:r>
          </w:p>
        </w:tc>
        <w:tc>
          <w:tcPr>
            <w:tcW w:w="2052" w:type="dxa"/>
            <w:vAlign w:val="center"/>
          </w:tcPr>
          <w:p>
            <w:pPr>
              <w:spacing w:before="29" w:line="288" w:lineRule="auto"/>
              <w:jc w:val="right"/>
              <w:rPr>
                <w:kern w:val="0"/>
                <w:sz w:val="24"/>
              </w:rPr>
            </w:pPr>
            <w:r>
              <w:rPr>
                <w:kern w:val="0"/>
                <w:sz w:val="24"/>
              </w:rPr>
              <w:t>-5,606,732,724.58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4,639,289,337.59</w:t>
            </w:r>
          </w:p>
        </w:tc>
        <w:tc>
          <w:tcPr>
            <w:tcW w:w="2126" w:type="dxa"/>
            <w:vAlign w:val="center"/>
          </w:tcPr>
          <w:p>
            <w:pPr>
              <w:spacing w:before="29" w:line="288" w:lineRule="auto"/>
              <w:jc w:val="right"/>
              <w:rPr>
                <w:kern w:val="0"/>
                <w:sz w:val="24"/>
              </w:rPr>
            </w:pPr>
            <w:r>
              <w:rPr>
                <w:kern w:val="0"/>
                <w:sz w:val="24"/>
              </w:rPr>
              <w:t>857,184,842.76</w:t>
            </w:r>
          </w:p>
        </w:tc>
        <w:tc>
          <w:tcPr>
            <w:tcW w:w="2052" w:type="dxa"/>
            <w:vAlign w:val="center"/>
          </w:tcPr>
          <w:p>
            <w:pPr>
              <w:spacing w:before="29" w:line="288" w:lineRule="auto"/>
              <w:jc w:val="right"/>
              <w:rPr>
                <w:kern w:val="0"/>
                <w:sz w:val="24"/>
              </w:rPr>
            </w:pPr>
            <w:r>
              <w:rPr>
                <w:kern w:val="0"/>
                <w:sz w:val="24"/>
              </w:rPr>
              <w:t>5,496,474,180.35</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0" w:name="_Toc67591795"/>
      <w:r>
        <w:rPr>
          <w:rFonts w:ascii="Times New Roman" w:hAnsi="Times New Roman"/>
          <w:kern w:val="0"/>
          <w:szCs w:val="24"/>
        </w:rPr>
        <w:t>7.4.7.11</w:t>
      </w:r>
      <w:r>
        <w:rPr>
          <w:rFonts w:hint="eastAsia" w:ascii="Times New Roman" w:hAnsi="Times New Roman"/>
          <w:kern w:val="0"/>
          <w:szCs w:val="24"/>
        </w:rPr>
        <w:t>存款利息收入</w:t>
      </w:r>
      <w:bookmarkEnd w:id="160"/>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line="360"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pPr>
              <w:spacing w:before="29" w:line="288" w:lineRule="auto"/>
              <w:jc w:val="right"/>
              <w:rPr>
                <w:kern w:val="0"/>
                <w:sz w:val="24"/>
              </w:rPr>
            </w:pPr>
            <w:r>
              <w:rPr>
                <w:kern w:val="0"/>
                <w:sz w:val="24"/>
              </w:rPr>
              <w:t>6,295,961.30</w:t>
            </w:r>
          </w:p>
        </w:tc>
        <w:tc>
          <w:tcPr>
            <w:tcW w:w="2880" w:type="dxa"/>
            <w:vAlign w:val="center"/>
          </w:tcPr>
          <w:p>
            <w:pPr>
              <w:spacing w:before="29" w:line="288" w:lineRule="auto"/>
              <w:jc w:val="right"/>
              <w:rPr>
                <w:kern w:val="0"/>
                <w:sz w:val="24"/>
              </w:rPr>
            </w:pPr>
            <w:r>
              <w:rPr>
                <w:kern w:val="0"/>
                <w:sz w:val="24"/>
              </w:rPr>
              <w:t>4,254,154.40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pPr>
              <w:spacing w:before="29" w:line="288" w:lineRule="auto"/>
              <w:jc w:val="right"/>
              <w:rPr>
                <w:kern w:val="0"/>
                <w:sz w:val="24"/>
              </w:rPr>
            </w:pPr>
            <w:r>
              <w:rPr>
                <w:kern w:val="0"/>
                <w:sz w:val="24"/>
              </w:rPr>
              <w:t>119,195.51</w:t>
            </w:r>
          </w:p>
        </w:tc>
        <w:tc>
          <w:tcPr>
            <w:tcW w:w="2880" w:type="dxa"/>
            <w:vAlign w:val="center"/>
          </w:tcPr>
          <w:p>
            <w:pPr>
              <w:spacing w:before="29" w:line="288" w:lineRule="auto"/>
              <w:jc w:val="right"/>
              <w:rPr>
                <w:kern w:val="0"/>
                <w:sz w:val="24"/>
              </w:rPr>
            </w:pPr>
            <w:r>
              <w:rPr>
                <w:kern w:val="0"/>
                <w:sz w:val="24"/>
              </w:rPr>
              <w:t>83,220.83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3208" w:type="dxa"/>
            <w:vAlign w:val="center"/>
          </w:tcPr>
          <w:p>
            <w:pPr>
              <w:spacing w:before="29" w:line="288" w:lineRule="auto"/>
              <w:jc w:val="right"/>
              <w:rPr>
                <w:kern w:val="0"/>
                <w:sz w:val="24"/>
              </w:rPr>
            </w:pPr>
            <w:r>
              <w:rPr>
                <w:kern w:val="0"/>
                <w:sz w:val="24"/>
              </w:rPr>
              <w:t>20,810.09</w:t>
            </w:r>
          </w:p>
        </w:tc>
        <w:tc>
          <w:tcPr>
            <w:tcW w:w="2880" w:type="dxa"/>
            <w:vAlign w:val="center"/>
          </w:tcPr>
          <w:p>
            <w:pPr>
              <w:spacing w:before="29" w:line="288" w:lineRule="auto"/>
              <w:jc w:val="right"/>
              <w:rPr>
                <w:kern w:val="0"/>
                <w:sz w:val="24"/>
              </w:rPr>
            </w:pPr>
            <w:r>
              <w:rPr>
                <w:kern w:val="0"/>
                <w:sz w:val="24"/>
              </w:rPr>
              <w:t>17,576.94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3208" w:type="dxa"/>
            <w:vAlign w:val="center"/>
          </w:tcPr>
          <w:p>
            <w:pPr>
              <w:spacing w:before="29" w:line="288" w:lineRule="auto"/>
              <w:jc w:val="right"/>
              <w:rPr>
                <w:kern w:val="0"/>
                <w:sz w:val="24"/>
              </w:rPr>
            </w:pPr>
            <w:r>
              <w:rPr>
                <w:kern w:val="0"/>
                <w:sz w:val="24"/>
              </w:rPr>
              <w:t>6,435,966.90</w:t>
            </w:r>
          </w:p>
        </w:tc>
        <w:tc>
          <w:tcPr>
            <w:tcW w:w="2880" w:type="dxa"/>
            <w:vAlign w:val="center"/>
          </w:tcPr>
          <w:p>
            <w:pPr>
              <w:spacing w:before="29" w:line="288" w:lineRule="auto"/>
              <w:jc w:val="right"/>
              <w:rPr>
                <w:kern w:val="0"/>
                <w:sz w:val="24"/>
              </w:rPr>
            </w:pPr>
            <w:r>
              <w:rPr>
                <w:kern w:val="0"/>
                <w:sz w:val="24"/>
              </w:rPr>
              <w:t>4,354,952.17</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61" w:name="_Toc67591796"/>
      <w:r>
        <w:rPr>
          <w:rFonts w:ascii="Times New Roman" w:hAnsi="Times New Roman"/>
          <w:kern w:val="0"/>
          <w:szCs w:val="24"/>
        </w:rPr>
        <w:t xml:space="preserve">7.4.7.12 </w:t>
      </w:r>
      <w:r>
        <w:rPr>
          <w:rFonts w:hint="eastAsia" w:ascii="Times New Roman" w:hAnsi="Times New Roman"/>
          <w:kern w:val="0"/>
          <w:szCs w:val="24"/>
        </w:rPr>
        <w:t>股票投资收益</w:t>
      </w:r>
      <w:bookmarkEnd w:id="161"/>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726"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9,420,976,062.66</w:t>
            </w:r>
          </w:p>
        </w:tc>
        <w:tc>
          <w:tcPr>
            <w:tcW w:w="2726" w:type="dxa"/>
            <w:vAlign w:val="bottom"/>
          </w:tcPr>
          <w:p>
            <w:pPr>
              <w:spacing w:before="29" w:line="288" w:lineRule="auto"/>
              <w:jc w:val="right"/>
              <w:rPr>
                <w:kern w:val="0"/>
                <w:sz w:val="24"/>
              </w:rPr>
            </w:pPr>
            <w:r>
              <w:rPr>
                <w:kern w:val="0"/>
                <w:sz w:val="24"/>
              </w:rPr>
              <w:t>6,497,217,000.67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8,144,977,473.44</w:t>
            </w:r>
          </w:p>
        </w:tc>
        <w:tc>
          <w:tcPr>
            <w:tcW w:w="2726" w:type="dxa"/>
            <w:vAlign w:val="bottom"/>
          </w:tcPr>
          <w:p>
            <w:pPr>
              <w:spacing w:before="29" w:line="288" w:lineRule="auto"/>
              <w:jc w:val="right"/>
              <w:rPr>
                <w:kern w:val="0"/>
                <w:sz w:val="24"/>
              </w:rPr>
            </w:pPr>
            <w:r>
              <w:rPr>
                <w:kern w:val="0"/>
                <w:sz w:val="24"/>
              </w:rPr>
              <w:t>5,713,448,625.55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1,275,998,589.22</w:t>
            </w:r>
          </w:p>
        </w:tc>
        <w:tc>
          <w:tcPr>
            <w:tcW w:w="2726" w:type="dxa"/>
            <w:vAlign w:val="bottom"/>
          </w:tcPr>
          <w:p>
            <w:pPr>
              <w:spacing w:before="29" w:line="288" w:lineRule="auto"/>
              <w:jc w:val="right"/>
              <w:rPr>
                <w:kern w:val="0"/>
                <w:sz w:val="24"/>
              </w:rPr>
            </w:pPr>
            <w:r>
              <w:rPr>
                <w:kern w:val="0"/>
                <w:sz w:val="24"/>
              </w:rPr>
              <w:t>783,768,375.12</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2" w:name="_Toc67591797"/>
      <w:r>
        <w:rPr>
          <w:rFonts w:ascii="Times New Roman" w:hAnsi="Times New Roman"/>
          <w:kern w:val="0"/>
          <w:szCs w:val="24"/>
        </w:rPr>
        <w:t>7.4.7.13</w:t>
      </w:r>
      <w:r>
        <w:rPr>
          <w:rFonts w:hint="eastAsia" w:ascii="Times New Roman" w:hAnsi="Times New Roman"/>
          <w:kern w:val="0"/>
          <w:szCs w:val="24"/>
        </w:rPr>
        <w:t>债券投资收益</w:t>
      </w:r>
      <w:bookmarkEnd w:id="162"/>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8"/>
        <w:gridCol w:w="2515"/>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2020年1月1日至2020年12月31日</w:t>
            </w:r>
          </w:p>
        </w:tc>
        <w:tc>
          <w:tcPr>
            <w:tcW w:w="2616" w:type="dxa"/>
            <w:vAlign w:val="center"/>
          </w:tcPr>
          <w:p>
            <w:pPr>
              <w:widowControl/>
              <w:spacing w:before="29" w:line="288" w:lineRule="auto"/>
              <w:ind w:right="-15"/>
              <w:jc w:val="center"/>
              <w:rPr>
                <w:color w:val="000000"/>
                <w:sz w:val="24"/>
              </w:rPr>
            </w:pPr>
            <w:r>
              <w:rPr>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808,523,606.58</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339,343,761.09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794,165,077.05</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332,898,680.00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12,398,252.13</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5,452,725.60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sz w:val="24"/>
              </w:rPr>
            </w:pPr>
            <w:r>
              <w:rPr>
                <w:sz w:val="24"/>
              </w:rPr>
              <w:t>买卖债券差价收入</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1,960,277.40</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992,355.49</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3" w:name="_Toc67591798"/>
      <w:r>
        <w:rPr>
          <w:rFonts w:ascii="Times New Roman" w:hAnsi="Times New Roman"/>
          <w:kern w:val="0"/>
          <w:szCs w:val="24"/>
        </w:rPr>
        <w:t>7.4.7.</w:t>
      </w:r>
      <w:r>
        <w:rPr>
          <w:rFonts w:hint="eastAsia" w:ascii="Times New Roman" w:hAnsi="Times New Roman"/>
          <w:kern w:val="0"/>
          <w:szCs w:val="24"/>
        </w:rPr>
        <w:t>14资产支持证券投资收益</w:t>
      </w:r>
      <w:bookmarkEnd w:id="163"/>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4" w:name="_Toc67591799"/>
      <w:r>
        <w:rPr>
          <w:rFonts w:ascii="Times New Roman" w:hAnsi="Times New Roman"/>
          <w:kern w:val="0"/>
          <w:szCs w:val="24"/>
        </w:rPr>
        <w:t>7.4.7.15</w:t>
      </w:r>
      <w:r>
        <w:rPr>
          <w:rFonts w:hint="eastAsia" w:ascii="Times New Roman" w:hAnsi="Times New Roman"/>
          <w:kern w:val="0"/>
          <w:szCs w:val="24"/>
        </w:rPr>
        <w:t>衍生工具收益</w:t>
      </w:r>
      <w:bookmarkEnd w:id="164"/>
    </w:p>
    <w:p>
      <w:pPr>
        <w:tabs>
          <w:tab w:val="left" w:pos="426"/>
        </w:tabs>
        <w:spacing w:line="360" w:lineRule="auto"/>
        <w:ind w:firstLine="480" w:firstLineChars="200"/>
        <w:jc w:val="left"/>
        <w:rPr>
          <w:rFonts w:eastAsiaTheme="minorEastAsia"/>
          <w:kern w:val="0"/>
          <w:sz w:val="24"/>
        </w:rPr>
      </w:pPr>
      <w:r>
        <w:rPr>
          <w:rFonts w:eastAsiaTheme="minorEastAsia"/>
          <w:kern w:val="0"/>
          <w:sz w:val="24"/>
        </w:rPr>
        <w:t>本基金本报告期内及上年度可比期间无衍生工具收益。</w:t>
      </w:r>
    </w:p>
    <w:p>
      <w:pPr>
        <w:tabs>
          <w:tab w:val="left" w:pos="426"/>
        </w:tabs>
        <w:spacing w:line="360" w:lineRule="auto"/>
        <w:ind w:firstLine="480" w:firstLineChars="200"/>
        <w:jc w:val="left"/>
        <w:rPr>
          <w:rFonts w:eastAsiaTheme="minorEastAsia"/>
          <w:kern w:val="0"/>
          <w:sz w:val="24"/>
        </w:rPr>
      </w:pPr>
    </w:p>
    <w:p>
      <w:pPr>
        <w:pStyle w:val="3"/>
        <w:spacing w:before="29" w:after="0" w:line="288" w:lineRule="auto"/>
        <w:rPr>
          <w:rFonts w:ascii="Times New Roman" w:hAnsi="Times New Roman"/>
          <w:kern w:val="0"/>
          <w:szCs w:val="24"/>
        </w:rPr>
      </w:pPr>
      <w:bookmarkStart w:id="165" w:name="_Toc67591800"/>
      <w:r>
        <w:rPr>
          <w:rFonts w:ascii="Times New Roman" w:hAnsi="Times New Roman"/>
          <w:kern w:val="0"/>
          <w:szCs w:val="24"/>
        </w:rPr>
        <w:t>7.4.7.16</w:t>
      </w:r>
      <w:r>
        <w:rPr>
          <w:rFonts w:hint="eastAsia" w:ascii="Times New Roman" w:hAnsi="Times New Roman"/>
          <w:kern w:val="0"/>
          <w:szCs w:val="24"/>
        </w:rPr>
        <w:t>股利收益</w:t>
      </w:r>
      <w:bookmarkEnd w:id="16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jc w:val="center"/>
              <w:rPr>
                <w:color w:val="000000"/>
                <w:sz w:val="24"/>
              </w:rPr>
            </w:pPr>
            <w:r>
              <w:rPr>
                <w:rFonts w:hint="eastAsia"/>
                <w:color w:val="000000"/>
                <w:sz w:val="24"/>
              </w:rPr>
              <w:t>项目</w:t>
            </w:r>
          </w:p>
        </w:tc>
        <w:tc>
          <w:tcPr>
            <w:tcW w:w="315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15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pPr>
              <w:spacing w:before="29" w:line="288" w:lineRule="auto"/>
              <w:jc w:val="right"/>
              <w:rPr>
                <w:kern w:val="0"/>
                <w:sz w:val="24"/>
              </w:rPr>
            </w:pPr>
            <w:r>
              <w:rPr>
                <w:kern w:val="0"/>
                <w:sz w:val="24"/>
              </w:rPr>
              <w:t>76,138,354.27</w:t>
            </w:r>
          </w:p>
        </w:tc>
        <w:tc>
          <w:tcPr>
            <w:tcW w:w="3150" w:type="dxa"/>
            <w:vAlign w:val="center"/>
          </w:tcPr>
          <w:p>
            <w:pPr>
              <w:spacing w:before="29" w:line="288" w:lineRule="auto"/>
              <w:jc w:val="right"/>
              <w:rPr>
                <w:kern w:val="0"/>
                <w:sz w:val="24"/>
              </w:rPr>
            </w:pPr>
            <w:r>
              <w:rPr>
                <w:kern w:val="0"/>
                <w:sz w:val="24"/>
              </w:rPr>
              <w:t>16,180,464.42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76,138,354.27</w:t>
            </w:r>
          </w:p>
        </w:tc>
        <w:tc>
          <w:tcPr>
            <w:tcW w:w="3150" w:type="dxa"/>
            <w:vAlign w:val="center"/>
          </w:tcPr>
          <w:p>
            <w:pPr>
              <w:spacing w:before="29" w:line="288" w:lineRule="auto"/>
              <w:jc w:val="right"/>
              <w:rPr>
                <w:kern w:val="0"/>
                <w:sz w:val="24"/>
              </w:rPr>
            </w:pPr>
            <w:r>
              <w:rPr>
                <w:kern w:val="0"/>
                <w:sz w:val="24"/>
              </w:rPr>
              <w:t>16,180,464.42</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sz w:val="24"/>
        </w:rPr>
      </w:pPr>
      <w:r>
        <w:rPr>
          <w:rFonts w:eastAsiaTheme="minorEastAsia"/>
          <w:b/>
          <w:color w:val="000000"/>
          <w:sz w:val="24"/>
        </w:rPr>
        <w:t>7.4.7.17公允价值变动收益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412,547,773.20</w:t>
            </w:r>
          </w:p>
        </w:tc>
        <w:tc>
          <w:tcPr>
            <w:tcW w:w="3149" w:type="dxa"/>
            <w:vAlign w:val="center"/>
          </w:tcPr>
          <w:p>
            <w:pPr>
              <w:spacing w:line="360" w:lineRule="auto"/>
              <w:jc w:val="right"/>
              <w:rPr>
                <w:rFonts w:eastAsiaTheme="minorEastAsia"/>
                <w:sz w:val="24"/>
              </w:rPr>
            </w:pPr>
            <w:r>
              <w:rPr>
                <w:rFonts w:eastAsiaTheme="minorEastAsia"/>
                <w:sz w:val="24"/>
              </w:rPr>
              <w:t>419,996,634.43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412,529,939.18</w:t>
            </w:r>
          </w:p>
        </w:tc>
        <w:tc>
          <w:tcPr>
            <w:tcW w:w="3149" w:type="dxa"/>
            <w:vAlign w:val="center"/>
          </w:tcPr>
          <w:p>
            <w:pPr>
              <w:spacing w:line="360" w:lineRule="auto"/>
              <w:jc w:val="right"/>
              <w:rPr>
                <w:rFonts w:eastAsiaTheme="minorEastAsia"/>
                <w:sz w:val="24"/>
              </w:rPr>
            </w:pPr>
            <w:r>
              <w:rPr>
                <w:rFonts w:eastAsiaTheme="minorEastAsia"/>
                <w:sz w:val="24"/>
              </w:rPr>
              <w:t>420,637,120.50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17,834.02</w:t>
            </w:r>
          </w:p>
        </w:tc>
        <w:tc>
          <w:tcPr>
            <w:tcW w:w="3149" w:type="dxa"/>
            <w:vAlign w:val="center"/>
          </w:tcPr>
          <w:p>
            <w:pPr>
              <w:spacing w:line="360" w:lineRule="auto"/>
              <w:jc w:val="right"/>
              <w:rPr>
                <w:rFonts w:eastAsiaTheme="minorEastAsia"/>
                <w:sz w:val="24"/>
              </w:rPr>
            </w:pPr>
            <w:r>
              <w:rPr>
                <w:rFonts w:eastAsiaTheme="minorEastAsia"/>
                <w:sz w:val="24"/>
              </w:rPr>
              <w:t>-640,486.07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412,547,773.20</w:t>
            </w:r>
          </w:p>
        </w:tc>
        <w:tc>
          <w:tcPr>
            <w:tcW w:w="3149" w:type="dxa"/>
            <w:vAlign w:val="bottom"/>
          </w:tcPr>
          <w:p>
            <w:pPr>
              <w:spacing w:line="360" w:lineRule="auto"/>
              <w:jc w:val="right"/>
              <w:rPr>
                <w:rFonts w:eastAsiaTheme="minorEastAsia"/>
                <w:sz w:val="24"/>
              </w:rPr>
            </w:pPr>
            <w:r>
              <w:rPr>
                <w:rFonts w:eastAsiaTheme="minorEastAsia"/>
                <w:sz w:val="24"/>
              </w:rPr>
              <w:t>419,996,634.43</w:t>
            </w:r>
          </w:p>
        </w:tc>
      </w:tr>
    </w:tbl>
    <w:p>
      <w:pPr>
        <w:spacing w:line="360" w:lineRule="auto"/>
        <w:ind w:firstLine="210" w:firstLineChars="1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66" w:name="_Toc67591801"/>
      <w:r>
        <w:rPr>
          <w:rFonts w:ascii="Times New Roman" w:hAnsi="Times New Roman"/>
          <w:kern w:val="0"/>
          <w:szCs w:val="24"/>
        </w:rPr>
        <w:t>7.4.7.18</w:t>
      </w:r>
      <w:r>
        <w:rPr>
          <w:rFonts w:hint="eastAsia" w:ascii="Times New Roman" w:hAnsi="Times New Roman"/>
          <w:kern w:val="0"/>
          <w:szCs w:val="24"/>
        </w:rPr>
        <w:t>其他收入</w:t>
      </w:r>
      <w:bookmarkEnd w:id="16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3598"/>
        <w:gridCol w:w="3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36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60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3600" w:type="dxa"/>
            <w:vAlign w:val="center"/>
          </w:tcPr>
          <w:p>
            <w:pPr>
              <w:spacing w:before="29" w:line="288" w:lineRule="auto"/>
              <w:jc w:val="right"/>
              <w:rPr>
                <w:kern w:val="0"/>
                <w:sz w:val="24"/>
              </w:rPr>
            </w:pPr>
            <w:r>
              <w:rPr>
                <w:kern w:val="0"/>
                <w:sz w:val="24"/>
              </w:rPr>
              <w:t>8,607,323.64</w:t>
            </w:r>
          </w:p>
        </w:tc>
        <w:tc>
          <w:tcPr>
            <w:tcW w:w="3600" w:type="dxa"/>
            <w:vAlign w:val="center"/>
          </w:tcPr>
          <w:p>
            <w:pPr>
              <w:spacing w:before="29" w:line="288" w:lineRule="auto"/>
              <w:jc w:val="right"/>
              <w:rPr>
                <w:kern w:val="0"/>
                <w:sz w:val="24"/>
              </w:rPr>
            </w:pPr>
            <w:r>
              <w:rPr>
                <w:kern w:val="0"/>
                <w:sz w:val="24"/>
              </w:rPr>
              <w:t>8,175,322.31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3598" w:type="dxa"/>
            <w:vAlign w:val="center"/>
          </w:tcPr>
          <w:p>
            <w:pPr>
              <w:jc w:val="right"/>
            </w:pPr>
            <w:r>
              <w:rPr>
                <w:sz w:val="24"/>
              </w:rPr>
              <w:t>241,431.32</w:t>
            </w:r>
          </w:p>
        </w:tc>
        <w:tc>
          <w:tcPr>
            <w:tcW w:w="3598" w:type="dxa"/>
            <w:vAlign w:val="center"/>
          </w:tcPr>
          <w:p>
            <w:pPr>
              <w:jc w:val="right"/>
            </w:pPr>
            <w:r>
              <w:rPr>
                <w:sz w:val="24"/>
              </w:rPr>
              <w:t>188,591.12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3600" w:type="dxa"/>
            <w:vAlign w:val="center"/>
          </w:tcPr>
          <w:p>
            <w:pPr>
              <w:spacing w:before="29" w:line="288" w:lineRule="auto"/>
              <w:jc w:val="right"/>
              <w:rPr>
                <w:kern w:val="0"/>
                <w:sz w:val="24"/>
              </w:rPr>
            </w:pPr>
            <w:r>
              <w:rPr>
                <w:kern w:val="0"/>
                <w:sz w:val="24"/>
              </w:rPr>
              <w:t>8,848,754.96</w:t>
            </w:r>
          </w:p>
        </w:tc>
        <w:tc>
          <w:tcPr>
            <w:tcW w:w="3600" w:type="dxa"/>
            <w:vAlign w:val="center"/>
          </w:tcPr>
          <w:p>
            <w:pPr>
              <w:spacing w:before="29" w:line="288" w:lineRule="auto"/>
              <w:jc w:val="right"/>
              <w:rPr>
                <w:kern w:val="0"/>
                <w:sz w:val="24"/>
              </w:rPr>
            </w:pPr>
            <w:r>
              <w:rPr>
                <w:kern w:val="0"/>
                <w:sz w:val="24"/>
              </w:rPr>
              <w:t>8,363,913.43</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p>
    <w:p>
      <w:pPr>
        <w:tabs>
          <w:tab w:val="left" w:pos="426"/>
        </w:tabs>
        <w:spacing w:before="29" w:line="288" w:lineRule="auto"/>
        <w:jc w:val="left"/>
        <w:rPr>
          <w:kern w:val="0"/>
          <w:sz w:val="24"/>
        </w:rPr>
      </w:pPr>
      <w:r>
        <w:rPr>
          <w:kern w:val="0"/>
          <w:sz w:val="24"/>
        </w:rPr>
        <w:t xml:space="preserve">    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rPr>
          <w:rFonts w:eastAsiaTheme="minorEastAsia"/>
          <w:b/>
          <w:color w:val="000000" w:themeColor="text1"/>
          <w:sz w:val="24"/>
        </w:rPr>
      </w:pPr>
      <w:r>
        <w:rPr>
          <w:rFonts w:eastAsiaTheme="minorEastAsia"/>
          <w:b/>
          <w:bCs/>
          <w:color w:val="000000" w:themeColor="text1"/>
          <w:kern w:val="0"/>
          <w:sz w:val="24"/>
        </w:rPr>
        <w:t xml:space="preserve">7.4.7.19 </w:t>
      </w:r>
      <w:r>
        <w:rPr>
          <w:rFonts w:eastAsiaTheme="minorEastAsia"/>
          <w:b/>
          <w:color w:val="000000" w:themeColor="text1"/>
          <w:sz w:val="24"/>
        </w:rPr>
        <w:t>交易费用</w:t>
      </w:r>
    </w:p>
    <w:p>
      <w:pPr>
        <w:tabs>
          <w:tab w:val="left" w:pos="7200"/>
          <w:tab w:val="left" w:pos="8280"/>
        </w:tabs>
        <w:spacing w:line="360" w:lineRule="auto"/>
        <w:ind w:right="-109" w:rightChars="-52"/>
        <w:jc w:val="right"/>
        <w:rPr>
          <w:rFonts w:eastAsiaTheme="minorEastAsia"/>
          <w:color w:val="000000" w:themeColor="text1"/>
          <w:sz w:val="24"/>
        </w:rPr>
      </w:pPr>
      <w:r>
        <w:rPr>
          <w:rFonts w:eastAsiaTheme="minorEastAsia"/>
          <w:color w:val="000000" w:themeColor="text1"/>
          <w:sz w:val="24"/>
        </w:rPr>
        <w:t>单位：人民币元</w:t>
      </w:r>
    </w:p>
    <w:tbl>
      <w:tblPr>
        <w:tblStyle w:val="31"/>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项目</w:t>
            </w:r>
          </w:p>
        </w:tc>
        <w:tc>
          <w:tcPr>
            <w:tcW w:w="3114"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本期</w:t>
            </w:r>
          </w:p>
          <w:p>
            <w:pPr>
              <w:widowControl/>
              <w:autoSpaceDE w:val="0"/>
              <w:autoSpaceDN w:val="0"/>
              <w:spacing w:line="360" w:lineRule="auto"/>
              <w:ind w:right="-15"/>
              <w:jc w:val="center"/>
              <w:textAlignment w:val="bottom"/>
              <w:rPr>
                <w:rFonts w:eastAsiaTheme="minorEastAsia"/>
                <w:color w:val="000000" w:themeColor="text1"/>
                <w:sz w:val="24"/>
              </w:rPr>
            </w:pPr>
            <w:r>
              <w:rPr>
                <w:rFonts w:eastAsiaTheme="minorEastAsia"/>
                <w:color w:val="000000" w:themeColor="text1"/>
                <w:sz w:val="24"/>
              </w:rPr>
              <w:t>2020年1月1日至2020年12月31日</w:t>
            </w:r>
          </w:p>
        </w:tc>
        <w:tc>
          <w:tcPr>
            <w:tcW w:w="3553"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上年度可比期间</w:t>
            </w:r>
          </w:p>
          <w:p>
            <w:pPr>
              <w:spacing w:line="360" w:lineRule="auto"/>
              <w:jc w:val="center"/>
              <w:rPr>
                <w:rFonts w:eastAsiaTheme="minorEastAsia"/>
                <w:color w:val="000000" w:themeColor="text1"/>
                <w:kern w:val="0"/>
                <w:sz w:val="24"/>
              </w:rPr>
            </w:pPr>
            <w:r>
              <w:rPr>
                <w:rFonts w:eastAsiaTheme="minorEastAsia"/>
                <w:color w:val="000000" w:themeColor="text1"/>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rPr>
              <w:t>交易所市场交易费用</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29,821,011.38</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19,056,115.64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rPr>
              <w:t>银行间市场交易费用</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7,200.00</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975.00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lang w:val="en-AU"/>
              </w:rPr>
              <w:t>合计</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29,828,211.38</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19,057,090.64</w:t>
            </w:r>
          </w:p>
        </w:tc>
      </w:tr>
    </w:tbl>
    <w:p>
      <w:pPr>
        <w:spacing w:line="360" w:lineRule="auto"/>
        <w:ind w:firstLine="210" w:firstLineChars="1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67" w:name="_Toc67591802"/>
      <w:r>
        <w:rPr>
          <w:rFonts w:ascii="Times New Roman" w:hAnsi="Times New Roman"/>
          <w:kern w:val="0"/>
          <w:szCs w:val="24"/>
        </w:rPr>
        <w:t>7.4.7.20</w:t>
      </w:r>
      <w:r>
        <w:rPr>
          <w:rFonts w:hint="eastAsia" w:ascii="Times New Roman" w:hAnsi="Times New Roman"/>
          <w:kern w:val="0"/>
          <w:szCs w:val="24"/>
        </w:rPr>
        <w:t>其他费用</w:t>
      </w:r>
      <w:bookmarkEnd w:id="167"/>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2893"/>
        <w:gridCol w:w="3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2893"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7"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pPr>
              <w:spacing w:before="29" w:line="288" w:lineRule="auto"/>
              <w:jc w:val="right"/>
              <w:rPr>
                <w:kern w:val="0"/>
                <w:sz w:val="24"/>
              </w:rPr>
            </w:pPr>
            <w:r>
              <w:rPr>
                <w:kern w:val="0"/>
                <w:sz w:val="24"/>
              </w:rPr>
              <w:t>90,000.00</w:t>
            </w:r>
          </w:p>
        </w:tc>
        <w:tc>
          <w:tcPr>
            <w:tcW w:w="3367" w:type="dxa"/>
            <w:vAlign w:val="bottom"/>
          </w:tcPr>
          <w:p>
            <w:pPr>
              <w:spacing w:before="29" w:line="288" w:lineRule="auto"/>
              <w:jc w:val="right"/>
              <w:rPr>
                <w:kern w:val="0"/>
                <w:sz w:val="24"/>
              </w:rPr>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pPr>
              <w:spacing w:before="29" w:line="288" w:lineRule="auto"/>
              <w:jc w:val="right"/>
              <w:rPr>
                <w:kern w:val="0"/>
                <w:sz w:val="24"/>
              </w:rPr>
            </w:pPr>
            <w:r>
              <w:rPr>
                <w:kern w:val="0"/>
                <w:sz w:val="24"/>
              </w:rPr>
              <w:t>120,000.00</w:t>
            </w:r>
          </w:p>
        </w:tc>
        <w:tc>
          <w:tcPr>
            <w:tcW w:w="3367" w:type="dxa"/>
            <w:vAlign w:val="bottom"/>
          </w:tcPr>
          <w:p>
            <w:pPr>
              <w:spacing w:before="29" w:line="288" w:lineRule="auto"/>
              <w:jc w:val="right"/>
              <w:rPr>
                <w:kern w:val="0"/>
                <w:sz w:val="24"/>
              </w:rPr>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2893" w:type="dxa"/>
            <w:vAlign w:val="center"/>
          </w:tcPr>
          <w:p>
            <w:pPr>
              <w:jc w:val="right"/>
            </w:pPr>
            <w:r>
              <w:rPr>
                <w:sz w:val="24"/>
              </w:rPr>
              <w:t>11,087.24</w:t>
            </w:r>
          </w:p>
        </w:tc>
        <w:tc>
          <w:tcPr>
            <w:tcW w:w="3367" w:type="dxa"/>
            <w:vAlign w:val="center"/>
          </w:tcPr>
          <w:p>
            <w:pPr>
              <w:jc w:val="right"/>
            </w:pPr>
            <w:r>
              <w:rPr>
                <w:sz w:val="24"/>
              </w:rPr>
              <w:t>9,004.29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债券账户费用</w:t>
            </w:r>
          </w:p>
        </w:tc>
        <w:tc>
          <w:tcPr>
            <w:tcW w:w="2893" w:type="dxa"/>
            <w:vAlign w:val="center"/>
          </w:tcPr>
          <w:p>
            <w:pPr>
              <w:jc w:val="right"/>
            </w:pPr>
            <w:r>
              <w:rPr>
                <w:sz w:val="24"/>
              </w:rPr>
              <w:t>37,200.00</w:t>
            </w:r>
          </w:p>
        </w:tc>
        <w:tc>
          <w:tcPr>
            <w:tcW w:w="3367" w:type="dxa"/>
            <w:vAlign w:val="center"/>
          </w:tcPr>
          <w:p>
            <w:pPr>
              <w:jc w:val="right"/>
            </w:pPr>
            <w:r>
              <w:rPr>
                <w:sz w:val="24"/>
              </w:rPr>
              <w:t>37,200.00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2893" w:type="dxa"/>
            <w:vAlign w:val="center"/>
          </w:tcPr>
          <w:p>
            <w:pPr>
              <w:spacing w:before="29" w:line="288" w:lineRule="auto"/>
              <w:jc w:val="right"/>
              <w:rPr>
                <w:kern w:val="0"/>
                <w:sz w:val="24"/>
              </w:rPr>
            </w:pPr>
            <w:r>
              <w:rPr>
                <w:kern w:val="0"/>
                <w:sz w:val="24"/>
              </w:rPr>
              <w:t>258,287.24</w:t>
            </w:r>
          </w:p>
        </w:tc>
        <w:tc>
          <w:tcPr>
            <w:tcW w:w="3367" w:type="dxa"/>
            <w:vAlign w:val="center"/>
          </w:tcPr>
          <w:p>
            <w:pPr>
              <w:spacing w:before="29" w:line="288" w:lineRule="auto"/>
              <w:jc w:val="right"/>
              <w:rPr>
                <w:kern w:val="0"/>
                <w:sz w:val="24"/>
              </w:rPr>
            </w:pPr>
            <w:r>
              <w:rPr>
                <w:kern w:val="0"/>
                <w:sz w:val="24"/>
              </w:rPr>
              <w:t>276,204.29</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8" w:name="_Toc67591803"/>
      <w:r>
        <w:rPr>
          <w:rFonts w:ascii="Times New Roman" w:hAnsi="Times New Roman"/>
          <w:kern w:val="0"/>
          <w:szCs w:val="24"/>
        </w:rPr>
        <w:t>7.4.8</w:t>
      </w:r>
      <w:r>
        <w:rPr>
          <w:rFonts w:hint="eastAsia" w:ascii="Times New Roman" w:hAnsi="Times New Roman"/>
          <w:kern w:val="0"/>
          <w:szCs w:val="24"/>
        </w:rPr>
        <w:t>或有事项、资产负债表日后事项的说明</w:t>
      </w:r>
      <w:bookmarkEnd w:id="168"/>
    </w:p>
    <w:p>
      <w:pPr>
        <w:pStyle w:val="3"/>
        <w:spacing w:before="29" w:after="0" w:line="288" w:lineRule="auto"/>
        <w:rPr>
          <w:rFonts w:ascii="Times New Roman" w:hAnsi="Times New Roman"/>
          <w:kern w:val="0"/>
          <w:szCs w:val="24"/>
        </w:rPr>
      </w:pPr>
      <w:bookmarkStart w:id="169" w:name="_Toc67591804"/>
      <w:r>
        <w:rPr>
          <w:rFonts w:ascii="Times New Roman" w:hAnsi="Times New Roman"/>
          <w:kern w:val="0"/>
          <w:szCs w:val="24"/>
        </w:rPr>
        <w:t xml:space="preserve">7.4.8.1 </w:t>
      </w:r>
      <w:r>
        <w:rPr>
          <w:rFonts w:hint="eastAsia" w:ascii="Times New Roman" w:hAnsi="Times New Roman"/>
          <w:kern w:val="0"/>
          <w:szCs w:val="24"/>
        </w:rPr>
        <w:t>或有事项</w:t>
      </w:r>
      <w:bookmarkEnd w:id="169"/>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70" w:name="_Toc67591805"/>
      <w:r>
        <w:rPr>
          <w:rFonts w:ascii="Times New Roman" w:hAnsi="Times New Roman"/>
          <w:kern w:val="0"/>
          <w:szCs w:val="24"/>
        </w:rPr>
        <w:t xml:space="preserve">7.4.8.2 </w:t>
      </w:r>
      <w:r>
        <w:rPr>
          <w:rFonts w:hint="eastAsia" w:ascii="Times New Roman" w:hAnsi="Times New Roman"/>
          <w:kern w:val="0"/>
          <w:szCs w:val="24"/>
        </w:rPr>
        <w:t>资产负债表日后事项</w:t>
      </w:r>
      <w:bookmarkEnd w:id="170"/>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中国工商银行股份有限公司(“中国工商银行”)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71" w:name="_Toc67591806"/>
      <w:r>
        <w:rPr>
          <w:rFonts w:ascii="Times New Roman" w:hAnsi="Times New Roman"/>
          <w:kern w:val="0"/>
          <w:szCs w:val="24"/>
        </w:rPr>
        <w:t>7.4.10</w:t>
      </w:r>
      <w:r>
        <w:rPr>
          <w:rFonts w:hint="eastAsia" w:ascii="Times New Roman" w:hAnsi="Times New Roman"/>
          <w:kern w:val="0"/>
          <w:szCs w:val="24"/>
        </w:rPr>
        <w:t>本报告期及上年度可比期间的关联方交易</w:t>
      </w:r>
      <w:bookmarkEnd w:id="171"/>
    </w:p>
    <w:p>
      <w:pPr>
        <w:pStyle w:val="3"/>
        <w:spacing w:before="29" w:after="0" w:line="288" w:lineRule="auto"/>
        <w:rPr>
          <w:rFonts w:ascii="Times New Roman" w:hAnsi="Times New Roman"/>
          <w:kern w:val="0"/>
          <w:szCs w:val="24"/>
        </w:rPr>
      </w:pPr>
      <w:bookmarkStart w:id="172" w:name="_Toc67591807"/>
      <w:r>
        <w:rPr>
          <w:rFonts w:ascii="Times New Roman" w:hAnsi="Times New Roman"/>
          <w:kern w:val="0"/>
          <w:szCs w:val="24"/>
        </w:rPr>
        <w:t>7.4.10.1</w:t>
      </w:r>
      <w:r>
        <w:rPr>
          <w:rFonts w:hint="eastAsia" w:ascii="Times New Roman" w:hAnsi="Times New Roman"/>
          <w:kern w:val="0"/>
          <w:szCs w:val="24"/>
        </w:rPr>
        <w:t>通过关联方交易单元进行的交易</w:t>
      </w:r>
      <w:bookmarkEnd w:id="172"/>
    </w:p>
    <w:p>
      <w:pPr>
        <w:spacing w:before="29" w:line="288" w:lineRule="auto"/>
        <w:ind w:firstLine="480" w:firstLineChars="200"/>
        <w:rPr>
          <w:color w:val="000000"/>
          <w:sz w:val="24"/>
        </w:rPr>
      </w:pPr>
      <w:r>
        <w:rPr>
          <w:color w:val="000000"/>
          <w:sz w:val="24"/>
        </w:rPr>
        <w:t>本基金本报告期内及上年度可比期间无通过关联方交易单元进行的交易。</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3" w:name="_Toc67591808"/>
      <w:r>
        <w:rPr>
          <w:rFonts w:ascii="Times New Roman" w:hAnsi="Times New Roman"/>
          <w:kern w:val="0"/>
          <w:szCs w:val="24"/>
        </w:rPr>
        <w:t>7.4.10.2</w:t>
      </w:r>
      <w:r>
        <w:rPr>
          <w:rFonts w:hint="eastAsia" w:ascii="Times New Roman" w:hAnsi="Times New Roman"/>
          <w:kern w:val="0"/>
          <w:szCs w:val="24"/>
        </w:rPr>
        <w:t>关联方报酬</w:t>
      </w:r>
      <w:bookmarkEnd w:id="173"/>
    </w:p>
    <w:p>
      <w:pPr>
        <w:pStyle w:val="3"/>
        <w:spacing w:before="29" w:after="0" w:line="288" w:lineRule="auto"/>
        <w:rPr>
          <w:rFonts w:ascii="Times New Roman" w:hAnsi="Times New Roman"/>
          <w:kern w:val="0"/>
          <w:szCs w:val="24"/>
        </w:rPr>
      </w:pPr>
      <w:bookmarkStart w:id="174" w:name="_Toc67591809"/>
      <w:r>
        <w:rPr>
          <w:rFonts w:ascii="Times New Roman" w:hAnsi="Times New Roman"/>
          <w:kern w:val="0"/>
          <w:szCs w:val="24"/>
        </w:rPr>
        <w:t>7.4.10.2.1</w:t>
      </w:r>
      <w:r>
        <w:rPr>
          <w:rFonts w:hint="eastAsia" w:ascii="Times New Roman" w:hAnsi="Times New Roman"/>
          <w:kern w:val="0"/>
          <w:szCs w:val="24"/>
        </w:rPr>
        <w:t>基金管理费</w:t>
      </w:r>
      <w:bookmarkEnd w:id="17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pPr>
              <w:spacing w:before="29" w:line="288" w:lineRule="auto"/>
              <w:jc w:val="right"/>
              <w:rPr>
                <w:kern w:val="0"/>
                <w:sz w:val="24"/>
              </w:rPr>
            </w:pPr>
            <w:r>
              <w:rPr>
                <w:kern w:val="0"/>
                <w:sz w:val="24"/>
              </w:rPr>
              <w:t>83,550,155.96</w:t>
            </w:r>
          </w:p>
        </w:tc>
        <w:tc>
          <w:tcPr>
            <w:tcW w:w="2657" w:type="dxa"/>
            <w:vAlign w:val="center"/>
          </w:tcPr>
          <w:p>
            <w:pPr>
              <w:spacing w:before="29" w:line="288" w:lineRule="auto"/>
              <w:jc w:val="right"/>
              <w:rPr>
                <w:kern w:val="0"/>
                <w:sz w:val="24"/>
              </w:rPr>
            </w:pPr>
            <w:r>
              <w:rPr>
                <w:kern w:val="0"/>
                <w:sz w:val="24"/>
              </w:rPr>
              <w:t>50,071,394.52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pPr>
              <w:spacing w:before="29" w:line="288" w:lineRule="auto"/>
              <w:jc w:val="right"/>
              <w:rPr>
                <w:kern w:val="0"/>
                <w:sz w:val="24"/>
              </w:rPr>
            </w:pPr>
            <w:r>
              <w:rPr>
                <w:kern w:val="0"/>
                <w:sz w:val="24"/>
              </w:rPr>
              <w:t>35,378,954.82</w:t>
            </w:r>
          </w:p>
        </w:tc>
        <w:tc>
          <w:tcPr>
            <w:tcW w:w="2657" w:type="dxa"/>
            <w:vAlign w:val="center"/>
          </w:tcPr>
          <w:p>
            <w:pPr>
              <w:spacing w:before="29" w:line="288" w:lineRule="auto"/>
              <w:jc w:val="right"/>
              <w:rPr>
                <w:kern w:val="0"/>
                <w:sz w:val="24"/>
              </w:rPr>
            </w:pPr>
            <w:r>
              <w:rPr>
                <w:kern w:val="0"/>
                <w:sz w:val="24"/>
              </w:rPr>
              <w:t>19,653,696.64</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5" w:name="_Toc67591810"/>
      <w:r>
        <w:rPr>
          <w:rFonts w:ascii="Times New Roman" w:hAnsi="Times New Roman"/>
          <w:kern w:val="0"/>
          <w:szCs w:val="24"/>
        </w:rPr>
        <w:t>7.4.10.2.2</w:t>
      </w:r>
      <w:r>
        <w:rPr>
          <w:rFonts w:hint="eastAsia" w:ascii="Times New Roman" w:hAnsi="Times New Roman"/>
          <w:kern w:val="0"/>
          <w:szCs w:val="24"/>
        </w:rPr>
        <w:t>基金托管费</w:t>
      </w:r>
      <w:bookmarkEnd w:id="17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2657" w:type="dxa"/>
            <w:vAlign w:val="center"/>
          </w:tcPr>
          <w:p>
            <w:pPr>
              <w:spacing w:before="29" w:line="288" w:lineRule="auto"/>
              <w:jc w:val="right"/>
              <w:rPr>
                <w:kern w:val="0"/>
                <w:sz w:val="24"/>
              </w:rPr>
            </w:pPr>
            <w:r>
              <w:rPr>
                <w:kern w:val="0"/>
                <w:sz w:val="24"/>
              </w:rPr>
              <w:t>13,925,026.06</w:t>
            </w:r>
          </w:p>
        </w:tc>
        <w:tc>
          <w:tcPr>
            <w:tcW w:w="2657" w:type="dxa"/>
            <w:vAlign w:val="center"/>
          </w:tcPr>
          <w:p>
            <w:pPr>
              <w:spacing w:before="29" w:line="288" w:lineRule="auto"/>
              <w:jc w:val="right"/>
              <w:rPr>
                <w:kern w:val="0"/>
                <w:sz w:val="24"/>
              </w:rPr>
            </w:pPr>
            <w:r>
              <w:rPr>
                <w:kern w:val="0"/>
                <w:sz w:val="24"/>
              </w:rPr>
              <w:t>8,345,232.39</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6" w:name="_Toc67591811"/>
      <w:r>
        <w:rPr>
          <w:rFonts w:ascii="Times New Roman" w:hAnsi="Times New Roman"/>
          <w:kern w:val="0"/>
          <w:szCs w:val="24"/>
        </w:rPr>
        <w:t>7.4.10.2.3</w:t>
      </w:r>
      <w:r>
        <w:rPr>
          <w:rFonts w:hint="eastAsia" w:ascii="Times New Roman" w:hAnsi="Times New Roman"/>
          <w:kern w:val="0"/>
          <w:szCs w:val="24"/>
        </w:rPr>
        <w:t>销售服务费</w:t>
      </w:r>
      <w:bookmarkEnd w:id="176"/>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7" w:name="_Toc67591812"/>
      <w:r>
        <w:rPr>
          <w:rFonts w:ascii="Times New Roman" w:hAnsi="Times New Roman"/>
          <w:kern w:val="0"/>
          <w:szCs w:val="24"/>
        </w:rPr>
        <w:t>7.4.10.3</w:t>
      </w:r>
      <w:r>
        <w:rPr>
          <w:rFonts w:hint="eastAsia" w:ascii="Times New Roman" w:hAnsi="Times New Roman"/>
          <w:kern w:val="0"/>
          <w:szCs w:val="24"/>
        </w:rPr>
        <w:t>与关联方进行银行间同业市场的债券</w:t>
      </w:r>
      <w:r>
        <w:rPr>
          <w:rFonts w:ascii="Times New Roman" w:hAnsi="Times New Roman"/>
          <w:kern w:val="0"/>
          <w:szCs w:val="24"/>
        </w:rPr>
        <w:t>(</w:t>
      </w:r>
      <w:r>
        <w:rPr>
          <w:rFonts w:hint="eastAsia" w:ascii="Times New Roman" w:hAnsi="Times New Roman"/>
          <w:kern w:val="0"/>
          <w:szCs w:val="24"/>
        </w:rPr>
        <w:t>含回购</w:t>
      </w:r>
      <w:r>
        <w:rPr>
          <w:rFonts w:ascii="Times New Roman" w:hAnsi="Times New Roman"/>
          <w:kern w:val="0"/>
          <w:szCs w:val="24"/>
        </w:rPr>
        <w:t>)</w:t>
      </w:r>
      <w:r>
        <w:rPr>
          <w:rFonts w:hint="eastAsia" w:ascii="Times New Roman" w:hAnsi="Times New Roman"/>
          <w:kern w:val="0"/>
          <w:szCs w:val="24"/>
        </w:rPr>
        <w:t>交易</w:t>
      </w:r>
      <w:bookmarkEnd w:id="177"/>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8" w:name="_Toc67591813"/>
      <w:r>
        <w:rPr>
          <w:rFonts w:ascii="Times New Roman" w:hAnsi="Times New Roman"/>
          <w:kern w:val="0"/>
          <w:szCs w:val="24"/>
        </w:rPr>
        <w:t>7.4.10.4</w:t>
      </w:r>
      <w:r>
        <w:rPr>
          <w:rFonts w:hint="eastAsia" w:ascii="Times New Roman" w:hAnsi="Times New Roman"/>
          <w:kern w:val="0"/>
          <w:szCs w:val="24"/>
        </w:rPr>
        <w:t>各关联方投资本基金的情况</w:t>
      </w:r>
      <w:bookmarkEnd w:id="178"/>
    </w:p>
    <w:p>
      <w:pPr>
        <w:pStyle w:val="3"/>
        <w:spacing w:before="29" w:after="0" w:line="288" w:lineRule="auto"/>
        <w:rPr>
          <w:rFonts w:ascii="Times New Roman" w:hAnsi="Times New Roman"/>
          <w:kern w:val="0"/>
          <w:szCs w:val="24"/>
        </w:rPr>
      </w:pPr>
      <w:bookmarkStart w:id="179" w:name="_Toc67591814"/>
      <w:r>
        <w:rPr>
          <w:rFonts w:ascii="Times New Roman" w:hAnsi="Times New Roman"/>
          <w:kern w:val="0"/>
          <w:szCs w:val="24"/>
        </w:rPr>
        <w:t>7.4.10.4.1</w:t>
      </w:r>
      <w:r>
        <w:rPr>
          <w:rFonts w:hint="eastAsia" w:ascii="Times New Roman" w:hAnsi="Times New Roman"/>
          <w:kern w:val="0"/>
          <w:szCs w:val="24"/>
        </w:rPr>
        <w:t>报告期内基金管理人运用固有资金投资本基金的情况</w:t>
      </w:r>
      <w:bookmarkEnd w:id="179"/>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80" w:name="_Toc67591815"/>
      <w:r>
        <w:rPr>
          <w:rFonts w:ascii="Times New Roman" w:hAnsi="Times New Roman"/>
          <w:kern w:val="0"/>
          <w:szCs w:val="24"/>
        </w:rPr>
        <w:t>7.4.10.4.2</w:t>
      </w:r>
      <w:r>
        <w:rPr>
          <w:rFonts w:hint="eastAsia" w:ascii="Times New Roman" w:hAnsi="Times New Roman"/>
          <w:kern w:val="0"/>
          <w:szCs w:val="24"/>
        </w:rPr>
        <w:t>报告期末除基金管理人之外的其他关联方投资本基金的情况</w:t>
      </w:r>
      <w:bookmarkEnd w:id="180"/>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pStyle w:val="3"/>
        <w:spacing w:before="29" w:after="0" w:line="288" w:lineRule="auto"/>
        <w:rPr>
          <w:rFonts w:ascii="Times New Roman" w:hAnsi="Times New Roman"/>
          <w:kern w:val="0"/>
          <w:szCs w:val="24"/>
        </w:rPr>
      </w:pPr>
      <w:bookmarkStart w:id="181" w:name="_Toc67591816"/>
      <w:r>
        <w:rPr>
          <w:rFonts w:ascii="Times New Roman" w:hAnsi="Times New Roman"/>
          <w:kern w:val="0"/>
          <w:szCs w:val="24"/>
        </w:rPr>
        <w:t>7.4.10.5</w:t>
      </w:r>
      <w:r>
        <w:rPr>
          <w:rFonts w:hint="eastAsia" w:ascii="Times New Roman" w:hAnsi="Times New Roman"/>
          <w:kern w:val="0"/>
          <w:szCs w:val="24"/>
        </w:rPr>
        <w:t>由关联方保管的银行存款余额及当期产生的利息收入</w:t>
      </w:r>
      <w:bookmarkEnd w:id="181"/>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spacing w:before="29" w:line="288" w:lineRule="auto"/>
              <w:jc w:val="center"/>
              <w:rPr>
                <w:color w:val="000000"/>
                <w:sz w:val="24"/>
              </w:rPr>
            </w:pPr>
            <w:r>
              <w:rPr>
                <w:rFonts w:hint="eastAsia"/>
                <w:color w:val="000000"/>
                <w:sz w:val="24"/>
              </w:rPr>
              <w:t>关联方名称</w:t>
            </w:r>
          </w:p>
        </w:tc>
        <w:tc>
          <w:tcPr>
            <w:tcW w:w="3366" w:type="dxa"/>
            <w:gridSpan w:val="2"/>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366" w:type="dxa"/>
            <w:gridSpan w:val="2"/>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spacing w:before="29" w:line="288" w:lineRule="auto"/>
              <w:jc w:val="center"/>
              <w:rPr>
                <w:color w:val="000000"/>
                <w:sz w:val="24"/>
              </w:rPr>
            </w:pPr>
          </w:p>
        </w:tc>
        <w:tc>
          <w:tcPr>
            <w:tcW w:w="1683" w:type="dxa"/>
            <w:vAlign w:val="center"/>
          </w:tcPr>
          <w:p>
            <w:pPr>
              <w:spacing w:before="29" w:line="288" w:lineRule="auto"/>
              <w:jc w:val="center"/>
              <w:rPr>
                <w:color w:val="000000"/>
                <w:sz w:val="24"/>
              </w:rPr>
            </w:pPr>
            <w:r>
              <w:rPr>
                <w:rFonts w:hint="eastAsia"/>
                <w:color w:val="000000"/>
                <w:sz w:val="24"/>
              </w:rPr>
              <w:t>期末余额</w:t>
            </w:r>
          </w:p>
        </w:tc>
        <w:tc>
          <w:tcPr>
            <w:tcW w:w="1683" w:type="dxa"/>
            <w:vAlign w:val="center"/>
          </w:tcPr>
          <w:p>
            <w:pPr>
              <w:spacing w:before="29" w:line="288" w:lineRule="auto"/>
              <w:jc w:val="center"/>
              <w:rPr>
                <w:color w:val="000000"/>
                <w:sz w:val="24"/>
              </w:rPr>
            </w:pPr>
            <w:r>
              <w:rPr>
                <w:rFonts w:hint="eastAsia"/>
                <w:color w:val="000000"/>
                <w:sz w:val="24"/>
              </w:rPr>
              <w:t>当期利息收入</w:t>
            </w:r>
          </w:p>
        </w:tc>
        <w:tc>
          <w:tcPr>
            <w:tcW w:w="1683" w:type="dxa"/>
            <w:vAlign w:val="center"/>
          </w:tcPr>
          <w:p>
            <w:pPr>
              <w:spacing w:before="29" w:line="288" w:lineRule="auto"/>
              <w:jc w:val="center"/>
              <w:rPr>
                <w:color w:val="000000"/>
                <w:sz w:val="24"/>
              </w:rPr>
            </w:pPr>
            <w:r>
              <w:rPr>
                <w:rFonts w:hint="eastAsia"/>
                <w:color w:val="000000"/>
                <w:sz w:val="24"/>
              </w:rPr>
              <w:t>期末余额</w:t>
            </w:r>
          </w:p>
        </w:tc>
        <w:tc>
          <w:tcPr>
            <w:tcW w:w="1683" w:type="dxa"/>
            <w:vAlign w:val="center"/>
          </w:tcPr>
          <w:p>
            <w:pPr>
              <w:spacing w:before="29" w:line="288" w:lineRule="auto"/>
              <w:jc w:val="center"/>
              <w:rPr>
                <w:color w:val="000000"/>
                <w:sz w:val="24"/>
              </w:rPr>
            </w:pPr>
            <w:r>
              <w:rPr>
                <w:rFonts w:hint="eastAsia"/>
                <w:color w:val="000000"/>
                <w:sz w:val="24"/>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Align w:val="center"/>
          </w:tcPr>
          <w:p>
            <w:pPr>
              <w:jc w:val="left"/>
              <w:rPr>
                <w:sz w:val="24"/>
              </w:rPr>
            </w:pPr>
            <w:r>
              <w:rPr>
                <w:sz w:val="24"/>
              </w:rPr>
              <w:t>中国工商银行</w:t>
            </w:r>
          </w:p>
        </w:tc>
        <w:tc>
          <w:tcPr>
            <w:tcW w:w="1683" w:type="dxa"/>
            <w:vAlign w:val="center"/>
          </w:tcPr>
          <w:p>
            <w:pPr>
              <w:jc w:val="right"/>
              <w:rPr>
                <w:sz w:val="24"/>
              </w:rPr>
            </w:pPr>
            <w:r>
              <w:rPr>
                <w:sz w:val="24"/>
              </w:rPr>
              <w:t>1,135,333,628.54</w:t>
            </w:r>
          </w:p>
        </w:tc>
        <w:tc>
          <w:tcPr>
            <w:tcW w:w="1683" w:type="dxa"/>
            <w:vAlign w:val="center"/>
          </w:tcPr>
          <w:p>
            <w:pPr>
              <w:jc w:val="right"/>
              <w:rPr>
                <w:sz w:val="24"/>
              </w:rPr>
            </w:pPr>
            <w:r>
              <w:rPr>
                <w:sz w:val="24"/>
              </w:rPr>
              <w:t>6,295,961.30</w:t>
            </w:r>
          </w:p>
        </w:tc>
        <w:tc>
          <w:tcPr>
            <w:tcW w:w="1683" w:type="dxa"/>
            <w:vAlign w:val="center"/>
          </w:tcPr>
          <w:p>
            <w:pPr>
              <w:jc w:val="right"/>
              <w:rPr>
                <w:sz w:val="24"/>
              </w:rPr>
            </w:pPr>
            <w:r>
              <w:rPr>
                <w:sz w:val="24"/>
              </w:rPr>
              <w:t>160,805,208.46</w:t>
            </w:r>
          </w:p>
        </w:tc>
        <w:tc>
          <w:tcPr>
            <w:tcW w:w="1683" w:type="dxa"/>
            <w:vAlign w:val="center"/>
          </w:tcPr>
          <w:p>
            <w:pPr>
              <w:jc w:val="right"/>
              <w:rPr>
                <w:sz w:val="24"/>
              </w:rPr>
            </w:pPr>
            <w:r>
              <w:rPr>
                <w:sz w:val="24"/>
              </w:rPr>
              <w:t>4,254,154.40</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2" w:name="_Toc67591817"/>
      <w:r>
        <w:rPr>
          <w:rFonts w:ascii="Times New Roman" w:hAnsi="Times New Roman"/>
          <w:kern w:val="0"/>
          <w:szCs w:val="24"/>
        </w:rPr>
        <w:t>7.4.10.6</w:t>
      </w:r>
      <w:r>
        <w:rPr>
          <w:rFonts w:hint="eastAsia" w:ascii="Times New Roman" w:hAnsi="Times New Roman"/>
          <w:kern w:val="0"/>
          <w:szCs w:val="24"/>
        </w:rPr>
        <w:t>本基金在承销期内参与关联方承销证券的情况</w:t>
      </w:r>
      <w:bookmarkEnd w:id="182"/>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spacing w:line="360" w:lineRule="auto"/>
        <w:rPr>
          <w:rFonts w:asciiTheme="minorEastAsia" w:hAnsiTheme="minorEastAsia" w:eastAsiaTheme="minorEastAsia"/>
          <w:color w:val="000000"/>
          <w:szCs w:val="21"/>
        </w:rPr>
      </w:pPr>
    </w:p>
    <w:p>
      <w:pPr>
        <w:adjustRightInd w:val="0"/>
        <w:snapToGrid w:val="0"/>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pPr>
        <w:tabs>
          <w:tab w:val="left" w:pos="426"/>
        </w:tabs>
        <w:spacing w:before="29" w:line="288" w:lineRule="auto"/>
        <w:jc w:val="left"/>
        <w:rPr>
          <w:kern w:val="0"/>
          <w:sz w:val="24"/>
        </w:rPr>
      </w:pPr>
      <w:r>
        <w:rPr>
          <w:kern w:val="0"/>
          <w:sz w:val="24"/>
        </w:rPr>
        <w:t>本基金本报告期内及上年度可比期间无其他关联交易事项。</w:t>
      </w:r>
    </w:p>
    <w:p>
      <w:pPr>
        <w:widowControl/>
        <w:spacing w:line="360" w:lineRule="auto"/>
        <w:ind w:firstLine="480" w:firstLineChars="200"/>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83" w:name="_Toc67591818"/>
      <w:r>
        <w:rPr>
          <w:rFonts w:ascii="Times New Roman" w:hAnsi="Times New Roman"/>
          <w:kern w:val="0"/>
          <w:szCs w:val="24"/>
        </w:rPr>
        <w:t>7.4.11</w:t>
      </w:r>
      <w:r>
        <w:rPr>
          <w:rFonts w:hint="eastAsia" w:ascii="Times New Roman" w:hAnsi="Times New Roman"/>
          <w:kern w:val="0"/>
          <w:szCs w:val="24"/>
        </w:rPr>
        <w:t>利润分配情况</w:t>
      </w:r>
      <w:bookmarkEnd w:id="183"/>
    </w:p>
    <w:p>
      <w:pPr>
        <w:tabs>
          <w:tab w:val="left" w:pos="426"/>
        </w:tabs>
        <w:spacing w:before="29" w:line="288" w:lineRule="auto"/>
        <w:jc w:val="left"/>
        <w:rPr>
          <w:rFonts w:asciiTheme="minorEastAsia" w:hAnsiTheme="minorEastAsia" w:eastAsiaTheme="minorEastAsia"/>
          <w:color w:val="000000"/>
          <w:szCs w:val="21"/>
        </w:rPr>
      </w:pPr>
      <w:r>
        <w:rPr>
          <w:kern w:val="0"/>
          <w:sz w:val="24"/>
        </w:rPr>
        <w:t>本基金本报告期内未进行利润分配。</w:t>
      </w:r>
      <w:r>
        <w:rPr>
          <w:rFonts w:hint="eastAsia"/>
          <w:kern w:val="0"/>
          <w:sz w:val="24"/>
        </w:rPr>
        <w:br w:type="textWrapping"/>
      </w:r>
    </w:p>
    <w:p>
      <w:pPr>
        <w:pStyle w:val="3"/>
        <w:spacing w:before="29" w:after="0" w:line="288" w:lineRule="auto"/>
        <w:rPr>
          <w:rFonts w:ascii="Times New Roman" w:hAnsi="Times New Roman"/>
          <w:kern w:val="0"/>
          <w:szCs w:val="24"/>
        </w:rPr>
      </w:pPr>
      <w:bookmarkStart w:id="184" w:name="_Toc67591819"/>
      <w:r>
        <w:rPr>
          <w:rFonts w:ascii="Times New Roman" w:hAnsi="Times New Roman"/>
          <w:kern w:val="0"/>
          <w:szCs w:val="24"/>
        </w:rPr>
        <w:t>7.4.12</w:t>
      </w:r>
      <w:r>
        <w:rPr>
          <w:rFonts w:hint="eastAsia" w:ascii="Times New Roman" w:hAnsi="Times New Roman"/>
          <w:kern w:val="0"/>
          <w:szCs w:val="24"/>
        </w:rPr>
        <w:t>期末（</w:t>
      </w:r>
      <w:r>
        <w:rPr>
          <w:rFonts w:ascii="Times New Roman" w:hAnsi="Times New Roman"/>
          <w:kern w:val="0"/>
          <w:szCs w:val="24"/>
        </w:rPr>
        <w:t>2020年12月31日</w:t>
      </w:r>
      <w:r>
        <w:rPr>
          <w:rFonts w:hint="eastAsia" w:ascii="Times New Roman" w:hAnsi="Times New Roman"/>
          <w:kern w:val="0"/>
          <w:szCs w:val="24"/>
        </w:rPr>
        <w:t>）本基金持有的流通受限证券</w:t>
      </w:r>
      <w:bookmarkEnd w:id="184"/>
    </w:p>
    <w:p>
      <w:pPr>
        <w:pStyle w:val="3"/>
        <w:spacing w:before="29" w:after="0" w:line="288" w:lineRule="auto"/>
        <w:rPr>
          <w:rFonts w:ascii="Times New Roman" w:hAnsi="Times New Roman"/>
          <w:kern w:val="0"/>
          <w:szCs w:val="24"/>
        </w:rPr>
      </w:pPr>
      <w:bookmarkStart w:id="185" w:name="_Toc67591820"/>
      <w:r>
        <w:rPr>
          <w:rFonts w:ascii="Times New Roman" w:hAnsi="Times New Roman"/>
          <w:kern w:val="0"/>
          <w:szCs w:val="24"/>
        </w:rPr>
        <w:t>7.4.12.1</w:t>
      </w:r>
      <w:r>
        <w:rPr>
          <w:rFonts w:hint="eastAsia" w:ascii="Times New Roman" w:hAnsi="Times New Roman"/>
          <w:kern w:val="0"/>
          <w:szCs w:val="24"/>
        </w:rPr>
        <w:t>因认购新发</w:t>
      </w:r>
      <w:r>
        <w:rPr>
          <w:rFonts w:ascii="Times New Roman" w:hAnsi="Times New Roman"/>
          <w:kern w:val="0"/>
          <w:szCs w:val="24"/>
        </w:rPr>
        <w:t>/</w:t>
      </w:r>
      <w:r>
        <w:rPr>
          <w:rFonts w:hint="eastAsia" w:ascii="Times New Roman" w:hAnsi="Times New Roman"/>
          <w:kern w:val="0"/>
          <w:szCs w:val="24"/>
        </w:rPr>
        <w:t>增发证券而于期末持有的流通受限证券</w:t>
      </w:r>
      <w:bookmarkEnd w:id="18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4"/>
        <w:gridCol w:w="835"/>
        <w:gridCol w:w="834"/>
        <w:gridCol w:w="835"/>
        <w:gridCol w:w="834"/>
        <w:gridCol w:w="835"/>
        <w:gridCol w:w="834"/>
        <w:gridCol w:w="835"/>
        <w:gridCol w:w="834"/>
        <w:gridCol w:w="835"/>
        <w:gridCol w:w="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180" w:type="dxa"/>
            <w:gridSpan w:val="1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002352</w:t>
            </w:r>
          </w:p>
        </w:tc>
        <w:tc>
          <w:tcPr>
            <w:tcW w:w="835" w:type="dxa"/>
            <w:vAlign w:val="center"/>
          </w:tcPr>
          <w:p>
            <w:pPr>
              <w:jc w:val="center"/>
            </w:pPr>
            <w:r>
              <w:rPr>
                <w:sz w:val="24"/>
              </w:rPr>
              <w:t>顺丰控股</w:t>
            </w:r>
          </w:p>
        </w:tc>
        <w:tc>
          <w:tcPr>
            <w:tcW w:w="834" w:type="dxa"/>
            <w:vAlign w:val="center"/>
          </w:tcPr>
          <w:p>
            <w:pPr>
              <w:jc w:val="center"/>
            </w:pPr>
            <w:r>
              <w:rPr>
                <w:sz w:val="24"/>
              </w:rPr>
              <w:t>2020-07-17</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60.00</w:t>
            </w:r>
          </w:p>
        </w:tc>
        <w:tc>
          <w:tcPr>
            <w:tcW w:w="834" w:type="dxa"/>
            <w:vAlign w:val="center"/>
          </w:tcPr>
          <w:p>
            <w:pPr>
              <w:jc w:val="right"/>
            </w:pPr>
            <w:r>
              <w:rPr>
                <w:sz w:val="24"/>
              </w:rPr>
              <w:t>86.91</w:t>
            </w:r>
          </w:p>
        </w:tc>
        <w:tc>
          <w:tcPr>
            <w:tcW w:w="835" w:type="dxa"/>
            <w:vAlign w:val="center"/>
          </w:tcPr>
          <w:p>
            <w:pPr>
              <w:jc w:val="right"/>
            </w:pPr>
            <w:r>
              <w:rPr>
                <w:sz w:val="24"/>
              </w:rPr>
              <w:t>500,000</w:t>
            </w:r>
          </w:p>
        </w:tc>
        <w:tc>
          <w:tcPr>
            <w:tcW w:w="834" w:type="dxa"/>
            <w:vAlign w:val="center"/>
          </w:tcPr>
          <w:p>
            <w:pPr>
              <w:jc w:val="right"/>
            </w:pPr>
            <w:r>
              <w:rPr>
                <w:sz w:val="24"/>
              </w:rPr>
              <w:t>30,000,000.00</w:t>
            </w:r>
          </w:p>
        </w:tc>
        <w:tc>
          <w:tcPr>
            <w:tcW w:w="835" w:type="dxa"/>
            <w:vAlign w:val="center"/>
          </w:tcPr>
          <w:p>
            <w:pPr>
              <w:jc w:val="right"/>
            </w:pPr>
            <w:r>
              <w:rPr>
                <w:sz w:val="24"/>
              </w:rPr>
              <w:t>43,455,000.00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002493</w:t>
            </w:r>
          </w:p>
        </w:tc>
        <w:tc>
          <w:tcPr>
            <w:tcW w:w="835" w:type="dxa"/>
            <w:vAlign w:val="center"/>
          </w:tcPr>
          <w:p>
            <w:pPr>
              <w:jc w:val="center"/>
            </w:pPr>
            <w:r>
              <w:rPr>
                <w:sz w:val="24"/>
              </w:rPr>
              <w:t>荣盛石化</w:t>
            </w:r>
          </w:p>
        </w:tc>
        <w:tc>
          <w:tcPr>
            <w:tcW w:w="834" w:type="dxa"/>
            <w:vAlign w:val="center"/>
          </w:tcPr>
          <w:p>
            <w:pPr>
              <w:jc w:val="center"/>
            </w:pPr>
            <w:r>
              <w:rPr>
                <w:sz w:val="24"/>
              </w:rPr>
              <w:t>2020-10-12</w:t>
            </w:r>
          </w:p>
        </w:tc>
        <w:tc>
          <w:tcPr>
            <w:tcW w:w="835" w:type="dxa"/>
            <w:vAlign w:val="center"/>
          </w:tcPr>
          <w:p>
            <w:pPr>
              <w:jc w:val="center"/>
            </w:pPr>
            <w:r>
              <w:rPr>
                <w:sz w:val="24"/>
              </w:rPr>
              <w:t>2021-04-12</w:t>
            </w:r>
          </w:p>
        </w:tc>
        <w:tc>
          <w:tcPr>
            <w:tcW w:w="834" w:type="dxa"/>
            <w:vAlign w:val="center"/>
          </w:tcPr>
          <w:p>
            <w:pPr>
              <w:jc w:val="center"/>
            </w:pPr>
            <w:r>
              <w:rPr>
                <w:sz w:val="24"/>
              </w:rPr>
              <w:t>非公开发行</w:t>
            </w:r>
          </w:p>
        </w:tc>
        <w:tc>
          <w:tcPr>
            <w:tcW w:w="835" w:type="dxa"/>
            <w:vAlign w:val="center"/>
          </w:tcPr>
          <w:p>
            <w:pPr>
              <w:jc w:val="right"/>
            </w:pPr>
            <w:r>
              <w:rPr>
                <w:sz w:val="24"/>
              </w:rPr>
              <w:t>17.42</w:t>
            </w:r>
          </w:p>
        </w:tc>
        <w:tc>
          <w:tcPr>
            <w:tcW w:w="834" w:type="dxa"/>
            <w:vAlign w:val="center"/>
          </w:tcPr>
          <w:p>
            <w:pPr>
              <w:jc w:val="right"/>
            </w:pPr>
            <w:r>
              <w:rPr>
                <w:sz w:val="24"/>
              </w:rPr>
              <w:t>26.32</w:t>
            </w:r>
          </w:p>
        </w:tc>
        <w:tc>
          <w:tcPr>
            <w:tcW w:w="835" w:type="dxa"/>
            <w:vAlign w:val="center"/>
          </w:tcPr>
          <w:p>
            <w:pPr>
              <w:jc w:val="right"/>
            </w:pPr>
            <w:r>
              <w:rPr>
                <w:sz w:val="24"/>
              </w:rPr>
              <w:t>1,836,969</w:t>
            </w:r>
          </w:p>
        </w:tc>
        <w:tc>
          <w:tcPr>
            <w:tcW w:w="834" w:type="dxa"/>
            <w:vAlign w:val="center"/>
          </w:tcPr>
          <w:p>
            <w:pPr>
              <w:jc w:val="right"/>
            </w:pPr>
            <w:r>
              <w:rPr>
                <w:sz w:val="24"/>
              </w:rPr>
              <w:t>31,999,999.98</w:t>
            </w:r>
          </w:p>
        </w:tc>
        <w:tc>
          <w:tcPr>
            <w:tcW w:w="835" w:type="dxa"/>
            <w:vAlign w:val="center"/>
          </w:tcPr>
          <w:p>
            <w:pPr>
              <w:jc w:val="right"/>
            </w:pPr>
            <w:r>
              <w:rPr>
                <w:sz w:val="24"/>
              </w:rPr>
              <w:t>48,349,024.08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003030</w:t>
            </w:r>
          </w:p>
        </w:tc>
        <w:tc>
          <w:tcPr>
            <w:tcW w:w="835" w:type="dxa"/>
            <w:vAlign w:val="center"/>
          </w:tcPr>
          <w:p>
            <w:pPr>
              <w:jc w:val="center"/>
            </w:pPr>
            <w:r>
              <w:rPr>
                <w:sz w:val="24"/>
              </w:rPr>
              <w:t>祖名股份</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15.18</w:t>
            </w:r>
          </w:p>
        </w:tc>
        <w:tc>
          <w:tcPr>
            <w:tcW w:w="834" w:type="dxa"/>
            <w:vAlign w:val="center"/>
          </w:tcPr>
          <w:p>
            <w:pPr>
              <w:jc w:val="right"/>
            </w:pPr>
            <w:r>
              <w:rPr>
                <w:sz w:val="24"/>
              </w:rPr>
              <w:t>15.18</w:t>
            </w:r>
          </w:p>
        </w:tc>
        <w:tc>
          <w:tcPr>
            <w:tcW w:w="835" w:type="dxa"/>
            <w:vAlign w:val="center"/>
          </w:tcPr>
          <w:p>
            <w:pPr>
              <w:jc w:val="right"/>
            </w:pPr>
            <w:r>
              <w:rPr>
                <w:sz w:val="24"/>
              </w:rPr>
              <w:t>480</w:t>
            </w:r>
          </w:p>
        </w:tc>
        <w:tc>
          <w:tcPr>
            <w:tcW w:w="834" w:type="dxa"/>
            <w:vAlign w:val="center"/>
          </w:tcPr>
          <w:p>
            <w:pPr>
              <w:jc w:val="right"/>
            </w:pPr>
            <w:r>
              <w:rPr>
                <w:sz w:val="24"/>
              </w:rPr>
              <w:t>7,286.40</w:t>
            </w:r>
          </w:p>
        </w:tc>
        <w:tc>
          <w:tcPr>
            <w:tcW w:w="835" w:type="dxa"/>
            <w:vAlign w:val="center"/>
          </w:tcPr>
          <w:p>
            <w:pPr>
              <w:jc w:val="right"/>
            </w:pPr>
            <w:r>
              <w:rPr>
                <w:sz w:val="24"/>
              </w:rPr>
              <w:t>7,286.40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003031</w:t>
            </w:r>
          </w:p>
        </w:tc>
        <w:tc>
          <w:tcPr>
            <w:tcW w:w="835" w:type="dxa"/>
            <w:vAlign w:val="center"/>
          </w:tcPr>
          <w:p>
            <w:pPr>
              <w:jc w:val="center"/>
            </w:pPr>
            <w:r>
              <w:rPr>
                <w:sz w:val="24"/>
              </w:rPr>
              <w:t>中瓷电子</w:t>
            </w:r>
          </w:p>
        </w:tc>
        <w:tc>
          <w:tcPr>
            <w:tcW w:w="834" w:type="dxa"/>
            <w:vAlign w:val="center"/>
          </w:tcPr>
          <w:p>
            <w:pPr>
              <w:jc w:val="center"/>
            </w:pPr>
            <w:r>
              <w:rPr>
                <w:sz w:val="24"/>
              </w:rPr>
              <w:t>2020-12-24</w:t>
            </w:r>
          </w:p>
        </w:tc>
        <w:tc>
          <w:tcPr>
            <w:tcW w:w="835" w:type="dxa"/>
            <w:vAlign w:val="center"/>
          </w:tcPr>
          <w:p>
            <w:pPr>
              <w:jc w:val="center"/>
            </w:pPr>
            <w:r>
              <w:rPr>
                <w:sz w:val="24"/>
              </w:rPr>
              <w:t>2021-01-04</w:t>
            </w:r>
          </w:p>
        </w:tc>
        <w:tc>
          <w:tcPr>
            <w:tcW w:w="834" w:type="dxa"/>
            <w:vAlign w:val="center"/>
          </w:tcPr>
          <w:p>
            <w:pPr>
              <w:jc w:val="center"/>
            </w:pPr>
            <w:r>
              <w:rPr>
                <w:sz w:val="24"/>
              </w:rPr>
              <w:t>新股未上市</w:t>
            </w:r>
          </w:p>
        </w:tc>
        <w:tc>
          <w:tcPr>
            <w:tcW w:w="835" w:type="dxa"/>
            <w:vAlign w:val="center"/>
          </w:tcPr>
          <w:p>
            <w:pPr>
              <w:jc w:val="right"/>
            </w:pPr>
            <w:r>
              <w:rPr>
                <w:sz w:val="24"/>
              </w:rPr>
              <w:t>15.27</w:t>
            </w:r>
          </w:p>
        </w:tc>
        <w:tc>
          <w:tcPr>
            <w:tcW w:w="834" w:type="dxa"/>
            <w:vAlign w:val="center"/>
          </w:tcPr>
          <w:p>
            <w:pPr>
              <w:jc w:val="right"/>
            </w:pPr>
            <w:r>
              <w:rPr>
                <w:sz w:val="24"/>
              </w:rPr>
              <w:t>15.27</w:t>
            </w:r>
          </w:p>
        </w:tc>
        <w:tc>
          <w:tcPr>
            <w:tcW w:w="835" w:type="dxa"/>
            <w:vAlign w:val="center"/>
          </w:tcPr>
          <w:p>
            <w:pPr>
              <w:jc w:val="right"/>
            </w:pPr>
            <w:r>
              <w:rPr>
                <w:sz w:val="24"/>
              </w:rPr>
              <w:t>387</w:t>
            </w:r>
          </w:p>
        </w:tc>
        <w:tc>
          <w:tcPr>
            <w:tcW w:w="834" w:type="dxa"/>
            <w:vAlign w:val="center"/>
          </w:tcPr>
          <w:p>
            <w:pPr>
              <w:jc w:val="right"/>
            </w:pPr>
            <w:r>
              <w:rPr>
                <w:sz w:val="24"/>
              </w:rPr>
              <w:t>5,909.49</w:t>
            </w:r>
          </w:p>
        </w:tc>
        <w:tc>
          <w:tcPr>
            <w:tcW w:w="835" w:type="dxa"/>
            <w:vAlign w:val="center"/>
          </w:tcPr>
          <w:p>
            <w:pPr>
              <w:jc w:val="right"/>
            </w:pPr>
            <w:r>
              <w:rPr>
                <w:sz w:val="24"/>
              </w:rPr>
              <w:t>5,909.49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300860</w:t>
            </w:r>
          </w:p>
        </w:tc>
        <w:tc>
          <w:tcPr>
            <w:tcW w:w="835" w:type="dxa"/>
            <w:vAlign w:val="center"/>
          </w:tcPr>
          <w:p>
            <w:pPr>
              <w:jc w:val="center"/>
            </w:pPr>
            <w:r>
              <w:rPr>
                <w:sz w:val="24"/>
              </w:rPr>
              <w:t>锋尚文化</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138.02</w:t>
            </w:r>
          </w:p>
        </w:tc>
        <w:tc>
          <w:tcPr>
            <w:tcW w:w="834" w:type="dxa"/>
            <w:vAlign w:val="center"/>
          </w:tcPr>
          <w:p>
            <w:pPr>
              <w:jc w:val="right"/>
            </w:pPr>
            <w:r>
              <w:rPr>
                <w:sz w:val="24"/>
              </w:rPr>
              <w:t>126.67</w:t>
            </w:r>
          </w:p>
        </w:tc>
        <w:tc>
          <w:tcPr>
            <w:tcW w:w="835" w:type="dxa"/>
            <w:vAlign w:val="center"/>
          </w:tcPr>
          <w:p>
            <w:pPr>
              <w:jc w:val="right"/>
            </w:pPr>
            <w:r>
              <w:rPr>
                <w:sz w:val="24"/>
              </w:rPr>
              <w:t>381</w:t>
            </w:r>
          </w:p>
        </w:tc>
        <w:tc>
          <w:tcPr>
            <w:tcW w:w="834" w:type="dxa"/>
            <w:vAlign w:val="center"/>
          </w:tcPr>
          <w:p>
            <w:pPr>
              <w:jc w:val="right"/>
            </w:pPr>
            <w:r>
              <w:rPr>
                <w:sz w:val="24"/>
              </w:rPr>
              <w:t>52,585.62</w:t>
            </w:r>
          </w:p>
        </w:tc>
        <w:tc>
          <w:tcPr>
            <w:tcW w:w="835" w:type="dxa"/>
            <w:vAlign w:val="center"/>
          </w:tcPr>
          <w:p>
            <w:pPr>
              <w:jc w:val="right"/>
            </w:pPr>
            <w:r>
              <w:rPr>
                <w:sz w:val="24"/>
              </w:rPr>
              <w:t>48,261.27</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300861</w:t>
            </w:r>
          </w:p>
        </w:tc>
        <w:tc>
          <w:tcPr>
            <w:tcW w:w="835" w:type="dxa"/>
            <w:vAlign w:val="center"/>
          </w:tcPr>
          <w:p>
            <w:pPr>
              <w:jc w:val="center"/>
            </w:pPr>
            <w:r>
              <w:rPr>
                <w:sz w:val="24"/>
              </w:rPr>
              <w:t>美畅股份</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43.76</w:t>
            </w:r>
          </w:p>
        </w:tc>
        <w:tc>
          <w:tcPr>
            <w:tcW w:w="834" w:type="dxa"/>
            <w:vAlign w:val="center"/>
          </w:tcPr>
          <w:p>
            <w:pPr>
              <w:jc w:val="right"/>
            </w:pPr>
            <w:r>
              <w:rPr>
                <w:sz w:val="24"/>
              </w:rPr>
              <w:t>51.10</w:t>
            </w:r>
          </w:p>
        </w:tc>
        <w:tc>
          <w:tcPr>
            <w:tcW w:w="835" w:type="dxa"/>
            <w:vAlign w:val="center"/>
          </w:tcPr>
          <w:p>
            <w:pPr>
              <w:jc w:val="right"/>
            </w:pPr>
            <w:r>
              <w:rPr>
                <w:sz w:val="24"/>
              </w:rPr>
              <w:t>895</w:t>
            </w:r>
          </w:p>
        </w:tc>
        <w:tc>
          <w:tcPr>
            <w:tcW w:w="834" w:type="dxa"/>
            <w:vAlign w:val="center"/>
          </w:tcPr>
          <w:p>
            <w:pPr>
              <w:jc w:val="right"/>
            </w:pPr>
            <w:r>
              <w:rPr>
                <w:sz w:val="24"/>
              </w:rPr>
              <w:t>39,165.20</w:t>
            </w:r>
          </w:p>
        </w:tc>
        <w:tc>
          <w:tcPr>
            <w:tcW w:w="835" w:type="dxa"/>
            <w:vAlign w:val="center"/>
          </w:tcPr>
          <w:p>
            <w:pPr>
              <w:jc w:val="right"/>
            </w:pPr>
            <w:r>
              <w:rPr>
                <w:sz w:val="24"/>
              </w:rPr>
              <w:t>45,734.50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300864</w:t>
            </w:r>
          </w:p>
        </w:tc>
        <w:tc>
          <w:tcPr>
            <w:tcW w:w="835" w:type="dxa"/>
            <w:vAlign w:val="center"/>
          </w:tcPr>
          <w:p>
            <w:pPr>
              <w:jc w:val="center"/>
            </w:pPr>
            <w:r>
              <w:rPr>
                <w:sz w:val="24"/>
              </w:rPr>
              <w:t>南大环境</w:t>
            </w:r>
          </w:p>
        </w:tc>
        <w:tc>
          <w:tcPr>
            <w:tcW w:w="834" w:type="dxa"/>
            <w:vAlign w:val="center"/>
          </w:tcPr>
          <w:p>
            <w:pPr>
              <w:jc w:val="center"/>
            </w:pPr>
            <w:r>
              <w:rPr>
                <w:sz w:val="24"/>
              </w:rPr>
              <w:t>2020-08-13</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71.71</w:t>
            </w:r>
          </w:p>
        </w:tc>
        <w:tc>
          <w:tcPr>
            <w:tcW w:w="834" w:type="dxa"/>
            <w:vAlign w:val="center"/>
          </w:tcPr>
          <w:p>
            <w:pPr>
              <w:jc w:val="right"/>
            </w:pPr>
            <w:r>
              <w:rPr>
                <w:sz w:val="24"/>
              </w:rPr>
              <w:t>90.85</w:t>
            </w:r>
          </w:p>
        </w:tc>
        <w:tc>
          <w:tcPr>
            <w:tcW w:w="835" w:type="dxa"/>
            <w:vAlign w:val="center"/>
          </w:tcPr>
          <w:p>
            <w:pPr>
              <w:jc w:val="right"/>
            </w:pPr>
            <w:r>
              <w:rPr>
                <w:sz w:val="24"/>
              </w:rPr>
              <w:t>166</w:t>
            </w:r>
          </w:p>
        </w:tc>
        <w:tc>
          <w:tcPr>
            <w:tcW w:w="834" w:type="dxa"/>
            <w:vAlign w:val="center"/>
          </w:tcPr>
          <w:p>
            <w:pPr>
              <w:jc w:val="right"/>
            </w:pPr>
            <w:r>
              <w:rPr>
                <w:sz w:val="24"/>
              </w:rPr>
              <w:t>11,903.86</w:t>
            </w:r>
          </w:p>
        </w:tc>
        <w:tc>
          <w:tcPr>
            <w:tcW w:w="835" w:type="dxa"/>
            <w:vAlign w:val="center"/>
          </w:tcPr>
          <w:p>
            <w:pPr>
              <w:jc w:val="right"/>
            </w:pPr>
            <w:r>
              <w:rPr>
                <w:sz w:val="24"/>
              </w:rPr>
              <w:t>15,081.10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300866</w:t>
            </w:r>
          </w:p>
        </w:tc>
        <w:tc>
          <w:tcPr>
            <w:tcW w:w="835" w:type="dxa"/>
            <w:vAlign w:val="center"/>
          </w:tcPr>
          <w:p>
            <w:pPr>
              <w:jc w:val="center"/>
            </w:pPr>
            <w:r>
              <w:rPr>
                <w:sz w:val="24"/>
              </w:rPr>
              <w:t>安克创新</w:t>
            </w:r>
          </w:p>
        </w:tc>
        <w:tc>
          <w:tcPr>
            <w:tcW w:w="834" w:type="dxa"/>
            <w:vAlign w:val="center"/>
          </w:tcPr>
          <w:p>
            <w:pPr>
              <w:jc w:val="center"/>
            </w:pPr>
            <w:r>
              <w:rPr>
                <w:sz w:val="24"/>
              </w:rPr>
              <w:t>2020-08-11</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66.32</w:t>
            </w:r>
          </w:p>
        </w:tc>
        <w:tc>
          <w:tcPr>
            <w:tcW w:w="834" w:type="dxa"/>
            <w:vAlign w:val="center"/>
          </w:tcPr>
          <w:p>
            <w:pPr>
              <w:jc w:val="right"/>
            </w:pPr>
            <w:r>
              <w:rPr>
                <w:sz w:val="24"/>
              </w:rPr>
              <w:t>156.18</w:t>
            </w:r>
          </w:p>
        </w:tc>
        <w:tc>
          <w:tcPr>
            <w:tcW w:w="835" w:type="dxa"/>
            <w:vAlign w:val="center"/>
          </w:tcPr>
          <w:p>
            <w:pPr>
              <w:jc w:val="right"/>
            </w:pPr>
            <w:r>
              <w:rPr>
                <w:sz w:val="24"/>
              </w:rPr>
              <w:t>9,451</w:t>
            </w:r>
          </w:p>
        </w:tc>
        <w:tc>
          <w:tcPr>
            <w:tcW w:w="834" w:type="dxa"/>
            <w:vAlign w:val="center"/>
          </w:tcPr>
          <w:p>
            <w:pPr>
              <w:jc w:val="right"/>
            </w:pPr>
            <w:r>
              <w:rPr>
                <w:sz w:val="24"/>
              </w:rPr>
              <w:t>626,790.32</w:t>
            </w:r>
          </w:p>
        </w:tc>
        <w:tc>
          <w:tcPr>
            <w:tcW w:w="835" w:type="dxa"/>
            <w:vAlign w:val="center"/>
          </w:tcPr>
          <w:p>
            <w:pPr>
              <w:jc w:val="right"/>
            </w:pPr>
            <w:r>
              <w:rPr>
                <w:sz w:val="24"/>
              </w:rPr>
              <w:t>1,476,057.18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300868</w:t>
            </w:r>
          </w:p>
        </w:tc>
        <w:tc>
          <w:tcPr>
            <w:tcW w:w="835" w:type="dxa"/>
            <w:vAlign w:val="center"/>
          </w:tcPr>
          <w:p>
            <w:pPr>
              <w:jc w:val="center"/>
            </w:pPr>
            <w:r>
              <w:rPr>
                <w:sz w:val="24"/>
              </w:rPr>
              <w:t>杰美特</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41.26</w:t>
            </w:r>
          </w:p>
        </w:tc>
        <w:tc>
          <w:tcPr>
            <w:tcW w:w="834" w:type="dxa"/>
            <w:vAlign w:val="center"/>
          </w:tcPr>
          <w:p>
            <w:pPr>
              <w:jc w:val="right"/>
            </w:pPr>
            <w:r>
              <w:rPr>
                <w:sz w:val="24"/>
              </w:rPr>
              <w:t>43.28</w:t>
            </w:r>
          </w:p>
        </w:tc>
        <w:tc>
          <w:tcPr>
            <w:tcW w:w="835" w:type="dxa"/>
            <w:vAlign w:val="center"/>
          </w:tcPr>
          <w:p>
            <w:pPr>
              <w:jc w:val="right"/>
            </w:pPr>
            <w:r>
              <w:rPr>
                <w:sz w:val="24"/>
              </w:rPr>
              <w:t>593</w:t>
            </w:r>
          </w:p>
        </w:tc>
        <w:tc>
          <w:tcPr>
            <w:tcW w:w="834" w:type="dxa"/>
            <w:vAlign w:val="center"/>
          </w:tcPr>
          <w:p>
            <w:pPr>
              <w:jc w:val="right"/>
            </w:pPr>
            <w:r>
              <w:rPr>
                <w:sz w:val="24"/>
              </w:rPr>
              <w:t>24,467.18</w:t>
            </w:r>
          </w:p>
        </w:tc>
        <w:tc>
          <w:tcPr>
            <w:tcW w:w="835" w:type="dxa"/>
            <w:vAlign w:val="center"/>
          </w:tcPr>
          <w:p>
            <w:pPr>
              <w:jc w:val="right"/>
            </w:pPr>
            <w:r>
              <w:rPr>
                <w:sz w:val="24"/>
              </w:rPr>
              <w:t>25,665.04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300869</w:t>
            </w:r>
          </w:p>
        </w:tc>
        <w:tc>
          <w:tcPr>
            <w:tcW w:w="835" w:type="dxa"/>
            <w:vAlign w:val="center"/>
          </w:tcPr>
          <w:p>
            <w:pPr>
              <w:jc w:val="center"/>
            </w:pPr>
            <w:r>
              <w:rPr>
                <w:sz w:val="24"/>
              </w:rPr>
              <w:t>康泰医学</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10.16</w:t>
            </w:r>
          </w:p>
        </w:tc>
        <w:tc>
          <w:tcPr>
            <w:tcW w:w="834" w:type="dxa"/>
            <w:vAlign w:val="center"/>
          </w:tcPr>
          <w:p>
            <w:pPr>
              <w:jc w:val="right"/>
            </w:pPr>
            <w:r>
              <w:rPr>
                <w:sz w:val="24"/>
              </w:rPr>
              <w:t>110.88</w:t>
            </w:r>
          </w:p>
        </w:tc>
        <w:tc>
          <w:tcPr>
            <w:tcW w:w="835" w:type="dxa"/>
            <w:vAlign w:val="center"/>
          </w:tcPr>
          <w:p>
            <w:pPr>
              <w:jc w:val="right"/>
            </w:pPr>
            <w:r>
              <w:rPr>
                <w:sz w:val="24"/>
              </w:rPr>
              <w:t>862</w:t>
            </w:r>
          </w:p>
        </w:tc>
        <w:tc>
          <w:tcPr>
            <w:tcW w:w="834" w:type="dxa"/>
            <w:vAlign w:val="center"/>
          </w:tcPr>
          <w:p>
            <w:pPr>
              <w:jc w:val="right"/>
            </w:pPr>
            <w:r>
              <w:rPr>
                <w:sz w:val="24"/>
              </w:rPr>
              <w:t>8,757.92</w:t>
            </w:r>
          </w:p>
        </w:tc>
        <w:tc>
          <w:tcPr>
            <w:tcW w:w="835" w:type="dxa"/>
            <w:vAlign w:val="center"/>
          </w:tcPr>
          <w:p>
            <w:pPr>
              <w:jc w:val="right"/>
            </w:pPr>
            <w:r>
              <w:rPr>
                <w:sz w:val="24"/>
              </w:rPr>
              <w:t>95,578.56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300870</w:t>
            </w:r>
          </w:p>
        </w:tc>
        <w:tc>
          <w:tcPr>
            <w:tcW w:w="835" w:type="dxa"/>
            <w:vAlign w:val="center"/>
          </w:tcPr>
          <w:p>
            <w:pPr>
              <w:jc w:val="center"/>
            </w:pPr>
            <w:r>
              <w:rPr>
                <w:sz w:val="24"/>
              </w:rPr>
              <w:t>欧陆通</w:t>
            </w:r>
          </w:p>
        </w:tc>
        <w:tc>
          <w:tcPr>
            <w:tcW w:w="834" w:type="dxa"/>
            <w:vAlign w:val="center"/>
          </w:tcPr>
          <w:p>
            <w:pPr>
              <w:jc w:val="center"/>
            </w:pPr>
            <w:r>
              <w:rPr>
                <w:sz w:val="24"/>
              </w:rPr>
              <w:t>2020-08-13</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36.81</w:t>
            </w:r>
          </w:p>
        </w:tc>
        <w:tc>
          <w:tcPr>
            <w:tcW w:w="834" w:type="dxa"/>
            <w:vAlign w:val="center"/>
          </w:tcPr>
          <w:p>
            <w:pPr>
              <w:jc w:val="right"/>
            </w:pPr>
            <w:r>
              <w:rPr>
                <w:sz w:val="24"/>
              </w:rPr>
              <w:t>65.67</w:t>
            </w:r>
          </w:p>
        </w:tc>
        <w:tc>
          <w:tcPr>
            <w:tcW w:w="835" w:type="dxa"/>
            <w:vAlign w:val="center"/>
          </w:tcPr>
          <w:p>
            <w:pPr>
              <w:jc w:val="right"/>
            </w:pPr>
            <w:r>
              <w:rPr>
                <w:sz w:val="24"/>
              </w:rPr>
              <w:t>478</w:t>
            </w:r>
          </w:p>
        </w:tc>
        <w:tc>
          <w:tcPr>
            <w:tcW w:w="834" w:type="dxa"/>
            <w:vAlign w:val="center"/>
          </w:tcPr>
          <w:p>
            <w:pPr>
              <w:jc w:val="right"/>
            </w:pPr>
            <w:r>
              <w:rPr>
                <w:sz w:val="24"/>
              </w:rPr>
              <w:t>17,595.18</w:t>
            </w:r>
          </w:p>
        </w:tc>
        <w:tc>
          <w:tcPr>
            <w:tcW w:w="835" w:type="dxa"/>
            <w:vAlign w:val="center"/>
          </w:tcPr>
          <w:p>
            <w:pPr>
              <w:jc w:val="right"/>
            </w:pPr>
            <w:r>
              <w:rPr>
                <w:sz w:val="24"/>
              </w:rPr>
              <w:t>31,390.26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300872</w:t>
            </w:r>
          </w:p>
        </w:tc>
        <w:tc>
          <w:tcPr>
            <w:tcW w:w="835" w:type="dxa"/>
            <w:vAlign w:val="center"/>
          </w:tcPr>
          <w:p>
            <w:pPr>
              <w:jc w:val="center"/>
            </w:pPr>
            <w:r>
              <w:rPr>
                <w:sz w:val="24"/>
              </w:rPr>
              <w:t>天阳科技</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21.34</w:t>
            </w:r>
          </w:p>
        </w:tc>
        <w:tc>
          <w:tcPr>
            <w:tcW w:w="834" w:type="dxa"/>
            <w:vAlign w:val="center"/>
          </w:tcPr>
          <w:p>
            <w:pPr>
              <w:jc w:val="right"/>
            </w:pPr>
            <w:r>
              <w:rPr>
                <w:sz w:val="24"/>
              </w:rPr>
              <w:t>37.84</w:t>
            </w:r>
          </w:p>
        </w:tc>
        <w:tc>
          <w:tcPr>
            <w:tcW w:w="835" w:type="dxa"/>
            <w:vAlign w:val="center"/>
          </w:tcPr>
          <w:p>
            <w:pPr>
              <w:jc w:val="right"/>
            </w:pPr>
            <w:r>
              <w:rPr>
                <w:sz w:val="24"/>
              </w:rPr>
              <w:t>871</w:t>
            </w:r>
          </w:p>
        </w:tc>
        <w:tc>
          <w:tcPr>
            <w:tcW w:w="834" w:type="dxa"/>
            <w:vAlign w:val="center"/>
          </w:tcPr>
          <w:p>
            <w:pPr>
              <w:jc w:val="right"/>
            </w:pPr>
            <w:r>
              <w:rPr>
                <w:sz w:val="24"/>
              </w:rPr>
              <w:t>18,587.14</w:t>
            </w:r>
          </w:p>
        </w:tc>
        <w:tc>
          <w:tcPr>
            <w:tcW w:w="835" w:type="dxa"/>
            <w:vAlign w:val="center"/>
          </w:tcPr>
          <w:p>
            <w:pPr>
              <w:jc w:val="right"/>
            </w:pPr>
            <w:r>
              <w:rPr>
                <w:sz w:val="24"/>
              </w:rPr>
              <w:t>32,958.64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300873</w:t>
            </w:r>
          </w:p>
        </w:tc>
        <w:tc>
          <w:tcPr>
            <w:tcW w:w="835" w:type="dxa"/>
            <w:vAlign w:val="center"/>
          </w:tcPr>
          <w:p>
            <w:pPr>
              <w:jc w:val="center"/>
            </w:pPr>
            <w:r>
              <w:rPr>
                <w:sz w:val="24"/>
              </w:rPr>
              <w:t>海晨股份</w:t>
            </w:r>
          </w:p>
        </w:tc>
        <w:tc>
          <w:tcPr>
            <w:tcW w:w="834" w:type="dxa"/>
            <w:vAlign w:val="center"/>
          </w:tcPr>
          <w:p>
            <w:pPr>
              <w:jc w:val="center"/>
            </w:pPr>
            <w:r>
              <w:rPr>
                <w:sz w:val="24"/>
              </w:rPr>
              <w:t>2020-08-14</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30.72</w:t>
            </w:r>
          </w:p>
        </w:tc>
        <w:tc>
          <w:tcPr>
            <w:tcW w:w="834" w:type="dxa"/>
            <w:vAlign w:val="center"/>
          </w:tcPr>
          <w:p>
            <w:pPr>
              <w:jc w:val="right"/>
            </w:pPr>
            <w:r>
              <w:rPr>
                <w:sz w:val="24"/>
              </w:rPr>
              <w:t>41.32</w:t>
            </w:r>
          </w:p>
        </w:tc>
        <w:tc>
          <w:tcPr>
            <w:tcW w:w="835" w:type="dxa"/>
            <w:vAlign w:val="center"/>
          </w:tcPr>
          <w:p>
            <w:pPr>
              <w:jc w:val="right"/>
            </w:pPr>
            <w:r>
              <w:rPr>
                <w:sz w:val="24"/>
              </w:rPr>
              <w:t>484</w:t>
            </w:r>
          </w:p>
        </w:tc>
        <w:tc>
          <w:tcPr>
            <w:tcW w:w="834" w:type="dxa"/>
            <w:vAlign w:val="center"/>
          </w:tcPr>
          <w:p>
            <w:pPr>
              <w:jc w:val="right"/>
            </w:pPr>
            <w:r>
              <w:rPr>
                <w:sz w:val="24"/>
              </w:rPr>
              <w:t>14,868.48</w:t>
            </w:r>
          </w:p>
        </w:tc>
        <w:tc>
          <w:tcPr>
            <w:tcW w:w="835" w:type="dxa"/>
            <w:vAlign w:val="center"/>
          </w:tcPr>
          <w:p>
            <w:pPr>
              <w:jc w:val="right"/>
            </w:pPr>
            <w:r>
              <w:rPr>
                <w:sz w:val="24"/>
              </w:rPr>
              <w:t>19,998.88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300876</w:t>
            </w:r>
          </w:p>
        </w:tc>
        <w:tc>
          <w:tcPr>
            <w:tcW w:w="835" w:type="dxa"/>
            <w:vAlign w:val="center"/>
          </w:tcPr>
          <w:p>
            <w:pPr>
              <w:jc w:val="center"/>
            </w:pPr>
            <w:r>
              <w:rPr>
                <w:sz w:val="24"/>
              </w:rPr>
              <w:t>蒙泰高新</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20.09</w:t>
            </w:r>
          </w:p>
        </w:tc>
        <w:tc>
          <w:tcPr>
            <w:tcW w:w="834" w:type="dxa"/>
            <w:vAlign w:val="center"/>
          </w:tcPr>
          <w:p>
            <w:pPr>
              <w:jc w:val="right"/>
            </w:pPr>
            <w:r>
              <w:rPr>
                <w:sz w:val="24"/>
              </w:rPr>
              <w:t>36.62</w:t>
            </w:r>
          </w:p>
        </w:tc>
        <w:tc>
          <w:tcPr>
            <w:tcW w:w="835" w:type="dxa"/>
            <w:vAlign w:val="center"/>
          </w:tcPr>
          <w:p>
            <w:pPr>
              <w:jc w:val="right"/>
            </w:pPr>
            <w:r>
              <w:rPr>
                <w:sz w:val="24"/>
              </w:rPr>
              <w:t>350</w:t>
            </w:r>
          </w:p>
        </w:tc>
        <w:tc>
          <w:tcPr>
            <w:tcW w:w="834" w:type="dxa"/>
            <w:vAlign w:val="center"/>
          </w:tcPr>
          <w:p>
            <w:pPr>
              <w:jc w:val="right"/>
            </w:pPr>
            <w:r>
              <w:rPr>
                <w:sz w:val="24"/>
              </w:rPr>
              <w:t>7,031.50</w:t>
            </w:r>
          </w:p>
        </w:tc>
        <w:tc>
          <w:tcPr>
            <w:tcW w:w="835" w:type="dxa"/>
            <w:vAlign w:val="center"/>
          </w:tcPr>
          <w:p>
            <w:pPr>
              <w:jc w:val="right"/>
            </w:pPr>
            <w:r>
              <w:rPr>
                <w:sz w:val="24"/>
              </w:rPr>
              <w:t>12,817.00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300877</w:t>
            </w:r>
          </w:p>
        </w:tc>
        <w:tc>
          <w:tcPr>
            <w:tcW w:w="835" w:type="dxa"/>
            <w:vAlign w:val="center"/>
          </w:tcPr>
          <w:p>
            <w:pPr>
              <w:jc w:val="center"/>
            </w:pPr>
            <w:r>
              <w:rPr>
                <w:sz w:val="24"/>
              </w:rPr>
              <w:t>金春股份</w:t>
            </w:r>
          </w:p>
        </w:tc>
        <w:tc>
          <w:tcPr>
            <w:tcW w:w="834" w:type="dxa"/>
            <w:vAlign w:val="center"/>
          </w:tcPr>
          <w:p>
            <w:pPr>
              <w:jc w:val="center"/>
            </w:pPr>
            <w:r>
              <w:rPr>
                <w:sz w:val="24"/>
              </w:rPr>
              <w:t>2020-08-17</w:t>
            </w:r>
          </w:p>
        </w:tc>
        <w:tc>
          <w:tcPr>
            <w:tcW w:w="835" w:type="dxa"/>
            <w:vAlign w:val="center"/>
          </w:tcPr>
          <w:p>
            <w:pPr>
              <w:jc w:val="center"/>
              <w:rPr>
                <w:sz w:val="24"/>
              </w:rP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30.54</w:t>
            </w:r>
          </w:p>
        </w:tc>
        <w:tc>
          <w:tcPr>
            <w:tcW w:w="834" w:type="dxa"/>
            <w:vAlign w:val="center"/>
          </w:tcPr>
          <w:p>
            <w:pPr>
              <w:jc w:val="right"/>
            </w:pPr>
            <w:r>
              <w:rPr>
                <w:sz w:val="24"/>
              </w:rPr>
              <w:t>50.85</w:t>
            </w:r>
          </w:p>
        </w:tc>
        <w:tc>
          <w:tcPr>
            <w:tcW w:w="835" w:type="dxa"/>
            <w:vAlign w:val="center"/>
          </w:tcPr>
          <w:p>
            <w:pPr>
              <w:jc w:val="right"/>
            </w:pPr>
            <w:r>
              <w:rPr>
                <w:sz w:val="24"/>
              </w:rPr>
              <w:t>569</w:t>
            </w:r>
          </w:p>
        </w:tc>
        <w:tc>
          <w:tcPr>
            <w:tcW w:w="834" w:type="dxa"/>
            <w:vAlign w:val="center"/>
          </w:tcPr>
          <w:p>
            <w:pPr>
              <w:jc w:val="right"/>
            </w:pPr>
            <w:r>
              <w:rPr>
                <w:sz w:val="24"/>
              </w:rPr>
              <w:t>17,377.26</w:t>
            </w:r>
          </w:p>
        </w:tc>
        <w:tc>
          <w:tcPr>
            <w:tcW w:w="835" w:type="dxa"/>
            <w:vAlign w:val="center"/>
          </w:tcPr>
          <w:p>
            <w:pPr>
              <w:jc w:val="right"/>
            </w:pPr>
            <w:r>
              <w:rPr>
                <w:sz w:val="24"/>
              </w:rPr>
              <w:t>28,933.65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300878</w:t>
            </w:r>
          </w:p>
        </w:tc>
        <w:tc>
          <w:tcPr>
            <w:tcW w:w="835" w:type="dxa"/>
            <w:vAlign w:val="center"/>
          </w:tcPr>
          <w:p>
            <w:pPr>
              <w:jc w:val="center"/>
            </w:pPr>
            <w:r>
              <w:rPr>
                <w:sz w:val="24"/>
              </w:rPr>
              <w:t>维康药业</w:t>
            </w:r>
          </w:p>
        </w:tc>
        <w:tc>
          <w:tcPr>
            <w:tcW w:w="834" w:type="dxa"/>
            <w:vAlign w:val="center"/>
          </w:tcPr>
          <w:p>
            <w:pPr>
              <w:jc w:val="center"/>
            </w:pPr>
            <w:r>
              <w:rPr>
                <w:sz w:val="24"/>
              </w:rPr>
              <w:t>2020-08-17</w:t>
            </w:r>
          </w:p>
        </w:tc>
        <w:tc>
          <w:tcPr>
            <w:tcW w:w="835" w:type="dxa"/>
            <w:vAlign w:val="center"/>
          </w:tcPr>
          <w:p>
            <w:pPr>
              <w:jc w:val="cente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41.34</w:t>
            </w:r>
          </w:p>
        </w:tc>
        <w:tc>
          <w:tcPr>
            <w:tcW w:w="834" w:type="dxa"/>
            <w:vAlign w:val="center"/>
          </w:tcPr>
          <w:p>
            <w:pPr>
              <w:jc w:val="right"/>
            </w:pPr>
            <w:r>
              <w:rPr>
                <w:sz w:val="24"/>
              </w:rPr>
              <w:t>48.72</w:t>
            </w:r>
          </w:p>
        </w:tc>
        <w:tc>
          <w:tcPr>
            <w:tcW w:w="835" w:type="dxa"/>
            <w:vAlign w:val="center"/>
          </w:tcPr>
          <w:p>
            <w:pPr>
              <w:jc w:val="right"/>
            </w:pPr>
            <w:r>
              <w:rPr>
                <w:sz w:val="24"/>
              </w:rPr>
              <w:t>401</w:t>
            </w:r>
          </w:p>
        </w:tc>
        <w:tc>
          <w:tcPr>
            <w:tcW w:w="834" w:type="dxa"/>
            <w:vAlign w:val="center"/>
          </w:tcPr>
          <w:p>
            <w:pPr>
              <w:jc w:val="right"/>
            </w:pPr>
            <w:r>
              <w:rPr>
                <w:sz w:val="24"/>
              </w:rPr>
              <w:t>16,577.34</w:t>
            </w:r>
          </w:p>
        </w:tc>
        <w:tc>
          <w:tcPr>
            <w:tcW w:w="835" w:type="dxa"/>
            <w:vAlign w:val="center"/>
          </w:tcPr>
          <w:p>
            <w:pPr>
              <w:jc w:val="right"/>
            </w:pPr>
            <w:r>
              <w:rPr>
                <w:sz w:val="24"/>
              </w:rPr>
              <w:t>19,536.72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300879</w:t>
            </w:r>
          </w:p>
        </w:tc>
        <w:tc>
          <w:tcPr>
            <w:tcW w:w="835" w:type="dxa"/>
            <w:vAlign w:val="center"/>
          </w:tcPr>
          <w:p>
            <w:pPr>
              <w:jc w:val="center"/>
            </w:pPr>
            <w:r>
              <w:rPr>
                <w:sz w:val="24"/>
              </w:rPr>
              <w:t>大叶股份</w:t>
            </w:r>
          </w:p>
        </w:tc>
        <w:tc>
          <w:tcPr>
            <w:tcW w:w="834" w:type="dxa"/>
            <w:vAlign w:val="center"/>
          </w:tcPr>
          <w:p>
            <w:pPr>
              <w:jc w:val="center"/>
            </w:pPr>
            <w:r>
              <w:rPr>
                <w:sz w:val="24"/>
              </w:rPr>
              <w:t>2020-08-25</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10.58</w:t>
            </w:r>
          </w:p>
        </w:tc>
        <w:tc>
          <w:tcPr>
            <w:tcW w:w="834" w:type="dxa"/>
            <w:vAlign w:val="center"/>
          </w:tcPr>
          <w:p>
            <w:pPr>
              <w:jc w:val="right"/>
            </w:pPr>
            <w:r>
              <w:rPr>
                <w:sz w:val="24"/>
              </w:rPr>
              <w:t>27.12</w:t>
            </w:r>
          </w:p>
        </w:tc>
        <w:tc>
          <w:tcPr>
            <w:tcW w:w="835" w:type="dxa"/>
            <w:vAlign w:val="center"/>
          </w:tcPr>
          <w:p>
            <w:pPr>
              <w:jc w:val="right"/>
            </w:pPr>
            <w:r>
              <w:rPr>
                <w:sz w:val="24"/>
              </w:rPr>
              <w:t>466</w:t>
            </w:r>
          </w:p>
        </w:tc>
        <w:tc>
          <w:tcPr>
            <w:tcW w:w="834" w:type="dxa"/>
            <w:vAlign w:val="center"/>
          </w:tcPr>
          <w:p>
            <w:pPr>
              <w:jc w:val="right"/>
            </w:pPr>
            <w:r>
              <w:rPr>
                <w:sz w:val="24"/>
              </w:rPr>
              <w:t>4,930.28</w:t>
            </w:r>
          </w:p>
        </w:tc>
        <w:tc>
          <w:tcPr>
            <w:tcW w:w="835" w:type="dxa"/>
            <w:vAlign w:val="center"/>
          </w:tcPr>
          <w:p>
            <w:pPr>
              <w:jc w:val="right"/>
            </w:pPr>
            <w:r>
              <w:rPr>
                <w:sz w:val="24"/>
              </w:rPr>
              <w:t>12,637.92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300881</w:t>
            </w:r>
          </w:p>
        </w:tc>
        <w:tc>
          <w:tcPr>
            <w:tcW w:w="835" w:type="dxa"/>
            <w:vAlign w:val="center"/>
          </w:tcPr>
          <w:p>
            <w:pPr>
              <w:jc w:val="center"/>
            </w:pPr>
            <w:r>
              <w:rPr>
                <w:sz w:val="24"/>
              </w:rPr>
              <w:t>盛德鑫泰</w:t>
            </w:r>
          </w:p>
        </w:tc>
        <w:tc>
          <w:tcPr>
            <w:tcW w:w="834" w:type="dxa"/>
            <w:vAlign w:val="center"/>
          </w:tcPr>
          <w:p>
            <w:pPr>
              <w:jc w:val="center"/>
            </w:pPr>
            <w:r>
              <w:rPr>
                <w:sz w:val="24"/>
              </w:rPr>
              <w:t>2020-08-25</w:t>
            </w:r>
          </w:p>
        </w:tc>
        <w:tc>
          <w:tcPr>
            <w:tcW w:w="835" w:type="dxa"/>
            <w:vAlign w:val="center"/>
          </w:tcPr>
          <w:p>
            <w:pPr>
              <w:jc w:val="center"/>
            </w:pPr>
            <w:r>
              <w:rPr>
                <w:sz w:val="24"/>
              </w:rPr>
              <w:t>2021-03-05</w:t>
            </w:r>
          </w:p>
        </w:tc>
        <w:tc>
          <w:tcPr>
            <w:tcW w:w="834" w:type="dxa"/>
            <w:vAlign w:val="center"/>
          </w:tcPr>
          <w:p>
            <w:pPr>
              <w:jc w:val="center"/>
            </w:pPr>
            <w:r>
              <w:rPr>
                <w:sz w:val="24"/>
              </w:rPr>
              <w:t>限售股</w:t>
            </w:r>
          </w:p>
        </w:tc>
        <w:tc>
          <w:tcPr>
            <w:tcW w:w="835" w:type="dxa"/>
            <w:vAlign w:val="center"/>
          </w:tcPr>
          <w:p>
            <w:pPr>
              <w:jc w:val="right"/>
            </w:pPr>
            <w:r>
              <w:rPr>
                <w:sz w:val="24"/>
              </w:rPr>
              <w:t>14.17</w:t>
            </w:r>
          </w:p>
        </w:tc>
        <w:tc>
          <w:tcPr>
            <w:tcW w:w="834" w:type="dxa"/>
            <w:vAlign w:val="center"/>
          </w:tcPr>
          <w:p>
            <w:pPr>
              <w:jc w:val="right"/>
            </w:pPr>
            <w:r>
              <w:rPr>
                <w:sz w:val="24"/>
              </w:rPr>
              <w:t>32.31</w:t>
            </w:r>
          </w:p>
        </w:tc>
        <w:tc>
          <w:tcPr>
            <w:tcW w:w="835" w:type="dxa"/>
            <w:vAlign w:val="center"/>
          </w:tcPr>
          <w:p>
            <w:pPr>
              <w:jc w:val="right"/>
            </w:pPr>
            <w:r>
              <w:rPr>
                <w:sz w:val="24"/>
              </w:rPr>
              <w:t>291</w:t>
            </w:r>
          </w:p>
        </w:tc>
        <w:tc>
          <w:tcPr>
            <w:tcW w:w="834" w:type="dxa"/>
            <w:vAlign w:val="center"/>
          </w:tcPr>
          <w:p>
            <w:pPr>
              <w:jc w:val="right"/>
            </w:pPr>
            <w:r>
              <w:rPr>
                <w:sz w:val="24"/>
              </w:rPr>
              <w:t>4,123.47</w:t>
            </w:r>
          </w:p>
        </w:tc>
        <w:tc>
          <w:tcPr>
            <w:tcW w:w="835" w:type="dxa"/>
            <w:vAlign w:val="center"/>
          </w:tcPr>
          <w:p>
            <w:pPr>
              <w:jc w:val="right"/>
            </w:pPr>
            <w:r>
              <w:rPr>
                <w:sz w:val="24"/>
              </w:rPr>
              <w:t>9,402.21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300882</w:t>
            </w:r>
          </w:p>
        </w:tc>
        <w:tc>
          <w:tcPr>
            <w:tcW w:w="835" w:type="dxa"/>
            <w:vAlign w:val="center"/>
          </w:tcPr>
          <w:p>
            <w:pPr>
              <w:jc w:val="center"/>
            </w:pPr>
            <w:r>
              <w:rPr>
                <w:sz w:val="24"/>
              </w:rPr>
              <w:t>万胜智能</w:t>
            </w:r>
          </w:p>
        </w:tc>
        <w:tc>
          <w:tcPr>
            <w:tcW w:w="834" w:type="dxa"/>
            <w:vAlign w:val="center"/>
          </w:tcPr>
          <w:p>
            <w:pPr>
              <w:jc w:val="center"/>
            </w:pPr>
            <w:r>
              <w:rPr>
                <w:sz w:val="24"/>
              </w:rPr>
              <w:t>2020-08-27</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10.33</w:t>
            </w:r>
          </w:p>
        </w:tc>
        <w:tc>
          <w:tcPr>
            <w:tcW w:w="834" w:type="dxa"/>
            <w:vAlign w:val="center"/>
          </w:tcPr>
          <w:p>
            <w:pPr>
              <w:jc w:val="right"/>
            </w:pPr>
            <w:r>
              <w:rPr>
                <w:sz w:val="24"/>
              </w:rPr>
              <w:t>25.79</w:t>
            </w:r>
          </w:p>
        </w:tc>
        <w:tc>
          <w:tcPr>
            <w:tcW w:w="835" w:type="dxa"/>
            <w:vAlign w:val="center"/>
          </w:tcPr>
          <w:p>
            <w:pPr>
              <w:jc w:val="right"/>
            </w:pPr>
            <w:r>
              <w:rPr>
                <w:sz w:val="24"/>
              </w:rPr>
              <w:t>440</w:t>
            </w:r>
          </w:p>
        </w:tc>
        <w:tc>
          <w:tcPr>
            <w:tcW w:w="834" w:type="dxa"/>
            <w:vAlign w:val="center"/>
          </w:tcPr>
          <w:p>
            <w:pPr>
              <w:jc w:val="right"/>
            </w:pPr>
            <w:r>
              <w:rPr>
                <w:sz w:val="24"/>
              </w:rPr>
              <w:t>4,545.20</w:t>
            </w:r>
          </w:p>
        </w:tc>
        <w:tc>
          <w:tcPr>
            <w:tcW w:w="835" w:type="dxa"/>
            <w:vAlign w:val="center"/>
          </w:tcPr>
          <w:p>
            <w:pPr>
              <w:jc w:val="right"/>
            </w:pPr>
            <w:r>
              <w:rPr>
                <w:sz w:val="24"/>
              </w:rPr>
              <w:t>11,347.60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300884</w:t>
            </w:r>
          </w:p>
        </w:tc>
        <w:tc>
          <w:tcPr>
            <w:tcW w:w="835" w:type="dxa"/>
            <w:vAlign w:val="center"/>
          </w:tcPr>
          <w:p>
            <w:pPr>
              <w:jc w:val="center"/>
            </w:pPr>
            <w:r>
              <w:rPr>
                <w:sz w:val="24"/>
              </w:rPr>
              <w:t>狄耐克</w:t>
            </w:r>
          </w:p>
        </w:tc>
        <w:tc>
          <w:tcPr>
            <w:tcW w:w="834" w:type="dxa"/>
            <w:vAlign w:val="center"/>
          </w:tcPr>
          <w:p>
            <w:pPr>
              <w:jc w:val="center"/>
            </w:pPr>
            <w:r>
              <w:rPr>
                <w:sz w:val="24"/>
              </w:rPr>
              <w:t>2020-11-05</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24.87</w:t>
            </w:r>
          </w:p>
        </w:tc>
        <w:tc>
          <w:tcPr>
            <w:tcW w:w="834" w:type="dxa"/>
            <w:vAlign w:val="center"/>
          </w:tcPr>
          <w:p>
            <w:pPr>
              <w:jc w:val="right"/>
            </w:pPr>
            <w:r>
              <w:rPr>
                <w:sz w:val="24"/>
              </w:rPr>
              <w:t>33.51</w:t>
            </w:r>
          </w:p>
        </w:tc>
        <w:tc>
          <w:tcPr>
            <w:tcW w:w="835" w:type="dxa"/>
            <w:vAlign w:val="center"/>
          </w:tcPr>
          <w:p>
            <w:pPr>
              <w:jc w:val="right"/>
            </w:pPr>
            <w:r>
              <w:rPr>
                <w:sz w:val="24"/>
              </w:rPr>
              <w:t>499</w:t>
            </w:r>
          </w:p>
        </w:tc>
        <w:tc>
          <w:tcPr>
            <w:tcW w:w="834" w:type="dxa"/>
            <w:vAlign w:val="center"/>
          </w:tcPr>
          <w:p>
            <w:pPr>
              <w:jc w:val="right"/>
            </w:pPr>
            <w:r>
              <w:rPr>
                <w:sz w:val="24"/>
              </w:rPr>
              <w:t>12,410.13</w:t>
            </w:r>
          </w:p>
        </w:tc>
        <w:tc>
          <w:tcPr>
            <w:tcW w:w="835" w:type="dxa"/>
            <w:vAlign w:val="center"/>
          </w:tcPr>
          <w:p>
            <w:pPr>
              <w:jc w:val="right"/>
            </w:pPr>
            <w:r>
              <w:rPr>
                <w:sz w:val="24"/>
              </w:rPr>
              <w:t>16,721.49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300886</w:t>
            </w:r>
          </w:p>
        </w:tc>
        <w:tc>
          <w:tcPr>
            <w:tcW w:w="835" w:type="dxa"/>
            <w:vAlign w:val="center"/>
          </w:tcPr>
          <w:p>
            <w:pPr>
              <w:jc w:val="center"/>
            </w:pPr>
            <w:r>
              <w:rPr>
                <w:sz w:val="24"/>
              </w:rPr>
              <w:t>华业香料</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18.59</w:t>
            </w:r>
          </w:p>
        </w:tc>
        <w:tc>
          <w:tcPr>
            <w:tcW w:w="834" w:type="dxa"/>
            <w:vAlign w:val="center"/>
          </w:tcPr>
          <w:p>
            <w:pPr>
              <w:jc w:val="right"/>
            </w:pPr>
            <w:r>
              <w:rPr>
                <w:sz w:val="24"/>
              </w:rPr>
              <w:t>45.67</w:t>
            </w:r>
          </w:p>
        </w:tc>
        <w:tc>
          <w:tcPr>
            <w:tcW w:w="835" w:type="dxa"/>
            <w:vAlign w:val="center"/>
          </w:tcPr>
          <w:p>
            <w:pPr>
              <w:jc w:val="right"/>
            </w:pPr>
            <w:r>
              <w:rPr>
                <w:sz w:val="24"/>
              </w:rPr>
              <w:t>147</w:t>
            </w:r>
          </w:p>
        </w:tc>
        <w:tc>
          <w:tcPr>
            <w:tcW w:w="834" w:type="dxa"/>
            <w:vAlign w:val="center"/>
          </w:tcPr>
          <w:p>
            <w:pPr>
              <w:jc w:val="right"/>
            </w:pPr>
            <w:r>
              <w:rPr>
                <w:sz w:val="24"/>
              </w:rPr>
              <w:t>2,732.73</w:t>
            </w:r>
          </w:p>
        </w:tc>
        <w:tc>
          <w:tcPr>
            <w:tcW w:w="835" w:type="dxa"/>
            <w:vAlign w:val="center"/>
          </w:tcPr>
          <w:p>
            <w:pPr>
              <w:jc w:val="right"/>
            </w:pPr>
            <w:r>
              <w:rPr>
                <w:sz w:val="24"/>
              </w:rPr>
              <w:t>6,713.49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300887</w:t>
            </w:r>
          </w:p>
        </w:tc>
        <w:tc>
          <w:tcPr>
            <w:tcW w:w="835" w:type="dxa"/>
            <w:vAlign w:val="center"/>
          </w:tcPr>
          <w:p>
            <w:pPr>
              <w:jc w:val="center"/>
            </w:pPr>
            <w:r>
              <w:rPr>
                <w:sz w:val="24"/>
              </w:rPr>
              <w:t>谱尼测试</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74.52</w:t>
            </w:r>
          </w:p>
        </w:tc>
        <w:tc>
          <w:tcPr>
            <w:tcW w:w="835" w:type="dxa"/>
            <w:vAlign w:val="center"/>
          </w:tcPr>
          <w:p>
            <w:pPr>
              <w:jc w:val="right"/>
            </w:pPr>
            <w:r>
              <w:rPr>
                <w:sz w:val="24"/>
              </w:rPr>
              <w:t>210</w:t>
            </w:r>
          </w:p>
        </w:tc>
        <w:tc>
          <w:tcPr>
            <w:tcW w:w="834" w:type="dxa"/>
            <w:vAlign w:val="center"/>
          </w:tcPr>
          <w:p>
            <w:pPr>
              <w:jc w:val="right"/>
            </w:pPr>
            <w:r>
              <w:rPr>
                <w:sz w:val="24"/>
              </w:rPr>
              <w:t>9,338.70</w:t>
            </w:r>
          </w:p>
        </w:tc>
        <w:tc>
          <w:tcPr>
            <w:tcW w:w="835" w:type="dxa"/>
            <w:vAlign w:val="center"/>
          </w:tcPr>
          <w:p>
            <w:pPr>
              <w:jc w:val="right"/>
            </w:pPr>
            <w:r>
              <w:rPr>
                <w:sz w:val="24"/>
              </w:rPr>
              <w:t>15,649.20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300889</w:t>
            </w:r>
          </w:p>
        </w:tc>
        <w:tc>
          <w:tcPr>
            <w:tcW w:w="835" w:type="dxa"/>
            <w:vAlign w:val="center"/>
          </w:tcPr>
          <w:p>
            <w:pPr>
              <w:jc w:val="center"/>
            </w:pPr>
            <w:r>
              <w:rPr>
                <w:sz w:val="24"/>
              </w:rPr>
              <w:t>爱克股份</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27.97</w:t>
            </w:r>
          </w:p>
        </w:tc>
        <w:tc>
          <w:tcPr>
            <w:tcW w:w="834" w:type="dxa"/>
            <w:vAlign w:val="center"/>
          </w:tcPr>
          <w:p>
            <w:pPr>
              <w:jc w:val="right"/>
            </w:pPr>
            <w:r>
              <w:rPr>
                <w:sz w:val="24"/>
              </w:rPr>
              <w:t>30.12</w:t>
            </w:r>
          </w:p>
        </w:tc>
        <w:tc>
          <w:tcPr>
            <w:tcW w:w="835" w:type="dxa"/>
            <w:vAlign w:val="center"/>
          </w:tcPr>
          <w:p>
            <w:pPr>
              <w:jc w:val="right"/>
            </w:pPr>
            <w:r>
              <w:rPr>
                <w:sz w:val="24"/>
              </w:rPr>
              <w:t>479</w:t>
            </w:r>
          </w:p>
        </w:tc>
        <w:tc>
          <w:tcPr>
            <w:tcW w:w="834" w:type="dxa"/>
            <w:vAlign w:val="center"/>
          </w:tcPr>
          <w:p>
            <w:pPr>
              <w:jc w:val="right"/>
            </w:pPr>
            <w:r>
              <w:rPr>
                <w:sz w:val="24"/>
              </w:rPr>
              <w:t>13,397.63</w:t>
            </w:r>
          </w:p>
        </w:tc>
        <w:tc>
          <w:tcPr>
            <w:tcW w:w="835" w:type="dxa"/>
            <w:vAlign w:val="center"/>
          </w:tcPr>
          <w:p>
            <w:pPr>
              <w:jc w:val="right"/>
            </w:pPr>
            <w:r>
              <w:rPr>
                <w:sz w:val="24"/>
              </w:rPr>
              <w:t>14,427.48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300890</w:t>
            </w:r>
          </w:p>
        </w:tc>
        <w:tc>
          <w:tcPr>
            <w:tcW w:w="835" w:type="dxa"/>
            <w:vAlign w:val="center"/>
          </w:tcPr>
          <w:p>
            <w:pPr>
              <w:jc w:val="center"/>
            </w:pPr>
            <w:r>
              <w:rPr>
                <w:sz w:val="24"/>
              </w:rPr>
              <w:t>翔丰华</w:t>
            </w:r>
          </w:p>
        </w:tc>
        <w:tc>
          <w:tcPr>
            <w:tcW w:w="834" w:type="dxa"/>
            <w:vAlign w:val="center"/>
          </w:tcPr>
          <w:p>
            <w:pPr>
              <w:jc w:val="center"/>
            </w:pPr>
            <w:r>
              <w:rPr>
                <w:sz w:val="24"/>
              </w:rPr>
              <w:t>2020-09-10</w:t>
            </w:r>
          </w:p>
        </w:tc>
        <w:tc>
          <w:tcPr>
            <w:tcW w:w="835" w:type="dxa"/>
            <w:vAlign w:val="center"/>
          </w:tcPr>
          <w:p>
            <w:pPr>
              <w:jc w:val="center"/>
            </w:pPr>
            <w:r>
              <w:rPr>
                <w:sz w:val="24"/>
              </w:rPr>
              <w:t>2021-03-18</w:t>
            </w:r>
          </w:p>
        </w:tc>
        <w:tc>
          <w:tcPr>
            <w:tcW w:w="834" w:type="dxa"/>
            <w:vAlign w:val="center"/>
          </w:tcPr>
          <w:p>
            <w:pPr>
              <w:jc w:val="center"/>
            </w:pPr>
            <w:r>
              <w:rPr>
                <w:sz w:val="24"/>
              </w:rPr>
              <w:t>限售股</w:t>
            </w:r>
          </w:p>
        </w:tc>
        <w:tc>
          <w:tcPr>
            <w:tcW w:w="835" w:type="dxa"/>
            <w:vAlign w:val="center"/>
          </w:tcPr>
          <w:p>
            <w:pPr>
              <w:jc w:val="right"/>
            </w:pPr>
            <w:r>
              <w:rPr>
                <w:sz w:val="24"/>
              </w:rPr>
              <w:t>14.69</w:t>
            </w:r>
          </w:p>
        </w:tc>
        <w:tc>
          <w:tcPr>
            <w:tcW w:w="834" w:type="dxa"/>
            <w:vAlign w:val="center"/>
          </w:tcPr>
          <w:p>
            <w:pPr>
              <w:jc w:val="right"/>
            </w:pPr>
            <w:r>
              <w:rPr>
                <w:sz w:val="24"/>
              </w:rPr>
              <w:t>48.85</w:t>
            </w:r>
          </w:p>
        </w:tc>
        <w:tc>
          <w:tcPr>
            <w:tcW w:w="835" w:type="dxa"/>
            <w:vAlign w:val="center"/>
          </w:tcPr>
          <w:p>
            <w:pPr>
              <w:jc w:val="right"/>
            </w:pPr>
            <w:r>
              <w:rPr>
                <w:sz w:val="24"/>
              </w:rPr>
              <w:t>286</w:t>
            </w:r>
          </w:p>
        </w:tc>
        <w:tc>
          <w:tcPr>
            <w:tcW w:w="834" w:type="dxa"/>
            <w:vAlign w:val="center"/>
          </w:tcPr>
          <w:p>
            <w:pPr>
              <w:jc w:val="right"/>
            </w:pPr>
            <w:r>
              <w:rPr>
                <w:sz w:val="24"/>
              </w:rPr>
              <w:t>4,201.34</w:t>
            </w:r>
          </w:p>
        </w:tc>
        <w:tc>
          <w:tcPr>
            <w:tcW w:w="835" w:type="dxa"/>
            <w:vAlign w:val="center"/>
          </w:tcPr>
          <w:p>
            <w:pPr>
              <w:jc w:val="right"/>
            </w:pPr>
            <w:r>
              <w:rPr>
                <w:sz w:val="24"/>
              </w:rPr>
              <w:t>13,971.10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300891</w:t>
            </w:r>
          </w:p>
        </w:tc>
        <w:tc>
          <w:tcPr>
            <w:tcW w:w="835" w:type="dxa"/>
            <w:vAlign w:val="center"/>
          </w:tcPr>
          <w:p>
            <w:pPr>
              <w:jc w:val="center"/>
            </w:pPr>
            <w:r>
              <w:rPr>
                <w:sz w:val="24"/>
              </w:rPr>
              <w:t>惠云钛业</w:t>
            </w:r>
          </w:p>
        </w:tc>
        <w:tc>
          <w:tcPr>
            <w:tcW w:w="834" w:type="dxa"/>
            <w:vAlign w:val="center"/>
          </w:tcPr>
          <w:p>
            <w:pPr>
              <w:jc w:val="center"/>
            </w:pPr>
            <w:r>
              <w:rPr>
                <w:sz w:val="24"/>
              </w:rPr>
              <w:t>2020-09-10</w:t>
            </w:r>
          </w:p>
        </w:tc>
        <w:tc>
          <w:tcPr>
            <w:tcW w:w="835" w:type="dxa"/>
            <w:vAlign w:val="center"/>
          </w:tcPr>
          <w:p>
            <w:pPr>
              <w:jc w:val="center"/>
            </w:pPr>
            <w:r>
              <w:rPr>
                <w:sz w:val="24"/>
              </w:rPr>
              <w:t>2021-03-17</w:t>
            </w:r>
          </w:p>
        </w:tc>
        <w:tc>
          <w:tcPr>
            <w:tcW w:w="834" w:type="dxa"/>
            <w:vAlign w:val="center"/>
          </w:tcPr>
          <w:p>
            <w:pPr>
              <w:jc w:val="center"/>
            </w:pPr>
            <w:r>
              <w:rPr>
                <w:sz w:val="24"/>
              </w:rPr>
              <w:t>限售股</w:t>
            </w:r>
          </w:p>
        </w:tc>
        <w:tc>
          <w:tcPr>
            <w:tcW w:w="835" w:type="dxa"/>
            <w:vAlign w:val="center"/>
          </w:tcPr>
          <w:p>
            <w:pPr>
              <w:jc w:val="right"/>
            </w:pPr>
            <w:r>
              <w:rPr>
                <w:sz w:val="24"/>
              </w:rPr>
              <w:t>3.64</w:t>
            </w:r>
          </w:p>
        </w:tc>
        <w:tc>
          <w:tcPr>
            <w:tcW w:w="834" w:type="dxa"/>
            <w:vAlign w:val="center"/>
          </w:tcPr>
          <w:p>
            <w:pPr>
              <w:jc w:val="right"/>
            </w:pPr>
            <w:r>
              <w:rPr>
                <w:sz w:val="24"/>
              </w:rPr>
              <w:t>16.40</w:t>
            </w:r>
          </w:p>
        </w:tc>
        <w:tc>
          <w:tcPr>
            <w:tcW w:w="835" w:type="dxa"/>
            <w:vAlign w:val="center"/>
          </w:tcPr>
          <w:p>
            <w:pPr>
              <w:jc w:val="right"/>
            </w:pPr>
            <w:r>
              <w:rPr>
                <w:sz w:val="24"/>
              </w:rPr>
              <w:t>1,143</w:t>
            </w:r>
          </w:p>
        </w:tc>
        <w:tc>
          <w:tcPr>
            <w:tcW w:w="834" w:type="dxa"/>
            <w:vAlign w:val="center"/>
          </w:tcPr>
          <w:p>
            <w:pPr>
              <w:jc w:val="right"/>
            </w:pPr>
            <w:r>
              <w:rPr>
                <w:sz w:val="24"/>
              </w:rPr>
              <w:t>4,160.52</w:t>
            </w:r>
          </w:p>
        </w:tc>
        <w:tc>
          <w:tcPr>
            <w:tcW w:w="835" w:type="dxa"/>
            <w:vAlign w:val="center"/>
          </w:tcPr>
          <w:p>
            <w:pPr>
              <w:jc w:val="right"/>
            </w:pPr>
            <w:r>
              <w:rPr>
                <w:sz w:val="24"/>
              </w:rPr>
              <w:t>18,745.20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300892</w:t>
            </w:r>
          </w:p>
        </w:tc>
        <w:tc>
          <w:tcPr>
            <w:tcW w:w="835" w:type="dxa"/>
            <w:vAlign w:val="center"/>
          </w:tcPr>
          <w:p>
            <w:pPr>
              <w:jc w:val="center"/>
            </w:pPr>
            <w:r>
              <w:rPr>
                <w:sz w:val="24"/>
              </w:rPr>
              <w:t>品渥食品</w:t>
            </w:r>
          </w:p>
        </w:tc>
        <w:tc>
          <w:tcPr>
            <w:tcW w:w="834" w:type="dxa"/>
            <w:vAlign w:val="center"/>
          </w:tcPr>
          <w:p>
            <w:pPr>
              <w:jc w:val="center"/>
            </w:pPr>
            <w:r>
              <w:rPr>
                <w:sz w:val="24"/>
              </w:rPr>
              <w:t>2020-09-11</w:t>
            </w:r>
          </w:p>
        </w:tc>
        <w:tc>
          <w:tcPr>
            <w:tcW w:w="835" w:type="dxa"/>
            <w:vAlign w:val="center"/>
          </w:tcPr>
          <w:p>
            <w:pPr>
              <w:jc w:val="center"/>
            </w:pPr>
            <w:r>
              <w:rPr>
                <w:sz w:val="24"/>
              </w:rPr>
              <w:t>2021-03-30</w:t>
            </w:r>
          </w:p>
        </w:tc>
        <w:tc>
          <w:tcPr>
            <w:tcW w:w="834" w:type="dxa"/>
            <w:vAlign w:val="center"/>
          </w:tcPr>
          <w:p>
            <w:pPr>
              <w:jc w:val="center"/>
            </w:pPr>
            <w:r>
              <w:rPr>
                <w:sz w:val="24"/>
              </w:rPr>
              <w:t>限售股</w:t>
            </w:r>
          </w:p>
        </w:tc>
        <w:tc>
          <w:tcPr>
            <w:tcW w:w="835" w:type="dxa"/>
            <w:vAlign w:val="center"/>
          </w:tcPr>
          <w:p>
            <w:pPr>
              <w:jc w:val="right"/>
            </w:pPr>
            <w:r>
              <w:rPr>
                <w:sz w:val="24"/>
              </w:rPr>
              <w:t>26.66</w:t>
            </w:r>
          </w:p>
        </w:tc>
        <w:tc>
          <w:tcPr>
            <w:tcW w:w="834" w:type="dxa"/>
            <w:vAlign w:val="center"/>
          </w:tcPr>
          <w:p>
            <w:pPr>
              <w:jc w:val="right"/>
            </w:pPr>
            <w:r>
              <w:rPr>
                <w:sz w:val="24"/>
              </w:rPr>
              <w:t>60.01</w:t>
            </w:r>
          </w:p>
        </w:tc>
        <w:tc>
          <w:tcPr>
            <w:tcW w:w="835" w:type="dxa"/>
            <w:vAlign w:val="center"/>
          </w:tcPr>
          <w:p>
            <w:pPr>
              <w:jc w:val="right"/>
            </w:pPr>
            <w:r>
              <w:rPr>
                <w:sz w:val="24"/>
              </w:rPr>
              <w:t>272</w:t>
            </w:r>
          </w:p>
        </w:tc>
        <w:tc>
          <w:tcPr>
            <w:tcW w:w="834" w:type="dxa"/>
            <w:vAlign w:val="center"/>
          </w:tcPr>
          <w:p>
            <w:pPr>
              <w:jc w:val="right"/>
            </w:pPr>
            <w:r>
              <w:rPr>
                <w:sz w:val="24"/>
              </w:rPr>
              <w:t>7,251.52</w:t>
            </w:r>
          </w:p>
        </w:tc>
        <w:tc>
          <w:tcPr>
            <w:tcW w:w="835" w:type="dxa"/>
            <w:vAlign w:val="center"/>
          </w:tcPr>
          <w:p>
            <w:pPr>
              <w:jc w:val="right"/>
            </w:pPr>
            <w:r>
              <w:rPr>
                <w:sz w:val="24"/>
              </w:rPr>
              <w:t>16,322.72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300893</w:t>
            </w:r>
          </w:p>
        </w:tc>
        <w:tc>
          <w:tcPr>
            <w:tcW w:w="835" w:type="dxa"/>
            <w:vAlign w:val="center"/>
          </w:tcPr>
          <w:p>
            <w:pPr>
              <w:jc w:val="center"/>
            </w:pPr>
            <w:r>
              <w:rPr>
                <w:sz w:val="24"/>
              </w:rPr>
              <w:t>松原股份</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13.47</w:t>
            </w:r>
          </w:p>
        </w:tc>
        <w:tc>
          <w:tcPr>
            <w:tcW w:w="834" w:type="dxa"/>
            <w:vAlign w:val="center"/>
          </w:tcPr>
          <w:p>
            <w:pPr>
              <w:jc w:val="right"/>
            </w:pPr>
            <w:r>
              <w:rPr>
                <w:sz w:val="24"/>
              </w:rPr>
              <w:t>35.08</w:t>
            </w:r>
          </w:p>
        </w:tc>
        <w:tc>
          <w:tcPr>
            <w:tcW w:w="835" w:type="dxa"/>
            <w:vAlign w:val="center"/>
          </w:tcPr>
          <w:p>
            <w:pPr>
              <w:jc w:val="right"/>
            </w:pPr>
            <w:r>
              <w:rPr>
                <w:sz w:val="24"/>
              </w:rPr>
              <w:t>276</w:t>
            </w:r>
          </w:p>
        </w:tc>
        <w:tc>
          <w:tcPr>
            <w:tcW w:w="834" w:type="dxa"/>
            <w:vAlign w:val="center"/>
          </w:tcPr>
          <w:p>
            <w:pPr>
              <w:jc w:val="right"/>
            </w:pPr>
            <w:r>
              <w:rPr>
                <w:sz w:val="24"/>
              </w:rPr>
              <w:t>3,717.72</w:t>
            </w:r>
          </w:p>
        </w:tc>
        <w:tc>
          <w:tcPr>
            <w:tcW w:w="835" w:type="dxa"/>
            <w:vAlign w:val="center"/>
          </w:tcPr>
          <w:p>
            <w:pPr>
              <w:jc w:val="right"/>
            </w:pPr>
            <w:r>
              <w:rPr>
                <w:sz w:val="24"/>
              </w:rPr>
              <w:t>9,682.08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300895</w:t>
            </w:r>
          </w:p>
        </w:tc>
        <w:tc>
          <w:tcPr>
            <w:tcW w:w="835" w:type="dxa"/>
            <w:vAlign w:val="center"/>
          </w:tcPr>
          <w:p>
            <w:pPr>
              <w:jc w:val="center"/>
            </w:pPr>
            <w:r>
              <w:rPr>
                <w:sz w:val="24"/>
              </w:rPr>
              <w:t>铜牛信息</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12.65</w:t>
            </w:r>
          </w:p>
        </w:tc>
        <w:tc>
          <w:tcPr>
            <w:tcW w:w="834" w:type="dxa"/>
            <w:vAlign w:val="center"/>
          </w:tcPr>
          <w:p>
            <w:pPr>
              <w:jc w:val="right"/>
            </w:pPr>
            <w:r>
              <w:rPr>
                <w:sz w:val="24"/>
              </w:rPr>
              <w:t>45.30</w:t>
            </w:r>
          </w:p>
        </w:tc>
        <w:tc>
          <w:tcPr>
            <w:tcW w:w="835" w:type="dxa"/>
            <w:vAlign w:val="center"/>
          </w:tcPr>
          <w:p>
            <w:pPr>
              <w:jc w:val="right"/>
            </w:pPr>
            <w:r>
              <w:rPr>
                <w:sz w:val="24"/>
              </w:rPr>
              <w:t>283</w:t>
            </w:r>
          </w:p>
        </w:tc>
        <w:tc>
          <w:tcPr>
            <w:tcW w:w="834" w:type="dxa"/>
            <w:vAlign w:val="center"/>
          </w:tcPr>
          <w:p>
            <w:pPr>
              <w:jc w:val="right"/>
            </w:pPr>
            <w:r>
              <w:rPr>
                <w:sz w:val="24"/>
              </w:rPr>
              <w:t>3,579.95</w:t>
            </w:r>
          </w:p>
        </w:tc>
        <w:tc>
          <w:tcPr>
            <w:tcW w:w="835" w:type="dxa"/>
            <w:vAlign w:val="center"/>
          </w:tcPr>
          <w:p>
            <w:pPr>
              <w:jc w:val="right"/>
            </w:pPr>
            <w:r>
              <w:rPr>
                <w:sz w:val="24"/>
              </w:rPr>
              <w:t>12,819.90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300896</w:t>
            </w:r>
          </w:p>
        </w:tc>
        <w:tc>
          <w:tcPr>
            <w:tcW w:w="835" w:type="dxa"/>
            <w:vAlign w:val="center"/>
          </w:tcPr>
          <w:p>
            <w:pPr>
              <w:jc w:val="center"/>
            </w:pPr>
            <w:r>
              <w:rPr>
                <w:sz w:val="24"/>
              </w:rPr>
              <w:t>爱美客</w:t>
            </w:r>
          </w:p>
        </w:tc>
        <w:tc>
          <w:tcPr>
            <w:tcW w:w="834" w:type="dxa"/>
            <w:vAlign w:val="center"/>
          </w:tcPr>
          <w:p>
            <w:pPr>
              <w:jc w:val="center"/>
            </w:pPr>
            <w:r>
              <w:rPr>
                <w:sz w:val="24"/>
              </w:rPr>
              <w:t>2020-09-21</w:t>
            </w:r>
          </w:p>
        </w:tc>
        <w:tc>
          <w:tcPr>
            <w:tcW w:w="835" w:type="dxa"/>
            <w:vAlign w:val="center"/>
          </w:tcPr>
          <w:p>
            <w:pPr>
              <w:jc w:val="center"/>
            </w:pPr>
            <w:r>
              <w:rPr>
                <w:sz w:val="24"/>
              </w:rPr>
              <w:t>2021-03-29</w:t>
            </w:r>
          </w:p>
        </w:tc>
        <w:tc>
          <w:tcPr>
            <w:tcW w:w="834" w:type="dxa"/>
            <w:vAlign w:val="center"/>
          </w:tcPr>
          <w:p>
            <w:pPr>
              <w:jc w:val="center"/>
            </w:pPr>
            <w:r>
              <w:rPr>
                <w:sz w:val="24"/>
              </w:rPr>
              <w:t>限售股</w:t>
            </w:r>
          </w:p>
        </w:tc>
        <w:tc>
          <w:tcPr>
            <w:tcW w:w="835" w:type="dxa"/>
            <w:vAlign w:val="center"/>
          </w:tcPr>
          <w:p>
            <w:pPr>
              <w:jc w:val="right"/>
            </w:pPr>
            <w:r>
              <w:rPr>
                <w:sz w:val="24"/>
              </w:rPr>
              <w:t>118.27</w:t>
            </w:r>
          </w:p>
        </w:tc>
        <w:tc>
          <w:tcPr>
            <w:tcW w:w="834" w:type="dxa"/>
            <w:vAlign w:val="center"/>
          </w:tcPr>
          <w:p>
            <w:pPr>
              <w:jc w:val="right"/>
            </w:pPr>
            <w:r>
              <w:rPr>
                <w:sz w:val="24"/>
              </w:rPr>
              <w:t>603.36</w:t>
            </w:r>
          </w:p>
        </w:tc>
        <w:tc>
          <w:tcPr>
            <w:tcW w:w="835" w:type="dxa"/>
            <w:vAlign w:val="center"/>
          </w:tcPr>
          <w:p>
            <w:pPr>
              <w:jc w:val="right"/>
            </w:pPr>
            <w:r>
              <w:rPr>
                <w:sz w:val="24"/>
              </w:rPr>
              <w:t>473</w:t>
            </w:r>
          </w:p>
        </w:tc>
        <w:tc>
          <w:tcPr>
            <w:tcW w:w="834" w:type="dxa"/>
            <w:vAlign w:val="center"/>
          </w:tcPr>
          <w:p>
            <w:pPr>
              <w:jc w:val="right"/>
            </w:pPr>
            <w:r>
              <w:rPr>
                <w:sz w:val="24"/>
              </w:rPr>
              <w:t>55,941.71</w:t>
            </w:r>
          </w:p>
        </w:tc>
        <w:tc>
          <w:tcPr>
            <w:tcW w:w="835" w:type="dxa"/>
            <w:vAlign w:val="center"/>
          </w:tcPr>
          <w:p>
            <w:pPr>
              <w:jc w:val="right"/>
            </w:pPr>
            <w:r>
              <w:rPr>
                <w:sz w:val="24"/>
              </w:rPr>
              <w:t>285,389.28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300900</w:t>
            </w:r>
          </w:p>
        </w:tc>
        <w:tc>
          <w:tcPr>
            <w:tcW w:w="835" w:type="dxa"/>
            <w:vAlign w:val="center"/>
          </w:tcPr>
          <w:p>
            <w:pPr>
              <w:jc w:val="center"/>
            </w:pPr>
            <w:r>
              <w:rPr>
                <w:sz w:val="24"/>
              </w:rPr>
              <w:t>广联航空</w:t>
            </w:r>
          </w:p>
        </w:tc>
        <w:tc>
          <w:tcPr>
            <w:tcW w:w="834" w:type="dxa"/>
            <w:vAlign w:val="center"/>
          </w:tcPr>
          <w:p>
            <w:pPr>
              <w:jc w:val="center"/>
            </w:pPr>
            <w:r>
              <w:rPr>
                <w:sz w:val="24"/>
              </w:rPr>
              <w:t>2020-10-19</w:t>
            </w:r>
          </w:p>
        </w:tc>
        <w:tc>
          <w:tcPr>
            <w:tcW w:w="835" w:type="dxa"/>
            <w:vAlign w:val="center"/>
          </w:tcPr>
          <w:p>
            <w:pPr>
              <w:jc w:val="center"/>
            </w:pPr>
            <w:r>
              <w:rPr>
                <w:sz w:val="24"/>
              </w:rPr>
              <w:t>2021-04-29</w:t>
            </w:r>
          </w:p>
        </w:tc>
        <w:tc>
          <w:tcPr>
            <w:tcW w:w="834" w:type="dxa"/>
            <w:vAlign w:val="center"/>
          </w:tcPr>
          <w:p>
            <w:pPr>
              <w:jc w:val="center"/>
            </w:pPr>
            <w:r>
              <w:rPr>
                <w:sz w:val="24"/>
              </w:rPr>
              <w:t>限售股</w:t>
            </w:r>
          </w:p>
        </w:tc>
        <w:tc>
          <w:tcPr>
            <w:tcW w:w="835" w:type="dxa"/>
            <w:vAlign w:val="center"/>
          </w:tcPr>
          <w:p>
            <w:pPr>
              <w:jc w:val="right"/>
            </w:pPr>
            <w:r>
              <w:rPr>
                <w:sz w:val="24"/>
              </w:rPr>
              <w:t>17.87</w:t>
            </w:r>
          </w:p>
        </w:tc>
        <w:tc>
          <w:tcPr>
            <w:tcW w:w="834" w:type="dxa"/>
            <w:vAlign w:val="center"/>
          </w:tcPr>
          <w:p>
            <w:pPr>
              <w:jc w:val="right"/>
            </w:pPr>
            <w:r>
              <w:rPr>
                <w:sz w:val="24"/>
              </w:rPr>
              <w:t>33.16</w:t>
            </w:r>
          </w:p>
        </w:tc>
        <w:tc>
          <w:tcPr>
            <w:tcW w:w="835" w:type="dxa"/>
            <w:vAlign w:val="center"/>
          </w:tcPr>
          <w:p>
            <w:pPr>
              <w:jc w:val="right"/>
            </w:pPr>
            <w:r>
              <w:rPr>
                <w:sz w:val="24"/>
              </w:rPr>
              <w:t>879</w:t>
            </w:r>
          </w:p>
        </w:tc>
        <w:tc>
          <w:tcPr>
            <w:tcW w:w="834" w:type="dxa"/>
            <w:vAlign w:val="center"/>
          </w:tcPr>
          <w:p>
            <w:pPr>
              <w:jc w:val="right"/>
            </w:pPr>
            <w:r>
              <w:rPr>
                <w:sz w:val="24"/>
              </w:rPr>
              <w:t>15,707.73</w:t>
            </w:r>
          </w:p>
        </w:tc>
        <w:tc>
          <w:tcPr>
            <w:tcW w:w="835" w:type="dxa"/>
            <w:vAlign w:val="center"/>
          </w:tcPr>
          <w:p>
            <w:pPr>
              <w:jc w:val="right"/>
            </w:pPr>
            <w:r>
              <w:rPr>
                <w:sz w:val="24"/>
              </w:rPr>
              <w:t>29,147.64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300909</w:t>
            </w:r>
          </w:p>
        </w:tc>
        <w:tc>
          <w:tcPr>
            <w:tcW w:w="835" w:type="dxa"/>
            <w:vAlign w:val="center"/>
          </w:tcPr>
          <w:p>
            <w:pPr>
              <w:jc w:val="center"/>
            </w:pPr>
            <w:r>
              <w:rPr>
                <w:sz w:val="24"/>
              </w:rPr>
              <w:t>汇创达</w:t>
            </w:r>
          </w:p>
        </w:tc>
        <w:tc>
          <w:tcPr>
            <w:tcW w:w="834" w:type="dxa"/>
            <w:vAlign w:val="center"/>
          </w:tcPr>
          <w:p>
            <w:pPr>
              <w:jc w:val="center"/>
            </w:pPr>
            <w:r>
              <w:rPr>
                <w:sz w:val="24"/>
              </w:rPr>
              <w:t>2020-11-11</w:t>
            </w:r>
          </w:p>
        </w:tc>
        <w:tc>
          <w:tcPr>
            <w:tcW w:w="835" w:type="dxa"/>
            <w:vAlign w:val="center"/>
          </w:tcPr>
          <w:p>
            <w:pPr>
              <w:jc w:val="center"/>
            </w:pPr>
            <w:r>
              <w:rPr>
                <w:sz w:val="24"/>
              </w:rPr>
              <w:t>2021-05-18</w:t>
            </w:r>
          </w:p>
        </w:tc>
        <w:tc>
          <w:tcPr>
            <w:tcW w:w="834" w:type="dxa"/>
            <w:vAlign w:val="center"/>
          </w:tcPr>
          <w:p>
            <w:pPr>
              <w:jc w:val="center"/>
            </w:pPr>
            <w:r>
              <w:rPr>
                <w:sz w:val="24"/>
              </w:rPr>
              <w:t>限售股</w:t>
            </w:r>
          </w:p>
        </w:tc>
        <w:tc>
          <w:tcPr>
            <w:tcW w:w="835" w:type="dxa"/>
            <w:vAlign w:val="center"/>
          </w:tcPr>
          <w:p>
            <w:pPr>
              <w:jc w:val="right"/>
            </w:pPr>
            <w:r>
              <w:rPr>
                <w:sz w:val="24"/>
              </w:rPr>
              <w:t>29.57</w:t>
            </w:r>
          </w:p>
        </w:tc>
        <w:tc>
          <w:tcPr>
            <w:tcW w:w="834" w:type="dxa"/>
            <w:vAlign w:val="center"/>
          </w:tcPr>
          <w:p>
            <w:pPr>
              <w:jc w:val="right"/>
            </w:pPr>
            <w:r>
              <w:rPr>
                <w:sz w:val="24"/>
              </w:rPr>
              <w:t>40.67</w:t>
            </w:r>
          </w:p>
        </w:tc>
        <w:tc>
          <w:tcPr>
            <w:tcW w:w="835" w:type="dxa"/>
            <w:vAlign w:val="center"/>
          </w:tcPr>
          <w:p>
            <w:pPr>
              <w:jc w:val="right"/>
            </w:pPr>
            <w:r>
              <w:rPr>
                <w:sz w:val="24"/>
              </w:rPr>
              <w:t>386</w:t>
            </w:r>
          </w:p>
        </w:tc>
        <w:tc>
          <w:tcPr>
            <w:tcW w:w="834" w:type="dxa"/>
            <w:vAlign w:val="center"/>
          </w:tcPr>
          <w:p>
            <w:pPr>
              <w:jc w:val="right"/>
            </w:pPr>
            <w:r>
              <w:rPr>
                <w:sz w:val="24"/>
              </w:rPr>
              <w:t>11,414.02</w:t>
            </w:r>
          </w:p>
        </w:tc>
        <w:tc>
          <w:tcPr>
            <w:tcW w:w="835" w:type="dxa"/>
            <w:vAlign w:val="center"/>
          </w:tcPr>
          <w:p>
            <w:pPr>
              <w:jc w:val="right"/>
            </w:pPr>
            <w:r>
              <w:rPr>
                <w:sz w:val="24"/>
              </w:rPr>
              <w:t>15,698.62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300911</w:t>
            </w:r>
          </w:p>
        </w:tc>
        <w:tc>
          <w:tcPr>
            <w:tcW w:w="835" w:type="dxa"/>
            <w:vAlign w:val="center"/>
          </w:tcPr>
          <w:p>
            <w:pPr>
              <w:jc w:val="center"/>
            </w:pPr>
            <w:r>
              <w:rPr>
                <w:sz w:val="24"/>
              </w:rPr>
              <w:t>亿田智能</w:t>
            </w:r>
          </w:p>
        </w:tc>
        <w:tc>
          <w:tcPr>
            <w:tcW w:w="834" w:type="dxa"/>
            <w:vAlign w:val="center"/>
          </w:tcPr>
          <w:p>
            <w:pPr>
              <w:jc w:val="center"/>
            </w:pPr>
            <w:r>
              <w:rPr>
                <w:sz w:val="24"/>
              </w:rPr>
              <w:t>2020-11-24</w:t>
            </w:r>
          </w:p>
        </w:tc>
        <w:tc>
          <w:tcPr>
            <w:tcW w:w="835" w:type="dxa"/>
            <w:vAlign w:val="center"/>
          </w:tcPr>
          <w:p>
            <w:pPr>
              <w:jc w:val="center"/>
            </w:pPr>
            <w:r>
              <w:rPr>
                <w:sz w:val="24"/>
              </w:rPr>
              <w:t>2021-06-03</w:t>
            </w:r>
          </w:p>
        </w:tc>
        <w:tc>
          <w:tcPr>
            <w:tcW w:w="834" w:type="dxa"/>
            <w:vAlign w:val="center"/>
          </w:tcPr>
          <w:p>
            <w:pPr>
              <w:jc w:val="center"/>
            </w:pPr>
            <w:r>
              <w:rPr>
                <w:sz w:val="24"/>
              </w:rPr>
              <w:t>限售股</w:t>
            </w:r>
          </w:p>
        </w:tc>
        <w:tc>
          <w:tcPr>
            <w:tcW w:w="835" w:type="dxa"/>
            <w:vAlign w:val="center"/>
          </w:tcPr>
          <w:p>
            <w:pPr>
              <w:jc w:val="right"/>
            </w:pPr>
            <w:r>
              <w:rPr>
                <w:sz w:val="24"/>
              </w:rPr>
              <w:t>24.35</w:t>
            </w:r>
          </w:p>
        </w:tc>
        <w:tc>
          <w:tcPr>
            <w:tcW w:w="834" w:type="dxa"/>
            <w:vAlign w:val="center"/>
          </w:tcPr>
          <w:p>
            <w:pPr>
              <w:jc w:val="right"/>
            </w:pPr>
            <w:r>
              <w:rPr>
                <w:sz w:val="24"/>
              </w:rPr>
              <w:t>33.06</w:t>
            </w:r>
          </w:p>
        </w:tc>
        <w:tc>
          <w:tcPr>
            <w:tcW w:w="835" w:type="dxa"/>
            <w:vAlign w:val="center"/>
          </w:tcPr>
          <w:p>
            <w:pPr>
              <w:jc w:val="right"/>
            </w:pPr>
            <w:r>
              <w:rPr>
                <w:sz w:val="24"/>
              </w:rPr>
              <w:t>309</w:t>
            </w:r>
          </w:p>
        </w:tc>
        <w:tc>
          <w:tcPr>
            <w:tcW w:w="834" w:type="dxa"/>
            <w:vAlign w:val="center"/>
          </w:tcPr>
          <w:p>
            <w:pPr>
              <w:jc w:val="right"/>
            </w:pPr>
            <w:r>
              <w:rPr>
                <w:sz w:val="24"/>
              </w:rPr>
              <w:t>7,524.15</w:t>
            </w:r>
          </w:p>
        </w:tc>
        <w:tc>
          <w:tcPr>
            <w:tcW w:w="835" w:type="dxa"/>
            <w:vAlign w:val="center"/>
          </w:tcPr>
          <w:p>
            <w:pPr>
              <w:jc w:val="right"/>
            </w:pPr>
            <w:r>
              <w:rPr>
                <w:sz w:val="24"/>
              </w:rPr>
              <w:t>10,215.54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300917</w:t>
            </w:r>
          </w:p>
        </w:tc>
        <w:tc>
          <w:tcPr>
            <w:tcW w:w="835" w:type="dxa"/>
            <w:vAlign w:val="center"/>
          </w:tcPr>
          <w:p>
            <w:pPr>
              <w:jc w:val="center"/>
            </w:pPr>
            <w:r>
              <w:rPr>
                <w:sz w:val="24"/>
              </w:rPr>
              <w:t>特发服务</w:t>
            </w:r>
          </w:p>
        </w:tc>
        <w:tc>
          <w:tcPr>
            <w:tcW w:w="834" w:type="dxa"/>
            <w:vAlign w:val="center"/>
          </w:tcPr>
          <w:p>
            <w:pPr>
              <w:jc w:val="center"/>
            </w:pPr>
            <w:r>
              <w:rPr>
                <w:sz w:val="24"/>
              </w:rPr>
              <w:t>2020-12-14</w:t>
            </w:r>
          </w:p>
        </w:tc>
        <w:tc>
          <w:tcPr>
            <w:tcW w:w="835" w:type="dxa"/>
            <w:vAlign w:val="center"/>
          </w:tcPr>
          <w:p>
            <w:pPr>
              <w:jc w:val="center"/>
            </w:pPr>
            <w:r>
              <w:rPr>
                <w:sz w:val="24"/>
              </w:rPr>
              <w:t>2021-06-21</w:t>
            </w:r>
          </w:p>
        </w:tc>
        <w:tc>
          <w:tcPr>
            <w:tcW w:w="834" w:type="dxa"/>
            <w:vAlign w:val="center"/>
          </w:tcPr>
          <w:p>
            <w:pPr>
              <w:jc w:val="center"/>
            </w:pPr>
            <w:r>
              <w:rPr>
                <w:sz w:val="24"/>
              </w:rPr>
              <w:t>限售股</w:t>
            </w:r>
          </w:p>
        </w:tc>
        <w:tc>
          <w:tcPr>
            <w:tcW w:w="835" w:type="dxa"/>
            <w:vAlign w:val="center"/>
          </w:tcPr>
          <w:p>
            <w:pPr>
              <w:jc w:val="right"/>
            </w:pPr>
            <w:r>
              <w:rPr>
                <w:sz w:val="24"/>
              </w:rPr>
              <w:t>18.78</w:t>
            </w:r>
          </w:p>
        </w:tc>
        <w:tc>
          <w:tcPr>
            <w:tcW w:w="834" w:type="dxa"/>
            <w:vAlign w:val="center"/>
          </w:tcPr>
          <w:p>
            <w:pPr>
              <w:jc w:val="right"/>
            </w:pPr>
            <w:r>
              <w:rPr>
                <w:sz w:val="24"/>
              </w:rPr>
              <w:t>31.94</w:t>
            </w:r>
          </w:p>
        </w:tc>
        <w:tc>
          <w:tcPr>
            <w:tcW w:w="835" w:type="dxa"/>
            <w:vAlign w:val="center"/>
          </w:tcPr>
          <w:p>
            <w:pPr>
              <w:jc w:val="right"/>
            </w:pPr>
            <w:r>
              <w:rPr>
                <w:sz w:val="24"/>
              </w:rPr>
              <w:t>281</w:t>
            </w:r>
          </w:p>
        </w:tc>
        <w:tc>
          <w:tcPr>
            <w:tcW w:w="834" w:type="dxa"/>
            <w:vAlign w:val="center"/>
          </w:tcPr>
          <w:p>
            <w:pPr>
              <w:jc w:val="right"/>
            </w:pPr>
            <w:r>
              <w:rPr>
                <w:sz w:val="24"/>
              </w:rPr>
              <w:t>5,277.18</w:t>
            </w:r>
          </w:p>
        </w:tc>
        <w:tc>
          <w:tcPr>
            <w:tcW w:w="835" w:type="dxa"/>
            <w:vAlign w:val="center"/>
          </w:tcPr>
          <w:p>
            <w:pPr>
              <w:jc w:val="right"/>
            </w:pPr>
            <w:r>
              <w:rPr>
                <w:sz w:val="24"/>
              </w:rPr>
              <w:t>8,975.14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300918</w:t>
            </w:r>
          </w:p>
        </w:tc>
        <w:tc>
          <w:tcPr>
            <w:tcW w:w="835" w:type="dxa"/>
            <w:vAlign w:val="center"/>
          </w:tcPr>
          <w:p>
            <w:pPr>
              <w:jc w:val="center"/>
            </w:pPr>
            <w:r>
              <w:rPr>
                <w:sz w:val="24"/>
              </w:rPr>
              <w:t>南山智尚</w:t>
            </w:r>
          </w:p>
        </w:tc>
        <w:tc>
          <w:tcPr>
            <w:tcW w:w="834" w:type="dxa"/>
            <w:vAlign w:val="center"/>
          </w:tcPr>
          <w:p>
            <w:pPr>
              <w:jc w:val="center"/>
            </w:pPr>
            <w:r>
              <w:rPr>
                <w:sz w:val="24"/>
              </w:rPr>
              <w:t>2020-12-15</w:t>
            </w:r>
          </w:p>
        </w:tc>
        <w:tc>
          <w:tcPr>
            <w:tcW w:w="835" w:type="dxa"/>
            <w:vAlign w:val="center"/>
          </w:tcPr>
          <w:p>
            <w:pPr>
              <w:jc w:val="center"/>
            </w:pPr>
            <w:r>
              <w:rPr>
                <w:sz w:val="24"/>
              </w:rPr>
              <w:t>2021-06-22</w:t>
            </w:r>
          </w:p>
        </w:tc>
        <w:tc>
          <w:tcPr>
            <w:tcW w:w="834" w:type="dxa"/>
            <w:vAlign w:val="center"/>
          </w:tcPr>
          <w:p>
            <w:pPr>
              <w:jc w:val="center"/>
            </w:pPr>
            <w:r>
              <w:rPr>
                <w:sz w:val="24"/>
              </w:rPr>
              <w:t>限售股</w:t>
            </w:r>
          </w:p>
        </w:tc>
        <w:tc>
          <w:tcPr>
            <w:tcW w:w="835" w:type="dxa"/>
            <w:vAlign w:val="center"/>
          </w:tcPr>
          <w:p>
            <w:pPr>
              <w:jc w:val="right"/>
            </w:pPr>
            <w:r>
              <w:rPr>
                <w:sz w:val="24"/>
              </w:rPr>
              <w:t>4.97</w:t>
            </w:r>
          </w:p>
        </w:tc>
        <w:tc>
          <w:tcPr>
            <w:tcW w:w="834" w:type="dxa"/>
            <w:vAlign w:val="center"/>
          </w:tcPr>
          <w:p>
            <w:pPr>
              <w:jc w:val="right"/>
            </w:pPr>
            <w:r>
              <w:rPr>
                <w:sz w:val="24"/>
              </w:rPr>
              <w:t>8.94</w:t>
            </w:r>
          </w:p>
        </w:tc>
        <w:tc>
          <w:tcPr>
            <w:tcW w:w="835" w:type="dxa"/>
            <w:vAlign w:val="center"/>
          </w:tcPr>
          <w:p>
            <w:pPr>
              <w:jc w:val="right"/>
            </w:pPr>
            <w:r>
              <w:rPr>
                <w:sz w:val="24"/>
              </w:rPr>
              <w:t>1,063</w:t>
            </w:r>
          </w:p>
        </w:tc>
        <w:tc>
          <w:tcPr>
            <w:tcW w:w="834" w:type="dxa"/>
            <w:vAlign w:val="center"/>
          </w:tcPr>
          <w:p>
            <w:pPr>
              <w:jc w:val="right"/>
            </w:pPr>
            <w:r>
              <w:rPr>
                <w:sz w:val="24"/>
              </w:rPr>
              <w:t>5,283.11</w:t>
            </w:r>
          </w:p>
        </w:tc>
        <w:tc>
          <w:tcPr>
            <w:tcW w:w="835" w:type="dxa"/>
            <w:vAlign w:val="center"/>
          </w:tcPr>
          <w:p>
            <w:pPr>
              <w:jc w:val="right"/>
            </w:pPr>
            <w:r>
              <w:rPr>
                <w:sz w:val="24"/>
              </w:rPr>
              <w:t>9,503.22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300919</w:t>
            </w:r>
          </w:p>
        </w:tc>
        <w:tc>
          <w:tcPr>
            <w:tcW w:w="835" w:type="dxa"/>
            <w:vAlign w:val="center"/>
          </w:tcPr>
          <w:p>
            <w:pPr>
              <w:jc w:val="center"/>
            </w:pPr>
            <w:r>
              <w:rPr>
                <w:sz w:val="24"/>
              </w:rPr>
              <w:t>中伟股份</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24.60</w:t>
            </w:r>
          </w:p>
        </w:tc>
        <w:tc>
          <w:tcPr>
            <w:tcW w:w="834" w:type="dxa"/>
            <w:vAlign w:val="center"/>
          </w:tcPr>
          <w:p>
            <w:pPr>
              <w:jc w:val="right"/>
            </w:pPr>
            <w:r>
              <w:rPr>
                <w:sz w:val="24"/>
              </w:rPr>
              <w:t>61.51</w:t>
            </w:r>
          </w:p>
        </w:tc>
        <w:tc>
          <w:tcPr>
            <w:tcW w:w="835" w:type="dxa"/>
            <w:vAlign w:val="center"/>
          </w:tcPr>
          <w:p>
            <w:pPr>
              <w:jc w:val="right"/>
            </w:pPr>
            <w:r>
              <w:rPr>
                <w:sz w:val="24"/>
              </w:rPr>
              <w:t>610</w:t>
            </w:r>
          </w:p>
        </w:tc>
        <w:tc>
          <w:tcPr>
            <w:tcW w:w="834" w:type="dxa"/>
            <w:vAlign w:val="center"/>
          </w:tcPr>
          <w:p>
            <w:pPr>
              <w:jc w:val="right"/>
            </w:pPr>
            <w:r>
              <w:rPr>
                <w:sz w:val="24"/>
              </w:rPr>
              <w:t>15,006.00</w:t>
            </w:r>
          </w:p>
        </w:tc>
        <w:tc>
          <w:tcPr>
            <w:tcW w:w="835" w:type="dxa"/>
            <w:vAlign w:val="center"/>
          </w:tcPr>
          <w:p>
            <w:pPr>
              <w:jc w:val="right"/>
            </w:pPr>
            <w:r>
              <w:rPr>
                <w:sz w:val="24"/>
              </w:rPr>
              <w:t>37,521.10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300922</w:t>
            </w:r>
          </w:p>
        </w:tc>
        <w:tc>
          <w:tcPr>
            <w:tcW w:w="835" w:type="dxa"/>
            <w:vAlign w:val="center"/>
          </w:tcPr>
          <w:p>
            <w:pPr>
              <w:jc w:val="center"/>
            </w:pPr>
            <w:r>
              <w:rPr>
                <w:sz w:val="24"/>
              </w:rPr>
              <w:t>天秦装备</w:t>
            </w:r>
          </w:p>
        </w:tc>
        <w:tc>
          <w:tcPr>
            <w:tcW w:w="834" w:type="dxa"/>
            <w:vAlign w:val="center"/>
          </w:tcPr>
          <w:p>
            <w:pPr>
              <w:jc w:val="center"/>
            </w:pPr>
            <w:r>
              <w:rPr>
                <w:sz w:val="24"/>
              </w:rPr>
              <w:t>2020-12-18</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16.05</w:t>
            </w:r>
          </w:p>
        </w:tc>
        <w:tc>
          <w:tcPr>
            <w:tcW w:w="834" w:type="dxa"/>
            <w:vAlign w:val="center"/>
          </w:tcPr>
          <w:p>
            <w:pPr>
              <w:jc w:val="right"/>
            </w:pPr>
            <w:r>
              <w:rPr>
                <w:sz w:val="24"/>
              </w:rPr>
              <w:t>31.58</w:t>
            </w:r>
          </w:p>
        </w:tc>
        <w:tc>
          <w:tcPr>
            <w:tcW w:w="835" w:type="dxa"/>
            <w:vAlign w:val="center"/>
          </w:tcPr>
          <w:p>
            <w:pPr>
              <w:jc w:val="right"/>
            </w:pPr>
            <w:r>
              <w:rPr>
                <w:sz w:val="24"/>
              </w:rPr>
              <w:t>287</w:t>
            </w:r>
          </w:p>
        </w:tc>
        <w:tc>
          <w:tcPr>
            <w:tcW w:w="834" w:type="dxa"/>
            <w:vAlign w:val="center"/>
          </w:tcPr>
          <w:p>
            <w:pPr>
              <w:jc w:val="right"/>
            </w:pPr>
            <w:r>
              <w:rPr>
                <w:sz w:val="24"/>
              </w:rPr>
              <w:t>4,606.35</w:t>
            </w:r>
          </w:p>
        </w:tc>
        <w:tc>
          <w:tcPr>
            <w:tcW w:w="835" w:type="dxa"/>
            <w:vAlign w:val="center"/>
          </w:tcPr>
          <w:p>
            <w:pPr>
              <w:jc w:val="right"/>
            </w:pPr>
            <w:r>
              <w:rPr>
                <w:sz w:val="24"/>
              </w:rPr>
              <w:t>9,063.46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300925</w:t>
            </w:r>
          </w:p>
        </w:tc>
        <w:tc>
          <w:tcPr>
            <w:tcW w:w="835" w:type="dxa"/>
            <w:vAlign w:val="center"/>
          </w:tcPr>
          <w:p>
            <w:pPr>
              <w:jc w:val="center"/>
            </w:pPr>
            <w:r>
              <w:rPr>
                <w:sz w:val="24"/>
              </w:rPr>
              <w:t>法本信息</w:t>
            </w:r>
          </w:p>
        </w:tc>
        <w:tc>
          <w:tcPr>
            <w:tcW w:w="834" w:type="dxa"/>
            <w:vAlign w:val="center"/>
          </w:tcPr>
          <w:p>
            <w:pPr>
              <w:jc w:val="center"/>
            </w:pPr>
            <w:r>
              <w:rPr>
                <w:sz w:val="24"/>
              </w:rPr>
              <w:t>2020-12-21</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20.08</w:t>
            </w:r>
          </w:p>
        </w:tc>
        <w:tc>
          <w:tcPr>
            <w:tcW w:w="834" w:type="dxa"/>
            <w:vAlign w:val="center"/>
          </w:tcPr>
          <w:p>
            <w:pPr>
              <w:jc w:val="right"/>
            </w:pPr>
            <w:r>
              <w:rPr>
                <w:sz w:val="24"/>
              </w:rPr>
              <w:t>37.33</w:t>
            </w:r>
          </w:p>
        </w:tc>
        <w:tc>
          <w:tcPr>
            <w:tcW w:w="835" w:type="dxa"/>
            <w:vAlign w:val="center"/>
          </w:tcPr>
          <w:p>
            <w:pPr>
              <w:jc w:val="right"/>
            </w:pPr>
            <w:r>
              <w:rPr>
                <w:sz w:val="24"/>
              </w:rPr>
              <w:t>353</w:t>
            </w:r>
          </w:p>
        </w:tc>
        <w:tc>
          <w:tcPr>
            <w:tcW w:w="834" w:type="dxa"/>
            <w:vAlign w:val="center"/>
          </w:tcPr>
          <w:p>
            <w:pPr>
              <w:jc w:val="right"/>
            </w:pPr>
            <w:r>
              <w:rPr>
                <w:sz w:val="24"/>
              </w:rPr>
              <w:t>7,088.24</w:t>
            </w:r>
          </w:p>
        </w:tc>
        <w:tc>
          <w:tcPr>
            <w:tcW w:w="835" w:type="dxa"/>
            <w:vAlign w:val="center"/>
          </w:tcPr>
          <w:p>
            <w:pPr>
              <w:jc w:val="right"/>
            </w:pPr>
            <w:r>
              <w:rPr>
                <w:sz w:val="24"/>
              </w:rPr>
              <w:t>13,177.49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3,225</w:t>
            </w:r>
          </w:p>
        </w:tc>
        <w:tc>
          <w:tcPr>
            <w:tcW w:w="834" w:type="dxa"/>
            <w:vAlign w:val="center"/>
          </w:tcPr>
          <w:p>
            <w:pPr>
              <w:jc w:val="right"/>
            </w:pPr>
            <w:r>
              <w:rPr>
                <w:sz w:val="24"/>
              </w:rPr>
              <w:t>34,701.00</w:t>
            </w:r>
          </w:p>
        </w:tc>
        <w:tc>
          <w:tcPr>
            <w:tcW w:w="835" w:type="dxa"/>
            <w:vAlign w:val="center"/>
          </w:tcPr>
          <w:p>
            <w:pPr>
              <w:jc w:val="right"/>
            </w:pPr>
            <w:r>
              <w:rPr>
                <w:sz w:val="24"/>
              </w:rPr>
              <w:t>34,701.00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359</w:t>
            </w:r>
          </w:p>
        </w:tc>
        <w:tc>
          <w:tcPr>
            <w:tcW w:w="834" w:type="dxa"/>
            <w:vAlign w:val="center"/>
          </w:tcPr>
          <w:p>
            <w:pPr>
              <w:jc w:val="right"/>
            </w:pPr>
            <w:r>
              <w:rPr>
                <w:sz w:val="24"/>
              </w:rPr>
              <w:t>3,862.84</w:t>
            </w:r>
          </w:p>
        </w:tc>
        <w:tc>
          <w:tcPr>
            <w:tcW w:w="835" w:type="dxa"/>
            <w:vAlign w:val="center"/>
          </w:tcPr>
          <w:p>
            <w:pPr>
              <w:jc w:val="right"/>
            </w:pPr>
            <w:r>
              <w:rPr>
                <w:sz w:val="24"/>
              </w:rPr>
              <w:t>3,862.84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1,946</w:t>
            </w:r>
          </w:p>
        </w:tc>
        <w:tc>
          <w:tcPr>
            <w:tcW w:w="834" w:type="dxa"/>
            <w:vAlign w:val="center"/>
          </w:tcPr>
          <w:p>
            <w:pPr>
              <w:jc w:val="right"/>
            </w:pPr>
            <w:r>
              <w:rPr>
                <w:sz w:val="24"/>
              </w:rPr>
              <w:t>26,056.94</w:t>
            </w:r>
          </w:p>
        </w:tc>
        <w:tc>
          <w:tcPr>
            <w:tcW w:w="835" w:type="dxa"/>
            <w:vAlign w:val="center"/>
          </w:tcPr>
          <w:p>
            <w:pPr>
              <w:jc w:val="right"/>
            </w:pPr>
            <w:r>
              <w:rPr>
                <w:sz w:val="24"/>
              </w:rPr>
              <w:t>26,056.94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217</w:t>
            </w:r>
          </w:p>
        </w:tc>
        <w:tc>
          <w:tcPr>
            <w:tcW w:w="834" w:type="dxa"/>
            <w:vAlign w:val="center"/>
          </w:tcPr>
          <w:p>
            <w:pPr>
              <w:jc w:val="right"/>
            </w:pPr>
            <w:r>
              <w:rPr>
                <w:sz w:val="24"/>
              </w:rPr>
              <w:t>2,905.63</w:t>
            </w:r>
          </w:p>
        </w:tc>
        <w:tc>
          <w:tcPr>
            <w:tcW w:w="835" w:type="dxa"/>
            <w:vAlign w:val="center"/>
          </w:tcPr>
          <w:p>
            <w:pPr>
              <w:jc w:val="right"/>
            </w:pPr>
            <w:r>
              <w:rPr>
                <w:sz w:val="24"/>
              </w:rPr>
              <w:t>2,905.63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300999</w:t>
            </w:r>
          </w:p>
        </w:tc>
        <w:tc>
          <w:tcPr>
            <w:tcW w:w="835" w:type="dxa"/>
            <w:vAlign w:val="center"/>
          </w:tcPr>
          <w:p>
            <w:pPr>
              <w:jc w:val="center"/>
            </w:pPr>
            <w:r>
              <w:rPr>
                <w:sz w:val="24"/>
              </w:rPr>
              <w:t>金龙鱼</w:t>
            </w:r>
          </w:p>
        </w:tc>
        <w:tc>
          <w:tcPr>
            <w:tcW w:w="834" w:type="dxa"/>
            <w:vAlign w:val="center"/>
          </w:tcPr>
          <w:p>
            <w:pPr>
              <w:jc w:val="center"/>
            </w:pPr>
            <w:r>
              <w:rPr>
                <w:sz w:val="24"/>
              </w:rPr>
              <w:t>2020-09-29</w:t>
            </w:r>
          </w:p>
        </w:tc>
        <w:tc>
          <w:tcPr>
            <w:tcW w:w="835" w:type="dxa"/>
            <w:vAlign w:val="center"/>
          </w:tcPr>
          <w:p>
            <w:pPr>
              <w:jc w:val="center"/>
            </w:pPr>
            <w:r>
              <w:rPr>
                <w:sz w:val="24"/>
              </w:rPr>
              <w:t>2021-04-15</w:t>
            </w:r>
          </w:p>
        </w:tc>
        <w:tc>
          <w:tcPr>
            <w:tcW w:w="834" w:type="dxa"/>
            <w:vAlign w:val="center"/>
          </w:tcPr>
          <w:p>
            <w:pPr>
              <w:jc w:val="center"/>
            </w:pPr>
            <w:r>
              <w:rPr>
                <w:sz w:val="24"/>
              </w:rPr>
              <w:t>限售股</w:t>
            </w:r>
          </w:p>
        </w:tc>
        <w:tc>
          <w:tcPr>
            <w:tcW w:w="835" w:type="dxa"/>
            <w:vAlign w:val="center"/>
          </w:tcPr>
          <w:p>
            <w:pPr>
              <w:jc w:val="right"/>
            </w:pPr>
            <w:r>
              <w:rPr>
                <w:sz w:val="24"/>
              </w:rPr>
              <w:t>25.70</w:t>
            </w:r>
          </w:p>
        </w:tc>
        <w:tc>
          <w:tcPr>
            <w:tcW w:w="834" w:type="dxa"/>
            <w:vAlign w:val="center"/>
          </w:tcPr>
          <w:p>
            <w:pPr>
              <w:jc w:val="right"/>
            </w:pPr>
            <w:r>
              <w:rPr>
                <w:sz w:val="24"/>
              </w:rPr>
              <w:t>88.29</w:t>
            </w:r>
          </w:p>
        </w:tc>
        <w:tc>
          <w:tcPr>
            <w:tcW w:w="835" w:type="dxa"/>
            <w:vAlign w:val="center"/>
          </w:tcPr>
          <w:p>
            <w:pPr>
              <w:jc w:val="right"/>
            </w:pPr>
            <w:r>
              <w:rPr>
                <w:sz w:val="24"/>
              </w:rPr>
              <w:t>12,114</w:t>
            </w:r>
          </w:p>
        </w:tc>
        <w:tc>
          <w:tcPr>
            <w:tcW w:w="834" w:type="dxa"/>
            <w:vAlign w:val="center"/>
          </w:tcPr>
          <w:p>
            <w:pPr>
              <w:jc w:val="right"/>
            </w:pPr>
            <w:r>
              <w:rPr>
                <w:sz w:val="24"/>
              </w:rPr>
              <w:t>311,329.80</w:t>
            </w:r>
          </w:p>
        </w:tc>
        <w:tc>
          <w:tcPr>
            <w:tcW w:w="835" w:type="dxa"/>
            <w:vAlign w:val="center"/>
          </w:tcPr>
          <w:p>
            <w:pPr>
              <w:jc w:val="right"/>
            </w:pPr>
            <w:r>
              <w:rPr>
                <w:sz w:val="24"/>
              </w:rPr>
              <w:t>1,069,545.06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600563</w:t>
            </w:r>
          </w:p>
        </w:tc>
        <w:tc>
          <w:tcPr>
            <w:tcW w:w="835" w:type="dxa"/>
            <w:vAlign w:val="center"/>
          </w:tcPr>
          <w:p>
            <w:pPr>
              <w:jc w:val="center"/>
            </w:pPr>
            <w:r>
              <w:rPr>
                <w:sz w:val="24"/>
              </w:rPr>
              <w:t>法拉电子</w:t>
            </w:r>
          </w:p>
        </w:tc>
        <w:tc>
          <w:tcPr>
            <w:tcW w:w="834" w:type="dxa"/>
            <w:vAlign w:val="center"/>
          </w:tcPr>
          <w:p>
            <w:pPr>
              <w:jc w:val="center"/>
            </w:pPr>
            <w:r>
              <w:rPr>
                <w:sz w:val="24"/>
              </w:rPr>
              <w:t>2020-12-29</w:t>
            </w:r>
          </w:p>
        </w:tc>
        <w:tc>
          <w:tcPr>
            <w:tcW w:w="835" w:type="dxa"/>
            <w:vAlign w:val="center"/>
          </w:tcPr>
          <w:p>
            <w:pPr>
              <w:jc w:val="center"/>
            </w:pPr>
            <w:r>
              <w:rPr>
                <w:sz w:val="24"/>
              </w:rPr>
              <w:t>2021-06-29</w:t>
            </w:r>
          </w:p>
        </w:tc>
        <w:tc>
          <w:tcPr>
            <w:tcW w:w="834" w:type="dxa"/>
            <w:vAlign w:val="center"/>
          </w:tcPr>
          <w:p>
            <w:pPr>
              <w:jc w:val="center"/>
            </w:pPr>
            <w:r>
              <w:rPr>
                <w:sz w:val="24"/>
              </w:rPr>
              <w:t>限售股</w:t>
            </w:r>
          </w:p>
        </w:tc>
        <w:tc>
          <w:tcPr>
            <w:tcW w:w="835" w:type="dxa"/>
            <w:vAlign w:val="center"/>
          </w:tcPr>
          <w:p>
            <w:pPr>
              <w:jc w:val="right"/>
            </w:pPr>
            <w:r>
              <w:rPr>
                <w:sz w:val="24"/>
              </w:rPr>
              <w:t>93.70</w:t>
            </w:r>
          </w:p>
        </w:tc>
        <w:tc>
          <w:tcPr>
            <w:tcW w:w="834" w:type="dxa"/>
            <w:vAlign w:val="center"/>
          </w:tcPr>
          <w:p>
            <w:pPr>
              <w:jc w:val="right"/>
            </w:pPr>
            <w:r>
              <w:rPr>
                <w:sz w:val="24"/>
              </w:rPr>
              <w:t>99.43</w:t>
            </w:r>
          </w:p>
        </w:tc>
        <w:tc>
          <w:tcPr>
            <w:tcW w:w="835" w:type="dxa"/>
            <w:vAlign w:val="center"/>
          </w:tcPr>
          <w:p>
            <w:pPr>
              <w:jc w:val="right"/>
            </w:pPr>
            <w:r>
              <w:rPr>
                <w:sz w:val="24"/>
              </w:rPr>
              <w:t>320,000</w:t>
            </w:r>
          </w:p>
        </w:tc>
        <w:tc>
          <w:tcPr>
            <w:tcW w:w="834" w:type="dxa"/>
            <w:vAlign w:val="center"/>
          </w:tcPr>
          <w:p>
            <w:pPr>
              <w:jc w:val="right"/>
            </w:pPr>
            <w:r>
              <w:rPr>
                <w:sz w:val="24"/>
              </w:rPr>
              <w:t>29,984,000.00</w:t>
            </w:r>
          </w:p>
        </w:tc>
        <w:tc>
          <w:tcPr>
            <w:tcW w:w="835" w:type="dxa"/>
            <w:vAlign w:val="center"/>
          </w:tcPr>
          <w:p>
            <w:pPr>
              <w:jc w:val="right"/>
            </w:pPr>
            <w:r>
              <w:rPr>
                <w:sz w:val="24"/>
              </w:rPr>
              <w:t>31,817,600.00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603613</w:t>
            </w:r>
          </w:p>
        </w:tc>
        <w:tc>
          <w:tcPr>
            <w:tcW w:w="835" w:type="dxa"/>
            <w:vAlign w:val="center"/>
          </w:tcPr>
          <w:p>
            <w:pPr>
              <w:jc w:val="center"/>
            </w:pPr>
            <w:r>
              <w:rPr>
                <w:sz w:val="24"/>
              </w:rPr>
              <w:t>国联股份</w:t>
            </w:r>
          </w:p>
        </w:tc>
        <w:tc>
          <w:tcPr>
            <w:tcW w:w="834" w:type="dxa"/>
            <w:vAlign w:val="center"/>
          </w:tcPr>
          <w:p>
            <w:pPr>
              <w:jc w:val="center"/>
            </w:pPr>
            <w:r>
              <w:rPr>
                <w:sz w:val="24"/>
              </w:rPr>
              <w:t>2020-12-02</w:t>
            </w:r>
          </w:p>
        </w:tc>
        <w:tc>
          <w:tcPr>
            <w:tcW w:w="835" w:type="dxa"/>
            <w:vAlign w:val="center"/>
          </w:tcPr>
          <w:p>
            <w:pPr>
              <w:jc w:val="center"/>
            </w:pPr>
            <w:r>
              <w:rPr>
                <w:sz w:val="24"/>
              </w:rPr>
              <w:t>2021-05-27</w:t>
            </w:r>
          </w:p>
        </w:tc>
        <w:tc>
          <w:tcPr>
            <w:tcW w:w="834" w:type="dxa"/>
            <w:vAlign w:val="center"/>
          </w:tcPr>
          <w:p>
            <w:pPr>
              <w:jc w:val="center"/>
            </w:pPr>
            <w:r>
              <w:rPr>
                <w:sz w:val="24"/>
              </w:rPr>
              <w:t>非公开发行</w:t>
            </w:r>
          </w:p>
        </w:tc>
        <w:tc>
          <w:tcPr>
            <w:tcW w:w="835" w:type="dxa"/>
            <w:vAlign w:val="center"/>
          </w:tcPr>
          <w:p>
            <w:pPr>
              <w:jc w:val="right"/>
            </w:pPr>
            <w:r>
              <w:rPr>
                <w:sz w:val="24"/>
              </w:rPr>
              <w:t>74.75</w:t>
            </w:r>
          </w:p>
        </w:tc>
        <w:tc>
          <w:tcPr>
            <w:tcW w:w="834" w:type="dxa"/>
            <w:vAlign w:val="center"/>
          </w:tcPr>
          <w:p>
            <w:pPr>
              <w:jc w:val="right"/>
            </w:pPr>
            <w:r>
              <w:rPr>
                <w:sz w:val="24"/>
              </w:rPr>
              <w:t>120.01</w:t>
            </w:r>
          </w:p>
        </w:tc>
        <w:tc>
          <w:tcPr>
            <w:tcW w:w="835" w:type="dxa"/>
            <w:vAlign w:val="center"/>
          </w:tcPr>
          <w:p>
            <w:pPr>
              <w:jc w:val="right"/>
            </w:pPr>
            <w:r>
              <w:rPr>
                <w:sz w:val="24"/>
              </w:rPr>
              <w:t>263,381</w:t>
            </w:r>
          </w:p>
        </w:tc>
        <w:tc>
          <w:tcPr>
            <w:tcW w:w="834" w:type="dxa"/>
            <w:vAlign w:val="center"/>
          </w:tcPr>
          <w:p>
            <w:pPr>
              <w:jc w:val="right"/>
            </w:pPr>
            <w:r>
              <w:rPr>
                <w:sz w:val="24"/>
              </w:rPr>
              <w:t>19,687,729.75</w:t>
            </w:r>
          </w:p>
        </w:tc>
        <w:tc>
          <w:tcPr>
            <w:tcW w:w="835" w:type="dxa"/>
            <w:vAlign w:val="center"/>
          </w:tcPr>
          <w:p>
            <w:pPr>
              <w:jc w:val="right"/>
            </w:pPr>
            <w:r>
              <w:rPr>
                <w:sz w:val="24"/>
              </w:rPr>
              <w:t>31,608,353.81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603816</w:t>
            </w:r>
          </w:p>
        </w:tc>
        <w:tc>
          <w:tcPr>
            <w:tcW w:w="835" w:type="dxa"/>
            <w:vAlign w:val="center"/>
          </w:tcPr>
          <w:p>
            <w:pPr>
              <w:jc w:val="center"/>
            </w:pPr>
            <w:r>
              <w:rPr>
                <w:sz w:val="24"/>
              </w:rPr>
              <w:t>顾家家居</w:t>
            </w:r>
          </w:p>
        </w:tc>
        <w:tc>
          <w:tcPr>
            <w:tcW w:w="834" w:type="dxa"/>
            <w:vAlign w:val="center"/>
          </w:tcPr>
          <w:p>
            <w:pPr>
              <w:jc w:val="center"/>
            </w:pPr>
            <w:r>
              <w:rPr>
                <w:sz w:val="24"/>
              </w:rPr>
              <w:t>2020-07-23</w:t>
            </w:r>
          </w:p>
        </w:tc>
        <w:tc>
          <w:tcPr>
            <w:tcW w:w="835" w:type="dxa"/>
            <w:vAlign w:val="center"/>
          </w:tcPr>
          <w:p>
            <w:pPr>
              <w:jc w:val="center"/>
            </w:pPr>
            <w:r>
              <w:rPr>
                <w:sz w:val="24"/>
              </w:rPr>
              <w:t>2021-01-25</w:t>
            </w:r>
          </w:p>
        </w:tc>
        <w:tc>
          <w:tcPr>
            <w:tcW w:w="834" w:type="dxa"/>
            <w:vAlign w:val="center"/>
          </w:tcPr>
          <w:p>
            <w:pPr>
              <w:jc w:val="center"/>
            </w:pPr>
            <w:r>
              <w:rPr>
                <w:sz w:val="24"/>
              </w:rPr>
              <w:t>限售股</w:t>
            </w:r>
          </w:p>
        </w:tc>
        <w:tc>
          <w:tcPr>
            <w:tcW w:w="835" w:type="dxa"/>
            <w:vAlign w:val="center"/>
          </w:tcPr>
          <w:p>
            <w:pPr>
              <w:jc w:val="right"/>
            </w:pPr>
            <w:r>
              <w:rPr>
                <w:sz w:val="24"/>
              </w:rPr>
              <w:t>54.33</w:t>
            </w:r>
          </w:p>
        </w:tc>
        <w:tc>
          <w:tcPr>
            <w:tcW w:w="834" w:type="dxa"/>
            <w:vAlign w:val="center"/>
          </w:tcPr>
          <w:p>
            <w:pPr>
              <w:jc w:val="right"/>
            </w:pPr>
            <w:r>
              <w:rPr>
                <w:sz w:val="24"/>
              </w:rPr>
              <w:t>69.20</w:t>
            </w:r>
          </w:p>
        </w:tc>
        <w:tc>
          <w:tcPr>
            <w:tcW w:w="835" w:type="dxa"/>
            <w:vAlign w:val="center"/>
          </w:tcPr>
          <w:p>
            <w:pPr>
              <w:jc w:val="right"/>
            </w:pPr>
            <w:r>
              <w:rPr>
                <w:sz w:val="24"/>
              </w:rPr>
              <w:t>662,000</w:t>
            </w:r>
          </w:p>
        </w:tc>
        <w:tc>
          <w:tcPr>
            <w:tcW w:w="834" w:type="dxa"/>
            <w:vAlign w:val="center"/>
          </w:tcPr>
          <w:p>
            <w:pPr>
              <w:jc w:val="right"/>
            </w:pPr>
            <w:r>
              <w:rPr>
                <w:sz w:val="24"/>
              </w:rPr>
              <w:t>35,966,460.00</w:t>
            </w:r>
          </w:p>
        </w:tc>
        <w:tc>
          <w:tcPr>
            <w:tcW w:w="835" w:type="dxa"/>
            <w:vAlign w:val="center"/>
          </w:tcPr>
          <w:p>
            <w:pPr>
              <w:jc w:val="right"/>
            </w:pPr>
            <w:r>
              <w:rPr>
                <w:sz w:val="24"/>
              </w:rPr>
              <w:t>45,810,400.00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605277</w:t>
            </w:r>
          </w:p>
        </w:tc>
        <w:tc>
          <w:tcPr>
            <w:tcW w:w="835" w:type="dxa"/>
            <w:vAlign w:val="center"/>
          </w:tcPr>
          <w:p>
            <w:pPr>
              <w:jc w:val="center"/>
            </w:pPr>
            <w:r>
              <w:rPr>
                <w:sz w:val="24"/>
              </w:rPr>
              <w:t>新亚电子</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16.95</w:t>
            </w:r>
          </w:p>
        </w:tc>
        <w:tc>
          <w:tcPr>
            <w:tcW w:w="834" w:type="dxa"/>
            <w:vAlign w:val="center"/>
          </w:tcPr>
          <w:p>
            <w:pPr>
              <w:jc w:val="right"/>
            </w:pPr>
            <w:r>
              <w:rPr>
                <w:sz w:val="24"/>
              </w:rPr>
              <w:t>16.95</w:t>
            </w:r>
          </w:p>
        </w:tc>
        <w:tc>
          <w:tcPr>
            <w:tcW w:w="835" w:type="dxa"/>
            <w:vAlign w:val="center"/>
          </w:tcPr>
          <w:p>
            <w:pPr>
              <w:jc w:val="right"/>
            </w:pPr>
            <w:r>
              <w:rPr>
                <w:sz w:val="24"/>
              </w:rPr>
              <w:t>507</w:t>
            </w:r>
          </w:p>
        </w:tc>
        <w:tc>
          <w:tcPr>
            <w:tcW w:w="834" w:type="dxa"/>
            <w:vAlign w:val="center"/>
          </w:tcPr>
          <w:p>
            <w:pPr>
              <w:jc w:val="right"/>
            </w:pPr>
            <w:r>
              <w:rPr>
                <w:sz w:val="24"/>
              </w:rPr>
              <w:t>8,593.65</w:t>
            </w:r>
          </w:p>
        </w:tc>
        <w:tc>
          <w:tcPr>
            <w:tcW w:w="835" w:type="dxa"/>
            <w:vAlign w:val="center"/>
          </w:tcPr>
          <w:p>
            <w:pPr>
              <w:jc w:val="right"/>
            </w:pPr>
            <w:r>
              <w:rPr>
                <w:sz w:val="24"/>
              </w:rPr>
              <w:t>8,593.65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688013</w:t>
            </w:r>
          </w:p>
        </w:tc>
        <w:tc>
          <w:tcPr>
            <w:tcW w:w="835" w:type="dxa"/>
            <w:vAlign w:val="center"/>
          </w:tcPr>
          <w:p>
            <w:pPr>
              <w:jc w:val="center"/>
            </w:pPr>
            <w:r>
              <w:rPr>
                <w:sz w:val="24"/>
              </w:rPr>
              <w:t>天臣医疗</w:t>
            </w:r>
          </w:p>
        </w:tc>
        <w:tc>
          <w:tcPr>
            <w:tcW w:w="834" w:type="dxa"/>
            <w:vAlign w:val="center"/>
          </w:tcPr>
          <w:p>
            <w:pPr>
              <w:jc w:val="center"/>
            </w:pPr>
            <w:r>
              <w:rPr>
                <w:sz w:val="24"/>
              </w:rPr>
              <w:t>2020-09-21</w:t>
            </w:r>
          </w:p>
        </w:tc>
        <w:tc>
          <w:tcPr>
            <w:tcW w:w="835" w:type="dxa"/>
            <w:vAlign w:val="center"/>
          </w:tcPr>
          <w:p>
            <w:pPr>
              <w:jc w:val="center"/>
            </w:pPr>
            <w:r>
              <w:rPr>
                <w:sz w:val="24"/>
              </w:rPr>
              <w:t>2021-03-29</w:t>
            </w:r>
          </w:p>
        </w:tc>
        <w:tc>
          <w:tcPr>
            <w:tcW w:w="834" w:type="dxa"/>
            <w:vAlign w:val="center"/>
          </w:tcPr>
          <w:p>
            <w:pPr>
              <w:jc w:val="center"/>
            </w:pPr>
            <w:r>
              <w:rPr>
                <w:sz w:val="24"/>
              </w:rPr>
              <w:t>限售股</w:t>
            </w:r>
          </w:p>
        </w:tc>
        <w:tc>
          <w:tcPr>
            <w:tcW w:w="835" w:type="dxa"/>
            <w:vAlign w:val="center"/>
          </w:tcPr>
          <w:p>
            <w:pPr>
              <w:jc w:val="right"/>
            </w:pPr>
            <w:r>
              <w:rPr>
                <w:sz w:val="24"/>
              </w:rPr>
              <w:t>18.62</w:t>
            </w:r>
          </w:p>
        </w:tc>
        <w:tc>
          <w:tcPr>
            <w:tcW w:w="834" w:type="dxa"/>
            <w:vAlign w:val="center"/>
          </w:tcPr>
          <w:p>
            <w:pPr>
              <w:jc w:val="right"/>
            </w:pPr>
            <w:r>
              <w:rPr>
                <w:sz w:val="24"/>
              </w:rPr>
              <w:t>28.68</w:t>
            </w:r>
          </w:p>
        </w:tc>
        <w:tc>
          <w:tcPr>
            <w:tcW w:w="835" w:type="dxa"/>
            <w:vAlign w:val="center"/>
          </w:tcPr>
          <w:p>
            <w:pPr>
              <w:jc w:val="right"/>
            </w:pPr>
            <w:r>
              <w:rPr>
                <w:sz w:val="24"/>
              </w:rPr>
              <w:t>3,022</w:t>
            </w:r>
          </w:p>
        </w:tc>
        <w:tc>
          <w:tcPr>
            <w:tcW w:w="834" w:type="dxa"/>
            <w:vAlign w:val="center"/>
          </w:tcPr>
          <w:p>
            <w:pPr>
              <w:jc w:val="right"/>
            </w:pPr>
            <w:r>
              <w:rPr>
                <w:sz w:val="24"/>
              </w:rPr>
              <w:t>56,269.64</w:t>
            </w:r>
          </w:p>
        </w:tc>
        <w:tc>
          <w:tcPr>
            <w:tcW w:w="835" w:type="dxa"/>
            <w:vAlign w:val="center"/>
          </w:tcPr>
          <w:p>
            <w:pPr>
              <w:jc w:val="right"/>
            </w:pPr>
            <w:r>
              <w:rPr>
                <w:sz w:val="24"/>
              </w:rPr>
              <w:t>86,670.96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688056</w:t>
            </w:r>
          </w:p>
        </w:tc>
        <w:tc>
          <w:tcPr>
            <w:tcW w:w="835" w:type="dxa"/>
            <w:vAlign w:val="center"/>
          </w:tcPr>
          <w:p>
            <w:pPr>
              <w:jc w:val="center"/>
            </w:pPr>
            <w:r>
              <w:rPr>
                <w:sz w:val="24"/>
              </w:rPr>
              <w:t>莱伯泰科</w:t>
            </w:r>
          </w:p>
        </w:tc>
        <w:tc>
          <w:tcPr>
            <w:tcW w:w="834" w:type="dxa"/>
            <w:vAlign w:val="center"/>
          </w:tcPr>
          <w:p>
            <w:pPr>
              <w:jc w:val="center"/>
            </w:pPr>
            <w:r>
              <w:rPr>
                <w:sz w:val="24"/>
              </w:rPr>
              <w:t>2020-08-25</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24.80</w:t>
            </w:r>
          </w:p>
        </w:tc>
        <w:tc>
          <w:tcPr>
            <w:tcW w:w="834" w:type="dxa"/>
            <w:vAlign w:val="center"/>
          </w:tcPr>
          <w:p>
            <w:pPr>
              <w:jc w:val="right"/>
            </w:pPr>
            <w:r>
              <w:rPr>
                <w:sz w:val="24"/>
              </w:rPr>
              <w:t>30.56</w:t>
            </w:r>
          </w:p>
        </w:tc>
        <w:tc>
          <w:tcPr>
            <w:tcW w:w="835" w:type="dxa"/>
            <w:vAlign w:val="center"/>
          </w:tcPr>
          <w:p>
            <w:pPr>
              <w:jc w:val="right"/>
            </w:pPr>
            <w:r>
              <w:rPr>
                <w:sz w:val="24"/>
              </w:rPr>
              <w:t>2,010</w:t>
            </w:r>
          </w:p>
        </w:tc>
        <w:tc>
          <w:tcPr>
            <w:tcW w:w="834" w:type="dxa"/>
            <w:vAlign w:val="center"/>
          </w:tcPr>
          <w:p>
            <w:pPr>
              <w:jc w:val="right"/>
            </w:pPr>
            <w:r>
              <w:rPr>
                <w:sz w:val="24"/>
              </w:rPr>
              <w:t>49,848.00</w:t>
            </w:r>
          </w:p>
        </w:tc>
        <w:tc>
          <w:tcPr>
            <w:tcW w:w="835" w:type="dxa"/>
            <w:vAlign w:val="center"/>
          </w:tcPr>
          <w:p>
            <w:pPr>
              <w:jc w:val="right"/>
            </w:pPr>
            <w:r>
              <w:rPr>
                <w:sz w:val="24"/>
              </w:rPr>
              <w:t>61,425.60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688127</w:t>
            </w:r>
          </w:p>
        </w:tc>
        <w:tc>
          <w:tcPr>
            <w:tcW w:w="835" w:type="dxa"/>
            <w:vAlign w:val="center"/>
          </w:tcPr>
          <w:p>
            <w:pPr>
              <w:jc w:val="center"/>
            </w:pPr>
            <w:r>
              <w:rPr>
                <w:sz w:val="24"/>
              </w:rPr>
              <w:t>蓝特光学</w:t>
            </w:r>
          </w:p>
        </w:tc>
        <w:tc>
          <w:tcPr>
            <w:tcW w:w="834" w:type="dxa"/>
            <w:vAlign w:val="center"/>
          </w:tcPr>
          <w:p>
            <w:pPr>
              <w:jc w:val="center"/>
            </w:pPr>
            <w:r>
              <w:rPr>
                <w:sz w:val="24"/>
              </w:rPr>
              <w:t>2020-09-14</w:t>
            </w:r>
          </w:p>
        </w:tc>
        <w:tc>
          <w:tcPr>
            <w:tcW w:w="835" w:type="dxa"/>
            <w:vAlign w:val="center"/>
          </w:tcPr>
          <w:p>
            <w:pPr>
              <w:jc w:val="center"/>
            </w:pPr>
            <w:r>
              <w:rPr>
                <w:sz w:val="24"/>
              </w:rPr>
              <w:t>2021-03-22</w:t>
            </w:r>
          </w:p>
        </w:tc>
        <w:tc>
          <w:tcPr>
            <w:tcW w:w="834" w:type="dxa"/>
            <w:vAlign w:val="center"/>
          </w:tcPr>
          <w:p>
            <w:pPr>
              <w:jc w:val="center"/>
            </w:pPr>
            <w:r>
              <w:rPr>
                <w:sz w:val="24"/>
              </w:rPr>
              <w:t>限售股</w:t>
            </w:r>
          </w:p>
        </w:tc>
        <w:tc>
          <w:tcPr>
            <w:tcW w:w="835" w:type="dxa"/>
            <w:vAlign w:val="center"/>
          </w:tcPr>
          <w:p>
            <w:pPr>
              <w:jc w:val="right"/>
            </w:pPr>
            <w:r>
              <w:rPr>
                <w:sz w:val="24"/>
              </w:rPr>
              <w:t>15.41</w:t>
            </w:r>
          </w:p>
        </w:tc>
        <w:tc>
          <w:tcPr>
            <w:tcW w:w="834" w:type="dxa"/>
            <w:vAlign w:val="center"/>
          </w:tcPr>
          <w:p>
            <w:pPr>
              <w:jc w:val="right"/>
            </w:pPr>
            <w:r>
              <w:rPr>
                <w:sz w:val="24"/>
              </w:rPr>
              <w:t>33.60</w:t>
            </w:r>
          </w:p>
        </w:tc>
        <w:tc>
          <w:tcPr>
            <w:tcW w:w="835" w:type="dxa"/>
            <w:vAlign w:val="center"/>
          </w:tcPr>
          <w:p>
            <w:pPr>
              <w:jc w:val="right"/>
            </w:pPr>
            <w:r>
              <w:rPr>
                <w:sz w:val="24"/>
              </w:rPr>
              <w:t>5,322</w:t>
            </w:r>
          </w:p>
        </w:tc>
        <w:tc>
          <w:tcPr>
            <w:tcW w:w="834" w:type="dxa"/>
            <w:vAlign w:val="center"/>
          </w:tcPr>
          <w:p>
            <w:pPr>
              <w:jc w:val="right"/>
            </w:pPr>
            <w:r>
              <w:rPr>
                <w:sz w:val="24"/>
              </w:rPr>
              <w:t>82,012.02</w:t>
            </w:r>
          </w:p>
        </w:tc>
        <w:tc>
          <w:tcPr>
            <w:tcW w:w="835" w:type="dxa"/>
            <w:vAlign w:val="center"/>
          </w:tcPr>
          <w:p>
            <w:pPr>
              <w:jc w:val="right"/>
            </w:pPr>
            <w:r>
              <w:rPr>
                <w:sz w:val="24"/>
              </w:rPr>
              <w:t>178,819.20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688508</w:t>
            </w:r>
          </w:p>
        </w:tc>
        <w:tc>
          <w:tcPr>
            <w:tcW w:w="835" w:type="dxa"/>
            <w:vAlign w:val="center"/>
          </w:tcPr>
          <w:p>
            <w:pPr>
              <w:jc w:val="center"/>
            </w:pPr>
            <w:r>
              <w:rPr>
                <w:sz w:val="24"/>
              </w:rPr>
              <w:t>芯朋微</w:t>
            </w:r>
          </w:p>
        </w:tc>
        <w:tc>
          <w:tcPr>
            <w:tcW w:w="834" w:type="dxa"/>
            <w:vAlign w:val="center"/>
          </w:tcPr>
          <w:p>
            <w:pPr>
              <w:jc w:val="center"/>
            </w:pPr>
            <w:r>
              <w:rPr>
                <w:sz w:val="24"/>
              </w:rPr>
              <w:t>2020-07-15</w:t>
            </w:r>
          </w:p>
        </w:tc>
        <w:tc>
          <w:tcPr>
            <w:tcW w:w="835" w:type="dxa"/>
            <w:vAlign w:val="center"/>
          </w:tcPr>
          <w:p>
            <w:pPr>
              <w:jc w:val="center"/>
            </w:pPr>
            <w:r>
              <w:rPr>
                <w:sz w:val="24"/>
              </w:rPr>
              <w:t>2021-01-22</w:t>
            </w:r>
          </w:p>
        </w:tc>
        <w:tc>
          <w:tcPr>
            <w:tcW w:w="834" w:type="dxa"/>
            <w:vAlign w:val="center"/>
          </w:tcPr>
          <w:p>
            <w:pPr>
              <w:jc w:val="center"/>
            </w:pPr>
            <w:r>
              <w:rPr>
                <w:sz w:val="24"/>
              </w:rPr>
              <w:t>限售股</w:t>
            </w:r>
          </w:p>
        </w:tc>
        <w:tc>
          <w:tcPr>
            <w:tcW w:w="835" w:type="dxa"/>
            <w:vAlign w:val="center"/>
          </w:tcPr>
          <w:p>
            <w:pPr>
              <w:jc w:val="right"/>
            </w:pPr>
            <w:r>
              <w:rPr>
                <w:sz w:val="24"/>
              </w:rPr>
              <w:t>28.30</w:t>
            </w:r>
          </w:p>
        </w:tc>
        <w:tc>
          <w:tcPr>
            <w:tcW w:w="834" w:type="dxa"/>
            <w:vAlign w:val="center"/>
          </w:tcPr>
          <w:p>
            <w:pPr>
              <w:jc w:val="right"/>
            </w:pPr>
            <w:r>
              <w:rPr>
                <w:sz w:val="24"/>
              </w:rPr>
              <w:t>91.91</w:t>
            </w:r>
          </w:p>
        </w:tc>
        <w:tc>
          <w:tcPr>
            <w:tcW w:w="835" w:type="dxa"/>
            <w:vAlign w:val="center"/>
          </w:tcPr>
          <w:p>
            <w:pPr>
              <w:jc w:val="right"/>
            </w:pPr>
            <w:r>
              <w:rPr>
                <w:sz w:val="24"/>
              </w:rPr>
              <w:t>3,729</w:t>
            </w:r>
          </w:p>
        </w:tc>
        <w:tc>
          <w:tcPr>
            <w:tcW w:w="834" w:type="dxa"/>
            <w:vAlign w:val="center"/>
          </w:tcPr>
          <w:p>
            <w:pPr>
              <w:jc w:val="right"/>
            </w:pPr>
            <w:r>
              <w:rPr>
                <w:sz w:val="24"/>
              </w:rPr>
              <w:t>105,530.70</w:t>
            </w:r>
          </w:p>
        </w:tc>
        <w:tc>
          <w:tcPr>
            <w:tcW w:w="835" w:type="dxa"/>
            <w:vAlign w:val="center"/>
          </w:tcPr>
          <w:p>
            <w:pPr>
              <w:jc w:val="right"/>
            </w:pPr>
            <w:r>
              <w:rPr>
                <w:sz w:val="24"/>
              </w:rPr>
              <w:t>342,732.39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688510</w:t>
            </w:r>
          </w:p>
        </w:tc>
        <w:tc>
          <w:tcPr>
            <w:tcW w:w="835" w:type="dxa"/>
            <w:vAlign w:val="center"/>
          </w:tcPr>
          <w:p>
            <w:pPr>
              <w:jc w:val="center"/>
            </w:pPr>
            <w:r>
              <w:rPr>
                <w:sz w:val="24"/>
              </w:rPr>
              <w:t>航亚科技</w:t>
            </w:r>
          </w:p>
        </w:tc>
        <w:tc>
          <w:tcPr>
            <w:tcW w:w="834" w:type="dxa"/>
            <w:vAlign w:val="center"/>
          </w:tcPr>
          <w:p>
            <w:pPr>
              <w:jc w:val="center"/>
            </w:pPr>
            <w:r>
              <w:rPr>
                <w:sz w:val="24"/>
              </w:rPr>
              <w:t>2020-12-07</w:t>
            </w:r>
          </w:p>
        </w:tc>
        <w:tc>
          <w:tcPr>
            <w:tcW w:w="835" w:type="dxa"/>
            <w:vAlign w:val="center"/>
          </w:tcPr>
          <w:p>
            <w:pPr>
              <w:jc w:val="center"/>
            </w:pPr>
            <w:r>
              <w:rPr>
                <w:sz w:val="24"/>
              </w:rPr>
              <w:t>2021-06-16</w:t>
            </w:r>
          </w:p>
        </w:tc>
        <w:tc>
          <w:tcPr>
            <w:tcW w:w="834" w:type="dxa"/>
            <w:vAlign w:val="center"/>
          </w:tcPr>
          <w:p>
            <w:pPr>
              <w:jc w:val="center"/>
            </w:pPr>
            <w:r>
              <w:rPr>
                <w:sz w:val="24"/>
              </w:rPr>
              <w:t>限售股</w:t>
            </w:r>
          </w:p>
        </w:tc>
        <w:tc>
          <w:tcPr>
            <w:tcW w:w="835" w:type="dxa"/>
            <w:vAlign w:val="center"/>
          </w:tcPr>
          <w:p>
            <w:pPr>
              <w:jc w:val="right"/>
            </w:pPr>
            <w:r>
              <w:rPr>
                <w:sz w:val="24"/>
              </w:rPr>
              <w:t>8.17</w:t>
            </w:r>
          </w:p>
        </w:tc>
        <w:tc>
          <w:tcPr>
            <w:tcW w:w="834" w:type="dxa"/>
            <w:vAlign w:val="center"/>
          </w:tcPr>
          <w:p>
            <w:pPr>
              <w:jc w:val="right"/>
            </w:pPr>
            <w:r>
              <w:rPr>
                <w:sz w:val="24"/>
              </w:rPr>
              <w:t>25.53</w:t>
            </w:r>
          </w:p>
        </w:tc>
        <w:tc>
          <w:tcPr>
            <w:tcW w:w="835" w:type="dxa"/>
            <w:vAlign w:val="center"/>
          </w:tcPr>
          <w:p>
            <w:pPr>
              <w:jc w:val="right"/>
            </w:pPr>
            <w:r>
              <w:rPr>
                <w:sz w:val="24"/>
              </w:rPr>
              <w:t>5,991</w:t>
            </w:r>
          </w:p>
        </w:tc>
        <w:tc>
          <w:tcPr>
            <w:tcW w:w="834" w:type="dxa"/>
            <w:vAlign w:val="center"/>
          </w:tcPr>
          <w:p>
            <w:pPr>
              <w:jc w:val="right"/>
            </w:pPr>
            <w:r>
              <w:rPr>
                <w:sz w:val="24"/>
              </w:rPr>
              <w:t>48,946.47</w:t>
            </w:r>
          </w:p>
        </w:tc>
        <w:tc>
          <w:tcPr>
            <w:tcW w:w="835" w:type="dxa"/>
            <w:vAlign w:val="center"/>
          </w:tcPr>
          <w:p>
            <w:pPr>
              <w:jc w:val="right"/>
            </w:pPr>
            <w:r>
              <w:rPr>
                <w:sz w:val="24"/>
              </w:rPr>
              <w:t>152,950.23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688528</w:t>
            </w:r>
          </w:p>
        </w:tc>
        <w:tc>
          <w:tcPr>
            <w:tcW w:w="835" w:type="dxa"/>
            <w:vAlign w:val="center"/>
          </w:tcPr>
          <w:p>
            <w:pPr>
              <w:jc w:val="center"/>
            </w:pPr>
            <w:r>
              <w:rPr>
                <w:sz w:val="24"/>
              </w:rPr>
              <w:t>秦川物联</w:t>
            </w:r>
          </w:p>
        </w:tc>
        <w:tc>
          <w:tcPr>
            <w:tcW w:w="834" w:type="dxa"/>
            <w:vAlign w:val="center"/>
          </w:tcPr>
          <w:p>
            <w:pPr>
              <w:jc w:val="center"/>
            </w:pPr>
            <w:r>
              <w:rPr>
                <w:sz w:val="24"/>
              </w:rPr>
              <w:t>2020-06-19</w:t>
            </w:r>
          </w:p>
        </w:tc>
        <w:tc>
          <w:tcPr>
            <w:tcW w:w="835" w:type="dxa"/>
            <w:vAlign w:val="center"/>
          </w:tcPr>
          <w:p>
            <w:pPr>
              <w:jc w:val="center"/>
            </w:pPr>
            <w:r>
              <w:rPr>
                <w:sz w:val="24"/>
              </w:rPr>
              <w:t>2021-01-04</w:t>
            </w:r>
          </w:p>
        </w:tc>
        <w:tc>
          <w:tcPr>
            <w:tcW w:w="834" w:type="dxa"/>
            <w:vAlign w:val="center"/>
          </w:tcPr>
          <w:p>
            <w:pPr>
              <w:jc w:val="center"/>
            </w:pPr>
            <w:r>
              <w:rPr>
                <w:sz w:val="24"/>
              </w:rPr>
              <w:t>限售股</w:t>
            </w:r>
          </w:p>
        </w:tc>
        <w:tc>
          <w:tcPr>
            <w:tcW w:w="835" w:type="dxa"/>
            <w:vAlign w:val="center"/>
          </w:tcPr>
          <w:p>
            <w:pPr>
              <w:jc w:val="right"/>
            </w:pPr>
            <w:r>
              <w:rPr>
                <w:sz w:val="24"/>
              </w:rPr>
              <w:t>11.33</w:t>
            </w:r>
          </w:p>
        </w:tc>
        <w:tc>
          <w:tcPr>
            <w:tcW w:w="834" w:type="dxa"/>
            <w:vAlign w:val="center"/>
          </w:tcPr>
          <w:p>
            <w:pPr>
              <w:jc w:val="right"/>
            </w:pPr>
            <w:r>
              <w:rPr>
                <w:sz w:val="24"/>
              </w:rPr>
              <w:t>16.34</w:t>
            </w:r>
          </w:p>
        </w:tc>
        <w:tc>
          <w:tcPr>
            <w:tcW w:w="835" w:type="dxa"/>
            <w:vAlign w:val="center"/>
          </w:tcPr>
          <w:p>
            <w:pPr>
              <w:jc w:val="right"/>
            </w:pPr>
            <w:r>
              <w:rPr>
                <w:sz w:val="24"/>
              </w:rPr>
              <w:t>8,337</w:t>
            </w:r>
          </w:p>
        </w:tc>
        <w:tc>
          <w:tcPr>
            <w:tcW w:w="834" w:type="dxa"/>
            <w:vAlign w:val="center"/>
          </w:tcPr>
          <w:p>
            <w:pPr>
              <w:jc w:val="right"/>
            </w:pPr>
            <w:r>
              <w:rPr>
                <w:sz w:val="24"/>
              </w:rPr>
              <w:t>94,458.21</w:t>
            </w:r>
          </w:p>
        </w:tc>
        <w:tc>
          <w:tcPr>
            <w:tcW w:w="835" w:type="dxa"/>
            <w:vAlign w:val="center"/>
          </w:tcPr>
          <w:p>
            <w:pPr>
              <w:jc w:val="right"/>
            </w:pPr>
            <w:r>
              <w:rPr>
                <w:sz w:val="24"/>
              </w:rPr>
              <w:t>136,226.58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688586</w:t>
            </w:r>
          </w:p>
        </w:tc>
        <w:tc>
          <w:tcPr>
            <w:tcW w:w="835" w:type="dxa"/>
            <w:vAlign w:val="center"/>
          </w:tcPr>
          <w:p>
            <w:pPr>
              <w:jc w:val="center"/>
            </w:pPr>
            <w:r>
              <w:rPr>
                <w:sz w:val="24"/>
              </w:rPr>
              <w:t>江航装备</w:t>
            </w:r>
          </w:p>
        </w:tc>
        <w:tc>
          <w:tcPr>
            <w:tcW w:w="834" w:type="dxa"/>
            <w:vAlign w:val="center"/>
          </w:tcPr>
          <w:p>
            <w:pPr>
              <w:jc w:val="center"/>
            </w:pPr>
            <w:r>
              <w:rPr>
                <w:sz w:val="24"/>
              </w:rPr>
              <w:t>2020-07-24</w:t>
            </w:r>
          </w:p>
        </w:tc>
        <w:tc>
          <w:tcPr>
            <w:tcW w:w="835" w:type="dxa"/>
            <w:vAlign w:val="center"/>
          </w:tcPr>
          <w:p>
            <w:pPr>
              <w:jc w:val="center"/>
            </w:pPr>
            <w:r>
              <w:rPr>
                <w:sz w:val="24"/>
              </w:rPr>
              <w:t>2021-02-01</w:t>
            </w:r>
          </w:p>
        </w:tc>
        <w:tc>
          <w:tcPr>
            <w:tcW w:w="834" w:type="dxa"/>
            <w:vAlign w:val="center"/>
          </w:tcPr>
          <w:p>
            <w:pPr>
              <w:jc w:val="center"/>
            </w:pPr>
            <w:r>
              <w:rPr>
                <w:sz w:val="24"/>
              </w:rPr>
              <w:t>限售股</w:t>
            </w:r>
          </w:p>
        </w:tc>
        <w:tc>
          <w:tcPr>
            <w:tcW w:w="835" w:type="dxa"/>
            <w:vAlign w:val="center"/>
          </w:tcPr>
          <w:p>
            <w:pPr>
              <w:jc w:val="right"/>
            </w:pPr>
            <w:r>
              <w:rPr>
                <w:sz w:val="24"/>
              </w:rPr>
              <w:t>10.27</w:t>
            </w:r>
          </w:p>
        </w:tc>
        <w:tc>
          <w:tcPr>
            <w:tcW w:w="834" w:type="dxa"/>
            <w:vAlign w:val="center"/>
          </w:tcPr>
          <w:p>
            <w:pPr>
              <w:jc w:val="right"/>
            </w:pPr>
            <w:r>
              <w:rPr>
                <w:sz w:val="24"/>
              </w:rPr>
              <w:t>30.20</w:t>
            </w:r>
          </w:p>
        </w:tc>
        <w:tc>
          <w:tcPr>
            <w:tcW w:w="835" w:type="dxa"/>
            <w:vAlign w:val="center"/>
          </w:tcPr>
          <w:p>
            <w:pPr>
              <w:jc w:val="right"/>
            </w:pPr>
            <w:r>
              <w:rPr>
                <w:sz w:val="24"/>
              </w:rPr>
              <w:t>16,436</w:t>
            </w:r>
          </w:p>
        </w:tc>
        <w:tc>
          <w:tcPr>
            <w:tcW w:w="834" w:type="dxa"/>
            <w:vAlign w:val="center"/>
          </w:tcPr>
          <w:p>
            <w:pPr>
              <w:jc w:val="right"/>
            </w:pPr>
            <w:r>
              <w:rPr>
                <w:sz w:val="24"/>
              </w:rPr>
              <w:t>168,797.72</w:t>
            </w:r>
          </w:p>
        </w:tc>
        <w:tc>
          <w:tcPr>
            <w:tcW w:w="835" w:type="dxa"/>
            <w:vAlign w:val="center"/>
          </w:tcPr>
          <w:p>
            <w:pPr>
              <w:jc w:val="right"/>
            </w:pPr>
            <w:r>
              <w:rPr>
                <w:sz w:val="24"/>
              </w:rPr>
              <w:t>496,367.20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688617</w:t>
            </w:r>
          </w:p>
        </w:tc>
        <w:tc>
          <w:tcPr>
            <w:tcW w:w="835" w:type="dxa"/>
            <w:vAlign w:val="center"/>
          </w:tcPr>
          <w:p>
            <w:pPr>
              <w:jc w:val="center"/>
            </w:pPr>
            <w:r>
              <w:rPr>
                <w:sz w:val="24"/>
              </w:rPr>
              <w:t>惠泰医疗</w:t>
            </w:r>
          </w:p>
        </w:tc>
        <w:tc>
          <w:tcPr>
            <w:tcW w:w="834" w:type="dxa"/>
            <w:vAlign w:val="center"/>
          </w:tcPr>
          <w:p>
            <w:pPr>
              <w:jc w:val="center"/>
            </w:pPr>
            <w:r>
              <w:rPr>
                <w:sz w:val="24"/>
              </w:rPr>
              <w:t>2020-12-30</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74.46</w:t>
            </w:r>
          </w:p>
        </w:tc>
        <w:tc>
          <w:tcPr>
            <w:tcW w:w="834" w:type="dxa"/>
            <w:vAlign w:val="center"/>
          </w:tcPr>
          <w:p>
            <w:pPr>
              <w:jc w:val="right"/>
            </w:pPr>
            <w:r>
              <w:rPr>
                <w:sz w:val="24"/>
              </w:rPr>
              <w:t>74.46</w:t>
            </w:r>
          </w:p>
        </w:tc>
        <w:tc>
          <w:tcPr>
            <w:tcW w:w="835" w:type="dxa"/>
            <w:vAlign w:val="center"/>
          </w:tcPr>
          <w:p>
            <w:pPr>
              <w:jc w:val="right"/>
            </w:pPr>
            <w:r>
              <w:rPr>
                <w:sz w:val="24"/>
              </w:rPr>
              <w:t>1,673</w:t>
            </w:r>
          </w:p>
        </w:tc>
        <w:tc>
          <w:tcPr>
            <w:tcW w:w="834" w:type="dxa"/>
            <w:vAlign w:val="center"/>
          </w:tcPr>
          <w:p>
            <w:pPr>
              <w:jc w:val="right"/>
            </w:pPr>
            <w:r>
              <w:rPr>
                <w:sz w:val="24"/>
              </w:rPr>
              <w:t>124,571.58</w:t>
            </w:r>
          </w:p>
        </w:tc>
        <w:tc>
          <w:tcPr>
            <w:tcW w:w="835" w:type="dxa"/>
            <w:vAlign w:val="center"/>
          </w:tcPr>
          <w:p>
            <w:pPr>
              <w:jc w:val="right"/>
            </w:pPr>
            <w:r>
              <w:rPr>
                <w:sz w:val="24"/>
              </w:rPr>
              <w:t>124,571.58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688658</w:t>
            </w:r>
          </w:p>
        </w:tc>
        <w:tc>
          <w:tcPr>
            <w:tcW w:w="835" w:type="dxa"/>
            <w:vAlign w:val="center"/>
          </w:tcPr>
          <w:p>
            <w:pPr>
              <w:jc w:val="center"/>
            </w:pPr>
            <w:r>
              <w:rPr>
                <w:sz w:val="24"/>
              </w:rPr>
              <w:t>悦康药业</w:t>
            </w:r>
          </w:p>
        </w:tc>
        <w:tc>
          <w:tcPr>
            <w:tcW w:w="834" w:type="dxa"/>
            <w:vAlign w:val="center"/>
          </w:tcPr>
          <w:p>
            <w:pPr>
              <w:jc w:val="center"/>
            </w:pPr>
            <w:r>
              <w:rPr>
                <w:sz w:val="24"/>
              </w:rPr>
              <w:t>2020-12-16</w:t>
            </w:r>
          </w:p>
        </w:tc>
        <w:tc>
          <w:tcPr>
            <w:tcW w:w="835" w:type="dxa"/>
            <w:vAlign w:val="center"/>
          </w:tcPr>
          <w:p>
            <w:pPr>
              <w:jc w:val="center"/>
            </w:pPr>
            <w:r>
              <w:rPr>
                <w:sz w:val="24"/>
              </w:rPr>
              <w:t>2021-06-24</w:t>
            </w:r>
          </w:p>
        </w:tc>
        <w:tc>
          <w:tcPr>
            <w:tcW w:w="834" w:type="dxa"/>
            <w:vAlign w:val="center"/>
          </w:tcPr>
          <w:p>
            <w:pPr>
              <w:jc w:val="center"/>
            </w:pPr>
            <w:r>
              <w:rPr>
                <w:sz w:val="24"/>
              </w:rPr>
              <w:t>限售股</w:t>
            </w:r>
          </w:p>
        </w:tc>
        <w:tc>
          <w:tcPr>
            <w:tcW w:w="835" w:type="dxa"/>
            <w:vAlign w:val="center"/>
          </w:tcPr>
          <w:p>
            <w:pPr>
              <w:jc w:val="right"/>
            </w:pPr>
            <w:r>
              <w:rPr>
                <w:sz w:val="24"/>
              </w:rPr>
              <w:t>24.36</w:t>
            </w:r>
          </w:p>
        </w:tc>
        <w:tc>
          <w:tcPr>
            <w:tcW w:w="834" w:type="dxa"/>
            <w:vAlign w:val="center"/>
          </w:tcPr>
          <w:p>
            <w:pPr>
              <w:jc w:val="right"/>
            </w:pPr>
            <w:r>
              <w:rPr>
                <w:sz w:val="24"/>
              </w:rPr>
              <w:t>22.31</w:t>
            </w:r>
          </w:p>
        </w:tc>
        <w:tc>
          <w:tcPr>
            <w:tcW w:w="835" w:type="dxa"/>
            <w:vAlign w:val="center"/>
          </w:tcPr>
          <w:p>
            <w:pPr>
              <w:jc w:val="right"/>
            </w:pPr>
            <w:r>
              <w:rPr>
                <w:sz w:val="24"/>
              </w:rPr>
              <w:t>16,580</w:t>
            </w:r>
          </w:p>
        </w:tc>
        <w:tc>
          <w:tcPr>
            <w:tcW w:w="834" w:type="dxa"/>
            <w:vAlign w:val="center"/>
          </w:tcPr>
          <w:p>
            <w:pPr>
              <w:jc w:val="right"/>
            </w:pPr>
            <w:r>
              <w:rPr>
                <w:sz w:val="24"/>
              </w:rPr>
              <w:t>403,888.80</w:t>
            </w:r>
          </w:p>
        </w:tc>
        <w:tc>
          <w:tcPr>
            <w:tcW w:w="835" w:type="dxa"/>
            <w:vAlign w:val="center"/>
          </w:tcPr>
          <w:p>
            <w:pPr>
              <w:jc w:val="right"/>
            </w:pPr>
            <w:r>
              <w:rPr>
                <w:sz w:val="24"/>
              </w:rPr>
              <w:t>369,899.80</w:t>
            </w:r>
          </w:p>
        </w:tc>
        <w:tc>
          <w:tcPr>
            <w:tcW w:w="835" w:type="dxa"/>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6" w:name="_Toc67591821"/>
      <w:r>
        <w:rPr>
          <w:rFonts w:ascii="Times New Roman" w:hAnsi="Times New Roman"/>
          <w:kern w:val="0"/>
          <w:szCs w:val="24"/>
        </w:rPr>
        <w:t>7.4.12.2</w:t>
      </w:r>
      <w:r>
        <w:rPr>
          <w:rFonts w:hint="eastAsia" w:ascii="Times New Roman" w:hAnsi="Times New Roman"/>
          <w:kern w:val="0"/>
          <w:szCs w:val="24"/>
        </w:rPr>
        <w:t>期末持有的暂时停牌等流通受限股票</w:t>
      </w:r>
      <w:bookmarkEnd w:id="186"/>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7" w:name="_Toc67591822"/>
      <w:r>
        <w:rPr>
          <w:rFonts w:ascii="Times New Roman" w:hAnsi="Times New Roman"/>
          <w:kern w:val="0"/>
          <w:szCs w:val="24"/>
        </w:rPr>
        <w:t>7.4.12.3</w:t>
      </w:r>
      <w:r>
        <w:rPr>
          <w:rFonts w:hint="eastAsia" w:ascii="Times New Roman" w:hAnsi="Times New Roman"/>
          <w:kern w:val="0"/>
          <w:szCs w:val="24"/>
        </w:rPr>
        <w:t>期末债券正回购交易中作为抵押的债券</w:t>
      </w:r>
      <w:bookmarkEnd w:id="187"/>
    </w:p>
    <w:p>
      <w:pPr>
        <w:spacing w:before="29" w:line="288" w:lineRule="auto"/>
        <w:rPr>
          <w:color w:val="000000"/>
          <w:sz w:val="24"/>
        </w:rPr>
      </w:pPr>
      <w:r>
        <w:rPr>
          <w:color w:val="000000"/>
          <w:sz w:val="24"/>
        </w:rPr>
        <w:t>本基金本报告期末无从事债券正回购交易形成的卖出回购证券款余额。</w:t>
      </w:r>
    </w:p>
    <w:p>
      <w:pPr>
        <w:spacing w:before="29" w:line="288" w:lineRule="auto"/>
        <w:rPr>
          <w:color w:val="000000"/>
          <w:sz w:val="24"/>
        </w:rPr>
      </w:pPr>
    </w:p>
    <w:p>
      <w:pPr>
        <w:pStyle w:val="3"/>
        <w:spacing w:before="29" w:after="0" w:line="288" w:lineRule="auto"/>
        <w:rPr>
          <w:rFonts w:ascii="Times New Roman" w:hAnsi="Times New Roman"/>
          <w:kern w:val="0"/>
          <w:szCs w:val="24"/>
        </w:rPr>
      </w:pPr>
      <w:bookmarkStart w:id="188" w:name="_Toc67591823"/>
      <w:r>
        <w:rPr>
          <w:rFonts w:ascii="Times New Roman" w:hAnsi="Times New Roman"/>
          <w:kern w:val="0"/>
          <w:szCs w:val="24"/>
        </w:rPr>
        <w:t>7.4.13</w:t>
      </w:r>
      <w:r>
        <w:rPr>
          <w:rFonts w:hint="eastAsia" w:ascii="Times New Roman" w:hAnsi="Times New Roman"/>
          <w:kern w:val="0"/>
          <w:szCs w:val="24"/>
        </w:rPr>
        <w:t>金融工具风险及管理</w:t>
      </w:r>
      <w:bookmarkEnd w:id="188"/>
    </w:p>
    <w:p>
      <w:pPr>
        <w:pStyle w:val="3"/>
        <w:spacing w:before="29" w:after="0" w:line="288" w:lineRule="auto"/>
        <w:rPr>
          <w:rFonts w:ascii="Times New Roman" w:hAnsi="Times New Roman"/>
          <w:kern w:val="0"/>
          <w:szCs w:val="24"/>
        </w:rPr>
      </w:pPr>
      <w:bookmarkStart w:id="189" w:name="_Toc67591824"/>
      <w:r>
        <w:rPr>
          <w:rFonts w:ascii="Times New Roman" w:hAnsi="Times New Roman"/>
          <w:kern w:val="0"/>
          <w:szCs w:val="24"/>
        </w:rPr>
        <w:t>7.4.13.1</w:t>
      </w:r>
      <w:r>
        <w:rPr>
          <w:rFonts w:hint="eastAsia" w:ascii="Times New Roman" w:hAnsi="Times New Roman"/>
          <w:kern w:val="0"/>
          <w:szCs w:val="24"/>
        </w:rPr>
        <w:t>风险管理政策和组织架构</w:t>
      </w:r>
      <w:bookmarkEnd w:id="189"/>
    </w:p>
    <w:p>
      <w:pPr>
        <w:spacing w:before="29" w:line="288" w:lineRule="auto"/>
        <w:ind w:firstLine="480" w:firstLineChars="200"/>
        <w:rPr>
          <w:color w:val="000000"/>
          <w:sz w:val="24"/>
        </w:rPr>
      </w:pPr>
      <w:r>
        <w:rPr>
          <w:color w:val="000000"/>
          <w:sz w:val="24"/>
        </w:rPr>
        <w:t>本基金是一只灵活配置的混合型基金，属于基金中的较高风险品种，风险与预期收益介于股票型基金和债券型基金之间。本基金的投资范围为具有良好流动性的金融工具，包括国内依法发行上市的股票（含存托凭证）、债券、货币市场工具、权证、资产支持证券以及法律法规或中国证监会允许基金投资的其他金融工具。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0" w:name="_Toc67591825"/>
      <w:r>
        <w:rPr>
          <w:rFonts w:ascii="Times New Roman" w:hAnsi="Times New Roman"/>
          <w:kern w:val="0"/>
          <w:szCs w:val="24"/>
        </w:rPr>
        <w:t>7.4.13.2</w:t>
      </w:r>
      <w:r>
        <w:rPr>
          <w:rFonts w:hint="eastAsia" w:ascii="Times New Roman" w:hAnsi="Times New Roman"/>
          <w:kern w:val="0"/>
          <w:szCs w:val="24"/>
        </w:rPr>
        <w:t>信用风险</w:t>
      </w:r>
      <w:bookmarkEnd w:id="190"/>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人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未持有除国债、央行票据和政策性金融债以外的债券(2019年12月31日：无)。</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1" w:name="_Toc67591826"/>
      <w:r>
        <w:rPr>
          <w:rFonts w:ascii="Times New Roman" w:hAnsi="Times New Roman"/>
          <w:kern w:val="0"/>
          <w:szCs w:val="24"/>
        </w:rPr>
        <w:t>7.4.13.3</w:t>
      </w:r>
      <w:r>
        <w:rPr>
          <w:rFonts w:hint="eastAsia" w:ascii="Times New Roman" w:hAnsi="Times New Roman"/>
          <w:kern w:val="0"/>
          <w:szCs w:val="24"/>
        </w:rPr>
        <w:t>流动性风险</w:t>
      </w:r>
      <w:bookmarkEnd w:id="191"/>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注：流动性受限资产、7个工作日可变现资产的计算口径见《公开募集开放式证券投资基金流动性风险管理规定》第四十条。</w:t>
      </w:r>
    </w:p>
    <w:p>
      <w:pPr>
        <w:spacing w:line="360" w:lineRule="auto"/>
        <w:ind w:firstLine="420" w:firstLineChars="200"/>
        <w:rPr>
          <w:rFonts w:asciiTheme="minorEastAsia" w:hAnsiTheme="minorEastAsia" w:eastAsiaTheme="minorEastAsia"/>
          <w:color w:val="000000"/>
          <w:szCs w:val="21"/>
        </w:rPr>
      </w:pPr>
    </w:p>
    <w:p>
      <w:pPr>
        <w:spacing w:before="156" w:beforeLines="50" w:line="360" w:lineRule="auto"/>
        <w:rPr>
          <w:rFonts w:eastAsiaTheme="minorEastAsia"/>
          <w:b/>
          <w:bCs/>
          <w:color w:val="000000" w:themeColor="text1"/>
          <w:sz w:val="24"/>
        </w:rPr>
      </w:pPr>
      <w:r>
        <w:rPr>
          <w:rFonts w:eastAsiaTheme="minorEastAsia"/>
          <w:b/>
          <w:bCs/>
          <w:color w:val="000000" w:themeColor="text1"/>
          <w:kern w:val="0"/>
          <w:sz w:val="24"/>
        </w:rPr>
        <w:t>7.4.13.3</w:t>
      </w:r>
      <w:r>
        <w:rPr>
          <w:rFonts w:hint="eastAsia" w:eastAsiaTheme="minorEastAsia"/>
          <w:b/>
          <w:bCs/>
          <w:color w:val="000000" w:themeColor="text1"/>
          <w:kern w:val="0"/>
          <w:sz w:val="24"/>
        </w:rPr>
        <w:t>.1</w:t>
      </w:r>
      <w:r>
        <w:rPr>
          <w:rFonts w:eastAsiaTheme="minorEastAsia"/>
          <w:b/>
          <w:bCs/>
          <w:color w:val="000000" w:themeColor="text1"/>
          <w:kern w:val="0"/>
          <w:sz w:val="24"/>
        </w:rPr>
        <w:t xml:space="preserve"> </w:t>
      </w:r>
      <w:r>
        <w:rPr>
          <w:rFonts w:hint="eastAsia" w:eastAsiaTheme="minorEastAsia"/>
          <w:b/>
          <w:bCs/>
          <w:color w:val="000000" w:themeColor="text1"/>
          <w:sz w:val="24"/>
        </w:rPr>
        <w:t>报告期内本基金组合资产的流动性风险分析</w:t>
      </w:r>
    </w:p>
    <w:p>
      <w:pPr>
        <w:spacing w:before="29" w:line="288" w:lineRule="auto"/>
        <w:ind w:firstLine="480" w:firstLineChars="200"/>
        <w:rPr>
          <w:color w:val="000000"/>
          <w:sz w:val="24"/>
        </w:rPr>
      </w:pPr>
      <w:r>
        <w:rPr>
          <w:color w:val="000000"/>
          <w:sz w:val="24"/>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spacing w:before="29" w:line="288" w:lineRule="auto"/>
        <w:ind w:firstLine="480" w:firstLineChars="200"/>
        <w:rPr>
          <w:color w:val="000000"/>
          <w:sz w:val="24"/>
        </w:rPr>
      </w:pPr>
      <w:r>
        <w:rPr>
          <w:color w:val="000000"/>
          <w:sz w:val="24"/>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spacing w:before="29" w:line="288" w:lineRule="auto"/>
        <w:ind w:firstLine="480" w:firstLineChars="200"/>
        <w:rPr>
          <w:color w:val="000000"/>
          <w:sz w:val="24"/>
        </w:rPr>
      </w:pPr>
      <w:r>
        <w:rPr>
          <w:color w:val="000000"/>
          <w:sz w:val="24"/>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本基金主动投资于流动性受限资产的市值合计不得超过基金资产净值的15%。</w:t>
      </w:r>
    </w:p>
    <w:p>
      <w:pPr>
        <w:spacing w:before="29" w:line="288" w:lineRule="auto"/>
        <w:ind w:firstLine="480" w:firstLineChars="200"/>
        <w:rPr>
          <w:color w:val="000000"/>
          <w:sz w:val="24"/>
        </w:rPr>
      </w:pPr>
      <w:r>
        <w:rPr>
          <w:color w:val="000000"/>
          <w:sz w:val="24"/>
        </w:rPr>
        <w:t>本基金的基金管理人每日对基金组合资产中7个工作日可变现资产的可变现价值进行审慎评估与测算，确保每日确认的净赎回申请不得超过7个工作日可变现资产的可变现价值。</w:t>
      </w:r>
    </w:p>
    <w:p>
      <w:pPr>
        <w:spacing w:before="29" w:line="288" w:lineRule="auto"/>
        <w:ind w:firstLine="480" w:firstLineChars="200"/>
        <w:rPr>
          <w:color w:val="000000"/>
          <w:sz w:val="24"/>
        </w:rPr>
      </w:pPr>
      <w:r>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spacing w:before="29" w:line="288" w:lineRule="auto"/>
        <w:ind w:firstLine="480" w:firstLineChars="200"/>
        <w:rPr>
          <w:color w:val="000000"/>
          <w:sz w:val="24"/>
        </w:rPr>
      </w:pPr>
      <w:r>
        <w:rPr>
          <w:color w:val="000000"/>
          <w:sz w:val="24"/>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pStyle w:val="3"/>
        <w:spacing w:before="29" w:after="0" w:line="288" w:lineRule="auto"/>
        <w:rPr>
          <w:rFonts w:ascii="Times New Roman" w:hAnsi="Times New Roman"/>
          <w:kern w:val="0"/>
          <w:szCs w:val="24"/>
        </w:rPr>
      </w:pPr>
      <w:bookmarkStart w:id="192" w:name="_Toc67591827"/>
      <w:r>
        <w:rPr>
          <w:rFonts w:ascii="Times New Roman" w:hAnsi="Times New Roman"/>
          <w:kern w:val="0"/>
          <w:szCs w:val="24"/>
        </w:rPr>
        <w:t>7.4.13.4</w:t>
      </w:r>
      <w:r>
        <w:rPr>
          <w:rFonts w:hint="eastAsia" w:ascii="Times New Roman" w:hAnsi="Times New Roman"/>
          <w:kern w:val="0"/>
          <w:szCs w:val="24"/>
        </w:rPr>
        <w:t>市场风险</w:t>
      </w:r>
      <w:bookmarkEnd w:id="192"/>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3" w:name="_Toc67591828"/>
      <w:r>
        <w:rPr>
          <w:rFonts w:ascii="Times New Roman" w:hAnsi="Times New Roman"/>
          <w:kern w:val="0"/>
          <w:szCs w:val="24"/>
        </w:rPr>
        <w:t>7.4.13.4.1</w:t>
      </w:r>
      <w:r>
        <w:rPr>
          <w:rFonts w:hint="eastAsia" w:ascii="Times New Roman" w:hAnsi="Times New Roman"/>
          <w:kern w:val="0"/>
          <w:szCs w:val="24"/>
        </w:rPr>
        <w:t>利率风险</w:t>
      </w:r>
      <w:bookmarkEnd w:id="193"/>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pPr>
        <w:spacing w:before="29" w:line="288" w:lineRule="auto"/>
        <w:ind w:firstLine="480" w:firstLineChars="200"/>
        <w:rPr>
          <w:color w:val="000000"/>
          <w:sz w:val="24"/>
        </w:rPr>
      </w:pPr>
      <w:r>
        <w:rPr>
          <w:color w:val="000000"/>
          <w:sz w:val="24"/>
        </w:rPr>
        <w:tab/>
      </w:r>
    </w:p>
    <w:p>
      <w:pPr>
        <w:pStyle w:val="3"/>
        <w:spacing w:before="29" w:after="0" w:line="288" w:lineRule="auto"/>
        <w:rPr>
          <w:rFonts w:ascii="Times New Roman" w:hAnsi="Times New Roman"/>
          <w:kern w:val="0"/>
          <w:szCs w:val="24"/>
        </w:rPr>
      </w:pPr>
      <w:bookmarkStart w:id="194" w:name="_Toc67591829"/>
      <w:r>
        <w:rPr>
          <w:rFonts w:ascii="Times New Roman" w:hAnsi="Times New Roman"/>
          <w:kern w:val="0"/>
          <w:szCs w:val="24"/>
        </w:rPr>
        <w:t>7.4.13.4.1.1</w:t>
      </w:r>
      <w:r>
        <w:rPr>
          <w:rFonts w:hint="eastAsia" w:ascii="Times New Roman" w:hAnsi="Times New Roman"/>
          <w:kern w:val="0"/>
          <w:szCs w:val="24"/>
        </w:rPr>
        <w:t>利率风险敞口</w:t>
      </w:r>
      <w:bookmarkEnd w:id="19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tcBorders>
              <w:bottom w:val="single" w:color="auto" w:sz="4" w:space="0"/>
            </w:tcBorders>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tcBorders>
              <w:bottom w:val="single" w:color="auto" w:sz="4" w:space="0"/>
            </w:tcBorders>
            <w:vAlign w:val="center"/>
          </w:tcPr>
          <w:p>
            <w:pPr>
              <w:spacing w:line="360" w:lineRule="auto"/>
              <w:jc w:val="right"/>
              <w:rPr>
                <w:rFonts w:ascii="宋体" w:hAnsi="宋体"/>
                <w:color w:val="000000"/>
                <w:szCs w:val="21"/>
              </w:rPr>
            </w:pPr>
          </w:p>
        </w:tc>
        <w:tc>
          <w:tcPr>
            <w:tcW w:w="1701" w:type="dxa"/>
            <w:tcBorders>
              <w:bottom w:val="single" w:color="auto" w:sz="4" w:space="0"/>
            </w:tcBorders>
            <w:vAlign w:val="center"/>
          </w:tcPr>
          <w:p>
            <w:pPr>
              <w:spacing w:line="360" w:lineRule="auto"/>
              <w:jc w:val="right"/>
              <w:rPr>
                <w:rFonts w:ascii="宋体" w:hAnsi="宋体"/>
                <w:color w:val="000000"/>
                <w:szCs w:val="21"/>
              </w:rPr>
            </w:pPr>
          </w:p>
        </w:tc>
        <w:tc>
          <w:tcPr>
            <w:tcW w:w="1559" w:type="dxa"/>
            <w:tcBorders>
              <w:bottom w:val="single" w:color="auto" w:sz="4" w:space="0"/>
            </w:tcBorders>
            <w:vAlign w:val="center"/>
          </w:tcPr>
          <w:p>
            <w:pPr>
              <w:spacing w:line="360" w:lineRule="auto"/>
              <w:jc w:val="right"/>
              <w:rPr>
                <w:rFonts w:ascii="宋体" w:hAnsi="宋体"/>
                <w:color w:val="000000"/>
                <w:szCs w:val="21"/>
              </w:rPr>
            </w:pPr>
          </w:p>
        </w:tc>
        <w:tc>
          <w:tcPr>
            <w:tcW w:w="1559" w:type="dxa"/>
            <w:tcBorders>
              <w:bottom w:val="single" w:color="auto" w:sz="4" w:space="0"/>
            </w:tcBorders>
            <w:vAlign w:val="center"/>
          </w:tcPr>
          <w:p>
            <w:pPr>
              <w:spacing w:line="360" w:lineRule="auto"/>
              <w:jc w:val="right"/>
              <w:rPr>
                <w:rFonts w:ascii="宋体" w:hAnsi="宋体"/>
                <w:color w:val="000000"/>
                <w:szCs w:val="21"/>
              </w:rPr>
            </w:pPr>
          </w:p>
        </w:tc>
        <w:tc>
          <w:tcPr>
            <w:tcW w:w="1301" w:type="dxa"/>
            <w:tcBorders>
              <w:bottom w:val="single" w:color="auto" w:sz="4" w:space="0"/>
            </w:tcBorders>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tcBorders>
              <w:top w:val="single" w:color="auto" w:sz="4" w:space="0"/>
              <w:left w:val="single" w:color="auto" w:sz="4" w:space="0"/>
              <w:bottom w:val="single" w:color="auto" w:sz="4" w:space="0"/>
              <w:right w:val="single" w:color="auto" w:sz="4" w:space="0"/>
            </w:tcBorders>
            <w:vAlign w:val="center"/>
          </w:tcPr>
          <w:p>
            <w:pPr>
              <w:jc w:val="center"/>
            </w:pPr>
            <w:r>
              <w:rPr>
                <w:color w:val="000000"/>
                <w:sz w:val="18"/>
                <w:szCs w:val="18"/>
              </w:rPr>
              <w:t>银行存款</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pPr>
            <w:r>
              <w:rPr>
                <w:color w:val="000000"/>
                <w:sz w:val="18"/>
                <w:szCs w:val="18"/>
              </w:rPr>
              <w:t>1,135,333,628.54</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pPr>
            <w:r>
              <w:rPr>
                <w:color w:val="000000"/>
                <w:sz w:val="18"/>
                <w:szCs w:val="18"/>
              </w:rPr>
              <w:t>-</w:t>
            </w:r>
          </w:p>
        </w:tc>
        <w:tc>
          <w:tcPr>
            <w:tcW w:w="1559" w:type="dxa"/>
            <w:tcBorders>
              <w:top w:val="single" w:color="auto" w:sz="4" w:space="0"/>
              <w:left w:val="single" w:color="auto" w:sz="4" w:space="0"/>
              <w:bottom w:val="single" w:color="auto" w:sz="4" w:space="0"/>
              <w:right w:val="single" w:color="auto" w:sz="4" w:space="0"/>
            </w:tcBorders>
            <w:vAlign w:val="center"/>
          </w:tcPr>
          <w:p>
            <w:pPr>
              <w:jc w:val="right"/>
            </w:pPr>
            <w:r>
              <w:rPr>
                <w:color w:val="000000"/>
                <w:sz w:val="18"/>
                <w:szCs w:val="18"/>
              </w:rPr>
              <w:t>-</w:t>
            </w:r>
          </w:p>
        </w:tc>
        <w:tc>
          <w:tcPr>
            <w:tcW w:w="1559" w:type="dxa"/>
            <w:tcBorders>
              <w:top w:val="single" w:color="auto" w:sz="4" w:space="0"/>
              <w:left w:val="single" w:color="auto" w:sz="4" w:space="0"/>
              <w:bottom w:val="single" w:color="auto" w:sz="4" w:space="0"/>
              <w:right w:val="single" w:color="auto" w:sz="4" w:space="0"/>
            </w:tcBorders>
            <w:vAlign w:val="center"/>
          </w:tcPr>
          <w:p>
            <w:pPr>
              <w:jc w:val="right"/>
            </w:pPr>
            <w:r>
              <w:rPr>
                <w:color w:val="000000"/>
                <w:sz w:val="18"/>
                <w:szCs w:val="18"/>
              </w:rPr>
              <w:t>-</w:t>
            </w:r>
          </w:p>
        </w:tc>
        <w:tc>
          <w:tcPr>
            <w:tcW w:w="1301" w:type="dxa"/>
            <w:tcBorders>
              <w:top w:val="single" w:color="auto" w:sz="4" w:space="0"/>
              <w:left w:val="single" w:color="auto" w:sz="4" w:space="0"/>
              <w:bottom w:val="single" w:color="auto" w:sz="4" w:space="0"/>
              <w:right w:val="single" w:color="auto" w:sz="4" w:space="0"/>
            </w:tcBorders>
            <w:vAlign w:val="center"/>
          </w:tcPr>
          <w:p>
            <w:pPr>
              <w:jc w:val="right"/>
            </w:pPr>
            <w:r>
              <w:rPr>
                <w:color w:val="000000"/>
                <w:sz w:val="18"/>
                <w:szCs w:val="18"/>
              </w:rPr>
              <w:t>1,135,333,628.54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tcBorders>
              <w:top w:val="single" w:color="auto" w:sz="4" w:space="0"/>
            </w:tcBorders>
            <w:vAlign w:val="center"/>
          </w:tcPr>
          <w:p>
            <w:pPr>
              <w:jc w:val="center"/>
            </w:pPr>
            <w:r>
              <w:rPr>
                <w:color w:val="000000"/>
                <w:sz w:val="18"/>
                <w:szCs w:val="18"/>
              </w:rPr>
              <w:t>结算备付金</w:t>
            </w:r>
          </w:p>
        </w:tc>
        <w:tc>
          <w:tcPr>
            <w:tcW w:w="1701" w:type="dxa"/>
            <w:tcBorders>
              <w:top w:val="single" w:color="auto" w:sz="4" w:space="0"/>
            </w:tcBorders>
            <w:vAlign w:val="center"/>
          </w:tcPr>
          <w:p>
            <w:pPr>
              <w:jc w:val="right"/>
            </w:pPr>
            <w:r>
              <w:rPr>
                <w:color w:val="000000"/>
                <w:sz w:val="18"/>
                <w:szCs w:val="18"/>
              </w:rPr>
              <w:t>5,742,657.49</w:t>
            </w:r>
          </w:p>
        </w:tc>
        <w:tc>
          <w:tcPr>
            <w:tcW w:w="1701" w:type="dxa"/>
            <w:tcBorders>
              <w:top w:val="single" w:color="auto" w:sz="4" w:space="0"/>
            </w:tcBorders>
            <w:vAlign w:val="center"/>
          </w:tcPr>
          <w:p>
            <w:pPr>
              <w:jc w:val="right"/>
            </w:pPr>
            <w:r>
              <w:rPr>
                <w:color w:val="000000"/>
                <w:sz w:val="18"/>
                <w:szCs w:val="18"/>
              </w:rPr>
              <w:t>-</w:t>
            </w:r>
          </w:p>
        </w:tc>
        <w:tc>
          <w:tcPr>
            <w:tcW w:w="1559" w:type="dxa"/>
            <w:tcBorders>
              <w:top w:val="single" w:color="auto" w:sz="4" w:space="0"/>
            </w:tcBorders>
            <w:vAlign w:val="center"/>
          </w:tcPr>
          <w:p>
            <w:pPr>
              <w:jc w:val="right"/>
            </w:pPr>
            <w:r>
              <w:rPr>
                <w:color w:val="000000"/>
                <w:sz w:val="18"/>
                <w:szCs w:val="18"/>
              </w:rPr>
              <w:t>-</w:t>
            </w:r>
          </w:p>
        </w:tc>
        <w:tc>
          <w:tcPr>
            <w:tcW w:w="1559" w:type="dxa"/>
            <w:tcBorders>
              <w:top w:val="single" w:color="auto" w:sz="4" w:space="0"/>
            </w:tcBorders>
            <w:vAlign w:val="center"/>
          </w:tcPr>
          <w:p>
            <w:pPr>
              <w:jc w:val="right"/>
            </w:pPr>
            <w:r>
              <w:rPr>
                <w:color w:val="000000"/>
                <w:sz w:val="18"/>
                <w:szCs w:val="18"/>
              </w:rPr>
              <w:t>-</w:t>
            </w:r>
          </w:p>
        </w:tc>
        <w:tc>
          <w:tcPr>
            <w:tcW w:w="1301" w:type="dxa"/>
            <w:tcBorders>
              <w:top w:val="single" w:color="auto" w:sz="4" w:space="0"/>
            </w:tcBorders>
            <w:vAlign w:val="center"/>
          </w:tcPr>
          <w:p>
            <w:pPr>
              <w:jc w:val="right"/>
            </w:pPr>
            <w:r>
              <w:rPr>
                <w:color w:val="000000"/>
                <w:sz w:val="18"/>
                <w:szCs w:val="18"/>
              </w:rPr>
              <w:t>5,742,657.49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839,481.25</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839,481.25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319,646,000.00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5,284,849,104.86</w:t>
            </w:r>
          </w:p>
        </w:tc>
        <w:tc>
          <w:tcPr>
            <w:tcW w:w="1301" w:type="dxa"/>
            <w:vAlign w:val="center"/>
          </w:tcPr>
          <w:p>
            <w:pPr>
              <w:jc w:val="right"/>
            </w:pPr>
            <w:r>
              <w:rPr>
                <w:color w:val="000000"/>
                <w:sz w:val="18"/>
                <w:szCs w:val="18"/>
              </w:rPr>
              <w:t>5,604,495,104.86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38,576,025.41</w:t>
            </w:r>
          </w:p>
        </w:tc>
        <w:tc>
          <w:tcPr>
            <w:tcW w:w="1301" w:type="dxa"/>
            <w:vAlign w:val="center"/>
          </w:tcPr>
          <w:p>
            <w:pPr>
              <w:jc w:val="right"/>
            </w:pPr>
            <w:r>
              <w:rPr>
                <w:color w:val="000000"/>
                <w:sz w:val="18"/>
                <w:szCs w:val="18"/>
              </w:rPr>
              <w:t>38,576,025.41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3,344,399.24</w:t>
            </w:r>
          </w:p>
        </w:tc>
        <w:tc>
          <w:tcPr>
            <w:tcW w:w="1301" w:type="dxa"/>
            <w:vAlign w:val="center"/>
          </w:tcPr>
          <w:p>
            <w:pPr>
              <w:jc w:val="right"/>
            </w:pPr>
            <w:r>
              <w:rPr>
                <w:color w:val="000000"/>
                <w:sz w:val="18"/>
                <w:szCs w:val="18"/>
              </w:rPr>
              <w:t>3,344,399.24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116,045.40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17,577,671.60</w:t>
            </w:r>
          </w:p>
        </w:tc>
        <w:tc>
          <w:tcPr>
            <w:tcW w:w="1301" w:type="dxa"/>
            <w:vAlign w:val="center"/>
          </w:tcPr>
          <w:p>
            <w:pPr>
              <w:jc w:val="right"/>
            </w:pPr>
            <w:r>
              <w:rPr>
                <w:color w:val="000000"/>
                <w:sz w:val="18"/>
                <w:szCs w:val="18"/>
              </w:rPr>
              <w:t>17,693,717.00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1,461,677,812.68</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5,344,347,201.11</w:t>
            </w:r>
          </w:p>
        </w:tc>
        <w:tc>
          <w:tcPr>
            <w:tcW w:w="1301" w:type="dxa"/>
            <w:vAlign w:val="center"/>
          </w:tcPr>
          <w:p>
            <w:pPr>
              <w:spacing w:before="29" w:line="288" w:lineRule="auto"/>
              <w:jc w:val="right"/>
              <w:rPr>
                <w:sz w:val="18"/>
                <w:szCs w:val="18"/>
              </w:rPr>
            </w:pPr>
            <w:r>
              <w:rPr>
                <w:sz w:val="18"/>
                <w:szCs w:val="18"/>
              </w:rPr>
              <w:t>6,806,025,013.79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23,209,450.29</w:t>
            </w:r>
          </w:p>
        </w:tc>
        <w:tc>
          <w:tcPr>
            <w:tcW w:w="1301" w:type="dxa"/>
            <w:vAlign w:val="center"/>
          </w:tcPr>
          <w:p>
            <w:pPr>
              <w:jc w:val="right"/>
            </w:pPr>
            <w:r>
              <w:rPr>
                <w:color w:val="000000"/>
                <w:sz w:val="18"/>
                <w:szCs w:val="18"/>
              </w:rPr>
              <w:t>23,209,450.29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55,135,549.91</w:t>
            </w:r>
          </w:p>
        </w:tc>
        <w:tc>
          <w:tcPr>
            <w:tcW w:w="1301" w:type="dxa"/>
            <w:vAlign w:val="center"/>
          </w:tcPr>
          <w:p>
            <w:pPr>
              <w:jc w:val="right"/>
            </w:pPr>
            <w:r>
              <w:rPr>
                <w:color w:val="000000"/>
                <w:sz w:val="18"/>
                <w:szCs w:val="18"/>
              </w:rPr>
              <w:t>55,135,549.91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8,264,901.74</w:t>
            </w:r>
          </w:p>
        </w:tc>
        <w:tc>
          <w:tcPr>
            <w:tcW w:w="1301" w:type="dxa"/>
            <w:vAlign w:val="center"/>
          </w:tcPr>
          <w:p>
            <w:pPr>
              <w:jc w:val="right"/>
            </w:pPr>
            <w:r>
              <w:rPr>
                <w:color w:val="000000"/>
                <w:sz w:val="18"/>
                <w:szCs w:val="18"/>
              </w:rPr>
              <w:t>8,264,901.74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1,377,483.66</w:t>
            </w:r>
          </w:p>
        </w:tc>
        <w:tc>
          <w:tcPr>
            <w:tcW w:w="1301" w:type="dxa"/>
            <w:vAlign w:val="center"/>
          </w:tcPr>
          <w:p>
            <w:pPr>
              <w:jc w:val="right"/>
            </w:pPr>
            <w:r>
              <w:rPr>
                <w:color w:val="000000"/>
                <w:sz w:val="18"/>
                <w:szCs w:val="18"/>
              </w:rPr>
              <w:t>1,377,483.66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4,050,279.15</w:t>
            </w:r>
          </w:p>
        </w:tc>
        <w:tc>
          <w:tcPr>
            <w:tcW w:w="1301" w:type="dxa"/>
            <w:vAlign w:val="center"/>
          </w:tcPr>
          <w:p>
            <w:pPr>
              <w:jc w:val="right"/>
            </w:pPr>
            <w:r>
              <w:rPr>
                <w:color w:val="000000"/>
                <w:sz w:val="18"/>
                <w:szCs w:val="18"/>
              </w:rPr>
              <w:t>4,050,279.15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2.26</w:t>
            </w:r>
          </w:p>
        </w:tc>
        <w:tc>
          <w:tcPr>
            <w:tcW w:w="1301" w:type="dxa"/>
            <w:vAlign w:val="center"/>
          </w:tcPr>
          <w:p>
            <w:pPr>
              <w:jc w:val="right"/>
            </w:pPr>
            <w:r>
              <w:rPr>
                <w:color w:val="000000"/>
                <w:sz w:val="18"/>
                <w:szCs w:val="18"/>
              </w:rPr>
              <w:t>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392,932.29</w:t>
            </w:r>
          </w:p>
        </w:tc>
        <w:tc>
          <w:tcPr>
            <w:tcW w:w="1301" w:type="dxa"/>
            <w:vAlign w:val="center"/>
          </w:tcPr>
          <w:p>
            <w:pPr>
              <w:jc w:val="right"/>
            </w:pPr>
            <w:r>
              <w:rPr>
                <w:color w:val="000000"/>
                <w:sz w:val="18"/>
                <w:szCs w:val="18"/>
              </w:rPr>
              <w:t>392,932.29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92,430,599.30</w:t>
            </w:r>
          </w:p>
        </w:tc>
        <w:tc>
          <w:tcPr>
            <w:tcW w:w="1301" w:type="dxa"/>
            <w:vAlign w:val="center"/>
          </w:tcPr>
          <w:p>
            <w:pPr>
              <w:spacing w:before="29" w:line="288" w:lineRule="auto"/>
              <w:jc w:val="right"/>
              <w:rPr>
                <w:color w:val="000000"/>
                <w:sz w:val="18"/>
                <w:szCs w:val="18"/>
              </w:rPr>
            </w:pPr>
            <w:r>
              <w:rPr>
                <w:color w:val="000000"/>
                <w:sz w:val="18"/>
                <w:szCs w:val="18"/>
              </w:rPr>
              <w:t>92,430,599.30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1,461,677,812.68</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5,251,916,601.81</w:t>
            </w:r>
          </w:p>
        </w:tc>
        <w:tc>
          <w:tcPr>
            <w:tcW w:w="1301" w:type="dxa"/>
            <w:vAlign w:val="center"/>
          </w:tcPr>
          <w:p>
            <w:pPr>
              <w:spacing w:before="29" w:line="288" w:lineRule="auto"/>
              <w:jc w:val="right"/>
              <w:rPr>
                <w:color w:val="000000"/>
                <w:sz w:val="18"/>
                <w:szCs w:val="18"/>
              </w:rPr>
            </w:pPr>
            <w:r>
              <w:rPr>
                <w:color w:val="000000"/>
                <w:sz w:val="18"/>
                <w:szCs w:val="18"/>
              </w:rPr>
              <w:t>6,713,594,414.49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kern w:val="0"/>
                <w:sz w:val="24"/>
              </w:rPr>
            </w:pPr>
            <w:r>
              <w:rPr>
                <w:rFonts w:hint="eastAsia"/>
                <w:color w:val="000000"/>
                <w:sz w:val="18"/>
                <w:szCs w:val="18"/>
              </w:rPr>
              <w:t>资产</w:t>
            </w:r>
          </w:p>
        </w:tc>
        <w:tc>
          <w:tcPr>
            <w:tcW w:w="1701" w:type="dxa"/>
            <w:vAlign w:val="center"/>
          </w:tcPr>
          <w:p>
            <w:pPr>
              <w:widowControl/>
              <w:spacing w:before="29" w:line="288" w:lineRule="auto"/>
              <w:jc w:val="right"/>
              <w:rPr>
                <w:color w:val="000000"/>
                <w:kern w:val="0"/>
                <w:sz w:val="24"/>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160,805,208.46</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160,805,208.46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4,881,398.38</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4,881,398.38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736,803.58</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736,803.58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190,283,000.00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2,539,873,916.70</w:t>
            </w:r>
          </w:p>
        </w:tc>
        <w:tc>
          <w:tcPr>
            <w:tcW w:w="1301" w:type="dxa"/>
            <w:vAlign w:val="center"/>
          </w:tcPr>
          <w:p>
            <w:pPr>
              <w:jc w:val="right"/>
            </w:pPr>
            <w:r>
              <w:rPr>
                <w:color w:val="000000"/>
                <w:sz w:val="18"/>
                <w:szCs w:val="18"/>
              </w:rPr>
              <w:t>2,730,156,916.70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买入返售金融资产</w:t>
            </w:r>
          </w:p>
        </w:tc>
        <w:tc>
          <w:tcPr>
            <w:tcW w:w="1701" w:type="dxa"/>
            <w:vAlign w:val="center"/>
          </w:tcPr>
          <w:p>
            <w:pPr>
              <w:jc w:val="right"/>
            </w:pPr>
            <w:r>
              <w:rPr>
                <w:color w:val="000000"/>
                <w:sz w:val="18"/>
                <w:szCs w:val="18"/>
              </w:rPr>
              <w:t>891,001,120.00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891,001,120.00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34,562,355.20</w:t>
            </w:r>
          </w:p>
        </w:tc>
        <w:tc>
          <w:tcPr>
            <w:tcW w:w="1301" w:type="dxa"/>
            <w:vAlign w:val="center"/>
          </w:tcPr>
          <w:p>
            <w:pPr>
              <w:jc w:val="right"/>
            </w:pPr>
            <w:r>
              <w:rPr>
                <w:color w:val="000000"/>
                <w:sz w:val="18"/>
                <w:szCs w:val="18"/>
              </w:rPr>
              <w:t>34,562,355.20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3,182,610.81</w:t>
            </w:r>
          </w:p>
        </w:tc>
        <w:tc>
          <w:tcPr>
            <w:tcW w:w="1301" w:type="dxa"/>
            <w:vAlign w:val="center"/>
          </w:tcPr>
          <w:p>
            <w:pPr>
              <w:jc w:val="right"/>
            </w:pPr>
            <w:r>
              <w:rPr>
                <w:color w:val="000000"/>
                <w:sz w:val="18"/>
                <w:szCs w:val="18"/>
              </w:rPr>
              <w:t>3,182,610.81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98,422.54</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28,990,645.10</w:t>
            </w:r>
          </w:p>
        </w:tc>
        <w:tc>
          <w:tcPr>
            <w:tcW w:w="1301" w:type="dxa"/>
            <w:vAlign w:val="center"/>
          </w:tcPr>
          <w:p>
            <w:pPr>
              <w:jc w:val="right"/>
            </w:pPr>
            <w:r>
              <w:rPr>
                <w:color w:val="000000"/>
                <w:sz w:val="18"/>
                <w:szCs w:val="18"/>
              </w:rPr>
              <w:t>29,089,067.64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1,247,805,952.96</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2,606,609,527.81</w:t>
            </w:r>
          </w:p>
        </w:tc>
        <w:tc>
          <w:tcPr>
            <w:tcW w:w="1301" w:type="dxa"/>
            <w:vAlign w:val="center"/>
          </w:tcPr>
          <w:p>
            <w:pPr>
              <w:spacing w:before="29" w:line="288" w:lineRule="auto"/>
              <w:jc w:val="right"/>
              <w:rPr>
                <w:sz w:val="18"/>
                <w:szCs w:val="18"/>
              </w:rPr>
            </w:pPr>
            <w:r>
              <w:rPr>
                <w:sz w:val="18"/>
                <w:szCs w:val="18"/>
              </w:rPr>
              <w:t>3,854,415,480.77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bottom"/>
          </w:tcPr>
          <w:p>
            <w:pPr>
              <w:spacing w:line="360" w:lineRule="auto"/>
              <w:jc w:val="right"/>
              <w:rPr>
                <w:rFonts w:ascii="宋体" w:hAnsi="宋体"/>
                <w:color w:val="0000FF"/>
                <w:kern w:val="0"/>
                <w:szCs w:val="21"/>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38,573,358.70</w:t>
            </w:r>
          </w:p>
        </w:tc>
        <w:tc>
          <w:tcPr>
            <w:tcW w:w="1301" w:type="dxa"/>
            <w:vAlign w:val="center"/>
          </w:tcPr>
          <w:p>
            <w:pPr>
              <w:jc w:val="right"/>
            </w:pPr>
            <w:r>
              <w:rPr>
                <w:color w:val="000000"/>
                <w:sz w:val="18"/>
                <w:szCs w:val="18"/>
              </w:rPr>
              <w:t>38,573,358.70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4,651,232.69</w:t>
            </w:r>
          </w:p>
        </w:tc>
        <w:tc>
          <w:tcPr>
            <w:tcW w:w="1301" w:type="dxa"/>
            <w:vAlign w:val="center"/>
          </w:tcPr>
          <w:p>
            <w:pPr>
              <w:jc w:val="right"/>
            </w:pPr>
            <w:r>
              <w:rPr>
                <w:color w:val="000000"/>
                <w:sz w:val="18"/>
                <w:szCs w:val="18"/>
              </w:rPr>
              <w:t>4,651,232.69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775,205.42</w:t>
            </w:r>
          </w:p>
        </w:tc>
        <w:tc>
          <w:tcPr>
            <w:tcW w:w="1301" w:type="dxa"/>
            <w:vAlign w:val="center"/>
          </w:tcPr>
          <w:p>
            <w:pPr>
              <w:jc w:val="right"/>
            </w:pPr>
            <w:r>
              <w:rPr>
                <w:color w:val="000000"/>
                <w:sz w:val="18"/>
                <w:szCs w:val="18"/>
              </w:rPr>
              <w:t>775,205.42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3,218,088.40</w:t>
            </w:r>
          </w:p>
        </w:tc>
        <w:tc>
          <w:tcPr>
            <w:tcW w:w="1301" w:type="dxa"/>
            <w:vAlign w:val="center"/>
          </w:tcPr>
          <w:p>
            <w:pPr>
              <w:jc w:val="right"/>
            </w:pPr>
            <w:r>
              <w:rPr>
                <w:color w:val="000000"/>
                <w:sz w:val="18"/>
                <w:szCs w:val="18"/>
              </w:rPr>
              <w:t>3,218,088.40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2,172.71</w:t>
            </w:r>
          </w:p>
        </w:tc>
        <w:tc>
          <w:tcPr>
            <w:tcW w:w="1301" w:type="dxa"/>
            <w:vAlign w:val="center"/>
          </w:tcPr>
          <w:p>
            <w:pPr>
              <w:jc w:val="right"/>
            </w:pPr>
            <w:r>
              <w:rPr>
                <w:color w:val="000000"/>
                <w:sz w:val="18"/>
                <w:szCs w:val="18"/>
              </w:rPr>
              <w:t>2,172.71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366,203.80</w:t>
            </w:r>
          </w:p>
        </w:tc>
        <w:tc>
          <w:tcPr>
            <w:tcW w:w="1301" w:type="dxa"/>
            <w:vAlign w:val="center"/>
          </w:tcPr>
          <w:p>
            <w:pPr>
              <w:jc w:val="right"/>
            </w:pPr>
            <w:r>
              <w:rPr>
                <w:color w:val="000000"/>
                <w:sz w:val="18"/>
                <w:szCs w:val="18"/>
              </w:rPr>
              <w:t>366,203.80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rFonts w:hint="eastAsia"/>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47,586,261.72</w:t>
            </w:r>
          </w:p>
        </w:tc>
        <w:tc>
          <w:tcPr>
            <w:tcW w:w="1301" w:type="dxa"/>
            <w:vAlign w:val="center"/>
          </w:tcPr>
          <w:p>
            <w:pPr>
              <w:spacing w:before="29" w:line="288" w:lineRule="auto"/>
              <w:jc w:val="right"/>
              <w:rPr>
                <w:color w:val="000000"/>
                <w:sz w:val="18"/>
                <w:szCs w:val="18"/>
              </w:rPr>
            </w:pPr>
            <w:r>
              <w:rPr>
                <w:rFonts w:hint="eastAsia"/>
                <w:color w:val="000000"/>
                <w:sz w:val="18"/>
                <w:szCs w:val="18"/>
              </w:rPr>
              <w:t>47,586,261.72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1,247,805,952.96</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2,559,023,266.09</w:t>
            </w:r>
          </w:p>
        </w:tc>
        <w:tc>
          <w:tcPr>
            <w:tcW w:w="1301" w:type="dxa"/>
            <w:vAlign w:val="center"/>
          </w:tcPr>
          <w:p>
            <w:pPr>
              <w:spacing w:before="29" w:line="288" w:lineRule="auto"/>
              <w:jc w:val="right"/>
              <w:rPr>
                <w:color w:val="000000"/>
                <w:sz w:val="18"/>
                <w:szCs w:val="18"/>
              </w:rPr>
            </w:pPr>
            <w:r>
              <w:rPr>
                <w:color w:val="000000"/>
                <w:sz w:val="18"/>
                <w:szCs w:val="18"/>
              </w:rPr>
              <w:t>3,806,829,219.05</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5" w:name="_Toc67591830"/>
      <w:r>
        <w:rPr>
          <w:rFonts w:ascii="Times New Roman" w:hAnsi="Times New Roman"/>
          <w:kern w:val="0"/>
          <w:szCs w:val="24"/>
        </w:rPr>
        <w:t>7.4.13.4.1.2</w:t>
      </w:r>
      <w:r>
        <w:rPr>
          <w:rFonts w:hint="eastAsia" w:ascii="Times New Roman" w:hAnsi="Times New Roman"/>
          <w:kern w:val="0"/>
          <w:szCs w:val="24"/>
        </w:rPr>
        <w:t>利率风险的敏感性分析</w:t>
      </w:r>
      <w:bookmarkEnd w:id="195"/>
    </w:p>
    <w:p>
      <w:pPr>
        <w:tabs>
          <w:tab w:val="left" w:pos="426"/>
        </w:tabs>
        <w:spacing w:before="29" w:line="288" w:lineRule="auto"/>
        <w:jc w:val="left"/>
        <w:rPr>
          <w:kern w:val="0"/>
          <w:sz w:val="24"/>
        </w:rPr>
      </w:pPr>
      <w:r>
        <w:rPr>
          <w:kern w:val="0"/>
          <w:sz w:val="24"/>
        </w:rPr>
        <w:t xml:space="preserve">    于2020年12月31日，本基金持有的交易性债券投资公允价值占基金资产净值的比例为4.76%（2019年12月31日：5.00%），因此市场利率的变动对于本基金资产净值无重大影响（2019年12月31日：同）。</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96" w:name="_Toc67591831"/>
      <w:r>
        <w:rPr>
          <w:rFonts w:ascii="Times New Roman" w:hAnsi="Times New Roman"/>
          <w:kern w:val="0"/>
          <w:szCs w:val="24"/>
        </w:rPr>
        <w:t>7.4.13.4.2</w:t>
      </w:r>
      <w:r>
        <w:rPr>
          <w:rFonts w:hint="eastAsia" w:ascii="Times New Roman" w:hAnsi="Times New Roman"/>
          <w:kern w:val="0"/>
          <w:szCs w:val="24"/>
        </w:rPr>
        <w:t>外汇风险</w:t>
      </w:r>
      <w:bookmarkEnd w:id="196"/>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97" w:name="_Toc67591832"/>
      <w:r>
        <w:rPr>
          <w:rFonts w:ascii="Times New Roman" w:hAnsi="Times New Roman"/>
          <w:kern w:val="0"/>
          <w:szCs w:val="24"/>
        </w:rPr>
        <w:t>7.4.13.4.3</w:t>
      </w:r>
      <w:r>
        <w:rPr>
          <w:rFonts w:hint="eastAsia" w:ascii="Times New Roman" w:hAnsi="Times New Roman"/>
          <w:kern w:val="0"/>
          <w:szCs w:val="24"/>
        </w:rPr>
        <w:t>其他价格风险</w:t>
      </w:r>
      <w:bookmarkEnd w:id="197"/>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采用“自上而下”的多因素分析决策支持系统，结合定性分析和定量分析，形成对不同市场的预测和判断，确定基金资产在股票、债券及货币市场工具等类别资产间的分配比例，并随着各类证券风险收益特征的相对变化，动态调整股票资产、债券资产和货币市场工具的比例，以规避或控制市场风险，提高基金收益率。</w:t>
      </w:r>
    </w:p>
    <w:p>
      <w:pPr>
        <w:spacing w:before="29" w:line="288" w:lineRule="auto"/>
        <w:ind w:firstLine="480" w:firstLineChars="200"/>
        <w:rPr>
          <w:color w:val="000000"/>
          <w:sz w:val="24"/>
        </w:rPr>
      </w:pPr>
      <w:r>
        <w:rPr>
          <w:color w:val="000000"/>
          <w:sz w:val="24"/>
        </w:rPr>
        <w:t>本基金通过投资组合的分散化降低其他价格风险。本基金投资组合中股票资产（含存托凭证）占基金资产的30%-80%；债券、货币市场工具、权证、资产支持证券以及法律法规或中国证监会允许基金投资的其他证券品种占基金资产的20%-70%，其中基金保留的现金以及投资于到期日在一年以内的政府债券的比例合计不低于基金资产净值的5%，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98" w:name="_Toc67591833"/>
      <w:r>
        <w:rPr>
          <w:rFonts w:ascii="Times New Roman" w:hAnsi="Times New Roman"/>
          <w:kern w:val="0"/>
          <w:szCs w:val="24"/>
        </w:rPr>
        <w:t>7.4.13.4.3.1</w:t>
      </w:r>
      <w:r>
        <w:rPr>
          <w:rFonts w:hint="eastAsia" w:ascii="Times New Roman" w:hAnsi="Times New Roman"/>
          <w:kern w:val="0"/>
          <w:szCs w:val="24"/>
        </w:rPr>
        <w:t>其他价格风险敞口</w:t>
      </w:r>
      <w:bookmarkEnd w:id="198"/>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ind w:right="113"/>
              <w:jc w:val="center"/>
              <w:rPr>
                <w:color w:val="000000"/>
                <w:sz w:val="24"/>
              </w:rPr>
            </w:pPr>
            <w:r>
              <w:rPr>
                <w:rFonts w:hint="eastAsia"/>
                <w:color w:val="000000"/>
                <w:sz w:val="24"/>
              </w:rPr>
              <w:t>公允价值</w:t>
            </w:r>
          </w:p>
        </w:tc>
        <w:tc>
          <w:tcPr>
            <w:tcW w:w="1062"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kern w:val="0"/>
                <w:sz w:val="24"/>
              </w:rPr>
            </w:pPr>
            <w:r>
              <w:rPr>
                <w:kern w:val="0"/>
                <w:sz w:val="24"/>
              </w:rPr>
              <w:t>5,284,849,104.86</w:t>
            </w:r>
          </w:p>
        </w:tc>
        <w:tc>
          <w:tcPr>
            <w:tcW w:w="1097" w:type="dxa"/>
            <w:vAlign w:val="center"/>
          </w:tcPr>
          <w:p>
            <w:pPr>
              <w:spacing w:before="29" w:line="288" w:lineRule="auto"/>
              <w:jc w:val="right"/>
              <w:rPr>
                <w:kern w:val="0"/>
                <w:sz w:val="24"/>
              </w:rPr>
            </w:pPr>
            <w:r>
              <w:rPr>
                <w:kern w:val="0"/>
                <w:sz w:val="24"/>
              </w:rPr>
              <w:t>78.72</w:t>
            </w:r>
          </w:p>
        </w:tc>
        <w:tc>
          <w:tcPr>
            <w:tcW w:w="1879" w:type="dxa"/>
            <w:vAlign w:val="center"/>
          </w:tcPr>
          <w:p>
            <w:pPr>
              <w:spacing w:before="29" w:line="288" w:lineRule="auto"/>
              <w:jc w:val="right"/>
              <w:rPr>
                <w:kern w:val="0"/>
                <w:sz w:val="24"/>
              </w:rPr>
            </w:pPr>
            <w:r>
              <w:rPr>
                <w:kern w:val="0"/>
                <w:sz w:val="24"/>
              </w:rPr>
              <w:t>2,539,873,916.70</w:t>
            </w:r>
          </w:p>
        </w:tc>
        <w:tc>
          <w:tcPr>
            <w:tcW w:w="1062" w:type="dxa"/>
            <w:vAlign w:val="center"/>
          </w:tcPr>
          <w:p>
            <w:pPr>
              <w:spacing w:before="29" w:line="288" w:lineRule="auto"/>
              <w:jc w:val="right"/>
              <w:rPr>
                <w:kern w:val="0"/>
                <w:sz w:val="24"/>
              </w:rPr>
            </w:pPr>
            <w:r>
              <w:rPr>
                <w:kern w:val="0"/>
                <w:sz w:val="24"/>
              </w:rPr>
              <w:t>66.72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pPr>
              <w:spacing w:before="29" w:line="288" w:lineRule="auto"/>
              <w:jc w:val="right"/>
              <w:rPr>
                <w:kern w:val="0"/>
                <w:sz w:val="24"/>
              </w:rPr>
            </w:pPr>
            <w:r>
              <w:rPr>
                <w:rFonts w:hint="eastAsia"/>
                <w:kern w:val="0"/>
                <w:sz w:val="24"/>
              </w:rPr>
              <w:t>-</w:t>
            </w:r>
          </w:p>
        </w:tc>
        <w:tc>
          <w:tcPr>
            <w:tcW w:w="1097" w:type="dxa"/>
            <w:vAlign w:val="center"/>
          </w:tcPr>
          <w:p>
            <w:pPr>
              <w:spacing w:before="29" w:line="288" w:lineRule="auto"/>
              <w:jc w:val="right"/>
              <w:rPr>
                <w:kern w:val="0"/>
                <w:sz w:val="24"/>
              </w:rPr>
            </w:pPr>
            <w:r>
              <w:rPr>
                <w:rFonts w:hint="eastAsia"/>
                <w:kern w:val="0"/>
                <w:sz w:val="24"/>
              </w:rPr>
              <w:t>-</w:t>
            </w:r>
          </w:p>
        </w:tc>
        <w:tc>
          <w:tcPr>
            <w:tcW w:w="1879" w:type="dxa"/>
            <w:vAlign w:val="center"/>
          </w:tcPr>
          <w:p>
            <w:pPr>
              <w:spacing w:before="29" w:line="288" w:lineRule="auto"/>
              <w:jc w:val="right"/>
              <w:rPr>
                <w:kern w:val="0"/>
                <w:sz w:val="24"/>
              </w:rPr>
            </w:pPr>
            <w:r>
              <w:rPr>
                <w:rFonts w:hint="eastAsia"/>
                <w:kern w:val="0"/>
                <w:sz w:val="24"/>
              </w:rPr>
              <w:t>-</w:t>
            </w:r>
          </w:p>
        </w:tc>
        <w:tc>
          <w:tcPr>
            <w:tcW w:w="1062"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vAlign w:val="center"/>
          </w:tcPr>
          <w:p>
            <w:pPr>
              <w:spacing w:before="29" w:line="288" w:lineRule="auto"/>
              <w:jc w:val="right"/>
              <w:rPr>
                <w:kern w:val="0"/>
                <w:sz w:val="24"/>
              </w:rPr>
            </w:pPr>
            <w:r>
              <w:rPr>
                <w:kern w:val="0"/>
                <w:sz w:val="24"/>
              </w:rPr>
              <w:t>5,284,849,104.86</w:t>
            </w:r>
          </w:p>
        </w:tc>
        <w:tc>
          <w:tcPr>
            <w:tcW w:w="1097" w:type="dxa"/>
            <w:vAlign w:val="center"/>
          </w:tcPr>
          <w:p>
            <w:pPr>
              <w:spacing w:before="29" w:line="288" w:lineRule="auto"/>
              <w:jc w:val="right"/>
              <w:rPr>
                <w:kern w:val="0"/>
                <w:sz w:val="24"/>
              </w:rPr>
            </w:pPr>
            <w:r>
              <w:rPr>
                <w:kern w:val="0"/>
                <w:sz w:val="24"/>
              </w:rPr>
              <w:t>78.72</w:t>
            </w:r>
          </w:p>
        </w:tc>
        <w:tc>
          <w:tcPr>
            <w:tcW w:w="1879" w:type="dxa"/>
            <w:vAlign w:val="center"/>
          </w:tcPr>
          <w:p>
            <w:pPr>
              <w:spacing w:before="29" w:line="288" w:lineRule="auto"/>
              <w:jc w:val="right"/>
              <w:rPr>
                <w:kern w:val="0"/>
                <w:sz w:val="24"/>
              </w:rPr>
            </w:pPr>
            <w:r>
              <w:rPr>
                <w:kern w:val="0"/>
                <w:sz w:val="24"/>
              </w:rPr>
              <w:t>2,539,873,916.70</w:t>
            </w:r>
          </w:p>
        </w:tc>
        <w:tc>
          <w:tcPr>
            <w:tcW w:w="1062" w:type="dxa"/>
            <w:vAlign w:val="center"/>
          </w:tcPr>
          <w:p>
            <w:pPr>
              <w:spacing w:before="29" w:line="288" w:lineRule="auto"/>
              <w:jc w:val="right"/>
              <w:rPr>
                <w:kern w:val="0"/>
                <w:sz w:val="24"/>
              </w:rPr>
            </w:pPr>
            <w:r>
              <w:rPr>
                <w:kern w:val="0"/>
                <w:sz w:val="24"/>
              </w:rPr>
              <w:t>66.72</w:t>
            </w:r>
          </w:p>
        </w:tc>
      </w:tr>
    </w:tbl>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9" w:name="_Toc67591834"/>
      <w:r>
        <w:rPr>
          <w:rFonts w:ascii="Times New Roman" w:hAnsi="Times New Roman"/>
          <w:kern w:val="0"/>
          <w:szCs w:val="24"/>
        </w:rPr>
        <w:t>7.4.13.4.3.2</w:t>
      </w:r>
      <w:r>
        <w:rPr>
          <w:rFonts w:hint="eastAsia" w:ascii="Times New Roman" w:hAnsi="Times New Roman"/>
          <w:kern w:val="0"/>
          <w:szCs w:val="24"/>
        </w:rPr>
        <w:t>其他价格风险的敏感性分析</w:t>
      </w:r>
      <w:bookmarkEnd w:id="199"/>
    </w:p>
    <w:tbl>
      <w:tblPr>
        <w:tblStyle w:val="31"/>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1.业绩比较基准（附注7.4.1）上涨5%</w:t>
            </w:r>
          </w:p>
        </w:tc>
        <w:tc>
          <w:tcPr>
            <w:tcW w:w="2126" w:type="dxa"/>
            <w:vAlign w:val="center"/>
          </w:tcPr>
          <w:p>
            <w:pPr>
              <w:jc w:val="right"/>
            </w:pPr>
            <w:r>
              <w:rPr>
                <w:color w:val="000000"/>
                <w:sz w:val="24"/>
              </w:rPr>
              <w:t>增加约40,371</w:t>
            </w:r>
          </w:p>
        </w:tc>
        <w:tc>
          <w:tcPr>
            <w:tcW w:w="2126" w:type="dxa"/>
            <w:vAlign w:val="center"/>
          </w:tcPr>
          <w:p>
            <w:pPr>
              <w:jc w:val="right"/>
            </w:pPr>
            <w:r>
              <w:rPr>
                <w:color w:val="000000"/>
                <w:sz w:val="24"/>
              </w:rPr>
              <w:t>增加约25,065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2.业绩比较基准（附注7.4.1）下降5%</w:t>
            </w:r>
          </w:p>
        </w:tc>
        <w:tc>
          <w:tcPr>
            <w:tcW w:w="2126" w:type="dxa"/>
            <w:vAlign w:val="center"/>
          </w:tcPr>
          <w:p>
            <w:pPr>
              <w:jc w:val="right"/>
            </w:pPr>
            <w:r>
              <w:rPr>
                <w:color w:val="000000"/>
                <w:sz w:val="24"/>
              </w:rPr>
              <w:t>减少约40,371</w:t>
            </w:r>
          </w:p>
        </w:tc>
        <w:tc>
          <w:tcPr>
            <w:tcW w:w="2126" w:type="dxa"/>
            <w:vAlign w:val="center"/>
          </w:tcPr>
          <w:p>
            <w:pPr>
              <w:jc w:val="right"/>
            </w:pPr>
            <w:r>
              <w:rPr>
                <w:color w:val="000000"/>
                <w:sz w:val="24"/>
              </w:rPr>
              <w:t>减少约25,065</w:t>
            </w:r>
          </w:p>
        </w:tc>
      </w:tr>
    </w:tbl>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pStyle w:val="3"/>
        <w:spacing w:before="29" w:after="0" w:line="288" w:lineRule="auto"/>
        <w:rPr>
          <w:rFonts w:ascii="Times New Roman" w:hAnsi="Times New Roman"/>
          <w:kern w:val="0"/>
          <w:szCs w:val="24"/>
        </w:rPr>
      </w:pPr>
      <w:bookmarkStart w:id="200" w:name="_Toc67591835"/>
      <w:r>
        <w:rPr>
          <w:rFonts w:ascii="Times New Roman" w:hAnsi="Times New Roman"/>
          <w:kern w:val="0"/>
          <w:szCs w:val="24"/>
        </w:rPr>
        <w:t>7.4.14</w:t>
      </w:r>
      <w:r>
        <w:rPr>
          <w:rFonts w:hint="eastAsia" w:ascii="Times New Roman" w:hAnsi="Times New Roman"/>
          <w:kern w:val="0"/>
          <w:szCs w:val="24"/>
        </w:rPr>
        <w:t>有助于理解和分析会计报表需要说明的其他事项</w:t>
      </w:r>
      <w:bookmarkEnd w:id="200"/>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rPr>
          <w:color w:val="000000"/>
          <w:sz w:val="24"/>
        </w:rPr>
      </w:pPr>
      <w:r>
        <w:rPr>
          <w:color w:val="000000"/>
          <w:sz w:val="24"/>
        </w:rPr>
        <w:t>(a)  金融工具公允价值计量的方法</w:t>
      </w:r>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rPr>
          <w:color w:val="000000"/>
          <w:sz w:val="24"/>
        </w:rPr>
      </w:pPr>
      <w:r>
        <w:rPr>
          <w:color w:val="000000"/>
          <w:sz w:val="24"/>
        </w:rPr>
        <w:t>(b)  持续的以公允价值计量的金融工具</w:t>
      </w:r>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5,078,271,057.74元，属于第二层次的余额为526,224,047.12元，无属于第三层次的余额(2019年12月31日：第一层次2,464,242,626.57元，第二层次265,914,290.13元，无第三层次)。</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rPr>
          <w:color w:val="000000"/>
          <w:sz w:val="24"/>
        </w:rPr>
      </w:pPr>
      <w:r>
        <w:rPr>
          <w:color w:val="000000"/>
          <w:sz w:val="24"/>
        </w:rPr>
        <w:t>(c)  非持续的以公允价值计量的金融工具</w:t>
      </w:r>
    </w:p>
    <w:p>
      <w:pPr>
        <w:spacing w:before="29" w:line="288" w:lineRule="auto"/>
        <w:ind w:firstLine="480" w:firstLineChars="200"/>
        <w:rPr>
          <w:color w:val="000000"/>
          <w:sz w:val="24"/>
        </w:rPr>
      </w:pPr>
      <w:r>
        <w:rPr>
          <w:color w:val="000000"/>
          <w:sz w:val="24"/>
        </w:rPr>
        <w:t>于2020年12月31日，本基金未持有非持续的以公允价值计量的金融资产(2019年12月31日：同)。</w:t>
      </w:r>
    </w:p>
    <w:p>
      <w:pPr>
        <w:spacing w:before="29" w:line="288" w:lineRule="auto"/>
        <w:ind w:firstLine="480" w:firstLineChars="200"/>
        <w:rPr>
          <w:color w:val="000000"/>
          <w:sz w:val="24"/>
        </w:rPr>
      </w:pPr>
      <w:r>
        <w:rPr>
          <w:color w:val="000000"/>
          <w:sz w:val="24"/>
        </w:rPr>
        <w:t>(d)  不以公允价值计量的金融工具</w:t>
      </w:r>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201" w:name="_Toc225498272"/>
      <w:bookmarkStart w:id="202" w:name="_Toc361324877"/>
      <w:bookmarkStart w:id="203" w:name="_Toc67591836"/>
      <w:r>
        <w:rPr>
          <w:rFonts w:hint="eastAsia"/>
          <w:b/>
          <w:color w:val="000000"/>
          <w:szCs w:val="24"/>
        </w:rPr>
        <w:t>§</w:t>
      </w:r>
      <w:r>
        <w:rPr>
          <w:b/>
          <w:color w:val="000000"/>
          <w:szCs w:val="24"/>
        </w:rPr>
        <w:t>8</w:t>
      </w:r>
      <w:r>
        <w:rPr>
          <w:rFonts w:hint="eastAsia"/>
          <w:b/>
          <w:color w:val="000000"/>
          <w:szCs w:val="24"/>
        </w:rPr>
        <w:t>投资组合报告</w:t>
      </w:r>
      <w:bookmarkEnd w:id="201"/>
      <w:bookmarkEnd w:id="202"/>
      <w:bookmarkEnd w:id="203"/>
    </w:p>
    <w:p>
      <w:pPr>
        <w:pStyle w:val="3"/>
        <w:spacing w:before="0" w:after="0"/>
        <w:rPr>
          <w:rFonts w:ascii="Times New Roman" w:hAnsi="Times New Roman" w:eastAsiaTheme="minorEastAsia"/>
          <w:color w:val="000000" w:themeColor="text1"/>
          <w:kern w:val="0"/>
          <w:szCs w:val="24"/>
        </w:rPr>
      </w:pPr>
      <w:bookmarkStart w:id="204" w:name="_Toc225498273"/>
      <w:bookmarkStart w:id="205" w:name="_Toc361324878"/>
      <w:bookmarkStart w:id="206" w:name="_Toc374374955"/>
      <w:bookmarkStart w:id="207" w:name="_Toc67591837"/>
      <w:r>
        <w:rPr>
          <w:rFonts w:ascii="Times New Roman" w:hAnsi="Times New Roman" w:eastAsiaTheme="minorEastAsia"/>
          <w:bCs w:val="0"/>
          <w:color w:val="000000" w:themeColor="text1"/>
          <w:kern w:val="0"/>
          <w:szCs w:val="24"/>
        </w:rPr>
        <w:t xml:space="preserve">8.1 </w:t>
      </w:r>
      <w:r>
        <w:rPr>
          <w:rFonts w:ascii="Times New Roman" w:hAnsi="Times New Roman" w:eastAsiaTheme="minorEastAsia"/>
          <w:color w:val="000000" w:themeColor="text1"/>
          <w:kern w:val="0"/>
          <w:szCs w:val="24"/>
        </w:rPr>
        <w:t>期末基金资产组合情况</w:t>
      </w:r>
      <w:bookmarkEnd w:id="204"/>
      <w:bookmarkEnd w:id="205"/>
      <w:bookmarkEnd w:id="206"/>
      <w:bookmarkEnd w:id="207"/>
    </w:p>
    <w:p>
      <w:pPr>
        <w:autoSpaceDE w:val="0"/>
        <w:autoSpaceDN w:val="0"/>
        <w:adjustRightInd w:val="0"/>
        <w:spacing w:before="29" w:line="360" w:lineRule="auto"/>
        <w:ind w:left="15"/>
        <w:jc w:val="right"/>
        <w:rPr>
          <w:rFonts w:eastAsiaTheme="minorEastAsia"/>
          <w:color w:val="000000" w:themeColor="text1"/>
          <w:kern w:val="0"/>
          <w:sz w:val="24"/>
        </w:rPr>
      </w:pPr>
      <w:r>
        <w:rPr>
          <w:rFonts w:eastAsiaTheme="minorEastAsia"/>
          <w:color w:val="000000" w:themeColor="text1"/>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序号</w:t>
            </w:r>
          </w:p>
        </w:tc>
        <w:tc>
          <w:tcPr>
            <w:tcW w:w="2748"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项目</w:t>
            </w:r>
          </w:p>
        </w:tc>
        <w:tc>
          <w:tcPr>
            <w:tcW w:w="2551"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金额</w:t>
            </w:r>
          </w:p>
        </w:tc>
        <w:tc>
          <w:tcPr>
            <w:tcW w:w="2621"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1</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权益投资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5,284,849,104.86</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77.65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其中：股票</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5,284,849,104.86</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77.65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2</w:t>
            </w:r>
          </w:p>
        </w:tc>
        <w:tc>
          <w:tcPr>
            <w:tcW w:w="2748" w:type="dxa"/>
            <w:vAlign w:val="center"/>
          </w:tcPr>
          <w:p>
            <w:pPr>
              <w:spacing w:line="276" w:lineRule="auto"/>
              <w:ind w:left="105" w:leftChars="50"/>
              <w:rPr>
                <w:rFonts w:eastAsiaTheme="minorEastAsia"/>
                <w:color w:val="000000" w:themeColor="text1"/>
                <w:sz w:val="24"/>
              </w:rPr>
            </w:pPr>
            <w:r>
              <w:rPr>
                <w:rFonts w:hint="eastAsia" w:eastAsiaTheme="minorEastAsia"/>
                <w:color w:val="000000" w:themeColor="text1"/>
                <w:sz w:val="24"/>
              </w:rPr>
              <w:t>基金投资</w:t>
            </w:r>
          </w:p>
        </w:tc>
        <w:tc>
          <w:tcPr>
            <w:tcW w:w="2551" w:type="dxa"/>
            <w:vAlign w:val="center"/>
          </w:tcPr>
          <w:p>
            <w:pPr>
              <w:spacing w:before="29" w:line="276" w:lineRule="auto"/>
              <w:ind w:left="17"/>
              <w:jc w:val="right"/>
              <w:rPr>
                <w:rFonts w:eastAsiaTheme="minorEastAsia"/>
                <w:color w:val="000000" w:themeColor="text1"/>
                <w:sz w:val="24"/>
              </w:rPr>
            </w:pPr>
            <w:r>
              <w:rPr>
                <w:rFonts w:hint="eastAsia"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3</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固定收益投资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319,646,000.00</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4.70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其中：债券</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319,646,000.00</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4.70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firstLine="720" w:firstLineChars="300"/>
              <w:rPr>
                <w:rFonts w:eastAsiaTheme="minorEastAsia"/>
                <w:color w:val="000000" w:themeColor="text1"/>
                <w:sz w:val="24"/>
              </w:rPr>
            </w:pPr>
            <w:r>
              <w:rPr>
                <w:rFonts w:eastAsiaTheme="minorEastAsia"/>
                <w:color w:val="000000" w:themeColor="text1"/>
                <w:sz w:val="24"/>
              </w:rPr>
              <w:t>资产支持证券</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4</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贵金属投资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5</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金融衍生品投资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6</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买入返售金融资产</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7</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银行存款和结算备付金合计</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1,141,076,286.03</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16.77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 w:val="24"/>
              </w:rPr>
            </w:pPr>
            <w:r>
              <w:rPr>
                <w:rFonts w:eastAsiaTheme="minorEastAsia"/>
                <w:color w:val="000000" w:themeColor="text1"/>
                <w:sz w:val="24"/>
              </w:rPr>
              <w:t>8</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其他各项资产</w:t>
            </w:r>
          </w:p>
        </w:tc>
        <w:tc>
          <w:tcPr>
            <w:tcW w:w="255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60,453,622.90</w:t>
            </w:r>
          </w:p>
        </w:tc>
        <w:tc>
          <w:tcPr>
            <w:tcW w:w="262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0.89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 w:val="24"/>
              </w:rPr>
            </w:pPr>
            <w:r>
              <w:rPr>
                <w:rFonts w:eastAsiaTheme="minorEastAsia"/>
                <w:color w:val="000000" w:themeColor="text1"/>
                <w:sz w:val="24"/>
              </w:rPr>
              <w:t>9</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合计</w:t>
            </w:r>
          </w:p>
        </w:tc>
        <w:tc>
          <w:tcPr>
            <w:tcW w:w="255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6,806,025,013.79</w:t>
            </w:r>
          </w:p>
        </w:tc>
        <w:tc>
          <w:tcPr>
            <w:tcW w:w="262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8" w:name="_Toc225498274"/>
      <w:bookmarkStart w:id="209" w:name="_Toc361324879"/>
      <w:bookmarkStart w:id="210" w:name="_Toc67591838"/>
      <w:r>
        <w:rPr>
          <w:rFonts w:ascii="Times New Roman" w:hAnsi="Times New Roman"/>
          <w:kern w:val="0"/>
          <w:szCs w:val="24"/>
        </w:rPr>
        <w:t>8.2</w:t>
      </w:r>
      <w:r>
        <w:rPr>
          <w:rFonts w:hint="eastAsia" w:ascii="Times New Roman" w:hAnsi="Times New Roman"/>
          <w:kern w:val="0"/>
          <w:szCs w:val="24"/>
        </w:rPr>
        <w:t>期末按行业分类的股票投资组合</w:t>
      </w:r>
      <w:bookmarkEnd w:id="208"/>
      <w:bookmarkEnd w:id="209"/>
      <w:bookmarkEnd w:id="210"/>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3,059,383,674.09</w:t>
            </w:r>
          </w:p>
        </w:tc>
        <w:tc>
          <w:tcPr>
            <w:tcW w:w="1701" w:type="dxa"/>
            <w:vAlign w:val="center"/>
          </w:tcPr>
          <w:p>
            <w:pPr>
              <w:spacing w:before="29" w:line="288" w:lineRule="auto"/>
              <w:jc w:val="right"/>
              <w:rPr>
                <w:color w:val="000000"/>
                <w:kern w:val="0"/>
                <w:sz w:val="24"/>
              </w:rPr>
            </w:pPr>
            <w:r>
              <w:rPr>
                <w:color w:val="000000"/>
                <w:kern w:val="0"/>
                <w:sz w:val="24"/>
              </w:rPr>
              <w:t>45.57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28,316,939.72</w:t>
            </w:r>
          </w:p>
        </w:tc>
        <w:tc>
          <w:tcPr>
            <w:tcW w:w="1701" w:type="dxa"/>
            <w:vAlign w:val="center"/>
          </w:tcPr>
          <w:p>
            <w:pPr>
              <w:spacing w:before="29" w:line="288" w:lineRule="auto"/>
              <w:jc w:val="right"/>
              <w:rPr>
                <w:color w:val="000000"/>
                <w:kern w:val="0"/>
                <w:sz w:val="24"/>
              </w:rPr>
            </w:pPr>
            <w:r>
              <w:rPr>
                <w:color w:val="000000"/>
                <w:kern w:val="0"/>
                <w:sz w:val="24"/>
              </w:rPr>
              <w:t>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298,331,324.23</w:t>
            </w:r>
          </w:p>
        </w:tc>
        <w:tc>
          <w:tcPr>
            <w:tcW w:w="1701" w:type="dxa"/>
            <w:vAlign w:val="center"/>
          </w:tcPr>
          <w:p>
            <w:pPr>
              <w:spacing w:before="29" w:line="288" w:lineRule="auto"/>
              <w:jc w:val="right"/>
              <w:rPr>
                <w:color w:val="000000"/>
                <w:kern w:val="0"/>
                <w:sz w:val="24"/>
              </w:rPr>
            </w:pPr>
            <w:r>
              <w:rPr>
                <w:color w:val="000000"/>
                <w:kern w:val="0"/>
                <w:sz w:val="24"/>
              </w:rPr>
              <w:t>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531,411,720.57</w:t>
            </w:r>
          </w:p>
        </w:tc>
        <w:tc>
          <w:tcPr>
            <w:tcW w:w="1701" w:type="dxa"/>
            <w:vAlign w:val="center"/>
          </w:tcPr>
          <w:p>
            <w:pPr>
              <w:spacing w:before="29" w:line="288" w:lineRule="auto"/>
              <w:jc w:val="right"/>
              <w:rPr>
                <w:color w:val="000000"/>
                <w:kern w:val="0"/>
                <w:sz w:val="24"/>
              </w:rPr>
            </w:pPr>
            <w:r>
              <w:rPr>
                <w:color w:val="000000"/>
                <w:kern w:val="0"/>
                <w:sz w:val="24"/>
              </w:rPr>
              <w:t>7.92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151,844,085.60</w:t>
            </w:r>
          </w:p>
        </w:tc>
        <w:tc>
          <w:tcPr>
            <w:tcW w:w="1701" w:type="dxa"/>
            <w:vAlign w:val="center"/>
          </w:tcPr>
          <w:p>
            <w:pPr>
              <w:spacing w:before="29" w:line="288" w:lineRule="auto"/>
              <w:jc w:val="right"/>
              <w:rPr>
                <w:color w:val="000000"/>
                <w:kern w:val="0"/>
                <w:sz w:val="24"/>
              </w:rPr>
            </w:pPr>
            <w:r>
              <w:rPr>
                <w:color w:val="000000"/>
                <w:kern w:val="0"/>
                <w:sz w:val="24"/>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1,178,335,443.26</w:t>
            </w:r>
          </w:p>
        </w:tc>
        <w:tc>
          <w:tcPr>
            <w:tcW w:w="1701" w:type="dxa"/>
            <w:vAlign w:val="center"/>
          </w:tcPr>
          <w:p>
            <w:pPr>
              <w:spacing w:before="29" w:line="288" w:lineRule="auto"/>
              <w:jc w:val="right"/>
              <w:rPr>
                <w:color w:val="000000"/>
                <w:kern w:val="0"/>
                <w:sz w:val="24"/>
              </w:rPr>
            </w:pPr>
            <w:r>
              <w:rPr>
                <w:color w:val="000000"/>
                <w:kern w:val="0"/>
                <w:sz w:val="24"/>
              </w:rPr>
              <w:t>17.55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15,649.20</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221,115.70</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36,989,152.49</w:t>
            </w:r>
          </w:p>
        </w:tc>
        <w:tc>
          <w:tcPr>
            <w:tcW w:w="1701" w:type="dxa"/>
            <w:vAlign w:val="center"/>
          </w:tcPr>
          <w:p>
            <w:pPr>
              <w:spacing w:before="29" w:line="288" w:lineRule="auto"/>
              <w:jc w:val="right"/>
              <w:rPr>
                <w:color w:val="000000"/>
                <w:kern w:val="0"/>
                <w:sz w:val="24"/>
              </w:rPr>
            </w:pPr>
            <w:r>
              <w:rPr>
                <w:color w:val="000000"/>
                <w:kern w:val="0"/>
                <w:sz w:val="24"/>
              </w:rPr>
              <w:t>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5,284,849,104.86</w:t>
            </w:r>
          </w:p>
        </w:tc>
        <w:tc>
          <w:tcPr>
            <w:tcW w:w="1701" w:type="dxa"/>
            <w:vAlign w:val="center"/>
          </w:tcPr>
          <w:p>
            <w:pPr>
              <w:spacing w:before="29" w:line="288" w:lineRule="auto"/>
              <w:jc w:val="right"/>
              <w:rPr>
                <w:color w:val="000000"/>
                <w:kern w:val="0"/>
                <w:sz w:val="24"/>
              </w:rPr>
            </w:pPr>
            <w:r>
              <w:rPr>
                <w:color w:val="000000"/>
                <w:kern w:val="0"/>
                <w:sz w:val="24"/>
              </w:rPr>
              <w:t>78.72</w:t>
            </w:r>
          </w:p>
        </w:tc>
      </w:tr>
    </w:tbl>
    <w:p>
      <w:pPr>
        <w:pStyle w:val="4"/>
      </w:pPr>
    </w:p>
    <w:p>
      <w:pPr>
        <w:tabs>
          <w:tab w:val="left" w:pos="426"/>
        </w:tabs>
        <w:spacing w:before="29" w:line="288" w:lineRule="auto"/>
        <w:jc w:val="left"/>
        <w:rPr>
          <w:rFonts w:asciiTheme="minorEastAsia" w:hAnsiTheme="minorEastAsia" w:eastAsiaTheme="minorEastAsia"/>
          <w:color w:val="000000"/>
          <w:szCs w:val="21"/>
        </w:rPr>
      </w:pP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1" w:name="_Toc361324881"/>
      <w:bookmarkStart w:id="212" w:name="_Toc67591839"/>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211"/>
      <w:bookmarkEnd w:id="212"/>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002050</w:t>
            </w:r>
          </w:p>
        </w:tc>
        <w:tc>
          <w:tcPr>
            <w:tcW w:w="1701" w:type="dxa"/>
            <w:vAlign w:val="center"/>
          </w:tcPr>
          <w:p>
            <w:pPr>
              <w:jc w:val="center"/>
            </w:pPr>
            <w:r>
              <w:rPr>
                <w:color w:val="000000"/>
                <w:sz w:val="24"/>
              </w:rPr>
              <w:t>三花智控</w:t>
            </w:r>
          </w:p>
        </w:tc>
        <w:tc>
          <w:tcPr>
            <w:tcW w:w="1559" w:type="dxa"/>
            <w:vAlign w:val="center"/>
          </w:tcPr>
          <w:p>
            <w:pPr>
              <w:jc w:val="right"/>
            </w:pPr>
            <w:r>
              <w:rPr>
                <w:color w:val="000000"/>
                <w:sz w:val="24"/>
              </w:rPr>
              <w:t>22,846,399</w:t>
            </w:r>
          </w:p>
        </w:tc>
        <w:tc>
          <w:tcPr>
            <w:tcW w:w="1932" w:type="dxa"/>
            <w:vAlign w:val="center"/>
          </w:tcPr>
          <w:p>
            <w:pPr>
              <w:jc w:val="right"/>
            </w:pPr>
            <w:r>
              <w:rPr>
                <w:color w:val="000000"/>
                <w:sz w:val="24"/>
              </w:rPr>
              <w:t>563,163,735.35</w:t>
            </w:r>
          </w:p>
        </w:tc>
        <w:tc>
          <w:tcPr>
            <w:tcW w:w="1612" w:type="dxa"/>
            <w:vAlign w:val="center"/>
          </w:tcPr>
          <w:p>
            <w:pPr>
              <w:jc w:val="right"/>
            </w:pPr>
            <w:r>
              <w:rPr>
                <w:color w:val="000000"/>
                <w:sz w:val="24"/>
              </w:rPr>
              <w:t>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000002</w:t>
            </w:r>
          </w:p>
        </w:tc>
        <w:tc>
          <w:tcPr>
            <w:tcW w:w="1701" w:type="dxa"/>
            <w:vAlign w:val="center"/>
          </w:tcPr>
          <w:p>
            <w:pPr>
              <w:jc w:val="center"/>
            </w:pPr>
            <w:r>
              <w:rPr>
                <w:color w:val="000000"/>
                <w:sz w:val="24"/>
              </w:rPr>
              <w:t>万科A</w:t>
            </w:r>
          </w:p>
        </w:tc>
        <w:tc>
          <w:tcPr>
            <w:tcW w:w="1559" w:type="dxa"/>
            <w:vAlign w:val="center"/>
          </w:tcPr>
          <w:p>
            <w:pPr>
              <w:jc w:val="right"/>
            </w:pPr>
            <w:r>
              <w:rPr>
                <w:color w:val="000000"/>
                <w:sz w:val="24"/>
              </w:rPr>
              <w:t>18,795,591</w:t>
            </w:r>
          </w:p>
        </w:tc>
        <w:tc>
          <w:tcPr>
            <w:tcW w:w="1932" w:type="dxa"/>
            <w:vAlign w:val="center"/>
          </w:tcPr>
          <w:p>
            <w:pPr>
              <w:jc w:val="right"/>
            </w:pPr>
            <w:r>
              <w:rPr>
                <w:color w:val="000000"/>
                <w:sz w:val="24"/>
              </w:rPr>
              <w:t>539,433,461.70</w:t>
            </w:r>
          </w:p>
        </w:tc>
        <w:tc>
          <w:tcPr>
            <w:tcW w:w="1612" w:type="dxa"/>
            <w:vAlign w:val="center"/>
          </w:tcPr>
          <w:p>
            <w:pPr>
              <w:jc w:val="right"/>
            </w:pPr>
            <w:r>
              <w:rPr>
                <w:color w:val="000000"/>
                <w:sz w:val="24"/>
              </w:rPr>
              <w:t>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002049</w:t>
            </w:r>
          </w:p>
        </w:tc>
        <w:tc>
          <w:tcPr>
            <w:tcW w:w="1701" w:type="dxa"/>
            <w:vAlign w:val="center"/>
          </w:tcPr>
          <w:p>
            <w:pPr>
              <w:jc w:val="center"/>
            </w:pPr>
            <w:r>
              <w:rPr>
                <w:color w:val="000000"/>
                <w:sz w:val="24"/>
              </w:rPr>
              <w:t>紫光国微</w:t>
            </w:r>
          </w:p>
        </w:tc>
        <w:tc>
          <w:tcPr>
            <w:tcW w:w="1559" w:type="dxa"/>
            <w:vAlign w:val="center"/>
          </w:tcPr>
          <w:p>
            <w:pPr>
              <w:jc w:val="right"/>
            </w:pPr>
            <w:r>
              <w:rPr>
                <w:color w:val="000000"/>
                <w:sz w:val="24"/>
              </w:rPr>
              <w:t>2,416,544</w:t>
            </w:r>
          </w:p>
        </w:tc>
        <w:tc>
          <w:tcPr>
            <w:tcW w:w="1932" w:type="dxa"/>
            <w:vAlign w:val="center"/>
          </w:tcPr>
          <w:p>
            <w:pPr>
              <w:jc w:val="right"/>
            </w:pPr>
            <w:r>
              <w:rPr>
                <w:color w:val="000000"/>
                <w:sz w:val="24"/>
              </w:rPr>
              <w:t>323,357,752.64</w:t>
            </w:r>
          </w:p>
        </w:tc>
        <w:tc>
          <w:tcPr>
            <w:tcW w:w="1612" w:type="dxa"/>
            <w:vAlign w:val="center"/>
          </w:tcPr>
          <w:p>
            <w:pPr>
              <w:jc w:val="right"/>
            </w:pPr>
            <w:r>
              <w:rPr>
                <w:color w:val="000000"/>
                <w:sz w:val="24"/>
              </w:rPr>
              <w:t>4.82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300271</w:t>
            </w:r>
          </w:p>
        </w:tc>
        <w:tc>
          <w:tcPr>
            <w:tcW w:w="1701" w:type="dxa"/>
            <w:vAlign w:val="center"/>
          </w:tcPr>
          <w:p>
            <w:pPr>
              <w:jc w:val="center"/>
            </w:pPr>
            <w:r>
              <w:rPr>
                <w:color w:val="000000"/>
                <w:sz w:val="24"/>
              </w:rPr>
              <w:t>华宇软件</w:t>
            </w:r>
          </w:p>
        </w:tc>
        <w:tc>
          <w:tcPr>
            <w:tcW w:w="1559" w:type="dxa"/>
            <w:vAlign w:val="center"/>
          </w:tcPr>
          <w:p>
            <w:pPr>
              <w:jc w:val="right"/>
            </w:pPr>
            <w:r>
              <w:rPr>
                <w:color w:val="000000"/>
                <w:sz w:val="24"/>
              </w:rPr>
              <w:t>12,532,927</w:t>
            </w:r>
          </w:p>
        </w:tc>
        <w:tc>
          <w:tcPr>
            <w:tcW w:w="1932" w:type="dxa"/>
            <w:vAlign w:val="center"/>
          </w:tcPr>
          <w:p>
            <w:pPr>
              <w:jc w:val="right"/>
            </w:pPr>
            <w:r>
              <w:rPr>
                <w:color w:val="000000"/>
                <w:sz w:val="24"/>
              </w:rPr>
              <w:t>299,160,967.49</w:t>
            </w:r>
          </w:p>
        </w:tc>
        <w:tc>
          <w:tcPr>
            <w:tcW w:w="1612" w:type="dxa"/>
            <w:vAlign w:val="center"/>
          </w:tcPr>
          <w:p>
            <w:pPr>
              <w:jc w:val="right"/>
            </w:pPr>
            <w:r>
              <w:rPr>
                <w:color w:val="000000"/>
                <w:sz w:val="24"/>
              </w:rPr>
              <w:t>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002352</w:t>
            </w:r>
          </w:p>
        </w:tc>
        <w:tc>
          <w:tcPr>
            <w:tcW w:w="1701" w:type="dxa"/>
            <w:vAlign w:val="center"/>
          </w:tcPr>
          <w:p>
            <w:pPr>
              <w:jc w:val="center"/>
            </w:pPr>
            <w:r>
              <w:rPr>
                <w:color w:val="000000"/>
                <w:sz w:val="24"/>
              </w:rPr>
              <w:t>顺丰控股</w:t>
            </w:r>
          </w:p>
        </w:tc>
        <w:tc>
          <w:tcPr>
            <w:tcW w:w="1559" w:type="dxa"/>
            <w:vAlign w:val="center"/>
          </w:tcPr>
          <w:p>
            <w:pPr>
              <w:jc w:val="right"/>
            </w:pPr>
            <w:r>
              <w:rPr>
                <w:color w:val="000000"/>
                <w:sz w:val="24"/>
              </w:rPr>
              <w:t>3,388,545</w:t>
            </w:r>
          </w:p>
        </w:tc>
        <w:tc>
          <w:tcPr>
            <w:tcW w:w="1932" w:type="dxa"/>
            <w:vAlign w:val="center"/>
          </w:tcPr>
          <w:p>
            <w:pPr>
              <w:jc w:val="right"/>
            </w:pPr>
            <w:r>
              <w:rPr>
                <w:color w:val="000000"/>
                <w:sz w:val="24"/>
              </w:rPr>
              <w:t>298,311,325.35</w:t>
            </w:r>
          </w:p>
        </w:tc>
        <w:tc>
          <w:tcPr>
            <w:tcW w:w="1612" w:type="dxa"/>
            <w:vAlign w:val="center"/>
          </w:tcPr>
          <w:p>
            <w:pPr>
              <w:jc w:val="right"/>
            </w:pPr>
            <w:r>
              <w:rPr>
                <w:color w:val="000000"/>
                <w:sz w:val="24"/>
              </w:rPr>
              <w:t>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000961</w:t>
            </w:r>
          </w:p>
        </w:tc>
        <w:tc>
          <w:tcPr>
            <w:tcW w:w="1701" w:type="dxa"/>
            <w:vAlign w:val="center"/>
          </w:tcPr>
          <w:p>
            <w:pPr>
              <w:jc w:val="center"/>
            </w:pPr>
            <w:r>
              <w:rPr>
                <w:color w:val="000000"/>
                <w:sz w:val="24"/>
              </w:rPr>
              <w:t>中南建设</w:t>
            </w:r>
          </w:p>
        </w:tc>
        <w:tc>
          <w:tcPr>
            <w:tcW w:w="1559" w:type="dxa"/>
            <w:vAlign w:val="center"/>
          </w:tcPr>
          <w:p>
            <w:pPr>
              <w:jc w:val="right"/>
            </w:pPr>
            <w:r>
              <w:rPr>
                <w:color w:val="000000"/>
                <w:sz w:val="24"/>
              </w:rPr>
              <w:t>33,169,926</w:t>
            </w:r>
          </w:p>
        </w:tc>
        <w:tc>
          <w:tcPr>
            <w:tcW w:w="1932" w:type="dxa"/>
            <w:vAlign w:val="center"/>
          </w:tcPr>
          <w:p>
            <w:pPr>
              <w:jc w:val="right"/>
            </w:pPr>
            <w:r>
              <w:rPr>
                <w:color w:val="000000"/>
                <w:sz w:val="24"/>
              </w:rPr>
              <w:t>292,890,446.58</w:t>
            </w:r>
          </w:p>
        </w:tc>
        <w:tc>
          <w:tcPr>
            <w:tcW w:w="1612" w:type="dxa"/>
            <w:vAlign w:val="center"/>
          </w:tcPr>
          <w:p>
            <w:pPr>
              <w:jc w:val="right"/>
            </w:pPr>
            <w:r>
              <w:rPr>
                <w:color w:val="000000"/>
                <w:sz w:val="24"/>
              </w:rPr>
              <w:t>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002831</w:t>
            </w:r>
          </w:p>
        </w:tc>
        <w:tc>
          <w:tcPr>
            <w:tcW w:w="1701" w:type="dxa"/>
            <w:vAlign w:val="center"/>
          </w:tcPr>
          <w:p>
            <w:pPr>
              <w:jc w:val="center"/>
            </w:pPr>
            <w:r>
              <w:rPr>
                <w:color w:val="000000"/>
                <w:sz w:val="24"/>
              </w:rPr>
              <w:t>裕同科技</w:t>
            </w:r>
          </w:p>
        </w:tc>
        <w:tc>
          <w:tcPr>
            <w:tcW w:w="1559" w:type="dxa"/>
            <w:vAlign w:val="center"/>
          </w:tcPr>
          <w:p>
            <w:pPr>
              <w:jc w:val="right"/>
            </w:pPr>
            <w:r>
              <w:rPr>
                <w:color w:val="000000"/>
                <w:sz w:val="24"/>
              </w:rPr>
              <w:t>8,751,196</w:t>
            </w:r>
          </w:p>
        </w:tc>
        <w:tc>
          <w:tcPr>
            <w:tcW w:w="1932" w:type="dxa"/>
            <w:vAlign w:val="center"/>
          </w:tcPr>
          <w:p>
            <w:pPr>
              <w:jc w:val="right"/>
            </w:pPr>
            <w:r>
              <w:rPr>
                <w:color w:val="000000"/>
                <w:sz w:val="24"/>
              </w:rPr>
              <w:t>267,961,621.52</w:t>
            </w:r>
          </w:p>
        </w:tc>
        <w:tc>
          <w:tcPr>
            <w:tcW w:w="1612" w:type="dxa"/>
            <w:vAlign w:val="center"/>
          </w:tcPr>
          <w:p>
            <w:pPr>
              <w:jc w:val="right"/>
            </w:pPr>
            <w:r>
              <w:rPr>
                <w:color w:val="000000"/>
                <w:sz w:val="24"/>
              </w:rPr>
              <w:t>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600048</w:t>
            </w:r>
          </w:p>
        </w:tc>
        <w:tc>
          <w:tcPr>
            <w:tcW w:w="1701" w:type="dxa"/>
            <w:vAlign w:val="center"/>
          </w:tcPr>
          <w:p>
            <w:pPr>
              <w:jc w:val="center"/>
            </w:pPr>
            <w:r>
              <w:rPr>
                <w:color w:val="000000"/>
                <w:sz w:val="24"/>
              </w:rPr>
              <w:t>保利地产</w:t>
            </w:r>
          </w:p>
        </w:tc>
        <w:tc>
          <w:tcPr>
            <w:tcW w:w="1559" w:type="dxa"/>
            <w:vAlign w:val="center"/>
          </w:tcPr>
          <w:p>
            <w:pPr>
              <w:jc w:val="right"/>
            </w:pPr>
            <w:r>
              <w:rPr>
                <w:color w:val="000000"/>
                <w:sz w:val="24"/>
              </w:rPr>
              <w:t>16,403,962</w:t>
            </w:r>
          </w:p>
        </w:tc>
        <w:tc>
          <w:tcPr>
            <w:tcW w:w="1932" w:type="dxa"/>
            <w:vAlign w:val="center"/>
          </w:tcPr>
          <w:p>
            <w:pPr>
              <w:jc w:val="right"/>
            </w:pPr>
            <w:r>
              <w:rPr>
                <w:color w:val="000000"/>
                <w:sz w:val="24"/>
              </w:rPr>
              <w:t>259,510,678.84</w:t>
            </w:r>
          </w:p>
        </w:tc>
        <w:tc>
          <w:tcPr>
            <w:tcW w:w="1612" w:type="dxa"/>
            <w:vAlign w:val="center"/>
          </w:tcPr>
          <w:p>
            <w:pPr>
              <w:jc w:val="right"/>
            </w:pPr>
            <w:r>
              <w:rPr>
                <w:color w:val="000000"/>
                <w:sz w:val="24"/>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603129</w:t>
            </w:r>
          </w:p>
        </w:tc>
        <w:tc>
          <w:tcPr>
            <w:tcW w:w="1701" w:type="dxa"/>
            <w:vAlign w:val="center"/>
          </w:tcPr>
          <w:p>
            <w:pPr>
              <w:jc w:val="center"/>
            </w:pPr>
            <w:r>
              <w:rPr>
                <w:color w:val="000000"/>
                <w:sz w:val="24"/>
              </w:rPr>
              <w:t>春风动力</w:t>
            </w:r>
          </w:p>
        </w:tc>
        <w:tc>
          <w:tcPr>
            <w:tcW w:w="1559" w:type="dxa"/>
            <w:vAlign w:val="center"/>
          </w:tcPr>
          <w:p>
            <w:pPr>
              <w:jc w:val="right"/>
            </w:pPr>
            <w:r>
              <w:rPr>
                <w:color w:val="000000"/>
                <w:sz w:val="24"/>
              </w:rPr>
              <w:t>1,200,517</w:t>
            </w:r>
          </w:p>
        </w:tc>
        <w:tc>
          <w:tcPr>
            <w:tcW w:w="1932" w:type="dxa"/>
            <w:vAlign w:val="center"/>
          </w:tcPr>
          <w:p>
            <w:pPr>
              <w:jc w:val="right"/>
            </w:pPr>
            <w:r>
              <w:rPr>
                <w:color w:val="000000"/>
                <w:sz w:val="24"/>
              </w:rPr>
              <w:t>209,118,056.23</w:t>
            </w:r>
          </w:p>
        </w:tc>
        <w:tc>
          <w:tcPr>
            <w:tcW w:w="1612" w:type="dxa"/>
            <w:vAlign w:val="center"/>
          </w:tcPr>
          <w:p>
            <w:pPr>
              <w:jc w:val="right"/>
            </w:pPr>
            <w:r>
              <w:rPr>
                <w:color w:val="000000"/>
                <w:sz w:val="24"/>
              </w:rPr>
              <w:t>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002555</w:t>
            </w:r>
          </w:p>
        </w:tc>
        <w:tc>
          <w:tcPr>
            <w:tcW w:w="1701" w:type="dxa"/>
            <w:vAlign w:val="center"/>
          </w:tcPr>
          <w:p>
            <w:pPr>
              <w:jc w:val="center"/>
            </w:pPr>
            <w:r>
              <w:rPr>
                <w:color w:val="000000"/>
                <w:sz w:val="24"/>
              </w:rPr>
              <w:t>三七互娱</w:t>
            </w:r>
          </w:p>
        </w:tc>
        <w:tc>
          <w:tcPr>
            <w:tcW w:w="1559" w:type="dxa"/>
            <w:vAlign w:val="center"/>
          </w:tcPr>
          <w:p>
            <w:pPr>
              <w:jc w:val="right"/>
            </w:pPr>
            <w:r>
              <w:rPr>
                <w:color w:val="000000"/>
                <w:sz w:val="24"/>
              </w:rPr>
              <w:t>6,411,207</w:t>
            </w:r>
          </w:p>
        </w:tc>
        <w:tc>
          <w:tcPr>
            <w:tcW w:w="1932" w:type="dxa"/>
            <w:vAlign w:val="center"/>
          </w:tcPr>
          <w:p>
            <w:pPr>
              <w:jc w:val="right"/>
            </w:pPr>
            <w:r>
              <w:rPr>
                <w:color w:val="000000"/>
                <w:sz w:val="24"/>
              </w:rPr>
              <w:t>200,221,994.61</w:t>
            </w:r>
          </w:p>
        </w:tc>
        <w:tc>
          <w:tcPr>
            <w:tcW w:w="1612" w:type="dxa"/>
            <w:vAlign w:val="center"/>
          </w:tcPr>
          <w:p>
            <w:pPr>
              <w:jc w:val="right"/>
            </w:pPr>
            <w:r>
              <w:rPr>
                <w:color w:val="000000"/>
                <w:sz w:val="24"/>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002810</w:t>
            </w:r>
          </w:p>
        </w:tc>
        <w:tc>
          <w:tcPr>
            <w:tcW w:w="1701" w:type="dxa"/>
            <w:vAlign w:val="center"/>
          </w:tcPr>
          <w:p>
            <w:pPr>
              <w:jc w:val="center"/>
            </w:pPr>
            <w:r>
              <w:rPr>
                <w:color w:val="000000"/>
                <w:sz w:val="24"/>
              </w:rPr>
              <w:t>山东赫达</w:t>
            </w:r>
          </w:p>
        </w:tc>
        <w:tc>
          <w:tcPr>
            <w:tcW w:w="1559" w:type="dxa"/>
            <w:vAlign w:val="center"/>
          </w:tcPr>
          <w:p>
            <w:pPr>
              <w:jc w:val="right"/>
            </w:pPr>
            <w:r>
              <w:rPr>
                <w:color w:val="000000"/>
                <w:sz w:val="24"/>
              </w:rPr>
              <w:t>5,708,420</w:t>
            </w:r>
          </w:p>
        </w:tc>
        <w:tc>
          <w:tcPr>
            <w:tcW w:w="1932" w:type="dxa"/>
            <w:vAlign w:val="center"/>
          </w:tcPr>
          <w:p>
            <w:pPr>
              <w:jc w:val="right"/>
            </w:pPr>
            <w:r>
              <w:rPr>
                <w:color w:val="000000"/>
                <w:sz w:val="24"/>
              </w:rPr>
              <w:t>196,369,648.00</w:t>
            </w:r>
          </w:p>
        </w:tc>
        <w:tc>
          <w:tcPr>
            <w:tcW w:w="1612" w:type="dxa"/>
            <w:vAlign w:val="center"/>
          </w:tcPr>
          <w:p>
            <w:pPr>
              <w:jc w:val="right"/>
            </w:pPr>
            <w:r>
              <w:rPr>
                <w:color w:val="000000"/>
                <w:sz w:val="24"/>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600563</w:t>
            </w:r>
          </w:p>
        </w:tc>
        <w:tc>
          <w:tcPr>
            <w:tcW w:w="1701" w:type="dxa"/>
            <w:vAlign w:val="center"/>
          </w:tcPr>
          <w:p>
            <w:pPr>
              <w:jc w:val="center"/>
            </w:pPr>
            <w:r>
              <w:rPr>
                <w:color w:val="000000"/>
                <w:sz w:val="24"/>
              </w:rPr>
              <w:t>法拉电子</w:t>
            </w:r>
          </w:p>
        </w:tc>
        <w:tc>
          <w:tcPr>
            <w:tcW w:w="1559" w:type="dxa"/>
            <w:vAlign w:val="center"/>
          </w:tcPr>
          <w:p>
            <w:pPr>
              <w:jc w:val="right"/>
            </w:pPr>
            <w:r>
              <w:rPr>
                <w:color w:val="000000"/>
                <w:sz w:val="24"/>
              </w:rPr>
              <w:t>1,810,633</w:t>
            </w:r>
          </w:p>
        </w:tc>
        <w:tc>
          <w:tcPr>
            <w:tcW w:w="1932" w:type="dxa"/>
            <w:vAlign w:val="center"/>
          </w:tcPr>
          <w:p>
            <w:pPr>
              <w:jc w:val="right"/>
            </w:pPr>
            <w:r>
              <w:rPr>
                <w:color w:val="000000"/>
                <w:sz w:val="24"/>
              </w:rPr>
              <w:t>192,135,179.15</w:t>
            </w:r>
          </w:p>
        </w:tc>
        <w:tc>
          <w:tcPr>
            <w:tcW w:w="1612" w:type="dxa"/>
            <w:vAlign w:val="center"/>
          </w:tcPr>
          <w:p>
            <w:pPr>
              <w:jc w:val="right"/>
            </w:pPr>
            <w:r>
              <w:rPr>
                <w:color w:val="000000"/>
                <w:sz w:val="24"/>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002475</w:t>
            </w:r>
          </w:p>
        </w:tc>
        <w:tc>
          <w:tcPr>
            <w:tcW w:w="1701" w:type="dxa"/>
            <w:vAlign w:val="center"/>
          </w:tcPr>
          <w:p>
            <w:pPr>
              <w:jc w:val="center"/>
            </w:pPr>
            <w:r>
              <w:rPr>
                <w:color w:val="000000"/>
                <w:sz w:val="24"/>
              </w:rPr>
              <w:t>立讯精密</w:t>
            </w:r>
          </w:p>
        </w:tc>
        <w:tc>
          <w:tcPr>
            <w:tcW w:w="1559" w:type="dxa"/>
            <w:vAlign w:val="center"/>
          </w:tcPr>
          <w:p>
            <w:pPr>
              <w:jc w:val="right"/>
            </w:pPr>
            <w:r>
              <w:rPr>
                <w:color w:val="000000"/>
                <w:sz w:val="24"/>
              </w:rPr>
              <w:t>2,978,601</w:t>
            </w:r>
          </w:p>
        </w:tc>
        <w:tc>
          <w:tcPr>
            <w:tcW w:w="1932" w:type="dxa"/>
            <w:vAlign w:val="center"/>
          </w:tcPr>
          <w:p>
            <w:pPr>
              <w:jc w:val="right"/>
            </w:pPr>
            <w:r>
              <w:rPr>
                <w:color w:val="000000"/>
                <w:sz w:val="24"/>
              </w:rPr>
              <w:t>167,159,088.12</w:t>
            </w:r>
          </w:p>
        </w:tc>
        <w:tc>
          <w:tcPr>
            <w:tcW w:w="1612" w:type="dxa"/>
            <w:vAlign w:val="center"/>
          </w:tcPr>
          <w:p>
            <w:pPr>
              <w:jc w:val="right"/>
            </w:pPr>
            <w:r>
              <w:rPr>
                <w:color w:val="000000"/>
                <w:sz w:val="24"/>
              </w:rPr>
              <w:t>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603267</w:t>
            </w:r>
          </w:p>
        </w:tc>
        <w:tc>
          <w:tcPr>
            <w:tcW w:w="1701" w:type="dxa"/>
            <w:vAlign w:val="center"/>
          </w:tcPr>
          <w:p>
            <w:pPr>
              <w:jc w:val="center"/>
            </w:pPr>
            <w:r>
              <w:rPr>
                <w:color w:val="000000"/>
                <w:sz w:val="24"/>
              </w:rPr>
              <w:t>鸿远电子</w:t>
            </w:r>
          </w:p>
        </w:tc>
        <w:tc>
          <w:tcPr>
            <w:tcW w:w="1559" w:type="dxa"/>
            <w:vAlign w:val="center"/>
          </w:tcPr>
          <w:p>
            <w:pPr>
              <w:jc w:val="right"/>
            </w:pPr>
            <w:r>
              <w:rPr>
                <w:color w:val="000000"/>
                <w:sz w:val="24"/>
              </w:rPr>
              <w:t>1,257,734</w:t>
            </w:r>
          </w:p>
        </w:tc>
        <w:tc>
          <w:tcPr>
            <w:tcW w:w="1932" w:type="dxa"/>
            <w:vAlign w:val="center"/>
          </w:tcPr>
          <w:p>
            <w:pPr>
              <w:jc w:val="right"/>
            </w:pPr>
            <w:r>
              <w:rPr>
                <w:color w:val="000000"/>
                <w:sz w:val="24"/>
              </w:rPr>
              <w:t>161,945,829.84</w:t>
            </w:r>
          </w:p>
        </w:tc>
        <w:tc>
          <w:tcPr>
            <w:tcW w:w="1612" w:type="dxa"/>
            <w:vAlign w:val="center"/>
          </w:tcPr>
          <w:p>
            <w:pPr>
              <w:jc w:val="right"/>
            </w:pPr>
            <w:r>
              <w:rPr>
                <w:color w:val="000000"/>
                <w:sz w:val="24"/>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000733</w:t>
            </w:r>
          </w:p>
        </w:tc>
        <w:tc>
          <w:tcPr>
            <w:tcW w:w="1701" w:type="dxa"/>
            <w:vAlign w:val="center"/>
          </w:tcPr>
          <w:p>
            <w:pPr>
              <w:jc w:val="center"/>
            </w:pPr>
            <w:r>
              <w:rPr>
                <w:color w:val="000000"/>
                <w:sz w:val="24"/>
              </w:rPr>
              <w:t>振华科技</w:t>
            </w:r>
          </w:p>
        </w:tc>
        <w:tc>
          <w:tcPr>
            <w:tcW w:w="1559" w:type="dxa"/>
            <w:vAlign w:val="center"/>
          </w:tcPr>
          <w:p>
            <w:pPr>
              <w:jc w:val="right"/>
            </w:pPr>
            <w:r>
              <w:rPr>
                <w:color w:val="000000"/>
                <w:sz w:val="24"/>
              </w:rPr>
              <w:t>2,598,878</w:t>
            </w:r>
          </w:p>
        </w:tc>
        <w:tc>
          <w:tcPr>
            <w:tcW w:w="1932" w:type="dxa"/>
            <w:vAlign w:val="center"/>
          </w:tcPr>
          <w:p>
            <w:pPr>
              <w:jc w:val="right"/>
            </w:pPr>
            <w:r>
              <w:rPr>
                <w:color w:val="000000"/>
                <w:sz w:val="24"/>
              </w:rPr>
              <w:t>152,943,970.30</w:t>
            </w:r>
          </w:p>
        </w:tc>
        <w:tc>
          <w:tcPr>
            <w:tcW w:w="1612" w:type="dxa"/>
            <w:vAlign w:val="center"/>
          </w:tcPr>
          <w:p>
            <w:pPr>
              <w:jc w:val="right"/>
            </w:pPr>
            <w:r>
              <w:rPr>
                <w:color w:val="000000"/>
                <w:sz w:val="24"/>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600036</w:t>
            </w:r>
          </w:p>
        </w:tc>
        <w:tc>
          <w:tcPr>
            <w:tcW w:w="1701" w:type="dxa"/>
            <w:vAlign w:val="center"/>
          </w:tcPr>
          <w:p>
            <w:pPr>
              <w:jc w:val="center"/>
            </w:pPr>
            <w:r>
              <w:rPr>
                <w:color w:val="000000"/>
                <w:sz w:val="24"/>
              </w:rPr>
              <w:t>招商银行</w:t>
            </w:r>
          </w:p>
        </w:tc>
        <w:tc>
          <w:tcPr>
            <w:tcW w:w="1559" w:type="dxa"/>
            <w:vAlign w:val="center"/>
          </w:tcPr>
          <w:p>
            <w:pPr>
              <w:jc w:val="right"/>
            </w:pPr>
            <w:r>
              <w:rPr>
                <w:color w:val="000000"/>
                <w:sz w:val="24"/>
              </w:rPr>
              <w:t>3,454,928</w:t>
            </w:r>
          </w:p>
        </w:tc>
        <w:tc>
          <w:tcPr>
            <w:tcW w:w="1932" w:type="dxa"/>
            <w:vAlign w:val="center"/>
          </w:tcPr>
          <w:p>
            <w:pPr>
              <w:jc w:val="right"/>
            </w:pPr>
            <w:r>
              <w:rPr>
                <w:color w:val="000000"/>
                <w:sz w:val="24"/>
              </w:rPr>
              <w:t>151,844,085.60</w:t>
            </w:r>
          </w:p>
        </w:tc>
        <w:tc>
          <w:tcPr>
            <w:tcW w:w="1612" w:type="dxa"/>
            <w:vAlign w:val="center"/>
          </w:tcPr>
          <w:p>
            <w:pPr>
              <w:jc w:val="right"/>
            </w:pPr>
            <w:r>
              <w:rPr>
                <w:color w:val="000000"/>
                <w:sz w:val="24"/>
              </w:rPr>
              <w:t>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601677</w:t>
            </w:r>
          </w:p>
        </w:tc>
        <w:tc>
          <w:tcPr>
            <w:tcW w:w="1701" w:type="dxa"/>
            <w:vAlign w:val="center"/>
          </w:tcPr>
          <w:p>
            <w:pPr>
              <w:jc w:val="center"/>
            </w:pPr>
            <w:r>
              <w:rPr>
                <w:color w:val="000000"/>
                <w:sz w:val="24"/>
              </w:rPr>
              <w:t>明泰铝业</w:t>
            </w:r>
          </w:p>
        </w:tc>
        <w:tc>
          <w:tcPr>
            <w:tcW w:w="1559" w:type="dxa"/>
            <w:vAlign w:val="center"/>
          </w:tcPr>
          <w:p>
            <w:pPr>
              <w:jc w:val="right"/>
            </w:pPr>
            <w:r>
              <w:rPr>
                <w:color w:val="000000"/>
                <w:sz w:val="24"/>
              </w:rPr>
              <w:t>8,200,157</w:t>
            </w:r>
          </w:p>
        </w:tc>
        <w:tc>
          <w:tcPr>
            <w:tcW w:w="1932" w:type="dxa"/>
            <w:vAlign w:val="center"/>
          </w:tcPr>
          <w:p>
            <w:pPr>
              <w:jc w:val="right"/>
            </w:pPr>
            <w:r>
              <w:rPr>
                <w:color w:val="000000"/>
                <w:sz w:val="24"/>
              </w:rPr>
              <w:t>115,950,219.98</w:t>
            </w:r>
          </w:p>
        </w:tc>
        <w:tc>
          <w:tcPr>
            <w:tcW w:w="1612" w:type="dxa"/>
            <w:vAlign w:val="center"/>
          </w:tcPr>
          <w:p>
            <w:pPr>
              <w:jc w:val="right"/>
            </w:pPr>
            <w:r>
              <w:rPr>
                <w:color w:val="000000"/>
                <w:sz w:val="24"/>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300758</w:t>
            </w:r>
          </w:p>
        </w:tc>
        <w:tc>
          <w:tcPr>
            <w:tcW w:w="1701" w:type="dxa"/>
            <w:vAlign w:val="center"/>
          </w:tcPr>
          <w:p>
            <w:pPr>
              <w:jc w:val="center"/>
            </w:pPr>
            <w:r>
              <w:rPr>
                <w:color w:val="000000"/>
                <w:sz w:val="24"/>
              </w:rPr>
              <w:t>七彩化学</w:t>
            </w:r>
          </w:p>
        </w:tc>
        <w:tc>
          <w:tcPr>
            <w:tcW w:w="1559" w:type="dxa"/>
            <w:vAlign w:val="center"/>
          </w:tcPr>
          <w:p>
            <w:pPr>
              <w:jc w:val="right"/>
            </w:pPr>
            <w:r>
              <w:rPr>
                <w:color w:val="000000"/>
                <w:sz w:val="24"/>
              </w:rPr>
              <w:t>4,978,600</w:t>
            </w:r>
          </w:p>
        </w:tc>
        <w:tc>
          <w:tcPr>
            <w:tcW w:w="1932" w:type="dxa"/>
            <w:vAlign w:val="center"/>
          </w:tcPr>
          <w:p>
            <w:pPr>
              <w:jc w:val="right"/>
            </w:pPr>
            <w:r>
              <w:rPr>
                <w:color w:val="000000"/>
                <w:sz w:val="24"/>
              </w:rPr>
              <w:t>113,661,438.00</w:t>
            </w:r>
          </w:p>
        </w:tc>
        <w:tc>
          <w:tcPr>
            <w:tcW w:w="1612" w:type="dxa"/>
            <w:vAlign w:val="center"/>
          </w:tcPr>
          <w:p>
            <w:pPr>
              <w:jc w:val="right"/>
            </w:pPr>
            <w:r>
              <w:rPr>
                <w:color w:val="000000"/>
                <w:sz w:val="24"/>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002493</w:t>
            </w:r>
          </w:p>
        </w:tc>
        <w:tc>
          <w:tcPr>
            <w:tcW w:w="1701" w:type="dxa"/>
            <w:vAlign w:val="center"/>
          </w:tcPr>
          <w:p>
            <w:pPr>
              <w:jc w:val="center"/>
            </w:pPr>
            <w:r>
              <w:rPr>
                <w:color w:val="000000"/>
                <w:sz w:val="24"/>
              </w:rPr>
              <w:t>荣盛石化</w:t>
            </w:r>
          </w:p>
        </w:tc>
        <w:tc>
          <w:tcPr>
            <w:tcW w:w="1559" w:type="dxa"/>
            <w:vAlign w:val="center"/>
          </w:tcPr>
          <w:p>
            <w:pPr>
              <w:jc w:val="right"/>
            </w:pPr>
            <w:r>
              <w:rPr>
                <w:color w:val="000000"/>
                <w:sz w:val="24"/>
              </w:rPr>
              <w:t>4,196,903</w:t>
            </w:r>
          </w:p>
        </w:tc>
        <w:tc>
          <w:tcPr>
            <w:tcW w:w="1932" w:type="dxa"/>
            <w:vAlign w:val="center"/>
          </w:tcPr>
          <w:p>
            <w:pPr>
              <w:jc w:val="right"/>
            </w:pPr>
            <w:r>
              <w:rPr>
                <w:color w:val="000000"/>
                <w:sz w:val="24"/>
              </w:rPr>
              <w:t>113,506,801.82</w:t>
            </w:r>
          </w:p>
        </w:tc>
        <w:tc>
          <w:tcPr>
            <w:tcW w:w="1612" w:type="dxa"/>
            <w:vAlign w:val="center"/>
          </w:tcPr>
          <w:p>
            <w:pPr>
              <w:jc w:val="right"/>
            </w:pPr>
            <w:r>
              <w:rPr>
                <w:color w:val="000000"/>
                <w:sz w:val="24"/>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300408</w:t>
            </w:r>
          </w:p>
        </w:tc>
        <w:tc>
          <w:tcPr>
            <w:tcW w:w="1701" w:type="dxa"/>
            <w:vAlign w:val="center"/>
          </w:tcPr>
          <w:p>
            <w:pPr>
              <w:jc w:val="center"/>
            </w:pPr>
            <w:r>
              <w:rPr>
                <w:color w:val="000000"/>
                <w:sz w:val="24"/>
              </w:rPr>
              <w:t>三环集团</w:t>
            </w:r>
          </w:p>
        </w:tc>
        <w:tc>
          <w:tcPr>
            <w:tcW w:w="1559" w:type="dxa"/>
            <w:vAlign w:val="center"/>
          </w:tcPr>
          <w:p>
            <w:pPr>
              <w:jc w:val="right"/>
            </w:pPr>
            <w:r>
              <w:rPr>
                <w:color w:val="000000"/>
                <w:sz w:val="24"/>
              </w:rPr>
              <w:t>2,578,758</w:t>
            </w:r>
          </w:p>
        </w:tc>
        <w:tc>
          <w:tcPr>
            <w:tcW w:w="1932" w:type="dxa"/>
            <w:vAlign w:val="center"/>
          </w:tcPr>
          <w:p>
            <w:pPr>
              <w:jc w:val="right"/>
            </w:pPr>
            <w:r>
              <w:rPr>
                <w:color w:val="000000"/>
                <w:sz w:val="24"/>
              </w:rPr>
              <w:t>96,058,735.50</w:t>
            </w:r>
          </w:p>
        </w:tc>
        <w:tc>
          <w:tcPr>
            <w:tcW w:w="1612" w:type="dxa"/>
            <w:vAlign w:val="center"/>
          </w:tcPr>
          <w:p>
            <w:pPr>
              <w:jc w:val="right"/>
            </w:pPr>
            <w:r>
              <w:rPr>
                <w:color w:val="000000"/>
                <w:sz w:val="24"/>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300782</w:t>
            </w:r>
          </w:p>
        </w:tc>
        <w:tc>
          <w:tcPr>
            <w:tcW w:w="1701" w:type="dxa"/>
            <w:vAlign w:val="center"/>
          </w:tcPr>
          <w:p>
            <w:pPr>
              <w:jc w:val="center"/>
            </w:pPr>
            <w:r>
              <w:rPr>
                <w:color w:val="000000"/>
                <w:sz w:val="24"/>
              </w:rPr>
              <w:t>卓胜微</w:t>
            </w:r>
          </w:p>
        </w:tc>
        <w:tc>
          <w:tcPr>
            <w:tcW w:w="1559" w:type="dxa"/>
            <w:vAlign w:val="center"/>
          </w:tcPr>
          <w:p>
            <w:pPr>
              <w:jc w:val="right"/>
            </w:pPr>
            <w:r>
              <w:rPr>
                <w:color w:val="000000"/>
                <w:sz w:val="24"/>
              </w:rPr>
              <w:t>154,410</w:t>
            </w:r>
          </w:p>
        </w:tc>
        <w:tc>
          <w:tcPr>
            <w:tcW w:w="1932" w:type="dxa"/>
            <w:vAlign w:val="center"/>
          </w:tcPr>
          <w:p>
            <w:pPr>
              <w:jc w:val="right"/>
            </w:pPr>
            <w:r>
              <w:rPr>
                <w:color w:val="000000"/>
                <w:sz w:val="24"/>
              </w:rPr>
              <w:t>88,097,081.40</w:t>
            </w:r>
          </w:p>
        </w:tc>
        <w:tc>
          <w:tcPr>
            <w:tcW w:w="1612" w:type="dxa"/>
            <w:vAlign w:val="center"/>
          </w:tcPr>
          <w:p>
            <w:pPr>
              <w:jc w:val="right"/>
            </w:pPr>
            <w:r>
              <w:rPr>
                <w:color w:val="000000"/>
                <w:sz w:val="24"/>
              </w:rPr>
              <w:t>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600383</w:t>
            </w:r>
          </w:p>
        </w:tc>
        <w:tc>
          <w:tcPr>
            <w:tcW w:w="1701" w:type="dxa"/>
            <w:vAlign w:val="center"/>
          </w:tcPr>
          <w:p>
            <w:pPr>
              <w:jc w:val="center"/>
            </w:pPr>
            <w:r>
              <w:rPr>
                <w:color w:val="000000"/>
                <w:sz w:val="24"/>
              </w:rPr>
              <w:t>金地集团</w:t>
            </w:r>
          </w:p>
        </w:tc>
        <w:tc>
          <w:tcPr>
            <w:tcW w:w="1559" w:type="dxa"/>
            <w:vAlign w:val="center"/>
          </w:tcPr>
          <w:p>
            <w:pPr>
              <w:jc w:val="right"/>
            </w:pPr>
            <w:r>
              <w:rPr>
                <w:color w:val="000000"/>
                <w:sz w:val="24"/>
              </w:rPr>
              <w:t>6,406,806</w:t>
            </w:r>
          </w:p>
        </w:tc>
        <w:tc>
          <w:tcPr>
            <w:tcW w:w="1932" w:type="dxa"/>
            <w:vAlign w:val="center"/>
          </w:tcPr>
          <w:p>
            <w:pPr>
              <w:jc w:val="right"/>
            </w:pPr>
            <w:r>
              <w:rPr>
                <w:color w:val="000000"/>
                <w:sz w:val="24"/>
              </w:rPr>
              <w:t>86,491,881.00</w:t>
            </w:r>
          </w:p>
        </w:tc>
        <w:tc>
          <w:tcPr>
            <w:tcW w:w="1612" w:type="dxa"/>
            <w:vAlign w:val="center"/>
          </w:tcPr>
          <w:p>
            <w:pPr>
              <w:jc w:val="right"/>
            </w:pPr>
            <w:r>
              <w:rPr>
                <w:color w:val="000000"/>
                <w:sz w:val="24"/>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603816</w:t>
            </w:r>
          </w:p>
        </w:tc>
        <w:tc>
          <w:tcPr>
            <w:tcW w:w="1701" w:type="dxa"/>
            <w:vAlign w:val="center"/>
          </w:tcPr>
          <w:p>
            <w:pPr>
              <w:jc w:val="center"/>
            </w:pPr>
            <w:r>
              <w:rPr>
                <w:color w:val="000000"/>
                <w:sz w:val="24"/>
              </w:rPr>
              <w:t>顾家家居</w:t>
            </w:r>
          </w:p>
        </w:tc>
        <w:tc>
          <w:tcPr>
            <w:tcW w:w="1559" w:type="dxa"/>
            <w:vAlign w:val="center"/>
          </w:tcPr>
          <w:p>
            <w:pPr>
              <w:jc w:val="right"/>
            </w:pPr>
            <w:r>
              <w:rPr>
                <w:color w:val="000000"/>
                <w:sz w:val="24"/>
              </w:rPr>
              <w:t>1,205,500</w:t>
            </w:r>
          </w:p>
        </w:tc>
        <w:tc>
          <w:tcPr>
            <w:tcW w:w="1932" w:type="dxa"/>
            <w:vAlign w:val="center"/>
          </w:tcPr>
          <w:p>
            <w:pPr>
              <w:jc w:val="right"/>
            </w:pPr>
            <w:r>
              <w:rPr>
                <w:color w:val="000000"/>
                <w:sz w:val="24"/>
              </w:rPr>
              <w:t>84,132,585.00</w:t>
            </w:r>
          </w:p>
        </w:tc>
        <w:tc>
          <w:tcPr>
            <w:tcW w:w="1612" w:type="dxa"/>
            <w:vAlign w:val="center"/>
          </w:tcPr>
          <w:p>
            <w:pPr>
              <w:jc w:val="right"/>
            </w:pPr>
            <w:r>
              <w:rPr>
                <w:color w:val="000000"/>
                <w:sz w:val="24"/>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300452</w:t>
            </w:r>
          </w:p>
        </w:tc>
        <w:tc>
          <w:tcPr>
            <w:tcW w:w="1701" w:type="dxa"/>
            <w:vAlign w:val="center"/>
          </w:tcPr>
          <w:p>
            <w:pPr>
              <w:jc w:val="center"/>
            </w:pPr>
            <w:r>
              <w:rPr>
                <w:color w:val="000000"/>
                <w:sz w:val="24"/>
              </w:rPr>
              <w:t>山河药辅</w:t>
            </w:r>
          </w:p>
        </w:tc>
        <w:tc>
          <w:tcPr>
            <w:tcW w:w="1559" w:type="dxa"/>
            <w:vAlign w:val="center"/>
          </w:tcPr>
          <w:p>
            <w:pPr>
              <w:jc w:val="right"/>
            </w:pPr>
            <w:r>
              <w:rPr>
                <w:color w:val="000000"/>
                <w:sz w:val="24"/>
              </w:rPr>
              <w:t>4,142,956</w:t>
            </w:r>
          </w:p>
        </w:tc>
        <w:tc>
          <w:tcPr>
            <w:tcW w:w="1932" w:type="dxa"/>
            <w:vAlign w:val="center"/>
          </w:tcPr>
          <w:p>
            <w:pPr>
              <w:jc w:val="right"/>
            </w:pPr>
            <w:r>
              <w:rPr>
                <w:color w:val="000000"/>
                <w:sz w:val="24"/>
              </w:rPr>
              <w:t>71,673,138.80</w:t>
            </w:r>
          </w:p>
        </w:tc>
        <w:tc>
          <w:tcPr>
            <w:tcW w:w="1612" w:type="dxa"/>
            <w:vAlign w:val="center"/>
          </w:tcPr>
          <w:p>
            <w:pPr>
              <w:jc w:val="right"/>
            </w:pPr>
            <w:r>
              <w:rPr>
                <w:color w:val="000000"/>
                <w:sz w:val="24"/>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600885</w:t>
            </w:r>
          </w:p>
        </w:tc>
        <w:tc>
          <w:tcPr>
            <w:tcW w:w="1701" w:type="dxa"/>
            <w:vAlign w:val="center"/>
          </w:tcPr>
          <w:p>
            <w:pPr>
              <w:jc w:val="center"/>
            </w:pPr>
            <w:r>
              <w:rPr>
                <w:color w:val="000000"/>
                <w:sz w:val="24"/>
              </w:rPr>
              <w:t>宏发股份</w:t>
            </w:r>
          </w:p>
        </w:tc>
        <w:tc>
          <w:tcPr>
            <w:tcW w:w="1559" w:type="dxa"/>
            <w:vAlign w:val="center"/>
          </w:tcPr>
          <w:p>
            <w:pPr>
              <w:jc w:val="right"/>
            </w:pPr>
            <w:r>
              <w:rPr>
                <w:color w:val="000000"/>
                <w:sz w:val="24"/>
              </w:rPr>
              <w:t>694,900</w:t>
            </w:r>
          </w:p>
        </w:tc>
        <w:tc>
          <w:tcPr>
            <w:tcW w:w="1932" w:type="dxa"/>
            <w:vAlign w:val="center"/>
          </w:tcPr>
          <w:p>
            <w:pPr>
              <w:jc w:val="right"/>
            </w:pPr>
            <w:r>
              <w:rPr>
                <w:color w:val="000000"/>
                <w:sz w:val="24"/>
              </w:rPr>
              <w:t>37,677,478.00</w:t>
            </w:r>
          </w:p>
        </w:tc>
        <w:tc>
          <w:tcPr>
            <w:tcW w:w="1612" w:type="dxa"/>
            <w:vAlign w:val="center"/>
          </w:tcPr>
          <w:p>
            <w:pPr>
              <w:jc w:val="right"/>
            </w:pPr>
            <w:r>
              <w:rPr>
                <w:color w:val="000000"/>
                <w:sz w:val="24"/>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300788</w:t>
            </w:r>
          </w:p>
        </w:tc>
        <w:tc>
          <w:tcPr>
            <w:tcW w:w="1701" w:type="dxa"/>
            <w:vAlign w:val="center"/>
          </w:tcPr>
          <w:p>
            <w:pPr>
              <w:jc w:val="center"/>
            </w:pPr>
            <w:r>
              <w:rPr>
                <w:color w:val="000000"/>
                <w:sz w:val="24"/>
              </w:rPr>
              <w:t>中信出版</w:t>
            </w:r>
          </w:p>
        </w:tc>
        <w:tc>
          <w:tcPr>
            <w:tcW w:w="1559" w:type="dxa"/>
            <w:vAlign w:val="center"/>
          </w:tcPr>
          <w:p>
            <w:pPr>
              <w:jc w:val="right"/>
            </w:pPr>
            <w:r>
              <w:rPr>
                <w:color w:val="000000"/>
                <w:sz w:val="24"/>
              </w:rPr>
              <w:t>871,042</w:t>
            </w:r>
          </w:p>
        </w:tc>
        <w:tc>
          <w:tcPr>
            <w:tcW w:w="1932" w:type="dxa"/>
            <w:vAlign w:val="center"/>
          </w:tcPr>
          <w:p>
            <w:pPr>
              <w:jc w:val="right"/>
            </w:pPr>
            <w:r>
              <w:rPr>
                <w:color w:val="000000"/>
                <w:sz w:val="24"/>
              </w:rPr>
              <w:t>36,940,891.22</w:t>
            </w:r>
          </w:p>
        </w:tc>
        <w:tc>
          <w:tcPr>
            <w:tcW w:w="1612" w:type="dxa"/>
            <w:vAlign w:val="center"/>
          </w:tcPr>
          <w:p>
            <w:pPr>
              <w:jc w:val="right"/>
            </w:pPr>
            <w:r>
              <w:rPr>
                <w:color w:val="000000"/>
                <w:sz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603678</w:t>
            </w:r>
          </w:p>
        </w:tc>
        <w:tc>
          <w:tcPr>
            <w:tcW w:w="1701" w:type="dxa"/>
            <w:vAlign w:val="center"/>
          </w:tcPr>
          <w:p>
            <w:pPr>
              <w:jc w:val="center"/>
            </w:pPr>
            <w:r>
              <w:rPr>
                <w:color w:val="000000"/>
                <w:sz w:val="24"/>
              </w:rPr>
              <w:t>火炬电子</w:t>
            </w:r>
          </w:p>
        </w:tc>
        <w:tc>
          <w:tcPr>
            <w:tcW w:w="1559" w:type="dxa"/>
            <w:vAlign w:val="center"/>
          </w:tcPr>
          <w:p>
            <w:pPr>
              <w:jc w:val="right"/>
            </w:pPr>
            <w:r>
              <w:rPr>
                <w:color w:val="000000"/>
                <w:sz w:val="24"/>
              </w:rPr>
              <w:t>467,860</w:t>
            </w:r>
          </w:p>
        </w:tc>
        <w:tc>
          <w:tcPr>
            <w:tcW w:w="1932" w:type="dxa"/>
            <w:vAlign w:val="center"/>
          </w:tcPr>
          <w:p>
            <w:pPr>
              <w:jc w:val="right"/>
            </w:pPr>
            <w:r>
              <w:rPr>
                <w:color w:val="000000"/>
                <w:sz w:val="24"/>
              </w:rPr>
              <w:t>33,826,278.00</w:t>
            </w:r>
          </w:p>
        </w:tc>
        <w:tc>
          <w:tcPr>
            <w:tcW w:w="1612" w:type="dxa"/>
            <w:vAlign w:val="center"/>
          </w:tcPr>
          <w:p>
            <w:pPr>
              <w:jc w:val="right"/>
            </w:pPr>
            <w:r>
              <w:rPr>
                <w:color w:val="000000"/>
                <w:sz w:val="24"/>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603613</w:t>
            </w:r>
          </w:p>
        </w:tc>
        <w:tc>
          <w:tcPr>
            <w:tcW w:w="1701" w:type="dxa"/>
            <w:vAlign w:val="center"/>
          </w:tcPr>
          <w:p>
            <w:pPr>
              <w:jc w:val="center"/>
            </w:pPr>
            <w:r>
              <w:rPr>
                <w:color w:val="000000"/>
                <w:sz w:val="24"/>
              </w:rPr>
              <w:t>国联股份</w:t>
            </w:r>
          </w:p>
        </w:tc>
        <w:tc>
          <w:tcPr>
            <w:tcW w:w="1559" w:type="dxa"/>
            <w:vAlign w:val="center"/>
          </w:tcPr>
          <w:p>
            <w:pPr>
              <w:jc w:val="right"/>
            </w:pPr>
            <w:r>
              <w:rPr>
                <w:color w:val="000000"/>
                <w:sz w:val="24"/>
              </w:rPr>
              <w:t>263,381</w:t>
            </w:r>
          </w:p>
        </w:tc>
        <w:tc>
          <w:tcPr>
            <w:tcW w:w="1932" w:type="dxa"/>
            <w:vAlign w:val="center"/>
          </w:tcPr>
          <w:p>
            <w:pPr>
              <w:jc w:val="right"/>
            </w:pPr>
            <w:r>
              <w:rPr>
                <w:color w:val="000000"/>
                <w:sz w:val="24"/>
              </w:rPr>
              <w:t>31,608,353.81</w:t>
            </w:r>
          </w:p>
        </w:tc>
        <w:tc>
          <w:tcPr>
            <w:tcW w:w="1612" w:type="dxa"/>
            <w:vAlign w:val="center"/>
          </w:tcPr>
          <w:p>
            <w:pPr>
              <w:jc w:val="right"/>
            </w:pPr>
            <w:r>
              <w:rPr>
                <w:color w:val="000000"/>
                <w:sz w:val="24"/>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600859</w:t>
            </w:r>
          </w:p>
        </w:tc>
        <w:tc>
          <w:tcPr>
            <w:tcW w:w="1701" w:type="dxa"/>
            <w:vAlign w:val="center"/>
          </w:tcPr>
          <w:p>
            <w:pPr>
              <w:jc w:val="center"/>
            </w:pPr>
            <w:r>
              <w:rPr>
                <w:color w:val="000000"/>
                <w:sz w:val="24"/>
              </w:rPr>
              <w:t>王府井</w:t>
            </w:r>
          </w:p>
        </w:tc>
        <w:tc>
          <w:tcPr>
            <w:tcW w:w="1559" w:type="dxa"/>
            <w:vAlign w:val="center"/>
          </w:tcPr>
          <w:p>
            <w:pPr>
              <w:jc w:val="right"/>
            </w:pPr>
            <w:r>
              <w:rPr>
                <w:color w:val="000000"/>
                <w:sz w:val="24"/>
              </w:rPr>
              <w:t>868,650</w:t>
            </w:r>
          </w:p>
        </w:tc>
        <w:tc>
          <w:tcPr>
            <w:tcW w:w="1932" w:type="dxa"/>
            <w:vAlign w:val="center"/>
          </w:tcPr>
          <w:p>
            <w:pPr>
              <w:jc w:val="right"/>
            </w:pPr>
            <w:r>
              <w:rPr>
                <w:color w:val="000000"/>
                <w:sz w:val="24"/>
              </w:rPr>
              <w:t>28,300,617.00</w:t>
            </w:r>
          </w:p>
        </w:tc>
        <w:tc>
          <w:tcPr>
            <w:tcW w:w="1612" w:type="dxa"/>
            <w:vAlign w:val="center"/>
          </w:tcPr>
          <w:p>
            <w:pPr>
              <w:jc w:val="right"/>
            </w:pPr>
            <w:r>
              <w:rPr>
                <w:color w:val="000000"/>
                <w:sz w:val="24"/>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310,393</w:t>
            </w:r>
          </w:p>
        </w:tc>
        <w:tc>
          <w:tcPr>
            <w:tcW w:w="1932" w:type="dxa"/>
            <w:vAlign w:val="center"/>
          </w:tcPr>
          <w:p>
            <w:pPr>
              <w:jc w:val="right"/>
            </w:pPr>
            <w:r>
              <w:rPr>
                <w:color w:val="000000"/>
                <w:sz w:val="24"/>
              </w:rPr>
              <w:t>25,352,987.86</w:t>
            </w:r>
          </w:p>
        </w:tc>
        <w:tc>
          <w:tcPr>
            <w:tcW w:w="1612" w:type="dxa"/>
            <w:vAlign w:val="center"/>
          </w:tcPr>
          <w:p>
            <w:pPr>
              <w:jc w:val="right"/>
            </w:pPr>
            <w:r>
              <w:rPr>
                <w:color w:val="000000"/>
                <w:sz w:val="24"/>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002841</w:t>
            </w:r>
          </w:p>
        </w:tc>
        <w:tc>
          <w:tcPr>
            <w:tcW w:w="1701" w:type="dxa"/>
            <w:vAlign w:val="center"/>
          </w:tcPr>
          <w:p>
            <w:pPr>
              <w:jc w:val="center"/>
            </w:pPr>
            <w:r>
              <w:rPr>
                <w:color w:val="000000"/>
                <w:sz w:val="24"/>
              </w:rPr>
              <w:t>视源股份</w:t>
            </w:r>
          </w:p>
        </w:tc>
        <w:tc>
          <w:tcPr>
            <w:tcW w:w="1559" w:type="dxa"/>
            <w:vAlign w:val="center"/>
          </w:tcPr>
          <w:p>
            <w:pPr>
              <w:jc w:val="right"/>
            </w:pPr>
            <w:r>
              <w:rPr>
                <w:color w:val="000000"/>
                <w:sz w:val="24"/>
              </w:rPr>
              <w:t>180,000</w:t>
            </w:r>
          </w:p>
        </w:tc>
        <w:tc>
          <w:tcPr>
            <w:tcW w:w="1932" w:type="dxa"/>
            <w:vAlign w:val="center"/>
          </w:tcPr>
          <w:p>
            <w:pPr>
              <w:jc w:val="right"/>
            </w:pPr>
            <w:r>
              <w:rPr>
                <w:color w:val="000000"/>
                <w:sz w:val="24"/>
              </w:rPr>
              <w:t>20,705,400.00</w:t>
            </w:r>
          </w:p>
        </w:tc>
        <w:tc>
          <w:tcPr>
            <w:tcW w:w="1612" w:type="dxa"/>
            <w:vAlign w:val="center"/>
          </w:tcPr>
          <w:p>
            <w:pPr>
              <w:jc w:val="right"/>
            </w:pPr>
            <w:r>
              <w:rPr>
                <w:color w:val="000000"/>
                <w:sz w:val="24"/>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600519</w:t>
            </w:r>
          </w:p>
        </w:tc>
        <w:tc>
          <w:tcPr>
            <w:tcW w:w="1701" w:type="dxa"/>
            <w:vAlign w:val="center"/>
          </w:tcPr>
          <w:p>
            <w:pPr>
              <w:jc w:val="center"/>
            </w:pPr>
            <w:r>
              <w:rPr>
                <w:color w:val="000000"/>
                <w:sz w:val="24"/>
              </w:rPr>
              <w:t>贵州茅台</w:t>
            </w:r>
          </w:p>
        </w:tc>
        <w:tc>
          <w:tcPr>
            <w:tcW w:w="1559" w:type="dxa"/>
            <w:vAlign w:val="center"/>
          </w:tcPr>
          <w:p>
            <w:pPr>
              <w:jc w:val="right"/>
            </w:pPr>
            <w:r>
              <w:rPr>
                <w:color w:val="000000"/>
                <w:sz w:val="24"/>
              </w:rPr>
              <w:t>9,400</w:t>
            </w:r>
          </w:p>
        </w:tc>
        <w:tc>
          <w:tcPr>
            <w:tcW w:w="1932" w:type="dxa"/>
            <w:vAlign w:val="center"/>
          </w:tcPr>
          <w:p>
            <w:pPr>
              <w:jc w:val="right"/>
            </w:pPr>
            <w:r>
              <w:rPr>
                <w:color w:val="000000"/>
                <w:sz w:val="24"/>
              </w:rPr>
              <w:t>18,781,200.00</w:t>
            </w:r>
          </w:p>
        </w:tc>
        <w:tc>
          <w:tcPr>
            <w:tcW w:w="1612" w:type="dxa"/>
            <w:vAlign w:val="center"/>
          </w:tcPr>
          <w:p>
            <w:pPr>
              <w:jc w:val="right"/>
            </w:pPr>
            <w:r>
              <w:rPr>
                <w:color w:val="000000"/>
                <w:sz w:val="24"/>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300866</w:t>
            </w:r>
          </w:p>
        </w:tc>
        <w:tc>
          <w:tcPr>
            <w:tcW w:w="1701" w:type="dxa"/>
            <w:vAlign w:val="center"/>
          </w:tcPr>
          <w:p>
            <w:pPr>
              <w:jc w:val="center"/>
            </w:pPr>
            <w:r>
              <w:rPr>
                <w:color w:val="000000"/>
                <w:sz w:val="24"/>
              </w:rPr>
              <w:t>安克创新</w:t>
            </w:r>
          </w:p>
        </w:tc>
        <w:tc>
          <w:tcPr>
            <w:tcW w:w="1559" w:type="dxa"/>
            <w:vAlign w:val="center"/>
          </w:tcPr>
          <w:p>
            <w:pPr>
              <w:jc w:val="right"/>
            </w:pPr>
            <w:r>
              <w:rPr>
                <w:color w:val="000000"/>
                <w:sz w:val="24"/>
              </w:rPr>
              <w:t>9,451</w:t>
            </w:r>
          </w:p>
        </w:tc>
        <w:tc>
          <w:tcPr>
            <w:tcW w:w="1932" w:type="dxa"/>
            <w:vAlign w:val="center"/>
          </w:tcPr>
          <w:p>
            <w:pPr>
              <w:jc w:val="right"/>
            </w:pPr>
            <w:r>
              <w:rPr>
                <w:color w:val="000000"/>
                <w:sz w:val="24"/>
              </w:rPr>
              <w:t>1,476,057.18</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12,114</w:t>
            </w:r>
          </w:p>
        </w:tc>
        <w:tc>
          <w:tcPr>
            <w:tcW w:w="1932" w:type="dxa"/>
            <w:vAlign w:val="center"/>
          </w:tcPr>
          <w:p>
            <w:pPr>
              <w:jc w:val="right"/>
            </w:pPr>
            <w:r>
              <w:rPr>
                <w:color w:val="000000"/>
                <w:sz w:val="24"/>
              </w:rPr>
              <w:t>1,069,545.06</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2,330</w:t>
            </w:r>
          </w:p>
        </w:tc>
        <w:tc>
          <w:tcPr>
            <w:tcW w:w="1932" w:type="dxa"/>
            <w:vAlign w:val="center"/>
          </w:tcPr>
          <w:p>
            <w:pPr>
              <w:jc w:val="right"/>
            </w:pPr>
            <w:r>
              <w:rPr>
                <w:color w:val="000000"/>
                <w:sz w:val="24"/>
              </w:rPr>
              <w:t>505,144.00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688586</w:t>
            </w:r>
          </w:p>
        </w:tc>
        <w:tc>
          <w:tcPr>
            <w:tcW w:w="1701" w:type="dxa"/>
            <w:vAlign w:val="center"/>
          </w:tcPr>
          <w:p>
            <w:pPr>
              <w:jc w:val="center"/>
            </w:pPr>
            <w:r>
              <w:rPr>
                <w:color w:val="000000"/>
                <w:sz w:val="24"/>
              </w:rPr>
              <w:t>江航装备</w:t>
            </w:r>
          </w:p>
        </w:tc>
        <w:tc>
          <w:tcPr>
            <w:tcW w:w="1559" w:type="dxa"/>
            <w:vAlign w:val="center"/>
          </w:tcPr>
          <w:p>
            <w:pPr>
              <w:jc w:val="right"/>
            </w:pPr>
            <w:r>
              <w:rPr>
                <w:color w:val="000000"/>
                <w:sz w:val="24"/>
              </w:rPr>
              <w:t>16,436</w:t>
            </w:r>
          </w:p>
        </w:tc>
        <w:tc>
          <w:tcPr>
            <w:tcW w:w="1932" w:type="dxa"/>
            <w:vAlign w:val="center"/>
          </w:tcPr>
          <w:p>
            <w:pPr>
              <w:jc w:val="right"/>
            </w:pPr>
            <w:r>
              <w:rPr>
                <w:color w:val="000000"/>
                <w:sz w:val="24"/>
              </w:rPr>
              <w:t>496,367.20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688658</w:t>
            </w:r>
          </w:p>
        </w:tc>
        <w:tc>
          <w:tcPr>
            <w:tcW w:w="1701" w:type="dxa"/>
            <w:vAlign w:val="center"/>
          </w:tcPr>
          <w:p>
            <w:pPr>
              <w:jc w:val="center"/>
            </w:pPr>
            <w:r>
              <w:rPr>
                <w:color w:val="000000"/>
                <w:sz w:val="24"/>
              </w:rPr>
              <w:t>悦康药业</w:t>
            </w:r>
          </w:p>
        </w:tc>
        <w:tc>
          <w:tcPr>
            <w:tcW w:w="1559" w:type="dxa"/>
            <w:vAlign w:val="center"/>
          </w:tcPr>
          <w:p>
            <w:pPr>
              <w:jc w:val="right"/>
            </w:pPr>
            <w:r>
              <w:rPr>
                <w:color w:val="000000"/>
                <w:sz w:val="24"/>
              </w:rPr>
              <w:t>16,580</w:t>
            </w:r>
          </w:p>
        </w:tc>
        <w:tc>
          <w:tcPr>
            <w:tcW w:w="1932" w:type="dxa"/>
            <w:vAlign w:val="center"/>
          </w:tcPr>
          <w:p>
            <w:pPr>
              <w:jc w:val="right"/>
            </w:pPr>
            <w:r>
              <w:rPr>
                <w:color w:val="000000"/>
                <w:sz w:val="24"/>
              </w:rPr>
              <w:t>369,899.80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688508</w:t>
            </w:r>
          </w:p>
        </w:tc>
        <w:tc>
          <w:tcPr>
            <w:tcW w:w="1701" w:type="dxa"/>
            <w:vAlign w:val="center"/>
          </w:tcPr>
          <w:p>
            <w:pPr>
              <w:jc w:val="center"/>
            </w:pPr>
            <w:r>
              <w:rPr>
                <w:color w:val="000000"/>
                <w:sz w:val="24"/>
              </w:rPr>
              <w:t>芯朋微</w:t>
            </w:r>
          </w:p>
        </w:tc>
        <w:tc>
          <w:tcPr>
            <w:tcW w:w="1559" w:type="dxa"/>
            <w:vAlign w:val="center"/>
          </w:tcPr>
          <w:p>
            <w:pPr>
              <w:jc w:val="right"/>
            </w:pPr>
            <w:r>
              <w:rPr>
                <w:color w:val="000000"/>
                <w:sz w:val="24"/>
              </w:rPr>
              <w:t>3,729</w:t>
            </w:r>
          </w:p>
        </w:tc>
        <w:tc>
          <w:tcPr>
            <w:tcW w:w="1932" w:type="dxa"/>
            <w:vAlign w:val="center"/>
          </w:tcPr>
          <w:p>
            <w:pPr>
              <w:jc w:val="right"/>
            </w:pPr>
            <w:r>
              <w:rPr>
                <w:color w:val="000000"/>
                <w:sz w:val="24"/>
              </w:rPr>
              <w:t>342,732.39</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300896</w:t>
            </w:r>
          </w:p>
        </w:tc>
        <w:tc>
          <w:tcPr>
            <w:tcW w:w="1701" w:type="dxa"/>
            <w:vAlign w:val="center"/>
          </w:tcPr>
          <w:p>
            <w:pPr>
              <w:jc w:val="center"/>
            </w:pPr>
            <w:r>
              <w:rPr>
                <w:color w:val="000000"/>
                <w:sz w:val="24"/>
              </w:rPr>
              <w:t>爱美客</w:t>
            </w:r>
          </w:p>
        </w:tc>
        <w:tc>
          <w:tcPr>
            <w:tcW w:w="1559" w:type="dxa"/>
            <w:vAlign w:val="center"/>
          </w:tcPr>
          <w:p>
            <w:pPr>
              <w:jc w:val="right"/>
            </w:pPr>
            <w:r>
              <w:rPr>
                <w:color w:val="000000"/>
                <w:sz w:val="24"/>
              </w:rPr>
              <w:t>473</w:t>
            </w:r>
          </w:p>
        </w:tc>
        <w:tc>
          <w:tcPr>
            <w:tcW w:w="1932" w:type="dxa"/>
            <w:vAlign w:val="center"/>
          </w:tcPr>
          <w:p>
            <w:pPr>
              <w:jc w:val="right"/>
            </w:pPr>
            <w:r>
              <w:rPr>
                <w:color w:val="000000"/>
                <w:sz w:val="24"/>
              </w:rPr>
              <w:t>285,389.28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688558</w:t>
            </w:r>
          </w:p>
        </w:tc>
        <w:tc>
          <w:tcPr>
            <w:tcW w:w="1701" w:type="dxa"/>
            <w:vAlign w:val="center"/>
          </w:tcPr>
          <w:p>
            <w:pPr>
              <w:jc w:val="center"/>
            </w:pPr>
            <w:r>
              <w:rPr>
                <w:color w:val="000000"/>
                <w:sz w:val="24"/>
              </w:rPr>
              <w:t>国盛智科</w:t>
            </w:r>
          </w:p>
        </w:tc>
        <w:tc>
          <w:tcPr>
            <w:tcW w:w="1559" w:type="dxa"/>
            <w:vAlign w:val="center"/>
          </w:tcPr>
          <w:p>
            <w:pPr>
              <w:jc w:val="right"/>
            </w:pPr>
            <w:r>
              <w:rPr>
                <w:color w:val="000000"/>
                <w:sz w:val="24"/>
              </w:rPr>
              <w:t>8,488</w:t>
            </w:r>
          </w:p>
        </w:tc>
        <w:tc>
          <w:tcPr>
            <w:tcW w:w="1932" w:type="dxa"/>
            <w:vAlign w:val="center"/>
          </w:tcPr>
          <w:p>
            <w:pPr>
              <w:jc w:val="right"/>
            </w:pPr>
            <w:r>
              <w:rPr>
                <w:color w:val="000000"/>
                <w:sz w:val="24"/>
              </w:rPr>
              <w:t>226,544.72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688127</w:t>
            </w:r>
          </w:p>
        </w:tc>
        <w:tc>
          <w:tcPr>
            <w:tcW w:w="1701" w:type="dxa"/>
            <w:vAlign w:val="center"/>
          </w:tcPr>
          <w:p>
            <w:pPr>
              <w:jc w:val="center"/>
            </w:pPr>
            <w:r>
              <w:rPr>
                <w:color w:val="000000"/>
                <w:sz w:val="24"/>
              </w:rPr>
              <w:t>蓝特光学</w:t>
            </w:r>
          </w:p>
        </w:tc>
        <w:tc>
          <w:tcPr>
            <w:tcW w:w="1559" w:type="dxa"/>
            <w:vAlign w:val="center"/>
          </w:tcPr>
          <w:p>
            <w:pPr>
              <w:jc w:val="right"/>
            </w:pPr>
            <w:r>
              <w:rPr>
                <w:color w:val="000000"/>
                <w:sz w:val="24"/>
              </w:rPr>
              <w:t>5,322</w:t>
            </w:r>
          </w:p>
        </w:tc>
        <w:tc>
          <w:tcPr>
            <w:tcW w:w="1932" w:type="dxa"/>
            <w:vAlign w:val="center"/>
          </w:tcPr>
          <w:p>
            <w:pPr>
              <w:jc w:val="right"/>
            </w:pPr>
            <w:r>
              <w:rPr>
                <w:color w:val="000000"/>
                <w:sz w:val="24"/>
              </w:rPr>
              <w:t>178,819.20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688510</w:t>
            </w:r>
          </w:p>
        </w:tc>
        <w:tc>
          <w:tcPr>
            <w:tcW w:w="1701" w:type="dxa"/>
            <w:vAlign w:val="center"/>
          </w:tcPr>
          <w:p>
            <w:pPr>
              <w:jc w:val="center"/>
            </w:pPr>
            <w:r>
              <w:rPr>
                <w:color w:val="000000"/>
                <w:sz w:val="24"/>
              </w:rPr>
              <w:t>航亚科技</w:t>
            </w:r>
          </w:p>
        </w:tc>
        <w:tc>
          <w:tcPr>
            <w:tcW w:w="1559" w:type="dxa"/>
            <w:vAlign w:val="center"/>
          </w:tcPr>
          <w:p>
            <w:pPr>
              <w:jc w:val="right"/>
            </w:pPr>
            <w:r>
              <w:rPr>
                <w:color w:val="000000"/>
                <w:sz w:val="24"/>
              </w:rPr>
              <w:t>5,991</w:t>
            </w:r>
          </w:p>
        </w:tc>
        <w:tc>
          <w:tcPr>
            <w:tcW w:w="1932" w:type="dxa"/>
            <w:vAlign w:val="center"/>
          </w:tcPr>
          <w:p>
            <w:pPr>
              <w:jc w:val="right"/>
            </w:pPr>
            <w:r>
              <w:rPr>
                <w:color w:val="000000"/>
                <w:sz w:val="24"/>
              </w:rPr>
              <w:t>152,950.23</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688528</w:t>
            </w:r>
          </w:p>
        </w:tc>
        <w:tc>
          <w:tcPr>
            <w:tcW w:w="1701" w:type="dxa"/>
            <w:vAlign w:val="center"/>
          </w:tcPr>
          <w:p>
            <w:pPr>
              <w:jc w:val="center"/>
            </w:pPr>
            <w:r>
              <w:rPr>
                <w:color w:val="000000"/>
                <w:sz w:val="24"/>
              </w:rPr>
              <w:t>秦川物联</w:t>
            </w:r>
          </w:p>
        </w:tc>
        <w:tc>
          <w:tcPr>
            <w:tcW w:w="1559" w:type="dxa"/>
            <w:vAlign w:val="center"/>
          </w:tcPr>
          <w:p>
            <w:pPr>
              <w:jc w:val="right"/>
            </w:pPr>
            <w:r>
              <w:rPr>
                <w:color w:val="000000"/>
                <w:sz w:val="24"/>
              </w:rPr>
              <w:t>8,337</w:t>
            </w:r>
          </w:p>
        </w:tc>
        <w:tc>
          <w:tcPr>
            <w:tcW w:w="1932" w:type="dxa"/>
            <w:vAlign w:val="center"/>
          </w:tcPr>
          <w:p>
            <w:pPr>
              <w:jc w:val="right"/>
            </w:pPr>
            <w:r>
              <w:rPr>
                <w:color w:val="000000"/>
                <w:sz w:val="24"/>
              </w:rPr>
              <w:t>136,226.58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603199</w:t>
            </w:r>
          </w:p>
        </w:tc>
        <w:tc>
          <w:tcPr>
            <w:tcW w:w="1701" w:type="dxa"/>
            <w:vAlign w:val="center"/>
          </w:tcPr>
          <w:p>
            <w:pPr>
              <w:jc w:val="center"/>
            </w:pPr>
            <w:r>
              <w:rPr>
                <w:color w:val="000000"/>
                <w:sz w:val="24"/>
              </w:rPr>
              <w:t>九华旅游</w:t>
            </w:r>
          </w:p>
        </w:tc>
        <w:tc>
          <w:tcPr>
            <w:tcW w:w="1559" w:type="dxa"/>
            <w:vAlign w:val="center"/>
          </w:tcPr>
          <w:p>
            <w:pPr>
              <w:jc w:val="right"/>
            </w:pPr>
            <w:r>
              <w:rPr>
                <w:color w:val="000000"/>
                <w:sz w:val="24"/>
              </w:rPr>
              <w:t>6,789</w:t>
            </w:r>
          </w:p>
        </w:tc>
        <w:tc>
          <w:tcPr>
            <w:tcW w:w="1932" w:type="dxa"/>
            <w:vAlign w:val="center"/>
          </w:tcPr>
          <w:p>
            <w:pPr>
              <w:jc w:val="right"/>
            </w:pPr>
            <w:r>
              <w:rPr>
                <w:color w:val="000000"/>
                <w:sz w:val="24"/>
              </w:rPr>
              <w:t>131,706.60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1,673</w:t>
            </w:r>
          </w:p>
        </w:tc>
        <w:tc>
          <w:tcPr>
            <w:tcW w:w="1932" w:type="dxa"/>
            <w:vAlign w:val="center"/>
          </w:tcPr>
          <w:p>
            <w:pPr>
              <w:jc w:val="right"/>
            </w:pPr>
            <w:r>
              <w:rPr>
                <w:color w:val="000000"/>
                <w:sz w:val="24"/>
              </w:rPr>
              <w:t>124,571.58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688013</w:t>
            </w:r>
          </w:p>
        </w:tc>
        <w:tc>
          <w:tcPr>
            <w:tcW w:w="1701" w:type="dxa"/>
            <w:vAlign w:val="center"/>
          </w:tcPr>
          <w:p>
            <w:pPr>
              <w:jc w:val="center"/>
            </w:pPr>
            <w:r>
              <w:rPr>
                <w:color w:val="000000"/>
                <w:sz w:val="24"/>
              </w:rPr>
              <w:t>天臣医疗</w:t>
            </w:r>
          </w:p>
        </w:tc>
        <w:tc>
          <w:tcPr>
            <w:tcW w:w="1559" w:type="dxa"/>
            <w:vAlign w:val="center"/>
          </w:tcPr>
          <w:p>
            <w:pPr>
              <w:jc w:val="right"/>
            </w:pPr>
            <w:r>
              <w:rPr>
                <w:color w:val="000000"/>
                <w:sz w:val="24"/>
              </w:rPr>
              <w:t>3,022</w:t>
            </w:r>
          </w:p>
        </w:tc>
        <w:tc>
          <w:tcPr>
            <w:tcW w:w="1932" w:type="dxa"/>
            <w:vAlign w:val="center"/>
          </w:tcPr>
          <w:p>
            <w:pPr>
              <w:jc w:val="right"/>
            </w:pPr>
            <w:r>
              <w:rPr>
                <w:color w:val="000000"/>
                <w:sz w:val="24"/>
              </w:rPr>
              <w:t>86,670.96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000888</w:t>
            </w:r>
          </w:p>
        </w:tc>
        <w:tc>
          <w:tcPr>
            <w:tcW w:w="1701" w:type="dxa"/>
            <w:vAlign w:val="center"/>
          </w:tcPr>
          <w:p>
            <w:pPr>
              <w:jc w:val="center"/>
            </w:pPr>
            <w:r>
              <w:rPr>
                <w:color w:val="000000"/>
                <w:sz w:val="24"/>
              </w:rPr>
              <w:t>峨眉山A</w:t>
            </w:r>
          </w:p>
        </w:tc>
        <w:tc>
          <w:tcPr>
            <w:tcW w:w="1559" w:type="dxa"/>
            <w:vAlign w:val="center"/>
          </w:tcPr>
          <w:p>
            <w:pPr>
              <w:jc w:val="right"/>
            </w:pPr>
            <w:r>
              <w:rPr>
                <w:color w:val="000000"/>
                <w:sz w:val="24"/>
              </w:rPr>
              <w:t>12,388</w:t>
            </w:r>
          </w:p>
        </w:tc>
        <w:tc>
          <w:tcPr>
            <w:tcW w:w="1932" w:type="dxa"/>
            <w:vAlign w:val="center"/>
          </w:tcPr>
          <w:p>
            <w:pPr>
              <w:jc w:val="right"/>
            </w:pPr>
            <w:r>
              <w:rPr>
                <w:color w:val="000000"/>
                <w:sz w:val="24"/>
              </w:rPr>
              <w:t>74,328.00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688056</w:t>
            </w:r>
          </w:p>
        </w:tc>
        <w:tc>
          <w:tcPr>
            <w:tcW w:w="1701" w:type="dxa"/>
            <w:vAlign w:val="center"/>
          </w:tcPr>
          <w:p>
            <w:pPr>
              <w:jc w:val="center"/>
            </w:pPr>
            <w:r>
              <w:rPr>
                <w:color w:val="000000"/>
                <w:sz w:val="24"/>
              </w:rPr>
              <w:t>莱伯泰科</w:t>
            </w:r>
          </w:p>
        </w:tc>
        <w:tc>
          <w:tcPr>
            <w:tcW w:w="1559" w:type="dxa"/>
            <w:vAlign w:val="center"/>
          </w:tcPr>
          <w:p>
            <w:pPr>
              <w:jc w:val="right"/>
            </w:pPr>
            <w:r>
              <w:rPr>
                <w:color w:val="000000"/>
                <w:sz w:val="24"/>
              </w:rPr>
              <w:t>2,010</w:t>
            </w:r>
          </w:p>
        </w:tc>
        <w:tc>
          <w:tcPr>
            <w:tcW w:w="1932" w:type="dxa"/>
            <w:vAlign w:val="center"/>
          </w:tcPr>
          <w:p>
            <w:pPr>
              <w:jc w:val="right"/>
            </w:pPr>
            <w:r>
              <w:rPr>
                <w:color w:val="000000"/>
                <w:sz w:val="24"/>
              </w:rPr>
              <w:t>61,425.60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381</w:t>
            </w:r>
          </w:p>
        </w:tc>
        <w:tc>
          <w:tcPr>
            <w:tcW w:w="1932" w:type="dxa"/>
            <w:vAlign w:val="center"/>
          </w:tcPr>
          <w:p>
            <w:pPr>
              <w:jc w:val="right"/>
            </w:pPr>
            <w:r>
              <w:rPr>
                <w:color w:val="000000"/>
                <w:sz w:val="24"/>
              </w:rPr>
              <w:t>48,261.27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895</w:t>
            </w:r>
          </w:p>
        </w:tc>
        <w:tc>
          <w:tcPr>
            <w:tcW w:w="1932" w:type="dxa"/>
            <w:vAlign w:val="center"/>
          </w:tcPr>
          <w:p>
            <w:pPr>
              <w:jc w:val="right"/>
            </w:pPr>
            <w:r>
              <w:rPr>
                <w:color w:val="000000"/>
                <w:sz w:val="24"/>
              </w:rPr>
              <w:t>45,734.50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871</w:t>
            </w:r>
          </w:p>
        </w:tc>
        <w:tc>
          <w:tcPr>
            <w:tcW w:w="1932" w:type="dxa"/>
            <w:vAlign w:val="center"/>
          </w:tcPr>
          <w:p>
            <w:pPr>
              <w:jc w:val="right"/>
            </w:pPr>
            <w:r>
              <w:rPr>
                <w:color w:val="000000"/>
                <w:sz w:val="24"/>
              </w:rPr>
              <w:t>32,958.64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478</w:t>
            </w:r>
          </w:p>
        </w:tc>
        <w:tc>
          <w:tcPr>
            <w:tcW w:w="1932" w:type="dxa"/>
            <w:vAlign w:val="center"/>
          </w:tcPr>
          <w:p>
            <w:pPr>
              <w:jc w:val="right"/>
            </w:pPr>
            <w:r>
              <w:rPr>
                <w:color w:val="000000"/>
                <w:sz w:val="24"/>
              </w:rPr>
              <w:t>31,390.26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879</w:t>
            </w:r>
          </w:p>
        </w:tc>
        <w:tc>
          <w:tcPr>
            <w:tcW w:w="1932" w:type="dxa"/>
            <w:vAlign w:val="center"/>
          </w:tcPr>
          <w:p>
            <w:pPr>
              <w:jc w:val="right"/>
            </w:pPr>
            <w:r>
              <w:rPr>
                <w:color w:val="000000"/>
                <w:sz w:val="24"/>
              </w:rPr>
              <w:t>29,147.64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569</w:t>
            </w:r>
          </w:p>
        </w:tc>
        <w:tc>
          <w:tcPr>
            <w:tcW w:w="1932" w:type="dxa"/>
            <w:vAlign w:val="center"/>
          </w:tcPr>
          <w:p>
            <w:pPr>
              <w:jc w:val="right"/>
            </w:pPr>
            <w:r>
              <w:rPr>
                <w:color w:val="000000"/>
                <w:sz w:val="24"/>
              </w:rPr>
              <w:t>28,933.65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593</w:t>
            </w:r>
          </w:p>
        </w:tc>
        <w:tc>
          <w:tcPr>
            <w:tcW w:w="1932" w:type="dxa"/>
            <w:vAlign w:val="center"/>
          </w:tcPr>
          <w:p>
            <w:pPr>
              <w:jc w:val="right"/>
            </w:pPr>
            <w:r>
              <w:rPr>
                <w:color w:val="000000"/>
                <w:sz w:val="24"/>
              </w:rPr>
              <w:t>25,665.04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484</w:t>
            </w:r>
          </w:p>
        </w:tc>
        <w:tc>
          <w:tcPr>
            <w:tcW w:w="1932" w:type="dxa"/>
            <w:vAlign w:val="center"/>
          </w:tcPr>
          <w:p>
            <w:pPr>
              <w:jc w:val="right"/>
            </w:pPr>
            <w:r>
              <w:rPr>
                <w:color w:val="000000"/>
                <w:sz w:val="24"/>
              </w:rPr>
              <w:t>19,998.88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401</w:t>
            </w:r>
          </w:p>
        </w:tc>
        <w:tc>
          <w:tcPr>
            <w:tcW w:w="1932" w:type="dxa"/>
            <w:vAlign w:val="center"/>
          </w:tcPr>
          <w:p>
            <w:pPr>
              <w:jc w:val="right"/>
            </w:pPr>
            <w:r>
              <w:rPr>
                <w:color w:val="000000"/>
                <w:sz w:val="24"/>
              </w:rPr>
              <w:t>19,536.72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605186</w:t>
            </w:r>
          </w:p>
        </w:tc>
        <w:tc>
          <w:tcPr>
            <w:tcW w:w="1701" w:type="dxa"/>
            <w:vAlign w:val="center"/>
          </w:tcPr>
          <w:p>
            <w:pPr>
              <w:jc w:val="center"/>
            </w:pPr>
            <w:r>
              <w:rPr>
                <w:color w:val="000000"/>
                <w:sz w:val="24"/>
              </w:rPr>
              <w:t>健麾信息</w:t>
            </w:r>
          </w:p>
        </w:tc>
        <w:tc>
          <w:tcPr>
            <w:tcW w:w="1559" w:type="dxa"/>
            <w:vAlign w:val="center"/>
          </w:tcPr>
          <w:p>
            <w:pPr>
              <w:jc w:val="right"/>
            </w:pPr>
            <w:r>
              <w:rPr>
                <w:color w:val="000000"/>
                <w:sz w:val="24"/>
              </w:rPr>
              <w:t>626</w:t>
            </w:r>
          </w:p>
        </w:tc>
        <w:tc>
          <w:tcPr>
            <w:tcW w:w="1932" w:type="dxa"/>
            <w:vAlign w:val="center"/>
          </w:tcPr>
          <w:p>
            <w:pPr>
              <w:jc w:val="right"/>
            </w:pPr>
            <w:r>
              <w:rPr>
                <w:color w:val="000000"/>
                <w:sz w:val="24"/>
              </w:rPr>
              <w:t>17,609.38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499</w:t>
            </w:r>
          </w:p>
        </w:tc>
        <w:tc>
          <w:tcPr>
            <w:tcW w:w="1932" w:type="dxa"/>
            <w:vAlign w:val="center"/>
          </w:tcPr>
          <w:p>
            <w:pPr>
              <w:jc w:val="right"/>
            </w:pPr>
            <w:r>
              <w:rPr>
                <w:color w:val="000000"/>
                <w:sz w:val="24"/>
              </w:rPr>
              <w:t>16,721.49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272</w:t>
            </w:r>
          </w:p>
        </w:tc>
        <w:tc>
          <w:tcPr>
            <w:tcW w:w="1932" w:type="dxa"/>
            <w:vAlign w:val="center"/>
          </w:tcPr>
          <w:p>
            <w:pPr>
              <w:jc w:val="right"/>
            </w:pPr>
            <w:r>
              <w:rPr>
                <w:color w:val="000000"/>
                <w:sz w:val="24"/>
              </w:rPr>
              <w:t>16,322.72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386</w:t>
            </w:r>
          </w:p>
        </w:tc>
        <w:tc>
          <w:tcPr>
            <w:tcW w:w="1932" w:type="dxa"/>
            <w:vAlign w:val="center"/>
          </w:tcPr>
          <w:p>
            <w:pPr>
              <w:jc w:val="right"/>
            </w:pPr>
            <w:r>
              <w:rPr>
                <w:color w:val="000000"/>
                <w:sz w:val="24"/>
              </w:rPr>
              <w:t>15,698.62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210</w:t>
            </w:r>
          </w:p>
        </w:tc>
        <w:tc>
          <w:tcPr>
            <w:tcW w:w="1932" w:type="dxa"/>
            <w:vAlign w:val="center"/>
          </w:tcPr>
          <w:p>
            <w:pPr>
              <w:jc w:val="right"/>
            </w:pPr>
            <w:r>
              <w:rPr>
                <w:color w:val="000000"/>
                <w:sz w:val="24"/>
              </w:rPr>
              <w:t>15,649.20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166</w:t>
            </w:r>
          </w:p>
        </w:tc>
        <w:tc>
          <w:tcPr>
            <w:tcW w:w="1932" w:type="dxa"/>
            <w:vAlign w:val="center"/>
          </w:tcPr>
          <w:p>
            <w:pPr>
              <w:jc w:val="right"/>
            </w:pPr>
            <w:r>
              <w:rPr>
                <w:color w:val="000000"/>
                <w:sz w:val="24"/>
              </w:rPr>
              <w:t>15,081.10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605377</w:t>
            </w:r>
          </w:p>
        </w:tc>
        <w:tc>
          <w:tcPr>
            <w:tcW w:w="1701" w:type="dxa"/>
            <w:vAlign w:val="center"/>
          </w:tcPr>
          <w:p>
            <w:pPr>
              <w:jc w:val="center"/>
            </w:pPr>
            <w:r>
              <w:rPr>
                <w:color w:val="000000"/>
                <w:sz w:val="24"/>
              </w:rPr>
              <w:t>华旺科技</w:t>
            </w:r>
          </w:p>
        </w:tc>
        <w:tc>
          <w:tcPr>
            <w:tcW w:w="1559" w:type="dxa"/>
            <w:vAlign w:val="center"/>
          </w:tcPr>
          <w:p>
            <w:pPr>
              <w:jc w:val="right"/>
            </w:pPr>
            <w:r>
              <w:rPr>
                <w:color w:val="000000"/>
                <w:sz w:val="24"/>
              </w:rPr>
              <w:t>750</w:t>
            </w:r>
          </w:p>
        </w:tc>
        <w:tc>
          <w:tcPr>
            <w:tcW w:w="1932" w:type="dxa"/>
            <w:vAlign w:val="center"/>
          </w:tcPr>
          <w:p>
            <w:pPr>
              <w:jc w:val="right"/>
            </w:pPr>
            <w:r>
              <w:rPr>
                <w:color w:val="000000"/>
                <w:sz w:val="24"/>
              </w:rPr>
              <w:t>14,977.50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479</w:t>
            </w:r>
          </w:p>
        </w:tc>
        <w:tc>
          <w:tcPr>
            <w:tcW w:w="1932" w:type="dxa"/>
            <w:vAlign w:val="center"/>
          </w:tcPr>
          <w:p>
            <w:pPr>
              <w:jc w:val="right"/>
            </w:pPr>
            <w:r>
              <w:rPr>
                <w:color w:val="000000"/>
                <w:sz w:val="24"/>
              </w:rPr>
              <w:t>14,427.48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353</w:t>
            </w:r>
          </w:p>
        </w:tc>
        <w:tc>
          <w:tcPr>
            <w:tcW w:w="1932" w:type="dxa"/>
            <w:vAlign w:val="center"/>
          </w:tcPr>
          <w:p>
            <w:pPr>
              <w:jc w:val="right"/>
            </w:pPr>
            <w:r>
              <w:rPr>
                <w:color w:val="000000"/>
                <w:sz w:val="24"/>
              </w:rPr>
              <w:t>13,177.49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76</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77</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78</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79</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80</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81</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82</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83</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1,063</w:t>
            </w:r>
          </w:p>
        </w:tc>
        <w:tc>
          <w:tcPr>
            <w:tcW w:w="1932" w:type="dxa"/>
            <w:vAlign w:val="center"/>
          </w:tcPr>
          <w:p>
            <w:pPr>
              <w:jc w:val="right"/>
            </w:pPr>
            <w:r>
              <w:rPr>
                <w:color w:val="000000"/>
                <w:sz w:val="24"/>
              </w:rPr>
              <w:t>9,503.22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84</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85</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287</w:t>
            </w:r>
          </w:p>
        </w:tc>
        <w:tc>
          <w:tcPr>
            <w:tcW w:w="1932" w:type="dxa"/>
            <w:vAlign w:val="center"/>
          </w:tcPr>
          <w:p>
            <w:pPr>
              <w:jc w:val="right"/>
            </w:pPr>
            <w:r>
              <w:rPr>
                <w:color w:val="000000"/>
                <w:sz w:val="24"/>
              </w:rPr>
              <w:t>9,063.46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86</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281</w:t>
            </w:r>
          </w:p>
        </w:tc>
        <w:tc>
          <w:tcPr>
            <w:tcW w:w="1932" w:type="dxa"/>
            <w:vAlign w:val="center"/>
          </w:tcPr>
          <w:p>
            <w:pPr>
              <w:jc w:val="right"/>
            </w:pPr>
            <w:r>
              <w:rPr>
                <w:color w:val="000000"/>
                <w:sz w:val="24"/>
              </w:rPr>
              <w:t>8,975.14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87</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88</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89</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90</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3" w:name="_Toc361324882"/>
      <w:bookmarkStart w:id="214" w:name="_Toc67591840"/>
      <w:r>
        <w:rPr>
          <w:rFonts w:ascii="Times New Roman" w:hAnsi="Times New Roman"/>
          <w:kern w:val="0"/>
          <w:szCs w:val="24"/>
        </w:rPr>
        <w:t>8.4</w:t>
      </w:r>
      <w:bookmarkStart w:id="215" w:name="_Toc234814103"/>
      <w:r>
        <w:rPr>
          <w:rFonts w:hint="eastAsia" w:ascii="Times New Roman" w:hAnsi="Times New Roman"/>
          <w:kern w:val="0"/>
          <w:szCs w:val="24"/>
        </w:rPr>
        <w:t>报告期内股票投资组合的重大变动</w:t>
      </w:r>
      <w:bookmarkEnd w:id="213"/>
      <w:bookmarkEnd w:id="214"/>
      <w:bookmarkEnd w:id="215"/>
    </w:p>
    <w:p>
      <w:pPr>
        <w:pStyle w:val="3"/>
        <w:spacing w:before="29" w:after="0" w:line="288" w:lineRule="auto"/>
        <w:rPr>
          <w:rFonts w:ascii="Times New Roman" w:hAnsi="Times New Roman"/>
          <w:kern w:val="0"/>
          <w:szCs w:val="24"/>
        </w:rPr>
      </w:pPr>
      <w:bookmarkStart w:id="216" w:name="_Toc67591841"/>
      <w:r>
        <w:rPr>
          <w:rFonts w:ascii="Times New Roman" w:hAnsi="Times New Roman"/>
          <w:kern w:val="0"/>
          <w:szCs w:val="24"/>
        </w:rPr>
        <w:t>8.4.1</w:t>
      </w:r>
      <w:r>
        <w:rPr>
          <w:rFonts w:hint="eastAsia" w:ascii="Times New Roman" w:hAnsi="Times New Roman"/>
          <w:kern w:val="0"/>
          <w:szCs w:val="24"/>
        </w:rPr>
        <w:t>累计买入金额超出期初基金资产净值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496,228,379.05</w:t>
            </w:r>
          </w:p>
        </w:tc>
        <w:tc>
          <w:tcPr>
            <w:tcW w:w="1620" w:type="dxa"/>
            <w:vAlign w:val="center"/>
          </w:tcPr>
          <w:p>
            <w:pPr>
              <w:jc w:val="right"/>
            </w:pPr>
            <w:r>
              <w:rPr>
                <w:color w:val="000000"/>
                <w:sz w:val="24"/>
              </w:rPr>
              <w:t>13.04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488,514,772.93</w:t>
            </w:r>
          </w:p>
        </w:tc>
        <w:tc>
          <w:tcPr>
            <w:tcW w:w="1620" w:type="dxa"/>
            <w:vAlign w:val="center"/>
          </w:tcPr>
          <w:p>
            <w:pPr>
              <w:jc w:val="right"/>
            </w:pPr>
            <w:r>
              <w:rPr>
                <w:color w:val="000000"/>
                <w:sz w:val="24"/>
              </w:rPr>
              <w:t>12.83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002050</w:t>
            </w:r>
          </w:p>
        </w:tc>
        <w:tc>
          <w:tcPr>
            <w:tcW w:w="1980" w:type="dxa"/>
            <w:vAlign w:val="center"/>
          </w:tcPr>
          <w:p>
            <w:pPr>
              <w:jc w:val="center"/>
            </w:pPr>
            <w:r>
              <w:rPr>
                <w:color w:val="000000"/>
                <w:sz w:val="24"/>
              </w:rPr>
              <w:t>三花智控</w:t>
            </w:r>
          </w:p>
        </w:tc>
        <w:tc>
          <w:tcPr>
            <w:tcW w:w="2880" w:type="dxa"/>
            <w:vAlign w:val="center"/>
          </w:tcPr>
          <w:p>
            <w:pPr>
              <w:jc w:val="right"/>
            </w:pPr>
            <w:r>
              <w:rPr>
                <w:color w:val="000000"/>
                <w:sz w:val="24"/>
              </w:rPr>
              <w:t>442,744,963.43</w:t>
            </w:r>
          </w:p>
        </w:tc>
        <w:tc>
          <w:tcPr>
            <w:tcW w:w="1620" w:type="dxa"/>
            <w:vAlign w:val="center"/>
          </w:tcPr>
          <w:p>
            <w:pPr>
              <w:jc w:val="right"/>
            </w:pPr>
            <w:r>
              <w:rPr>
                <w:color w:val="000000"/>
                <w:sz w:val="24"/>
              </w:rPr>
              <w:t>11.63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000961</w:t>
            </w:r>
          </w:p>
        </w:tc>
        <w:tc>
          <w:tcPr>
            <w:tcW w:w="1980" w:type="dxa"/>
            <w:vAlign w:val="center"/>
          </w:tcPr>
          <w:p>
            <w:pPr>
              <w:jc w:val="center"/>
            </w:pPr>
            <w:r>
              <w:rPr>
                <w:color w:val="000000"/>
                <w:sz w:val="24"/>
              </w:rPr>
              <w:t>中南建设</w:t>
            </w:r>
          </w:p>
        </w:tc>
        <w:tc>
          <w:tcPr>
            <w:tcW w:w="2880" w:type="dxa"/>
            <w:vAlign w:val="center"/>
          </w:tcPr>
          <w:p>
            <w:pPr>
              <w:jc w:val="right"/>
            </w:pPr>
            <w:r>
              <w:rPr>
                <w:color w:val="000000"/>
                <w:sz w:val="24"/>
              </w:rPr>
              <w:t>339,155,976.25</w:t>
            </w:r>
          </w:p>
        </w:tc>
        <w:tc>
          <w:tcPr>
            <w:tcW w:w="1620" w:type="dxa"/>
            <w:vAlign w:val="center"/>
          </w:tcPr>
          <w:p>
            <w:pPr>
              <w:jc w:val="right"/>
            </w:pPr>
            <w:r>
              <w:rPr>
                <w:color w:val="000000"/>
                <w:sz w:val="24"/>
              </w:rPr>
              <w:t>8.91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5</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331,989,098.08</w:t>
            </w:r>
          </w:p>
        </w:tc>
        <w:tc>
          <w:tcPr>
            <w:tcW w:w="1620" w:type="dxa"/>
            <w:vAlign w:val="center"/>
          </w:tcPr>
          <w:p>
            <w:pPr>
              <w:jc w:val="right"/>
            </w:pPr>
            <w:r>
              <w:rPr>
                <w:color w:val="000000"/>
                <w:sz w:val="24"/>
              </w:rPr>
              <w:t>8.72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600036</w:t>
            </w:r>
          </w:p>
        </w:tc>
        <w:tc>
          <w:tcPr>
            <w:tcW w:w="1980" w:type="dxa"/>
            <w:vAlign w:val="center"/>
          </w:tcPr>
          <w:p>
            <w:pPr>
              <w:jc w:val="center"/>
            </w:pPr>
            <w:r>
              <w:rPr>
                <w:color w:val="000000"/>
                <w:sz w:val="24"/>
              </w:rPr>
              <w:t>招商银行</w:t>
            </w:r>
          </w:p>
        </w:tc>
        <w:tc>
          <w:tcPr>
            <w:tcW w:w="2880" w:type="dxa"/>
            <w:vAlign w:val="center"/>
          </w:tcPr>
          <w:p>
            <w:pPr>
              <w:jc w:val="right"/>
            </w:pPr>
            <w:r>
              <w:rPr>
                <w:color w:val="000000"/>
                <w:sz w:val="24"/>
              </w:rPr>
              <w:t>322,646,188.70</w:t>
            </w:r>
          </w:p>
        </w:tc>
        <w:tc>
          <w:tcPr>
            <w:tcW w:w="1620" w:type="dxa"/>
            <w:vAlign w:val="center"/>
          </w:tcPr>
          <w:p>
            <w:pPr>
              <w:jc w:val="right"/>
            </w:pPr>
            <w:r>
              <w:rPr>
                <w:color w:val="000000"/>
                <w:sz w:val="24"/>
              </w:rPr>
              <w:t>8.48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322,207,018.38</w:t>
            </w:r>
          </w:p>
        </w:tc>
        <w:tc>
          <w:tcPr>
            <w:tcW w:w="1620" w:type="dxa"/>
            <w:vAlign w:val="center"/>
          </w:tcPr>
          <w:p>
            <w:pPr>
              <w:jc w:val="right"/>
            </w:pPr>
            <w:r>
              <w:rPr>
                <w:color w:val="000000"/>
                <w:sz w:val="24"/>
              </w:rPr>
              <w:t>8.46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8</w:t>
            </w:r>
          </w:p>
        </w:tc>
        <w:tc>
          <w:tcPr>
            <w:tcW w:w="1650" w:type="dxa"/>
            <w:vAlign w:val="center"/>
          </w:tcPr>
          <w:p>
            <w:pPr>
              <w:jc w:val="center"/>
            </w:pPr>
            <w:r>
              <w:rPr>
                <w:color w:val="000000"/>
                <w:sz w:val="24"/>
              </w:rPr>
              <w:t>300271</w:t>
            </w:r>
          </w:p>
        </w:tc>
        <w:tc>
          <w:tcPr>
            <w:tcW w:w="1980" w:type="dxa"/>
            <w:vAlign w:val="center"/>
          </w:tcPr>
          <w:p>
            <w:pPr>
              <w:jc w:val="center"/>
            </w:pPr>
            <w:r>
              <w:rPr>
                <w:color w:val="000000"/>
                <w:sz w:val="24"/>
              </w:rPr>
              <w:t>华宇软件</w:t>
            </w:r>
          </w:p>
        </w:tc>
        <w:tc>
          <w:tcPr>
            <w:tcW w:w="2880" w:type="dxa"/>
            <w:vAlign w:val="center"/>
          </w:tcPr>
          <w:p>
            <w:pPr>
              <w:jc w:val="right"/>
            </w:pPr>
            <w:r>
              <w:rPr>
                <w:color w:val="000000"/>
                <w:sz w:val="24"/>
              </w:rPr>
              <w:t>315,295,208.40</w:t>
            </w:r>
          </w:p>
        </w:tc>
        <w:tc>
          <w:tcPr>
            <w:tcW w:w="1620" w:type="dxa"/>
            <w:vAlign w:val="center"/>
          </w:tcPr>
          <w:p>
            <w:pPr>
              <w:jc w:val="right"/>
            </w:pPr>
            <w:r>
              <w:rPr>
                <w:color w:val="000000"/>
                <w:sz w:val="24"/>
              </w:rPr>
              <w:t>8.28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002831</w:t>
            </w:r>
          </w:p>
        </w:tc>
        <w:tc>
          <w:tcPr>
            <w:tcW w:w="1980" w:type="dxa"/>
            <w:vAlign w:val="center"/>
          </w:tcPr>
          <w:p>
            <w:pPr>
              <w:jc w:val="center"/>
            </w:pPr>
            <w:r>
              <w:rPr>
                <w:color w:val="000000"/>
                <w:sz w:val="24"/>
              </w:rPr>
              <w:t>裕同科技</w:t>
            </w:r>
          </w:p>
        </w:tc>
        <w:tc>
          <w:tcPr>
            <w:tcW w:w="2880" w:type="dxa"/>
            <w:vAlign w:val="center"/>
          </w:tcPr>
          <w:p>
            <w:pPr>
              <w:jc w:val="right"/>
            </w:pPr>
            <w:r>
              <w:rPr>
                <w:color w:val="000000"/>
                <w:sz w:val="24"/>
              </w:rPr>
              <w:t>290,782,219.35</w:t>
            </w:r>
          </w:p>
        </w:tc>
        <w:tc>
          <w:tcPr>
            <w:tcW w:w="1620" w:type="dxa"/>
            <w:vAlign w:val="center"/>
          </w:tcPr>
          <w:p>
            <w:pPr>
              <w:jc w:val="right"/>
            </w:pPr>
            <w:r>
              <w:rPr>
                <w:color w:val="000000"/>
                <w:sz w:val="24"/>
              </w:rPr>
              <w:t>7.64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287,511,756.23</w:t>
            </w:r>
          </w:p>
        </w:tc>
        <w:tc>
          <w:tcPr>
            <w:tcW w:w="1620" w:type="dxa"/>
            <w:vAlign w:val="center"/>
          </w:tcPr>
          <w:p>
            <w:pPr>
              <w:jc w:val="right"/>
            </w:pPr>
            <w:r>
              <w:rPr>
                <w:color w:val="000000"/>
                <w:sz w:val="24"/>
              </w:rPr>
              <w:t>7.55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227,397,775.62</w:t>
            </w:r>
          </w:p>
        </w:tc>
        <w:tc>
          <w:tcPr>
            <w:tcW w:w="1620" w:type="dxa"/>
            <w:vAlign w:val="center"/>
          </w:tcPr>
          <w:p>
            <w:pPr>
              <w:jc w:val="right"/>
            </w:pPr>
            <w:r>
              <w:rPr>
                <w:color w:val="000000"/>
                <w:sz w:val="24"/>
              </w:rPr>
              <w:t>5.97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002555</w:t>
            </w:r>
          </w:p>
        </w:tc>
        <w:tc>
          <w:tcPr>
            <w:tcW w:w="1980" w:type="dxa"/>
            <w:vAlign w:val="center"/>
          </w:tcPr>
          <w:p>
            <w:pPr>
              <w:jc w:val="center"/>
            </w:pPr>
            <w:r>
              <w:rPr>
                <w:color w:val="000000"/>
                <w:sz w:val="24"/>
              </w:rPr>
              <w:t>三七互娱</w:t>
            </w:r>
          </w:p>
        </w:tc>
        <w:tc>
          <w:tcPr>
            <w:tcW w:w="2880" w:type="dxa"/>
            <w:vAlign w:val="center"/>
          </w:tcPr>
          <w:p>
            <w:pPr>
              <w:jc w:val="right"/>
            </w:pPr>
            <w:r>
              <w:rPr>
                <w:color w:val="000000"/>
                <w:sz w:val="24"/>
              </w:rPr>
              <w:t>222,526,350.73</w:t>
            </w:r>
          </w:p>
        </w:tc>
        <w:tc>
          <w:tcPr>
            <w:tcW w:w="1620" w:type="dxa"/>
            <w:vAlign w:val="center"/>
          </w:tcPr>
          <w:p>
            <w:pPr>
              <w:jc w:val="right"/>
            </w:pPr>
            <w:r>
              <w:rPr>
                <w:color w:val="000000"/>
                <w:sz w:val="24"/>
              </w:rPr>
              <w:t>5.85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603129</w:t>
            </w:r>
          </w:p>
        </w:tc>
        <w:tc>
          <w:tcPr>
            <w:tcW w:w="1980" w:type="dxa"/>
            <w:vAlign w:val="center"/>
          </w:tcPr>
          <w:p>
            <w:pPr>
              <w:jc w:val="center"/>
            </w:pPr>
            <w:r>
              <w:rPr>
                <w:color w:val="000000"/>
                <w:sz w:val="24"/>
              </w:rPr>
              <w:t>春风动力</w:t>
            </w:r>
          </w:p>
        </w:tc>
        <w:tc>
          <w:tcPr>
            <w:tcW w:w="2880" w:type="dxa"/>
            <w:vAlign w:val="center"/>
          </w:tcPr>
          <w:p>
            <w:pPr>
              <w:jc w:val="right"/>
            </w:pPr>
            <w:r>
              <w:rPr>
                <w:color w:val="000000"/>
                <w:sz w:val="24"/>
              </w:rPr>
              <w:t>222,120,939.07</w:t>
            </w:r>
          </w:p>
        </w:tc>
        <w:tc>
          <w:tcPr>
            <w:tcW w:w="1620" w:type="dxa"/>
            <w:vAlign w:val="center"/>
          </w:tcPr>
          <w:p>
            <w:pPr>
              <w:jc w:val="right"/>
            </w:pPr>
            <w:r>
              <w:rPr>
                <w:color w:val="000000"/>
                <w:sz w:val="24"/>
              </w:rPr>
              <w:t>5.83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002810</w:t>
            </w:r>
          </w:p>
        </w:tc>
        <w:tc>
          <w:tcPr>
            <w:tcW w:w="1980" w:type="dxa"/>
            <w:vAlign w:val="center"/>
          </w:tcPr>
          <w:p>
            <w:pPr>
              <w:jc w:val="center"/>
            </w:pPr>
            <w:r>
              <w:rPr>
                <w:color w:val="000000"/>
                <w:sz w:val="24"/>
              </w:rPr>
              <w:t>山东赫达</w:t>
            </w:r>
          </w:p>
        </w:tc>
        <w:tc>
          <w:tcPr>
            <w:tcW w:w="2880" w:type="dxa"/>
            <w:vAlign w:val="center"/>
          </w:tcPr>
          <w:p>
            <w:pPr>
              <w:jc w:val="right"/>
            </w:pPr>
            <w:r>
              <w:rPr>
                <w:color w:val="000000"/>
                <w:sz w:val="24"/>
              </w:rPr>
              <w:t>219,092,958.44</w:t>
            </w:r>
          </w:p>
        </w:tc>
        <w:tc>
          <w:tcPr>
            <w:tcW w:w="1620" w:type="dxa"/>
            <w:vAlign w:val="center"/>
          </w:tcPr>
          <w:p>
            <w:pPr>
              <w:jc w:val="right"/>
            </w:pPr>
            <w:r>
              <w:rPr>
                <w:color w:val="000000"/>
                <w:sz w:val="24"/>
              </w:rPr>
              <w:t>5.76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300123</w:t>
            </w:r>
          </w:p>
        </w:tc>
        <w:tc>
          <w:tcPr>
            <w:tcW w:w="1980" w:type="dxa"/>
            <w:vAlign w:val="center"/>
          </w:tcPr>
          <w:p>
            <w:pPr>
              <w:jc w:val="center"/>
            </w:pPr>
            <w:r>
              <w:rPr>
                <w:color w:val="000000"/>
                <w:sz w:val="24"/>
              </w:rPr>
              <w:t>亚光科技</w:t>
            </w:r>
          </w:p>
        </w:tc>
        <w:tc>
          <w:tcPr>
            <w:tcW w:w="2880" w:type="dxa"/>
            <w:vAlign w:val="center"/>
          </w:tcPr>
          <w:p>
            <w:pPr>
              <w:jc w:val="right"/>
            </w:pPr>
            <w:r>
              <w:rPr>
                <w:color w:val="000000"/>
                <w:sz w:val="24"/>
              </w:rPr>
              <w:t>193,312,412.38</w:t>
            </w:r>
          </w:p>
        </w:tc>
        <w:tc>
          <w:tcPr>
            <w:tcW w:w="1620" w:type="dxa"/>
            <w:vAlign w:val="center"/>
          </w:tcPr>
          <w:p>
            <w:pPr>
              <w:jc w:val="right"/>
            </w:pPr>
            <w:r>
              <w:rPr>
                <w:color w:val="000000"/>
                <w:sz w:val="24"/>
              </w:rPr>
              <w:t>5.08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192,254,002.16</w:t>
            </w:r>
          </w:p>
        </w:tc>
        <w:tc>
          <w:tcPr>
            <w:tcW w:w="1620" w:type="dxa"/>
            <w:vAlign w:val="center"/>
          </w:tcPr>
          <w:p>
            <w:pPr>
              <w:jc w:val="right"/>
            </w:pPr>
            <w:r>
              <w:rPr>
                <w:color w:val="000000"/>
                <w:sz w:val="24"/>
              </w:rPr>
              <w:t>5.05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600009</w:t>
            </w:r>
          </w:p>
        </w:tc>
        <w:tc>
          <w:tcPr>
            <w:tcW w:w="1980" w:type="dxa"/>
            <w:vAlign w:val="center"/>
          </w:tcPr>
          <w:p>
            <w:pPr>
              <w:jc w:val="center"/>
            </w:pPr>
            <w:r>
              <w:rPr>
                <w:color w:val="000000"/>
                <w:sz w:val="24"/>
              </w:rPr>
              <w:t>上海机场</w:t>
            </w:r>
          </w:p>
        </w:tc>
        <w:tc>
          <w:tcPr>
            <w:tcW w:w="2880" w:type="dxa"/>
            <w:vAlign w:val="center"/>
          </w:tcPr>
          <w:p>
            <w:pPr>
              <w:jc w:val="right"/>
            </w:pPr>
            <w:r>
              <w:rPr>
                <w:color w:val="000000"/>
                <w:sz w:val="24"/>
              </w:rPr>
              <w:t>172,479,336.87</w:t>
            </w:r>
          </w:p>
        </w:tc>
        <w:tc>
          <w:tcPr>
            <w:tcW w:w="1620" w:type="dxa"/>
            <w:vAlign w:val="center"/>
          </w:tcPr>
          <w:p>
            <w:pPr>
              <w:jc w:val="right"/>
            </w:pPr>
            <w:r>
              <w:rPr>
                <w:color w:val="000000"/>
                <w:sz w:val="24"/>
              </w:rPr>
              <w:t>4.53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603816</w:t>
            </w:r>
          </w:p>
        </w:tc>
        <w:tc>
          <w:tcPr>
            <w:tcW w:w="1980" w:type="dxa"/>
            <w:vAlign w:val="center"/>
          </w:tcPr>
          <w:p>
            <w:pPr>
              <w:jc w:val="center"/>
            </w:pPr>
            <w:r>
              <w:rPr>
                <w:color w:val="000000"/>
                <w:sz w:val="24"/>
              </w:rPr>
              <w:t>顾家家居</w:t>
            </w:r>
          </w:p>
        </w:tc>
        <w:tc>
          <w:tcPr>
            <w:tcW w:w="2880" w:type="dxa"/>
            <w:vAlign w:val="center"/>
          </w:tcPr>
          <w:p>
            <w:pPr>
              <w:jc w:val="right"/>
            </w:pPr>
            <w:r>
              <w:rPr>
                <w:color w:val="000000"/>
                <w:sz w:val="24"/>
              </w:rPr>
              <w:t>169,028,338.03</w:t>
            </w:r>
          </w:p>
        </w:tc>
        <w:tc>
          <w:tcPr>
            <w:tcW w:w="1620" w:type="dxa"/>
            <w:vAlign w:val="center"/>
          </w:tcPr>
          <w:p>
            <w:pPr>
              <w:jc w:val="right"/>
            </w:pPr>
            <w:r>
              <w:rPr>
                <w:color w:val="000000"/>
                <w:sz w:val="24"/>
              </w:rPr>
              <w:t>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600563</w:t>
            </w:r>
          </w:p>
        </w:tc>
        <w:tc>
          <w:tcPr>
            <w:tcW w:w="1980" w:type="dxa"/>
            <w:vAlign w:val="center"/>
          </w:tcPr>
          <w:p>
            <w:pPr>
              <w:jc w:val="center"/>
            </w:pPr>
            <w:r>
              <w:rPr>
                <w:color w:val="000000"/>
                <w:sz w:val="24"/>
              </w:rPr>
              <w:t>法拉电子</w:t>
            </w:r>
          </w:p>
        </w:tc>
        <w:tc>
          <w:tcPr>
            <w:tcW w:w="2880" w:type="dxa"/>
            <w:vAlign w:val="center"/>
          </w:tcPr>
          <w:p>
            <w:pPr>
              <w:jc w:val="right"/>
            </w:pPr>
            <w:r>
              <w:rPr>
                <w:color w:val="000000"/>
                <w:sz w:val="24"/>
              </w:rPr>
              <w:t>168,240,423.22</w:t>
            </w:r>
          </w:p>
        </w:tc>
        <w:tc>
          <w:tcPr>
            <w:tcW w:w="1620" w:type="dxa"/>
            <w:vAlign w:val="center"/>
          </w:tcPr>
          <w:p>
            <w:pPr>
              <w:jc w:val="right"/>
            </w:pPr>
            <w:r>
              <w:rPr>
                <w:color w:val="000000"/>
                <w:sz w:val="24"/>
              </w:rPr>
              <w:t>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000733</w:t>
            </w:r>
          </w:p>
        </w:tc>
        <w:tc>
          <w:tcPr>
            <w:tcW w:w="1980" w:type="dxa"/>
            <w:vAlign w:val="center"/>
          </w:tcPr>
          <w:p>
            <w:pPr>
              <w:jc w:val="center"/>
            </w:pPr>
            <w:r>
              <w:rPr>
                <w:color w:val="000000"/>
                <w:sz w:val="24"/>
              </w:rPr>
              <w:t>振华科技</w:t>
            </w:r>
          </w:p>
        </w:tc>
        <w:tc>
          <w:tcPr>
            <w:tcW w:w="2880" w:type="dxa"/>
            <w:vAlign w:val="center"/>
          </w:tcPr>
          <w:p>
            <w:pPr>
              <w:jc w:val="right"/>
            </w:pPr>
            <w:r>
              <w:rPr>
                <w:color w:val="000000"/>
                <w:sz w:val="24"/>
              </w:rPr>
              <w:t>162,432,043.85</w:t>
            </w:r>
          </w:p>
        </w:tc>
        <w:tc>
          <w:tcPr>
            <w:tcW w:w="1620" w:type="dxa"/>
            <w:vAlign w:val="center"/>
          </w:tcPr>
          <w:p>
            <w:pPr>
              <w:jc w:val="right"/>
            </w:pPr>
            <w:r>
              <w:rPr>
                <w:color w:val="000000"/>
                <w:sz w:val="24"/>
              </w:rPr>
              <w:t>4.27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159,316,212.22</w:t>
            </w:r>
          </w:p>
        </w:tc>
        <w:tc>
          <w:tcPr>
            <w:tcW w:w="1620" w:type="dxa"/>
            <w:vAlign w:val="center"/>
          </w:tcPr>
          <w:p>
            <w:pPr>
              <w:jc w:val="right"/>
            </w:pPr>
            <w:r>
              <w:rPr>
                <w:color w:val="000000"/>
                <w:sz w:val="24"/>
              </w:rPr>
              <w:t>4.19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155,870,737.52</w:t>
            </w:r>
          </w:p>
        </w:tc>
        <w:tc>
          <w:tcPr>
            <w:tcW w:w="1620" w:type="dxa"/>
            <w:vAlign w:val="center"/>
          </w:tcPr>
          <w:p>
            <w:pPr>
              <w:jc w:val="right"/>
            </w:pPr>
            <w:r>
              <w:rPr>
                <w:color w:val="000000"/>
                <w:sz w:val="24"/>
              </w:rPr>
              <w:t>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300452</w:t>
            </w:r>
          </w:p>
        </w:tc>
        <w:tc>
          <w:tcPr>
            <w:tcW w:w="1980" w:type="dxa"/>
            <w:vAlign w:val="center"/>
          </w:tcPr>
          <w:p>
            <w:pPr>
              <w:jc w:val="center"/>
            </w:pPr>
            <w:r>
              <w:rPr>
                <w:color w:val="000000"/>
                <w:sz w:val="24"/>
              </w:rPr>
              <w:t>山河药辅</w:t>
            </w:r>
          </w:p>
        </w:tc>
        <w:tc>
          <w:tcPr>
            <w:tcW w:w="2880" w:type="dxa"/>
            <w:vAlign w:val="center"/>
          </w:tcPr>
          <w:p>
            <w:pPr>
              <w:jc w:val="right"/>
            </w:pPr>
            <w:r>
              <w:rPr>
                <w:color w:val="000000"/>
                <w:sz w:val="24"/>
              </w:rPr>
              <w:t>154,167,445.17</w:t>
            </w:r>
          </w:p>
        </w:tc>
        <w:tc>
          <w:tcPr>
            <w:tcW w:w="1620" w:type="dxa"/>
            <w:vAlign w:val="center"/>
          </w:tcPr>
          <w:p>
            <w:pPr>
              <w:jc w:val="right"/>
            </w:pPr>
            <w:r>
              <w:rPr>
                <w:color w:val="000000"/>
                <w:sz w:val="24"/>
              </w:rPr>
              <w:t>4.05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153,113,356.27</w:t>
            </w:r>
          </w:p>
        </w:tc>
        <w:tc>
          <w:tcPr>
            <w:tcW w:w="1620" w:type="dxa"/>
            <w:vAlign w:val="center"/>
          </w:tcPr>
          <w:p>
            <w:pPr>
              <w:jc w:val="right"/>
            </w:pPr>
            <w:r>
              <w:rPr>
                <w:color w:val="000000"/>
                <w:sz w:val="24"/>
              </w:rPr>
              <w:t>4.02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144,403,879.56</w:t>
            </w:r>
          </w:p>
        </w:tc>
        <w:tc>
          <w:tcPr>
            <w:tcW w:w="1620" w:type="dxa"/>
            <w:vAlign w:val="center"/>
          </w:tcPr>
          <w:p>
            <w:pPr>
              <w:jc w:val="right"/>
            </w:pPr>
            <w:r>
              <w:rPr>
                <w:color w:val="000000"/>
                <w:sz w:val="24"/>
              </w:rPr>
              <w:t>3.79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300758</w:t>
            </w:r>
          </w:p>
        </w:tc>
        <w:tc>
          <w:tcPr>
            <w:tcW w:w="1980" w:type="dxa"/>
            <w:vAlign w:val="center"/>
          </w:tcPr>
          <w:p>
            <w:pPr>
              <w:jc w:val="center"/>
            </w:pPr>
            <w:r>
              <w:rPr>
                <w:color w:val="000000"/>
                <w:sz w:val="24"/>
              </w:rPr>
              <w:t>七彩化学</w:t>
            </w:r>
          </w:p>
        </w:tc>
        <w:tc>
          <w:tcPr>
            <w:tcW w:w="2880" w:type="dxa"/>
            <w:vAlign w:val="center"/>
          </w:tcPr>
          <w:p>
            <w:pPr>
              <w:jc w:val="right"/>
            </w:pPr>
            <w:r>
              <w:rPr>
                <w:color w:val="000000"/>
                <w:sz w:val="24"/>
              </w:rPr>
              <w:t>142,602,319.73</w:t>
            </w:r>
          </w:p>
        </w:tc>
        <w:tc>
          <w:tcPr>
            <w:tcW w:w="1620" w:type="dxa"/>
            <w:vAlign w:val="center"/>
          </w:tcPr>
          <w:p>
            <w:pPr>
              <w:jc w:val="right"/>
            </w:pPr>
            <w:r>
              <w:rPr>
                <w:color w:val="000000"/>
                <w:sz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000333</w:t>
            </w:r>
          </w:p>
        </w:tc>
        <w:tc>
          <w:tcPr>
            <w:tcW w:w="1980" w:type="dxa"/>
            <w:vAlign w:val="center"/>
          </w:tcPr>
          <w:p>
            <w:pPr>
              <w:jc w:val="center"/>
            </w:pPr>
            <w:r>
              <w:rPr>
                <w:color w:val="000000"/>
                <w:sz w:val="24"/>
              </w:rPr>
              <w:t>美的集团</w:t>
            </w:r>
          </w:p>
        </w:tc>
        <w:tc>
          <w:tcPr>
            <w:tcW w:w="2880" w:type="dxa"/>
            <w:vAlign w:val="center"/>
          </w:tcPr>
          <w:p>
            <w:pPr>
              <w:jc w:val="right"/>
            </w:pPr>
            <w:r>
              <w:rPr>
                <w:color w:val="000000"/>
                <w:sz w:val="24"/>
              </w:rPr>
              <w:t>140,446,669.44</w:t>
            </w:r>
          </w:p>
        </w:tc>
        <w:tc>
          <w:tcPr>
            <w:tcW w:w="1620" w:type="dxa"/>
            <w:vAlign w:val="center"/>
          </w:tcPr>
          <w:p>
            <w:pPr>
              <w:jc w:val="right"/>
            </w:pPr>
            <w:r>
              <w:rPr>
                <w:color w:val="000000"/>
                <w:sz w:val="24"/>
              </w:rPr>
              <w:t>3.69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601088</w:t>
            </w:r>
          </w:p>
        </w:tc>
        <w:tc>
          <w:tcPr>
            <w:tcW w:w="1980" w:type="dxa"/>
            <w:vAlign w:val="center"/>
          </w:tcPr>
          <w:p>
            <w:pPr>
              <w:jc w:val="center"/>
            </w:pPr>
            <w:r>
              <w:rPr>
                <w:color w:val="000000"/>
                <w:sz w:val="24"/>
              </w:rPr>
              <w:t>中国神华</w:t>
            </w:r>
          </w:p>
        </w:tc>
        <w:tc>
          <w:tcPr>
            <w:tcW w:w="2880" w:type="dxa"/>
            <w:vAlign w:val="center"/>
          </w:tcPr>
          <w:p>
            <w:pPr>
              <w:jc w:val="right"/>
            </w:pPr>
            <w:r>
              <w:rPr>
                <w:color w:val="000000"/>
                <w:sz w:val="24"/>
              </w:rPr>
              <w:t>135,726,473.42</w:t>
            </w:r>
          </w:p>
        </w:tc>
        <w:tc>
          <w:tcPr>
            <w:tcW w:w="1620" w:type="dxa"/>
            <w:vAlign w:val="center"/>
          </w:tcPr>
          <w:p>
            <w:pPr>
              <w:jc w:val="right"/>
            </w:pPr>
            <w:r>
              <w:rPr>
                <w:color w:val="000000"/>
                <w:sz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000998</w:t>
            </w:r>
          </w:p>
        </w:tc>
        <w:tc>
          <w:tcPr>
            <w:tcW w:w="1980" w:type="dxa"/>
            <w:vAlign w:val="center"/>
          </w:tcPr>
          <w:p>
            <w:pPr>
              <w:jc w:val="center"/>
            </w:pPr>
            <w:r>
              <w:rPr>
                <w:color w:val="000000"/>
                <w:sz w:val="24"/>
              </w:rPr>
              <w:t>隆平高科</w:t>
            </w:r>
          </w:p>
        </w:tc>
        <w:tc>
          <w:tcPr>
            <w:tcW w:w="2880" w:type="dxa"/>
            <w:vAlign w:val="center"/>
          </w:tcPr>
          <w:p>
            <w:pPr>
              <w:jc w:val="right"/>
            </w:pPr>
            <w:r>
              <w:rPr>
                <w:color w:val="000000"/>
                <w:sz w:val="24"/>
              </w:rPr>
              <w:t>134,448,205.08</w:t>
            </w:r>
          </w:p>
        </w:tc>
        <w:tc>
          <w:tcPr>
            <w:tcW w:w="1620" w:type="dxa"/>
            <w:vAlign w:val="center"/>
          </w:tcPr>
          <w:p>
            <w:pPr>
              <w:jc w:val="right"/>
            </w:pPr>
            <w:r>
              <w:rPr>
                <w:color w:val="000000"/>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133,607,599.04</w:t>
            </w:r>
          </w:p>
        </w:tc>
        <w:tc>
          <w:tcPr>
            <w:tcW w:w="1620" w:type="dxa"/>
            <w:vAlign w:val="center"/>
          </w:tcPr>
          <w:p>
            <w:pPr>
              <w:jc w:val="right"/>
            </w:pPr>
            <w:r>
              <w:rPr>
                <w:color w:val="000000"/>
                <w:sz w:val="24"/>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122,240,207.76</w:t>
            </w:r>
          </w:p>
        </w:tc>
        <w:tc>
          <w:tcPr>
            <w:tcW w:w="1620" w:type="dxa"/>
            <w:vAlign w:val="center"/>
          </w:tcPr>
          <w:p>
            <w:pPr>
              <w:jc w:val="right"/>
            </w:pPr>
            <w:r>
              <w:rPr>
                <w:color w:val="000000"/>
                <w:sz w:val="24"/>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600030</w:t>
            </w:r>
          </w:p>
        </w:tc>
        <w:tc>
          <w:tcPr>
            <w:tcW w:w="1980" w:type="dxa"/>
            <w:vAlign w:val="center"/>
          </w:tcPr>
          <w:p>
            <w:pPr>
              <w:jc w:val="center"/>
            </w:pPr>
            <w:r>
              <w:rPr>
                <w:color w:val="000000"/>
                <w:sz w:val="24"/>
              </w:rPr>
              <w:t>中信证券</w:t>
            </w:r>
          </w:p>
        </w:tc>
        <w:tc>
          <w:tcPr>
            <w:tcW w:w="2880" w:type="dxa"/>
            <w:vAlign w:val="center"/>
          </w:tcPr>
          <w:p>
            <w:pPr>
              <w:jc w:val="right"/>
            </w:pPr>
            <w:r>
              <w:rPr>
                <w:color w:val="000000"/>
                <w:sz w:val="24"/>
              </w:rPr>
              <w:t>121,666,487.05</w:t>
            </w:r>
          </w:p>
        </w:tc>
        <w:tc>
          <w:tcPr>
            <w:tcW w:w="1620" w:type="dxa"/>
            <w:vAlign w:val="center"/>
          </w:tcPr>
          <w:p>
            <w:pPr>
              <w:jc w:val="right"/>
            </w:pPr>
            <w:r>
              <w:rPr>
                <w:color w:val="000000"/>
                <w:sz w:val="24"/>
              </w:rPr>
              <w:t>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603799</w:t>
            </w:r>
          </w:p>
        </w:tc>
        <w:tc>
          <w:tcPr>
            <w:tcW w:w="1980" w:type="dxa"/>
            <w:vAlign w:val="center"/>
          </w:tcPr>
          <w:p>
            <w:pPr>
              <w:jc w:val="center"/>
            </w:pPr>
            <w:r>
              <w:rPr>
                <w:color w:val="000000"/>
                <w:sz w:val="24"/>
              </w:rPr>
              <w:t>华友钴业</w:t>
            </w:r>
          </w:p>
        </w:tc>
        <w:tc>
          <w:tcPr>
            <w:tcW w:w="2880" w:type="dxa"/>
            <w:vAlign w:val="center"/>
          </w:tcPr>
          <w:p>
            <w:pPr>
              <w:jc w:val="right"/>
            </w:pPr>
            <w:r>
              <w:rPr>
                <w:color w:val="000000"/>
                <w:sz w:val="24"/>
              </w:rPr>
              <w:t>117,819,300.05</w:t>
            </w:r>
          </w:p>
        </w:tc>
        <w:tc>
          <w:tcPr>
            <w:tcW w:w="1620" w:type="dxa"/>
            <w:vAlign w:val="center"/>
          </w:tcPr>
          <w:p>
            <w:pPr>
              <w:jc w:val="right"/>
            </w:pPr>
            <w:r>
              <w:rPr>
                <w:color w:val="000000"/>
                <w:sz w:val="24"/>
              </w:rPr>
              <w:t>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601677</w:t>
            </w:r>
          </w:p>
        </w:tc>
        <w:tc>
          <w:tcPr>
            <w:tcW w:w="1980" w:type="dxa"/>
            <w:vAlign w:val="center"/>
          </w:tcPr>
          <w:p>
            <w:pPr>
              <w:jc w:val="center"/>
            </w:pPr>
            <w:r>
              <w:rPr>
                <w:color w:val="000000"/>
                <w:sz w:val="24"/>
              </w:rPr>
              <w:t>明泰铝业</w:t>
            </w:r>
          </w:p>
        </w:tc>
        <w:tc>
          <w:tcPr>
            <w:tcW w:w="2880" w:type="dxa"/>
            <w:vAlign w:val="center"/>
          </w:tcPr>
          <w:p>
            <w:pPr>
              <w:jc w:val="right"/>
            </w:pPr>
            <w:r>
              <w:rPr>
                <w:color w:val="000000"/>
                <w:sz w:val="24"/>
              </w:rPr>
              <w:t>112,077,501.55</w:t>
            </w:r>
          </w:p>
        </w:tc>
        <w:tc>
          <w:tcPr>
            <w:tcW w:w="1620" w:type="dxa"/>
            <w:vAlign w:val="center"/>
          </w:tcPr>
          <w:p>
            <w:pPr>
              <w:jc w:val="right"/>
            </w:pPr>
            <w:r>
              <w:rPr>
                <w:color w:val="000000"/>
                <w:sz w:val="24"/>
              </w:rPr>
              <w:t>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000004</w:t>
            </w:r>
          </w:p>
        </w:tc>
        <w:tc>
          <w:tcPr>
            <w:tcW w:w="1980" w:type="dxa"/>
            <w:vAlign w:val="center"/>
          </w:tcPr>
          <w:p>
            <w:pPr>
              <w:jc w:val="center"/>
            </w:pPr>
            <w:r>
              <w:rPr>
                <w:color w:val="000000"/>
                <w:sz w:val="24"/>
              </w:rPr>
              <w:t>国华网安</w:t>
            </w:r>
          </w:p>
        </w:tc>
        <w:tc>
          <w:tcPr>
            <w:tcW w:w="2880" w:type="dxa"/>
            <w:vAlign w:val="center"/>
          </w:tcPr>
          <w:p>
            <w:pPr>
              <w:jc w:val="right"/>
            </w:pPr>
            <w:r>
              <w:rPr>
                <w:color w:val="000000"/>
                <w:sz w:val="24"/>
              </w:rPr>
              <w:t>110,247,937.43</w:t>
            </w:r>
          </w:p>
        </w:tc>
        <w:tc>
          <w:tcPr>
            <w:tcW w:w="1620" w:type="dxa"/>
            <w:vAlign w:val="center"/>
          </w:tcPr>
          <w:p>
            <w:pPr>
              <w:jc w:val="right"/>
            </w:pPr>
            <w:r>
              <w:rPr>
                <w:color w:val="000000"/>
                <w:sz w:val="24"/>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600690</w:t>
            </w:r>
          </w:p>
        </w:tc>
        <w:tc>
          <w:tcPr>
            <w:tcW w:w="1980" w:type="dxa"/>
            <w:vAlign w:val="center"/>
          </w:tcPr>
          <w:p>
            <w:pPr>
              <w:jc w:val="center"/>
            </w:pPr>
            <w:r>
              <w:rPr>
                <w:color w:val="000000"/>
                <w:sz w:val="24"/>
              </w:rPr>
              <w:t>海尔智家</w:t>
            </w:r>
          </w:p>
        </w:tc>
        <w:tc>
          <w:tcPr>
            <w:tcW w:w="2880" w:type="dxa"/>
            <w:vAlign w:val="center"/>
          </w:tcPr>
          <w:p>
            <w:pPr>
              <w:jc w:val="right"/>
            </w:pPr>
            <w:r>
              <w:rPr>
                <w:color w:val="000000"/>
                <w:sz w:val="24"/>
              </w:rPr>
              <w:t>109,185,831.39</w:t>
            </w:r>
          </w:p>
        </w:tc>
        <w:tc>
          <w:tcPr>
            <w:tcW w:w="1620" w:type="dxa"/>
            <w:vAlign w:val="center"/>
          </w:tcPr>
          <w:p>
            <w:pPr>
              <w:jc w:val="right"/>
            </w:pPr>
            <w:r>
              <w:rPr>
                <w:color w:val="000000"/>
                <w:sz w:val="24"/>
              </w:rPr>
              <w:t>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603096</w:t>
            </w:r>
          </w:p>
        </w:tc>
        <w:tc>
          <w:tcPr>
            <w:tcW w:w="1980" w:type="dxa"/>
            <w:vAlign w:val="center"/>
          </w:tcPr>
          <w:p>
            <w:pPr>
              <w:jc w:val="center"/>
            </w:pPr>
            <w:r>
              <w:rPr>
                <w:color w:val="000000"/>
                <w:sz w:val="24"/>
              </w:rPr>
              <w:t>新经典</w:t>
            </w:r>
          </w:p>
        </w:tc>
        <w:tc>
          <w:tcPr>
            <w:tcW w:w="2880" w:type="dxa"/>
            <w:vAlign w:val="center"/>
          </w:tcPr>
          <w:p>
            <w:pPr>
              <w:jc w:val="right"/>
            </w:pPr>
            <w:r>
              <w:rPr>
                <w:color w:val="000000"/>
                <w:sz w:val="24"/>
              </w:rPr>
              <w:t>106,198,320.32</w:t>
            </w:r>
          </w:p>
        </w:tc>
        <w:tc>
          <w:tcPr>
            <w:tcW w:w="1620" w:type="dxa"/>
            <w:vAlign w:val="center"/>
          </w:tcPr>
          <w:p>
            <w:pPr>
              <w:jc w:val="right"/>
            </w:pPr>
            <w:r>
              <w:rPr>
                <w:color w:val="000000"/>
                <w:sz w:val="24"/>
              </w:rPr>
              <w:t>2.79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300188</w:t>
            </w:r>
          </w:p>
        </w:tc>
        <w:tc>
          <w:tcPr>
            <w:tcW w:w="1980" w:type="dxa"/>
            <w:vAlign w:val="center"/>
          </w:tcPr>
          <w:p>
            <w:pPr>
              <w:jc w:val="center"/>
            </w:pPr>
            <w:r>
              <w:rPr>
                <w:color w:val="000000"/>
                <w:sz w:val="24"/>
              </w:rPr>
              <w:t>美亚柏科</w:t>
            </w:r>
          </w:p>
        </w:tc>
        <w:tc>
          <w:tcPr>
            <w:tcW w:w="2880" w:type="dxa"/>
            <w:vAlign w:val="center"/>
          </w:tcPr>
          <w:p>
            <w:pPr>
              <w:jc w:val="right"/>
            </w:pPr>
            <w:r>
              <w:rPr>
                <w:color w:val="000000"/>
                <w:sz w:val="24"/>
              </w:rPr>
              <w:t>100,711,619.40</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300408</w:t>
            </w:r>
          </w:p>
        </w:tc>
        <w:tc>
          <w:tcPr>
            <w:tcW w:w="1980" w:type="dxa"/>
            <w:vAlign w:val="center"/>
          </w:tcPr>
          <w:p>
            <w:pPr>
              <w:jc w:val="center"/>
            </w:pPr>
            <w:r>
              <w:rPr>
                <w:color w:val="000000"/>
                <w:sz w:val="24"/>
              </w:rPr>
              <w:t>三环集团</w:t>
            </w:r>
          </w:p>
        </w:tc>
        <w:tc>
          <w:tcPr>
            <w:tcW w:w="2880" w:type="dxa"/>
            <w:vAlign w:val="center"/>
          </w:tcPr>
          <w:p>
            <w:pPr>
              <w:jc w:val="right"/>
            </w:pPr>
            <w:r>
              <w:rPr>
                <w:color w:val="000000"/>
                <w:sz w:val="24"/>
              </w:rPr>
              <w:t>95,365,339.45</w:t>
            </w:r>
          </w:p>
        </w:tc>
        <w:tc>
          <w:tcPr>
            <w:tcW w:w="1620" w:type="dxa"/>
            <w:vAlign w:val="center"/>
          </w:tcPr>
          <w:p>
            <w:pPr>
              <w:jc w:val="right"/>
            </w:pPr>
            <w:r>
              <w:rPr>
                <w:color w:val="000000"/>
                <w:sz w:val="24"/>
              </w:rPr>
              <w:t>2.51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002493</w:t>
            </w:r>
          </w:p>
        </w:tc>
        <w:tc>
          <w:tcPr>
            <w:tcW w:w="1980" w:type="dxa"/>
            <w:vAlign w:val="center"/>
          </w:tcPr>
          <w:p>
            <w:pPr>
              <w:jc w:val="center"/>
            </w:pPr>
            <w:r>
              <w:rPr>
                <w:color w:val="000000"/>
                <w:sz w:val="24"/>
              </w:rPr>
              <w:t>荣盛石化</w:t>
            </w:r>
          </w:p>
        </w:tc>
        <w:tc>
          <w:tcPr>
            <w:tcW w:w="2880" w:type="dxa"/>
            <w:vAlign w:val="center"/>
          </w:tcPr>
          <w:p>
            <w:pPr>
              <w:jc w:val="right"/>
            </w:pPr>
            <w:r>
              <w:rPr>
                <w:color w:val="000000"/>
                <w:sz w:val="24"/>
              </w:rPr>
              <w:t>94,926,574.75</w:t>
            </w:r>
          </w:p>
        </w:tc>
        <w:tc>
          <w:tcPr>
            <w:tcW w:w="1620" w:type="dxa"/>
            <w:vAlign w:val="center"/>
          </w:tcPr>
          <w:p>
            <w:pPr>
              <w:jc w:val="right"/>
            </w:pPr>
            <w:r>
              <w:rPr>
                <w:color w:val="000000"/>
                <w:sz w:val="24"/>
              </w:rPr>
              <w:t>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300782</w:t>
            </w:r>
          </w:p>
        </w:tc>
        <w:tc>
          <w:tcPr>
            <w:tcW w:w="1980" w:type="dxa"/>
            <w:vAlign w:val="center"/>
          </w:tcPr>
          <w:p>
            <w:pPr>
              <w:jc w:val="center"/>
            </w:pPr>
            <w:r>
              <w:rPr>
                <w:color w:val="000000"/>
                <w:sz w:val="24"/>
              </w:rPr>
              <w:t>卓胜微</w:t>
            </w:r>
          </w:p>
        </w:tc>
        <w:tc>
          <w:tcPr>
            <w:tcW w:w="2880" w:type="dxa"/>
            <w:vAlign w:val="center"/>
          </w:tcPr>
          <w:p>
            <w:pPr>
              <w:jc w:val="right"/>
            </w:pPr>
            <w:r>
              <w:rPr>
                <w:color w:val="000000"/>
                <w:sz w:val="24"/>
              </w:rPr>
              <w:t>90,573,676.84</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603867</w:t>
            </w:r>
          </w:p>
        </w:tc>
        <w:tc>
          <w:tcPr>
            <w:tcW w:w="1980" w:type="dxa"/>
            <w:vAlign w:val="center"/>
          </w:tcPr>
          <w:p>
            <w:pPr>
              <w:jc w:val="center"/>
            </w:pPr>
            <w:r>
              <w:rPr>
                <w:color w:val="000000"/>
                <w:sz w:val="24"/>
              </w:rPr>
              <w:t>新化股份</w:t>
            </w:r>
          </w:p>
        </w:tc>
        <w:tc>
          <w:tcPr>
            <w:tcW w:w="2880" w:type="dxa"/>
            <w:vAlign w:val="center"/>
          </w:tcPr>
          <w:p>
            <w:pPr>
              <w:jc w:val="right"/>
            </w:pPr>
            <w:r>
              <w:rPr>
                <w:color w:val="000000"/>
                <w:sz w:val="24"/>
              </w:rPr>
              <w:t>88,984,832.25</w:t>
            </w:r>
          </w:p>
        </w:tc>
        <w:tc>
          <w:tcPr>
            <w:tcW w:w="1620" w:type="dxa"/>
            <w:vAlign w:val="center"/>
          </w:tcPr>
          <w:p>
            <w:pPr>
              <w:jc w:val="right"/>
            </w:pPr>
            <w:r>
              <w:rPr>
                <w:color w:val="000000"/>
                <w:sz w:val="24"/>
              </w:rPr>
              <w:t>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83,956,241.14</w:t>
            </w:r>
          </w:p>
        </w:tc>
        <w:tc>
          <w:tcPr>
            <w:tcW w:w="1620" w:type="dxa"/>
            <w:vAlign w:val="center"/>
          </w:tcPr>
          <w:p>
            <w:pPr>
              <w:jc w:val="right"/>
            </w:pPr>
            <w:r>
              <w:rPr>
                <w:color w:val="000000"/>
                <w:sz w:val="24"/>
              </w:rPr>
              <w:t>2.21</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7" w:name="_Toc67591842"/>
      <w:r>
        <w:rPr>
          <w:rFonts w:ascii="Times New Roman" w:hAnsi="Times New Roman"/>
          <w:kern w:val="0"/>
          <w:szCs w:val="24"/>
        </w:rPr>
        <w:t>8.4.2</w:t>
      </w:r>
      <w:r>
        <w:rPr>
          <w:rFonts w:hint="eastAsia" w:ascii="Times New Roman" w:hAnsi="Times New Roman"/>
          <w:kern w:val="0"/>
          <w:szCs w:val="24"/>
        </w:rPr>
        <w:t>累计卖出金额超出期初基金资产净值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7"/>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543,274,850.41</w:t>
            </w:r>
          </w:p>
        </w:tc>
        <w:tc>
          <w:tcPr>
            <w:tcW w:w="1620" w:type="dxa"/>
            <w:vAlign w:val="center"/>
          </w:tcPr>
          <w:p>
            <w:pPr>
              <w:jc w:val="right"/>
            </w:pPr>
            <w:r>
              <w:rPr>
                <w:color w:val="000000"/>
                <w:sz w:val="24"/>
              </w:rPr>
              <w:t>14.27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438,050,450.43</w:t>
            </w:r>
          </w:p>
        </w:tc>
        <w:tc>
          <w:tcPr>
            <w:tcW w:w="1620" w:type="dxa"/>
            <w:vAlign w:val="center"/>
          </w:tcPr>
          <w:p>
            <w:pPr>
              <w:jc w:val="right"/>
            </w:pPr>
            <w:r>
              <w:rPr>
                <w:color w:val="000000"/>
                <w:sz w:val="24"/>
              </w:rPr>
              <w:t>11.51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300188</w:t>
            </w:r>
          </w:p>
        </w:tc>
        <w:tc>
          <w:tcPr>
            <w:tcW w:w="1980" w:type="dxa"/>
            <w:vAlign w:val="center"/>
          </w:tcPr>
          <w:p>
            <w:pPr>
              <w:jc w:val="center"/>
            </w:pPr>
            <w:r>
              <w:rPr>
                <w:color w:val="000000"/>
                <w:sz w:val="24"/>
              </w:rPr>
              <w:t>美亚柏科</w:t>
            </w:r>
          </w:p>
        </w:tc>
        <w:tc>
          <w:tcPr>
            <w:tcW w:w="2880" w:type="dxa"/>
            <w:vAlign w:val="center"/>
          </w:tcPr>
          <w:p>
            <w:pPr>
              <w:jc w:val="right"/>
            </w:pPr>
            <w:r>
              <w:rPr>
                <w:color w:val="000000"/>
                <w:sz w:val="24"/>
              </w:rPr>
              <w:t>400,417,808.66</w:t>
            </w:r>
          </w:p>
        </w:tc>
        <w:tc>
          <w:tcPr>
            <w:tcW w:w="1620" w:type="dxa"/>
            <w:vAlign w:val="center"/>
          </w:tcPr>
          <w:p>
            <w:pPr>
              <w:jc w:val="right"/>
            </w:pPr>
            <w:r>
              <w:rPr>
                <w:color w:val="000000"/>
                <w:sz w:val="24"/>
              </w:rPr>
              <w:t>10.52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000501</w:t>
            </w:r>
          </w:p>
        </w:tc>
        <w:tc>
          <w:tcPr>
            <w:tcW w:w="1980" w:type="dxa"/>
            <w:vAlign w:val="center"/>
          </w:tcPr>
          <w:p>
            <w:pPr>
              <w:jc w:val="center"/>
            </w:pPr>
            <w:r>
              <w:rPr>
                <w:color w:val="000000"/>
                <w:sz w:val="24"/>
              </w:rPr>
              <w:t>鄂武商A</w:t>
            </w:r>
          </w:p>
        </w:tc>
        <w:tc>
          <w:tcPr>
            <w:tcW w:w="2880" w:type="dxa"/>
            <w:vAlign w:val="center"/>
          </w:tcPr>
          <w:p>
            <w:pPr>
              <w:jc w:val="right"/>
            </w:pPr>
            <w:r>
              <w:rPr>
                <w:color w:val="000000"/>
                <w:sz w:val="24"/>
              </w:rPr>
              <w:t>248,037,792.46</w:t>
            </w:r>
          </w:p>
        </w:tc>
        <w:tc>
          <w:tcPr>
            <w:tcW w:w="1620" w:type="dxa"/>
            <w:vAlign w:val="center"/>
          </w:tcPr>
          <w:p>
            <w:pPr>
              <w:jc w:val="right"/>
            </w:pPr>
            <w:r>
              <w:rPr>
                <w:color w:val="000000"/>
                <w:sz w:val="24"/>
              </w:rPr>
              <w:t>6.52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002050</w:t>
            </w:r>
          </w:p>
        </w:tc>
        <w:tc>
          <w:tcPr>
            <w:tcW w:w="1980" w:type="dxa"/>
            <w:vAlign w:val="center"/>
          </w:tcPr>
          <w:p>
            <w:pPr>
              <w:jc w:val="center"/>
            </w:pPr>
            <w:r>
              <w:rPr>
                <w:color w:val="000000"/>
                <w:sz w:val="24"/>
              </w:rPr>
              <w:t>三花智控</w:t>
            </w:r>
          </w:p>
        </w:tc>
        <w:tc>
          <w:tcPr>
            <w:tcW w:w="2880" w:type="dxa"/>
            <w:vAlign w:val="center"/>
          </w:tcPr>
          <w:p>
            <w:pPr>
              <w:jc w:val="right"/>
            </w:pPr>
            <w:r>
              <w:rPr>
                <w:color w:val="000000"/>
                <w:sz w:val="24"/>
              </w:rPr>
              <w:t>247,828,290.57</w:t>
            </w:r>
          </w:p>
        </w:tc>
        <w:tc>
          <w:tcPr>
            <w:tcW w:w="1620" w:type="dxa"/>
            <w:vAlign w:val="center"/>
          </w:tcPr>
          <w:p>
            <w:pPr>
              <w:jc w:val="right"/>
            </w:pPr>
            <w:r>
              <w:rPr>
                <w:color w:val="000000"/>
                <w:sz w:val="24"/>
              </w:rPr>
              <w:t>6.51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220,620,443.55</w:t>
            </w:r>
          </w:p>
        </w:tc>
        <w:tc>
          <w:tcPr>
            <w:tcW w:w="1620" w:type="dxa"/>
            <w:vAlign w:val="center"/>
          </w:tcPr>
          <w:p>
            <w:pPr>
              <w:jc w:val="right"/>
            </w:pPr>
            <w:r>
              <w:rPr>
                <w:color w:val="000000"/>
                <w:sz w:val="24"/>
              </w:rPr>
              <w:t>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600036</w:t>
            </w:r>
          </w:p>
        </w:tc>
        <w:tc>
          <w:tcPr>
            <w:tcW w:w="1980" w:type="dxa"/>
            <w:vAlign w:val="center"/>
          </w:tcPr>
          <w:p>
            <w:pPr>
              <w:jc w:val="center"/>
            </w:pPr>
            <w:r>
              <w:rPr>
                <w:color w:val="000000"/>
                <w:sz w:val="24"/>
              </w:rPr>
              <w:t>招商银行</w:t>
            </w:r>
          </w:p>
        </w:tc>
        <w:tc>
          <w:tcPr>
            <w:tcW w:w="2880" w:type="dxa"/>
            <w:vAlign w:val="center"/>
          </w:tcPr>
          <w:p>
            <w:pPr>
              <w:jc w:val="right"/>
            </w:pPr>
            <w:r>
              <w:rPr>
                <w:color w:val="000000"/>
                <w:sz w:val="24"/>
              </w:rPr>
              <w:t>216,486,747.90</w:t>
            </w:r>
          </w:p>
        </w:tc>
        <w:tc>
          <w:tcPr>
            <w:tcW w:w="1620" w:type="dxa"/>
            <w:vAlign w:val="center"/>
          </w:tcPr>
          <w:p>
            <w:pPr>
              <w:jc w:val="right"/>
            </w:pPr>
            <w:r>
              <w:rPr>
                <w:color w:val="000000"/>
                <w:sz w:val="24"/>
              </w:rPr>
              <w:t>5.69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212,517,193.55</w:t>
            </w:r>
          </w:p>
        </w:tc>
        <w:tc>
          <w:tcPr>
            <w:tcW w:w="1620" w:type="dxa"/>
            <w:vAlign w:val="center"/>
          </w:tcPr>
          <w:p>
            <w:pPr>
              <w:jc w:val="right"/>
            </w:pPr>
            <w:r>
              <w:rPr>
                <w:color w:val="000000"/>
                <w:sz w:val="24"/>
              </w:rPr>
              <w:t>5.58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300078</w:t>
            </w:r>
          </w:p>
        </w:tc>
        <w:tc>
          <w:tcPr>
            <w:tcW w:w="1980" w:type="dxa"/>
            <w:vAlign w:val="center"/>
          </w:tcPr>
          <w:p>
            <w:pPr>
              <w:jc w:val="center"/>
            </w:pPr>
            <w:r>
              <w:rPr>
                <w:color w:val="000000"/>
                <w:sz w:val="24"/>
              </w:rPr>
              <w:t>思创医惠</w:t>
            </w:r>
          </w:p>
        </w:tc>
        <w:tc>
          <w:tcPr>
            <w:tcW w:w="2880" w:type="dxa"/>
            <w:vAlign w:val="center"/>
          </w:tcPr>
          <w:p>
            <w:pPr>
              <w:jc w:val="right"/>
            </w:pPr>
            <w:r>
              <w:rPr>
                <w:color w:val="000000"/>
                <w:sz w:val="24"/>
              </w:rPr>
              <w:t>211,031,982.75</w:t>
            </w:r>
          </w:p>
        </w:tc>
        <w:tc>
          <w:tcPr>
            <w:tcW w:w="1620" w:type="dxa"/>
            <w:vAlign w:val="center"/>
          </w:tcPr>
          <w:p>
            <w:pPr>
              <w:jc w:val="right"/>
            </w:pPr>
            <w:r>
              <w:rPr>
                <w:color w:val="000000"/>
                <w:sz w:val="24"/>
              </w:rPr>
              <w:t>5.54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300123</w:t>
            </w:r>
          </w:p>
        </w:tc>
        <w:tc>
          <w:tcPr>
            <w:tcW w:w="1980" w:type="dxa"/>
            <w:vAlign w:val="center"/>
          </w:tcPr>
          <w:p>
            <w:pPr>
              <w:jc w:val="center"/>
            </w:pPr>
            <w:r>
              <w:rPr>
                <w:color w:val="000000"/>
                <w:sz w:val="24"/>
              </w:rPr>
              <w:t>亚光科技</w:t>
            </w:r>
          </w:p>
        </w:tc>
        <w:tc>
          <w:tcPr>
            <w:tcW w:w="2880" w:type="dxa"/>
            <w:vAlign w:val="center"/>
          </w:tcPr>
          <w:p>
            <w:pPr>
              <w:jc w:val="right"/>
            </w:pPr>
            <w:r>
              <w:rPr>
                <w:color w:val="000000"/>
                <w:sz w:val="24"/>
              </w:rPr>
              <w:t>200,190,415.26</w:t>
            </w:r>
          </w:p>
        </w:tc>
        <w:tc>
          <w:tcPr>
            <w:tcW w:w="1620" w:type="dxa"/>
            <w:vAlign w:val="center"/>
          </w:tcPr>
          <w:p>
            <w:pPr>
              <w:jc w:val="right"/>
            </w:pPr>
            <w:r>
              <w:rPr>
                <w:color w:val="000000"/>
                <w:sz w:val="24"/>
              </w:rPr>
              <w:t>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179,703,008.72</w:t>
            </w:r>
          </w:p>
        </w:tc>
        <w:tc>
          <w:tcPr>
            <w:tcW w:w="1620" w:type="dxa"/>
            <w:vAlign w:val="center"/>
          </w:tcPr>
          <w:p>
            <w:pPr>
              <w:jc w:val="right"/>
            </w:pPr>
            <w:r>
              <w:rPr>
                <w:color w:val="000000"/>
                <w:sz w:val="24"/>
              </w:rPr>
              <w:t>4.72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000333</w:t>
            </w:r>
          </w:p>
        </w:tc>
        <w:tc>
          <w:tcPr>
            <w:tcW w:w="1980" w:type="dxa"/>
            <w:vAlign w:val="center"/>
          </w:tcPr>
          <w:p>
            <w:pPr>
              <w:jc w:val="center"/>
            </w:pPr>
            <w:r>
              <w:rPr>
                <w:color w:val="000000"/>
                <w:sz w:val="24"/>
              </w:rPr>
              <w:t>美的集团</w:t>
            </w:r>
          </w:p>
        </w:tc>
        <w:tc>
          <w:tcPr>
            <w:tcW w:w="2880" w:type="dxa"/>
            <w:vAlign w:val="center"/>
          </w:tcPr>
          <w:p>
            <w:pPr>
              <w:jc w:val="right"/>
            </w:pPr>
            <w:r>
              <w:rPr>
                <w:color w:val="000000"/>
                <w:sz w:val="24"/>
              </w:rPr>
              <w:t>164,276,734.48</w:t>
            </w:r>
          </w:p>
        </w:tc>
        <w:tc>
          <w:tcPr>
            <w:tcW w:w="1620" w:type="dxa"/>
            <w:vAlign w:val="center"/>
          </w:tcPr>
          <w:p>
            <w:pPr>
              <w:jc w:val="right"/>
            </w:pPr>
            <w:r>
              <w:rPr>
                <w:color w:val="000000"/>
                <w:sz w:val="24"/>
              </w:rPr>
              <w:t>4.32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300365</w:t>
            </w:r>
          </w:p>
        </w:tc>
        <w:tc>
          <w:tcPr>
            <w:tcW w:w="1980" w:type="dxa"/>
            <w:vAlign w:val="center"/>
          </w:tcPr>
          <w:p>
            <w:pPr>
              <w:jc w:val="center"/>
            </w:pPr>
            <w:r>
              <w:rPr>
                <w:color w:val="000000"/>
                <w:sz w:val="24"/>
              </w:rPr>
              <w:t>恒华科技</w:t>
            </w:r>
          </w:p>
        </w:tc>
        <w:tc>
          <w:tcPr>
            <w:tcW w:w="2880" w:type="dxa"/>
            <w:vAlign w:val="center"/>
          </w:tcPr>
          <w:p>
            <w:pPr>
              <w:jc w:val="right"/>
            </w:pPr>
            <w:r>
              <w:rPr>
                <w:color w:val="000000"/>
                <w:sz w:val="24"/>
              </w:rPr>
              <w:t>159,540,525.87</w:t>
            </w:r>
          </w:p>
        </w:tc>
        <w:tc>
          <w:tcPr>
            <w:tcW w:w="1620" w:type="dxa"/>
            <w:vAlign w:val="center"/>
          </w:tcPr>
          <w:p>
            <w:pPr>
              <w:jc w:val="right"/>
            </w:pPr>
            <w:r>
              <w:rPr>
                <w:color w:val="000000"/>
                <w:sz w:val="24"/>
              </w:rPr>
              <w:t>4.19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603799</w:t>
            </w:r>
          </w:p>
        </w:tc>
        <w:tc>
          <w:tcPr>
            <w:tcW w:w="1980" w:type="dxa"/>
            <w:vAlign w:val="center"/>
          </w:tcPr>
          <w:p>
            <w:pPr>
              <w:jc w:val="center"/>
            </w:pPr>
            <w:r>
              <w:rPr>
                <w:color w:val="000000"/>
                <w:sz w:val="24"/>
              </w:rPr>
              <w:t>华友钴业</w:t>
            </w:r>
          </w:p>
        </w:tc>
        <w:tc>
          <w:tcPr>
            <w:tcW w:w="2880" w:type="dxa"/>
            <w:vAlign w:val="center"/>
          </w:tcPr>
          <w:p>
            <w:pPr>
              <w:jc w:val="right"/>
            </w:pPr>
            <w:r>
              <w:rPr>
                <w:color w:val="000000"/>
                <w:sz w:val="24"/>
              </w:rPr>
              <w:t>157,925,168.12</w:t>
            </w:r>
          </w:p>
        </w:tc>
        <w:tc>
          <w:tcPr>
            <w:tcW w:w="1620" w:type="dxa"/>
            <w:vAlign w:val="center"/>
          </w:tcPr>
          <w:p>
            <w:pPr>
              <w:jc w:val="right"/>
            </w:pPr>
            <w:r>
              <w:rPr>
                <w:color w:val="000000"/>
                <w:sz w:val="24"/>
              </w:rPr>
              <w:t>4.15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157,601,604.90</w:t>
            </w:r>
          </w:p>
        </w:tc>
        <w:tc>
          <w:tcPr>
            <w:tcW w:w="1620" w:type="dxa"/>
            <w:vAlign w:val="center"/>
          </w:tcPr>
          <w:p>
            <w:pPr>
              <w:jc w:val="right"/>
            </w:pPr>
            <w:r>
              <w:rPr>
                <w:color w:val="000000"/>
                <w:sz w:val="24"/>
              </w:rPr>
              <w:t>4.14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600009</w:t>
            </w:r>
          </w:p>
        </w:tc>
        <w:tc>
          <w:tcPr>
            <w:tcW w:w="1980" w:type="dxa"/>
            <w:vAlign w:val="center"/>
          </w:tcPr>
          <w:p>
            <w:pPr>
              <w:jc w:val="center"/>
            </w:pPr>
            <w:r>
              <w:rPr>
                <w:color w:val="000000"/>
                <w:sz w:val="24"/>
              </w:rPr>
              <w:t>上海机场</w:t>
            </w:r>
          </w:p>
        </w:tc>
        <w:tc>
          <w:tcPr>
            <w:tcW w:w="2880" w:type="dxa"/>
            <w:vAlign w:val="center"/>
          </w:tcPr>
          <w:p>
            <w:pPr>
              <w:jc w:val="right"/>
            </w:pPr>
            <w:r>
              <w:rPr>
                <w:color w:val="000000"/>
                <w:sz w:val="24"/>
              </w:rPr>
              <w:t>155,899,301.34</w:t>
            </w:r>
          </w:p>
        </w:tc>
        <w:tc>
          <w:tcPr>
            <w:tcW w:w="1620" w:type="dxa"/>
            <w:vAlign w:val="center"/>
          </w:tcPr>
          <w:p>
            <w:pPr>
              <w:jc w:val="right"/>
            </w:pPr>
            <w:r>
              <w:rPr>
                <w:color w:val="000000"/>
                <w:sz w:val="24"/>
              </w:rPr>
              <w:t>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603096</w:t>
            </w:r>
          </w:p>
        </w:tc>
        <w:tc>
          <w:tcPr>
            <w:tcW w:w="1980" w:type="dxa"/>
            <w:vAlign w:val="center"/>
          </w:tcPr>
          <w:p>
            <w:pPr>
              <w:jc w:val="center"/>
            </w:pPr>
            <w:r>
              <w:rPr>
                <w:color w:val="000000"/>
                <w:sz w:val="24"/>
              </w:rPr>
              <w:t>新经典</w:t>
            </w:r>
          </w:p>
        </w:tc>
        <w:tc>
          <w:tcPr>
            <w:tcW w:w="2880" w:type="dxa"/>
            <w:vAlign w:val="center"/>
          </w:tcPr>
          <w:p>
            <w:pPr>
              <w:jc w:val="right"/>
            </w:pPr>
            <w:r>
              <w:rPr>
                <w:color w:val="000000"/>
                <w:sz w:val="24"/>
              </w:rPr>
              <w:t>153,489,780.56</w:t>
            </w:r>
          </w:p>
        </w:tc>
        <w:tc>
          <w:tcPr>
            <w:tcW w:w="1620" w:type="dxa"/>
            <w:vAlign w:val="center"/>
          </w:tcPr>
          <w:p>
            <w:pPr>
              <w:jc w:val="right"/>
            </w:pPr>
            <w:r>
              <w:rPr>
                <w:color w:val="000000"/>
                <w:sz w:val="24"/>
              </w:rPr>
              <w:t>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002439</w:t>
            </w:r>
          </w:p>
        </w:tc>
        <w:tc>
          <w:tcPr>
            <w:tcW w:w="1980" w:type="dxa"/>
            <w:vAlign w:val="center"/>
          </w:tcPr>
          <w:p>
            <w:pPr>
              <w:jc w:val="center"/>
            </w:pPr>
            <w:r>
              <w:rPr>
                <w:color w:val="000000"/>
                <w:sz w:val="24"/>
              </w:rPr>
              <w:t>启明星辰</w:t>
            </w:r>
          </w:p>
        </w:tc>
        <w:tc>
          <w:tcPr>
            <w:tcW w:w="2880" w:type="dxa"/>
            <w:vAlign w:val="center"/>
          </w:tcPr>
          <w:p>
            <w:pPr>
              <w:jc w:val="right"/>
            </w:pPr>
            <w:r>
              <w:rPr>
                <w:color w:val="000000"/>
                <w:sz w:val="24"/>
              </w:rPr>
              <w:t>149,201,849.99</w:t>
            </w:r>
          </w:p>
        </w:tc>
        <w:tc>
          <w:tcPr>
            <w:tcW w:w="1620" w:type="dxa"/>
            <w:vAlign w:val="center"/>
          </w:tcPr>
          <w:p>
            <w:pPr>
              <w:jc w:val="right"/>
            </w:pPr>
            <w:r>
              <w:rPr>
                <w:color w:val="000000"/>
                <w:sz w:val="24"/>
              </w:rPr>
              <w:t>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146,378,076.50</w:t>
            </w:r>
          </w:p>
        </w:tc>
        <w:tc>
          <w:tcPr>
            <w:tcW w:w="1620" w:type="dxa"/>
            <w:vAlign w:val="center"/>
          </w:tcPr>
          <w:p>
            <w:pPr>
              <w:jc w:val="right"/>
            </w:pPr>
            <w:r>
              <w:rPr>
                <w:color w:val="000000"/>
                <w:sz w:val="24"/>
              </w:rPr>
              <w:t>3.85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140,252,570.20</w:t>
            </w:r>
          </w:p>
        </w:tc>
        <w:tc>
          <w:tcPr>
            <w:tcW w:w="1620" w:type="dxa"/>
            <w:vAlign w:val="center"/>
          </w:tcPr>
          <w:p>
            <w:pPr>
              <w:jc w:val="right"/>
            </w:pPr>
            <w:r>
              <w:rPr>
                <w:color w:val="000000"/>
                <w:sz w:val="24"/>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603129</w:t>
            </w:r>
          </w:p>
        </w:tc>
        <w:tc>
          <w:tcPr>
            <w:tcW w:w="1980" w:type="dxa"/>
            <w:vAlign w:val="center"/>
          </w:tcPr>
          <w:p>
            <w:pPr>
              <w:jc w:val="center"/>
            </w:pPr>
            <w:r>
              <w:rPr>
                <w:color w:val="000000"/>
                <w:sz w:val="24"/>
              </w:rPr>
              <w:t>春风动力</w:t>
            </w:r>
          </w:p>
        </w:tc>
        <w:tc>
          <w:tcPr>
            <w:tcW w:w="2880" w:type="dxa"/>
            <w:vAlign w:val="center"/>
          </w:tcPr>
          <w:p>
            <w:pPr>
              <w:jc w:val="right"/>
            </w:pPr>
            <w:r>
              <w:rPr>
                <w:color w:val="000000"/>
                <w:sz w:val="24"/>
              </w:rPr>
              <w:t>139,335,457.20</w:t>
            </w:r>
          </w:p>
        </w:tc>
        <w:tc>
          <w:tcPr>
            <w:tcW w:w="1620" w:type="dxa"/>
            <w:vAlign w:val="center"/>
          </w:tcPr>
          <w:p>
            <w:pPr>
              <w:jc w:val="right"/>
            </w:pPr>
            <w:r>
              <w:rPr>
                <w:color w:val="000000"/>
                <w:sz w:val="24"/>
              </w:rPr>
              <w:t>3.66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603816</w:t>
            </w:r>
          </w:p>
        </w:tc>
        <w:tc>
          <w:tcPr>
            <w:tcW w:w="1980" w:type="dxa"/>
            <w:vAlign w:val="center"/>
          </w:tcPr>
          <w:p>
            <w:pPr>
              <w:jc w:val="center"/>
            </w:pPr>
            <w:r>
              <w:rPr>
                <w:color w:val="000000"/>
                <w:sz w:val="24"/>
              </w:rPr>
              <w:t>顾家家居</w:t>
            </w:r>
          </w:p>
        </w:tc>
        <w:tc>
          <w:tcPr>
            <w:tcW w:w="2880" w:type="dxa"/>
            <w:vAlign w:val="center"/>
          </w:tcPr>
          <w:p>
            <w:pPr>
              <w:jc w:val="right"/>
            </w:pPr>
            <w:r>
              <w:rPr>
                <w:color w:val="000000"/>
                <w:sz w:val="24"/>
              </w:rPr>
              <w:t>137,603,253.34</w:t>
            </w:r>
          </w:p>
        </w:tc>
        <w:tc>
          <w:tcPr>
            <w:tcW w:w="1620" w:type="dxa"/>
            <w:vAlign w:val="center"/>
          </w:tcPr>
          <w:p>
            <w:pPr>
              <w:jc w:val="right"/>
            </w:pPr>
            <w:r>
              <w:rPr>
                <w:color w:val="000000"/>
                <w:sz w:val="24"/>
              </w:rPr>
              <w:t>3.61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601088</w:t>
            </w:r>
          </w:p>
        </w:tc>
        <w:tc>
          <w:tcPr>
            <w:tcW w:w="1980" w:type="dxa"/>
            <w:vAlign w:val="center"/>
          </w:tcPr>
          <w:p>
            <w:pPr>
              <w:jc w:val="center"/>
            </w:pPr>
            <w:r>
              <w:rPr>
                <w:color w:val="000000"/>
                <w:sz w:val="24"/>
              </w:rPr>
              <w:t>中国神华</w:t>
            </w:r>
          </w:p>
        </w:tc>
        <w:tc>
          <w:tcPr>
            <w:tcW w:w="2880" w:type="dxa"/>
            <w:vAlign w:val="center"/>
          </w:tcPr>
          <w:p>
            <w:pPr>
              <w:jc w:val="right"/>
            </w:pPr>
            <w:r>
              <w:rPr>
                <w:color w:val="000000"/>
                <w:sz w:val="24"/>
              </w:rPr>
              <w:t>134,588,072.12</w:t>
            </w:r>
          </w:p>
        </w:tc>
        <w:tc>
          <w:tcPr>
            <w:tcW w:w="1620" w:type="dxa"/>
            <w:vAlign w:val="center"/>
          </w:tcPr>
          <w:p>
            <w:pPr>
              <w:jc w:val="right"/>
            </w:pPr>
            <w:r>
              <w:rPr>
                <w:color w:val="000000"/>
                <w:sz w:val="24"/>
              </w:rPr>
              <w:t>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603786</w:t>
            </w:r>
          </w:p>
        </w:tc>
        <w:tc>
          <w:tcPr>
            <w:tcW w:w="1980" w:type="dxa"/>
            <w:vAlign w:val="center"/>
          </w:tcPr>
          <w:p>
            <w:pPr>
              <w:jc w:val="center"/>
            </w:pPr>
            <w:r>
              <w:rPr>
                <w:color w:val="000000"/>
                <w:sz w:val="24"/>
              </w:rPr>
              <w:t>科博达</w:t>
            </w:r>
          </w:p>
        </w:tc>
        <w:tc>
          <w:tcPr>
            <w:tcW w:w="2880" w:type="dxa"/>
            <w:vAlign w:val="center"/>
          </w:tcPr>
          <w:p>
            <w:pPr>
              <w:jc w:val="right"/>
            </w:pPr>
            <w:r>
              <w:rPr>
                <w:color w:val="000000"/>
                <w:sz w:val="24"/>
              </w:rPr>
              <w:t>134,523,261.17</w:t>
            </w:r>
          </w:p>
        </w:tc>
        <w:tc>
          <w:tcPr>
            <w:tcW w:w="1620" w:type="dxa"/>
            <w:vAlign w:val="center"/>
          </w:tcPr>
          <w:p>
            <w:pPr>
              <w:jc w:val="right"/>
            </w:pPr>
            <w:r>
              <w:rPr>
                <w:color w:val="000000"/>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002810</w:t>
            </w:r>
          </w:p>
        </w:tc>
        <w:tc>
          <w:tcPr>
            <w:tcW w:w="1980" w:type="dxa"/>
            <w:vAlign w:val="center"/>
          </w:tcPr>
          <w:p>
            <w:pPr>
              <w:jc w:val="center"/>
            </w:pPr>
            <w:r>
              <w:rPr>
                <w:color w:val="000000"/>
                <w:sz w:val="24"/>
              </w:rPr>
              <w:t>山东赫达</w:t>
            </w:r>
          </w:p>
        </w:tc>
        <w:tc>
          <w:tcPr>
            <w:tcW w:w="2880" w:type="dxa"/>
            <w:vAlign w:val="center"/>
          </w:tcPr>
          <w:p>
            <w:pPr>
              <w:jc w:val="right"/>
            </w:pPr>
            <w:r>
              <w:rPr>
                <w:color w:val="000000"/>
                <w:sz w:val="24"/>
              </w:rPr>
              <w:t>122,263,245.02</w:t>
            </w:r>
          </w:p>
        </w:tc>
        <w:tc>
          <w:tcPr>
            <w:tcW w:w="1620" w:type="dxa"/>
            <w:vAlign w:val="center"/>
          </w:tcPr>
          <w:p>
            <w:pPr>
              <w:jc w:val="right"/>
            </w:pPr>
            <w:r>
              <w:rPr>
                <w:color w:val="000000"/>
                <w:sz w:val="24"/>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600030</w:t>
            </w:r>
          </w:p>
        </w:tc>
        <w:tc>
          <w:tcPr>
            <w:tcW w:w="1980" w:type="dxa"/>
            <w:vAlign w:val="center"/>
          </w:tcPr>
          <w:p>
            <w:pPr>
              <w:jc w:val="center"/>
            </w:pPr>
            <w:r>
              <w:rPr>
                <w:color w:val="000000"/>
                <w:sz w:val="24"/>
              </w:rPr>
              <w:t>中信证券</w:t>
            </w:r>
          </w:p>
        </w:tc>
        <w:tc>
          <w:tcPr>
            <w:tcW w:w="2880" w:type="dxa"/>
            <w:vAlign w:val="center"/>
          </w:tcPr>
          <w:p>
            <w:pPr>
              <w:jc w:val="right"/>
            </w:pPr>
            <w:r>
              <w:rPr>
                <w:color w:val="000000"/>
                <w:sz w:val="24"/>
              </w:rPr>
              <w:t>117,075,021.82</w:t>
            </w:r>
          </w:p>
        </w:tc>
        <w:tc>
          <w:tcPr>
            <w:tcW w:w="1620" w:type="dxa"/>
            <w:vAlign w:val="center"/>
          </w:tcPr>
          <w:p>
            <w:pPr>
              <w:jc w:val="right"/>
            </w:pPr>
            <w:r>
              <w:rPr>
                <w:color w:val="000000"/>
                <w:sz w:val="24"/>
              </w:rPr>
              <w:t>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115,192,486.38</w:t>
            </w:r>
          </w:p>
        </w:tc>
        <w:tc>
          <w:tcPr>
            <w:tcW w:w="1620" w:type="dxa"/>
            <w:vAlign w:val="center"/>
          </w:tcPr>
          <w:p>
            <w:pPr>
              <w:jc w:val="right"/>
            </w:pPr>
            <w:r>
              <w:rPr>
                <w:color w:val="000000"/>
                <w:sz w:val="24"/>
              </w:rPr>
              <w:t>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300271</w:t>
            </w:r>
          </w:p>
        </w:tc>
        <w:tc>
          <w:tcPr>
            <w:tcW w:w="1980" w:type="dxa"/>
            <w:vAlign w:val="center"/>
          </w:tcPr>
          <w:p>
            <w:pPr>
              <w:jc w:val="center"/>
            </w:pPr>
            <w:r>
              <w:rPr>
                <w:color w:val="000000"/>
                <w:sz w:val="24"/>
              </w:rPr>
              <w:t>华宇软件</w:t>
            </w:r>
          </w:p>
        </w:tc>
        <w:tc>
          <w:tcPr>
            <w:tcW w:w="2880" w:type="dxa"/>
            <w:vAlign w:val="center"/>
          </w:tcPr>
          <w:p>
            <w:pPr>
              <w:jc w:val="right"/>
            </w:pPr>
            <w:r>
              <w:rPr>
                <w:color w:val="000000"/>
                <w:sz w:val="24"/>
              </w:rPr>
              <w:t>114,153,102.15</w:t>
            </w:r>
          </w:p>
        </w:tc>
        <w:tc>
          <w:tcPr>
            <w:tcW w:w="1620" w:type="dxa"/>
            <w:vAlign w:val="center"/>
          </w:tcPr>
          <w:p>
            <w:pPr>
              <w:jc w:val="right"/>
            </w:pPr>
            <w:r>
              <w:rPr>
                <w:color w:val="00000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002212</w:t>
            </w:r>
          </w:p>
        </w:tc>
        <w:tc>
          <w:tcPr>
            <w:tcW w:w="1980" w:type="dxa"/>
            <w:vAlign w:val="center"/>
          </w:tcPr>
          <w:p>
            <w:pPr>
              <w:jc w:val="center"/>
            </w:pPr>
            <w:r>
              <w:rPr>
                <w:color w:val="000000"/>
                <w:sz w:val="24"/>
              </w:rPr>
              <w:t>天融信</w:t>
            </w:r>
          </w:p>
        </w:tc>
        <w:tc>
          <w:tcPr>
            <w:tcW w:w="2880" w:type="dxa"/>
            <w:vAlign w:val="center"/>
          </w:tcPr>
          <w:p>
            <w:pPr>
              <w:jc w:val="right"/>
            </w:pPr>
            <w:r>
              <w:rPr>
                <w:color w:val="000000"/>
                <w:sz w:val="24"/>
              </w:rPr>
              <w:t>113,423,893.61</w:t>
            </w:r>
          </w:p>
        </w:tc>
        <w:tc>
          <w:tcPr>
            <w:tcW w:w="1620" w:type="dxa"/>
            <w:vAlign w:val="center"/>
          </w:tcPr>
          <w:p>
            <w:pPr>
              <w:jc w:val="right"/>
            </w:pPr>
            <w:r>
              <w:rPr>
                <w:color w:val="000000"/>
                <w:sz w:val="24"/>
              </w:rPr>
              <w:t>2.98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000998</w:t>
            </w:r>
          </w:p>
        </w:tc>
        <w:tc>
          <w:tcPr>
            <w:tcW w:w="1980" w:type="dxa"/>
            <w:vAlign w:val="center"/>
          </w:tcPr>
          <w:p>
            <w:pPr>
              <w:jc w:val="center"/>
            </w:pPr>
            <w:r>
              <w:rPr>
                <w:color w:val="000000"/>
                <w:sz w:val="24"/>
              </w:rPr>
              <w:t>隆平高科</w:t>
            </w:r>
          </w:p>
        </w:tc>
        <w:tc>
          <w:tcPr>
            <w:tcW w:w="2880" w:type="dxa"/>
            <w:vAlign w:val="center"/>
          </w:tcPr>
          <w:p>
            <w:pPr>
              <w:jc w:val="right"/>
            </w:pPr>
            <w:r>
              <w:rPr>
                <w:color w:val="000000"/>
                <w:sz w:val="24"/>
              </w:rPr>
              <w:t>110,820,465.31</w:t>
            </w:r>
          </w:p>
        </w:tc>
        <w:tc>
          <w:tcPr>
            <w:tcW w:w="1620" w:type="dxa"/>
            <w:vAlign w:val="center"/>
          </w:tcPr>
          <w:p>
            <w:pPr>
              <w:jc w:val="right"/>
            </w:pPr>
            <w:r>
              <w:rPr>
                <w:color w:val="000000"/>
                <w:sz w:val="24"/>
              </w:rPr>
              <w:t>2.91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600690</w:t>
            </w:r>
          </w:p>
        </w:tc>
        <w:tc>
          <w:tcPr>
            <w:tcW w:w="1980" w:type="dxa"/>
            <w:vAlign w:val="center"/>
          </w:tcPr>
          <w:p>
            <w:pPr>
              <w:jc w:val="center"/>
            </w:pPr>
            <w:r>
              <w:rPr>
                <w:color w:val="000000"/>
                <w:sz w:val="24"/>
              </w:rPr>
              <w:t>海尔智家</w:t>
            </w:r>
          </w:p>
        </w:tc>
        <w:tc>
          <w:tcPr>
            <w:tcW w:w="2880" w:type="dxa"/>
            <w:vAlign w:val="center"/>
          </w:tcPr>
          <w:p>
            <w:pPr>
              <w:jc w:val="right"/>
            </w:pPr>
            <w:r>
              <w:rPr>
                <w:color w:val="000000"/>
                <w:sz w:val="24"/>
              </w:rPr>
              <w:t>110,097,634.75</w:t>
            </w:r>
          </w:p>
        </w:tc>
        <w:tc>
          <w:tcPr>
            <w:tcW w:w="1620" w:type="dxa"/>
            <w:vAlign w:val="center"/>
          </w:tcPr>
          <w:p>
            <w:pPr>
              <w:jc w:val="right"/>
            </w:pPr>
            <w:r>
              <w:rPr>
                <w:color w:val="000000"/>
                <w:sz w:val="24"/>
              </w:rPr>
              <w:t>2.89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107,386,362.18</w:t>
            </w:r>
          </w:p>
        </w:tc>
        <w:tc>
          <w:tcPr>
            <w:tcW w:w="1620" w:type="dxa"/>
            <w:vAlign w:val="center"/>
          </w:tcPr>
          <w:p>
            <w:pPr>
              <w:jc w:val="right"/>
            </w:pPr>
            <w:r>
              <w:rPr>
                <w:color w:val="000000"/>
                <w:sz w:val="24"/>
              </w:rPr>
              <w:t>2.82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002410</w:t>
            </w:r>
          </w:p>
        </w:tc>
        <w:tc>
          <w:tcPr>
            <w:tcW w:w="1980" w:type="dxa"/>
            <w:vAlign w:val="center"/>
          </w:tcPr>
          <w:p>
            <w:pPr>
              <w:jc w:val="center"/>
            </w:pPr>
            <w:r>
              <w:rPr>
                <w:color w:val="000000"/>
                <w:sz w:val="24"/>
              </w:rPr>
              <w:t>广联达</w:t>
            </w:r>
          </w:p>
        </w:tc>
        <w:tc>
          <w:tcPr>
            <w:tcW w:w="2880" w:type="dxa"/>
            <w:vAlign w:val="center"/>
          </w:tcPr>
          <w:p>
            <w:pPr>
              <w:jc w:val="right"/>
            </w:pPr>
            <w:r>
              <w:rPr>
                <w:color w:val="000000"/>
                <w:sz w:val="24"/>
              </w:rPr>
              <w:t>104,399,369.25</w:t>
            </w:r>
          </w:p>
        </w:tc>
        <w:tc>
          <w:tcPr>
            <w:tcW w:w="1620" w:type="dxa"/>
            <w:vAlign w:val="center"/>
          </w:tcPr>
          <w:p>
            <w:pPr>
              <w:jc w:val="right"/>
            </w:pPr>
            <w:r>
              <w:rPr>
                <w:color w:val="000000"/>
                <w:sz w:val="24"/>
              </w:rPr>
              <w:t>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300609</w:t>
            </w:r>
          </w:p>
        </w:tc>
        <w:tc>
          <w:tcPr>
            <w:tcW w:w="1980" w:type="dxa"/>
            <w:vAlign w:val="center"/>
          </w:tcPr>
          <w:p>
            <w:pPr>
              <w:jc w:val="center"/>
            </w:pPr>
            <w:r>
              <w:rPr>
                <w:color w:val="000000"/>
                <w:sz w:val="24"/>
              </w:rPr>
              <w:t>汇纳科技</w:t>
            </w:r>
          </w:p>
        </w:tc>
        <w:tc>
          <w:tcPr>
            <w:tcW w:w="2880" w:type="dxa"/>
            <w:vAlign w:val="center"/>
          </w:tcPr>
          <w:p>
            <w:pPr>
              <w:jc w:val="right"/>
            </w:pPr>
            <w:r>
              <w:rPr>
                <w:color w:val="000000"/>
                <w:sz w:val="24"/>
              </w:rPr>
              <w:t>100,836,611.84</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300452</w:t>
            </w:r>
          </w:p>
        </w:tc>
        <w:tc>
          <w:tcPr>
            <w:tcW w:w="1980" w:type="dxa"/>
            <w:vAlign w:val="center"/>
          </w:tcPr>
          <w:p>
            <w:pPr>
              <w:jc w:val="center"/>
            </w:pPr>
            <w:r>
              <w:rPr>
                <w:color w:val="000000"/>
                <w:sz w:val="24"/>
              </w:rPr>
              <w:t>山河药辅</w:t>
            </w:r>
          </w:p>
        </w:tc>
        <w:tc>
          <w:tcPr>
            <w:tcW w:w="2880" w:type="dxa"/>
            <w:vAlign w:val="center"/>
          </w:tcPr>
          <w:p>
            <w:pPr>
              <w:jc w:val="right"/>
            </w:pPr>
            <w:r>
              <w:rPr>
                <w:color w:val="000000"/>
                <w:sz w:val="24"/>
              </w:rPr>
              <w:t>91,329,148.39</w:t>
            </w:r>
          </w:p>
        </w:tc>
        <w:tc>
          <w:tcPr>
            <w:tcW w:w="1620" w:type="dxa"/>
            <w:vAlign w:val="center"/>
          </w:tcPr>
          <w:p>
            <w:pPr>
              <w:jc w:val="right"/>
            </w:pPr>
            <w:r>
              <w:rPr>
                <w:color w:val="000000"/>
                <w:sz w:val="24"/>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90,951,083.57</w:t>
            </w:r>
          </w:p>
        </w:tc>
        <w:tc>
          <w:tcPr>
            <w:tcW w:w="1620" w:type="dxa"/>
            <w:vAlign w:val="center"/>
          </w:tcPr>
          <w:p>
            <w:pPr>
              <w:jc w:val="right"/>
            </w:pPr>
            <w:r>
              <w:rPr>
                <w:color w:val="000000"/>
                <w:sz w:val="24"/>
              </w:rPr>
              <w:t>2.39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86,945,192.96</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300253</w:t>
            </w:r>
          </w:p>
        </w:tc>
        <w:tc>
          <w:tcPr>
            <w:tcW w:w="1980" w:type="dxa"/>
            <w:vAlign w:val="center"/>
          </w:tcPr>
          <w:p>
            <w:pPr>
              <w:jc w:val="center"/>
            </w:pPr>
            <w:r>
              <w:rPr>
                <w:color w:val="000000"/>
                <w:sz w:val="24"/>
              </w:rPr>
              <w:t>卫宁健康</w:t>
            </w:r>
          </w:p>
        </w:tc>
        <w:tc>
          <w:tcPr>
            <w:tcW w:w="2880" w:type="dxa"/>
            <w:vAlign w:val="center"/>
          </w:tcPr>
          <w:p>
            <w:pPr>
              <w:jc w:val="right"/>
            </w:pPr>
            <w:r>
              <w:rPr>
                <w:color w:val="000000"/>
                <w:sz w:val="24"/>
              </w:rPr>
              <w:t>86,723,416.78</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000004</w:t>
            </w:r>
          </w:p>
        </w:tc>
        <w:tc>
          <w:tcPr>
            <w:tcW w:w="1980" w:type="dxa"/>
            <w:vAlign w:val="center"/>
          </w:tcPr>
          <w:p>
            <w:pPr>
              <w:jc w:val="center"/>
            </w:pPr>
            <w:r>
              <w:rPr>
                <w:color w:val="000000"/>
                <w:sz w:val="24"/>
              </w:rPr>
              <w:t>国华网安</w:t>
            </w:r>
          </w:p>
        </w:tc>
        <w:tc>
          <w:tcPr>
            <w:tcW w:w="2880" w:type="dxa"/>
            <w:vAlign w:val="center"/>
          </w:tcPr>
          <w:p>
            <w:pPr>
              <w:jc w:val="right"/>
            </w:pPr>
            <w:r>
              <w:rPr>
                <w:color w:val="000000"/>
                <w:sz w:val="24"/>
              </w:rPr>
              <w:t>86,402,914.41</w:t>
            </w:r>
          </w:p>
        </w:tc>
        <w:tc>
          <w:tcPr>
            <w:tcW w:w="1620" w:type="dxa"/>
            <w:vAlign w:val="center"/>
          </w:tcPr>
          <w:p>
            <w:pPr>
              <w:jc w:val="right"/>
            </w:pPr>
            <w:r>
              <w:rPr>
                <w:color w:val="000000"/>
                <w:sz w:val="24"/>
              </w:rPr>
              <w:t>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85,635,630.00</w:t>
            </w:r>
          </w:p>
        </w:tc>
        <w:tc>
          <w:tcPr>
            <w:tcW w:w="1620" w:type="dxa"/>
            <w:vAlign w:val="center"/>
          </w:tcPr>
          <w:p>
            <w:pPr>
              <w:jc w:val="right"/>
            </w:pPr>
            <w:r>
              <w:rPr>
                <w:color w:val="000000"/>
                <w:sz w:val="24"/>
              </w:rPr>
              <w:t>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000913</w:t>
            </w:r>
          </w:p>
        </w:tc>
        <w:tc>
          <w:tcPr>
            <w:tcW w:w="1980" w:type="dxa"/>
            <w:vAlign w:val="center"/>
          </w:tcPr>
          <w:p>
            <w:pPr>
              <w:jc w:val="center"/>
            </w:pPr>
            <w:r>
              <w:rPr>
                <w:color w:val="000000"/>
                <w:sz w:val="24"/>
              </w:rPr>
              <w:t>钱江摩托</w:t>
            </w:r>
          </w:p>
        </w:tc>
        <w:tc>
          <w:tcPr>
            <w:tcW w:w="2880" w:type="dxa"/>
            <w:vAlign w:val="center"/>
          </w:tcPr>
          <w:p>
            <w:pPr>
              <w:jc w:val="right"/>
            </w:pPr>
            <w:r>
              <w:rPr>
                <w:color w:val="000000"/>
                <w:sz w:val="24"/>
              </w:rPr>
              <w:t>85,456,885.87</w:t>
            </w:r>
          </w:p>
        </w:tc>
        <w:tc>
          <w:tcPr>
            <w:tcW w:w="1620" w:type="dxa"/>
            <w:vAlign w:val="center"/>
          </w:tcPr>
          <w:p>
            <w:pPr>
              <w:jc w:val="right"/>
            </w:pPr>
            <w:r>
              <w:rPr>
                <w:color w:val="000000"/>
                <w:sz w:val="24"/>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002597</w:t>
            </w:r>
          </w:p>
        </w:tc>
        <w:tc>
          <w:tcPr>
            <w:tcW w:w="1980" w:type="dxa"/>
            <w:vAlign w:val="center"/>
          </w:tcPr>
          <w:p>
            <w:pPr>
              <w:jc w:val="center"/>
            </w:pPr>
            <w:r>
              <w:rPr>
                <w:color w:val="000000"/>
                <w:sz w:val="24"/>
              </w:rPr>
              <w:t>金禾实业</w:t>
            </w:r>
          </w:p>
        </w:tc>
        <w:tc>
          <w:tcPr>
            <w:tcW w:w="2880" w:type="dxa"/>
            <w:vAlign w:val="center"/>
          </w:tcPr>
          <w:p>
            <w:pPr>
              <w:jc w:val="right"/>
            </w:pPr>
            <w:r>
              <w:rPr>
                <w:color w:val="000000"/>
                <w:sz w:val="24"/>
              </w:rPr>
              <w:t>84,330,960.27</w:t>
            </w:r>
          </w:p>
        </w:tc>
        <w:tc>
          <w:tcPr>
            <w:tcW w:w="1620" w:type="dxa"/>
            <w:vAlign w:val="center"/>
          </w:tcPr>
          <w:p>
            <w:pPr>
              <w:jc w:val="right"/>
            </w:pPr>
            <w:r>
              <w:rPr>
                <w:color w:val="000000"/>
                <w:sz w:val="24"/>
              </w:rPr>
              <w:t>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603867</w:t>
            </w:r>
          </w:p>
        </w:tc>
        <w:tc>
          <w:tcPr>
            <w:tcW w:w="1980" w:type="dxa"/>
            <w:vAlign w:val="center"/>
          </w:tcPr>
          <w:p>
            <w:pPr>
              <w:jc w:val="center"/>
            </w:pPr>
            <w:r>
              <w:rPr>
                <w:color w:val="000000"/>
                <w:sz w:val="24"/>
              </w:rPr>
              <w:t>新化股份</w:t>
            </w:r>
          </w:p>
        </w:tc>
        <w:tc>
          <w:tcPr>
            <w:tcW w:w="2880" w:type="dxa"/>
            <w:vAlign w:val="center"/>
          </w:tcPr>
          <w:p>
            <w:pPr>
              <w:jc w:val="right"/>
            </w:pPr>
            <w:r>
              <w:rPr>
                <w:color w:val="000000"/>
                <w:sz w:val="24"/>
              </w:rPr>
              <w:t>84,144,723.65</w:t>
            </w:r>
          </w:p>
        </w:tc>
        <w:tc>
          <w:tcPr>
            <w:tcW w:w="1620" w:type="dxa"/>
            <w:vAlign w:val="center"/>
          </w:tcPr>
          <w:p>
            <w:pPr>
              <w:jc w:val="right"/>
            </w:pPr>
            <w:r>
              <w:rPr>
                <w:color w:val="000000"/>
                <w:sz w:val="24"/>
              </w:rPr>
              <w:t>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002127</w:t>
            </w:r>
          </w:p>
        </w:tc>
        <w:tc>
          <w:tcPr>
            <w:tcW w:w="1980" w:type="dxa"/>
            <w:vAlign w:val="center"/>
          </w:tcPr>
          <w:p>
            <w:pPr>
              <w:jc w:val="center"/>
            </w:pPr>
            <w:r>
              <w:rPr>
                <w:color w:val="000000"/>
                <w:sz w:val="24"/>
              </w:rPr>
              <w:t>南极电商</w:t>
            </w:r>
          </w:p>
        </w:tc>
        <w:tc>
          <w:tcPr>
            <w:tcW w:w="2880" w:type="dxa"/>
            <w:vAlign w:val="center"/>
          </w:tcPr>
          <w:p>
            <w:pPr>
              <w:jc w:val="right"/>
            </w:pPr>
            <w:r>
              <w:rPr>
                <w:color w:val="000000"/>
                <w:sz w:val="24"/>
              </w:rPr>
              <w:t>82,379,750.90</w:t>
            </w:r>
          </w:p>
        </w:tc>
        <w:tc>
          <w:tcPr>
            <w:tcW w:w="1620" w:type="dxa"/>
            <w:vAlign w:val="center"/>
          </w:tcPr>
          <w:p>
            <w:pPr>
              <w:jc w:val="right"/>
            </w:pPr>
            <w:r>
              <w:rPr>
                <w:color w:val="000000"/>
                <w:sz w:val="24"/>
              </w:rPr>
              <w:t>2.16</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18" w:name="_Toc67591843"/>
      <w:r>
        <w:rPr>
          <w:rFonts w:ascii="Times New Roman" w:hAnsi="Times New Roman"/>
          <w:kern w:val="0"/>
          <w:szCs w:val="24"/>
        </w:rPr>
        <w:t>8.4.3</w:t>
      </w:r>
      <w:r>
        <w:rPr>
          <w:rFonts w:hint="eastAsia" w:ascii="Times New Roman" w:hAnsi="Times New Roman"/>
          <w:kern w:val="0"/>
          <w:szCs w:val="24"/>
        </w:rPr>
        <w:t>买入股票的成本总额及卖出股票的收入总额</w:t>
      </w:r>
      <w:bookmarkEnd w:id="218"/>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color w:val="000000"/>
                <w:sz w:val="24"/>
              </w:rPr>
              <w:t>10,484,320,335.22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9,420,976,062.66</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219" w:name="_Toc234814104"/>
      <w:bookmarkStart w:id="220" w:name="_Toc361324883"/>
      <w:bookmarkStart w:id="221" w:name="_Toc67591844"/>
      <w:r>
        <w:rPr>
          <w:rFonts w:ascii="Times New Roman" w:hAnsi="Times New Roman"/>
          <w:kern w:val="0"/>
          <w:szCs w:val="24"/>
        </w:rPr>
        <w:t>8.5</w:t>
      </w:r>
      <w:r>
        <w:rPr>
          <w:rFonts w:hint="eastAsia" w:ascii="Times New Roman" w:hAnsi="Times New Roman"/>
          <w:kern w:val="0"/>
          <w:szCs w:val="24"/>
        </w:rPr>
        <w:t>期末按债券品种分类的债券投资组合</w:t>
      </w:r>
      <w:bookmarkEnd w:id="219"/>
      <w:bookmarkEnd w:id="220"/>
      <w:bookmarkEnd w:id="22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3558"/>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rFonts w:hint="eastAsia"/>
                <w:color w:val="000000"/>
                <w:sz w:val="24"/>
              </w:rPr>
              <w:t>序号</w:t>
            </w:r>
          </w:p>
        </w:tc>
        <w:tc>
          <w:tcPr>
            <w:tcW w:w="3260" w:type="dxa"/>
            <w:vAlign w:val="center"/>
          </w:tcPr>
          <w:p>
            <w:pPr>
              <w:spacing w:before="29" w:line="288" w:lineRule="auto"/>
              <w:ind w:left="17"/>
              <w:jc w:val="center"/>
              <w:rPr>
                <w:color w:val="000000"/>
                <w:sz w:val="24"/>
              </w:rPr>
            </w:pPr>
            <w:r>
              <w:rPr>
                <w:rFonts w:hint="eastAsia"/>
                <w:color w:val="000000"/>
                <w:sz w:val="24"/>
              </w:rPr>
              <w:t>债券品种</w:t>
            </w:r>
          </w:p>
        </w:tc>
        <w:tc>
          <w:tcPr>
            <w:tcW w:w="3558" w:type="dxa"/>
            <w:vAlign w:val="center"/>
          </w:tcPr>
          <w:p>
            <w:pPr>
              <w:spacing w:before="29" w:line="288" w:lineRule="auto"/>
              <w:ind w:left="17"/>
              <w:jc w:val="center"/>
              <w:rPr>
                <w:color w:val="000000"/>
                <w:sz w:val="24"/>
              </w:rPr>
            </w:pPr>
            <w:r>
              <w:rPr>
                <w:rFonts w:hint="eastAsia"/>
                <w:color w:val="000000"/>
                <w:sz w:val="24"/>
              </w:rPr>
              <w:t>公允价值</w:t>
            </w:r>
          </w:p>
        </w:tc>
        <w:tc>
          <w:tcPr>
            <w:tcW w:w="1679" w:type="dxa"/>
            <w:vAlign w:val="center"/>
          </w:tcPr>
          <w:p>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w:t>
            </w:r>
          </w:p>
        </w:tc>
        <w:tc>
          <w:tcPr>
            <w:tcW w:w="3260" w:type="dxa"/>
            <w:vAlign w:val="center"/>
          </w:tcPr>
          <w:p>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2</w:t>
            </w:r>
          </w:p>
        </w:tc>
        <w:tc>
          <w:tcPr>
            <w:tcW w:w="3260" w:type="dxa"/>
            <w:vAlign w:val="center"/>
          </w:tcPr>
          <w:p>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3</w:t>
            </w:r>
          </w:p>
        </w:tc>
        <w:tc>
          <w:tcPr>
            <w:tcW w:w="3260" w:type="dxa"/>
            <w:vAlign w:val="center"/>
          </w:tcPr>
          <w:p>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pPr>
              <w:spacing w:before="29" w:line="288" w:lineRule="auto"/>
              <w:jc w:val="right"/>
              <w:rPr>
                <w:kern w:val="0"/>
                <w:sz w:val="24"/>
              </w:rPr>
            </w:pPr>
            <w:r>
              <w:rPr>
                <w:kern w:val="0"/>
                <w:sz w:val="24"/>
              </w:rPr>
              <w:t>319,646,000.00</w:t>
            </w:r>
          </w:p>
        </w:tc>
        <w:tc>
          <w:tcPr>
            <w:tcW w:w="1679" w:type="dxa"/>
            <w:vAlign w:val="center"/>
          </w:tcPr>
          <w:p>
            <w:pPr>
              <w:spacing w:before="29" w:line="288" w:lineRule="auto"/>
              <w:jc w:val="right"/>
              <w:rPr>
                <w:kern w:val="0"/>
                <w:sz w:val="24"/>
              </w:rPr>
            </w:pPr>
            <w:r>
              <w:rPr>
                <w:kern w:val="0"/>
                <w:sz w:val="24"/>
              </w:rPr>
              <w:t>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p>
        </w:tc>
        <w:tc>
          <w:tcPr>
            <w:tcW w:w="3260" w:type="dxa"/>
            <w:vAlign w:val="center"/>
          </w:tcPr>
          <w:p>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pPr>
              <w:spacing w:before="29" w:line="288" w:lineRule="auto"/>
              <w:jc w:val="right"/>
              <w:rPr>
                <w:kern w:val="0"/>
                <w:sz w:val="24"/>
              </w:rPr>
            </w:pPr>
            <w:r>
              <w:rPr>
                <w:kern w:val="0"/>
                <w:sz w:val="24"/>
              </w:rPr>
              <w:t>319,646,000.00</w:t>
            </w:r>
          </w:p>
        </w:tc>
        <w:tc>
          <w:tcPr>
            <w:tcW w:w="1679" w:type="dxa"/>
            <w:vAlign w:val="center"/>
          </w:tcPr>
          <w:p>
            <w:pPr>
              <w:spacing w:before="29" w:line="288" w:lineRule="auto"/>
              <w:jc w:val="right"/>
              <w:rPr>
                <w:kern w:val="0"/>
                <w:sz w:val="24"/>
              </w:rPr>
            </w:pPr>
            <w:r>
              <w:rPr>
                <w:kern w:val="0"/>
                <w:sz w:val="24"/>
              </w:rPr>
              <w:t>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4</w:t>
            </w:r>
          </w:p>
        </w:tc>
        <w:tc>
          <w:tcPr>
            <w:tcW w:w="3260" w:type="dxa"/>
            <w:vAlign w:val="center"/>
          </w:tcPr>
          <w:p>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5</w:t>
            </w:r>
          </w:p>
        </w:tc>
        <w:tc>
          <w:tcPr>
            <w:tcW w:w="3260" w:type="dxa"/>
            <w:vAlign w:val="center"/>
          </w:tcPr>
          <w:p>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6</w:t>
            </w:r>
          </w:p>
        </w:tc>
        <w:tc>
          <w:tcPr>
            <w:tcW w:w="3260" w:type="dxa"/>
            <w:vAlign w:val="center"/>
          </w:tcPr>
          <w:p>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7</w:t>
            </w:r>
          </w:p>
        </w:tc>
        <w:tc>
          <w:tcPr>
            <w:tcW w:w="3260" w:type="dxa"/>
            <w:vAlign w:val="center"/>
          </w:tcPr>
          <w:p>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8</w:t>
            </w:r>
          </w:p>
        </w:tc>
        <w:tc>
          <w:tcPr>
            <w:tcW w:w="3260" w:type="dxa"/>
            <w:vAlign w:val="center"/>
          </w:tcPr>
          <w:p>
            <w:pPr>
              <w:widowControl/>
              <w:spacing w:before="29" w:line="288" w:lineRule="auto"/>
              <w:rPr>
                <w:color w:val="000000"/>
                <w:kern w:val="0"/>
                <w:sz w:val="24"/>
              </w:rPr>
            </w:pPr>
            <w:r>
              <w:rPr>
                <w:rFonts w:hint="eastAsia"/>
                <w:color w:val="000000"/>
                <w:sz w:val="24"/>
              </w:rPr>
              <w:t>同业存单</w:t>
            </w:r>
          </w:p>
        </w:tc>
        <w:tc>
          <w:tcPr>
            <w:tcW w:w="3558" w:type="dxa"/>
            <w:vAlign w:val="center"/>
          </w:tcPr>
          <w:p>
            <w:pPr>
              <w:spacing w:before="29" w:line="288" w:lineRule="auto"/>
              <w:jc w:val="right"/>
              <w:rPr>
                <w:color w:val="000000"/>
                <w:kern w:val="0"/>
                <w:sz w:val="24"/>
              </w:rPr>
            </w:pPr>
            <w:r>
              <w:rPr>
                <w:rFonts w:hint="eastAsia"/>
                <w:color w:val="000000"/>
                <w:kern w:val="0"/>
                <w:sz w:val="24"/>
              </w:rPr>
              <w:t>-</w:t>
            </w:r>
          </w:p>
        </w:tc>
        <w:tc>
          <w:tcPr>
            <w:tcW w:w="1679"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9</w:t>
            </w:r>
          </w:p>
        </w:tc>
        <w:tc>
          <w:tcPr>
            <w:tcW w:w="3260" w:type="dxa"/>
            <w:vAlign w:val="center"/>
          </w:tcPr>
          <w:p>
            <w:pPr>
              <w:widowControl/>
              <w:spacing w:before="29" w:line="288" w:lineRule="auto"/>
              <w:rPr>
                <w:color w:val="000000"/>
                <w:kern w:val="0"/>
                <w:sz w:val="24"/>
              </w:rPr>
            </w:pPr>
            <w:r>
              <w:rPr>
                <w:rFonts w:hint="eastAsia"/>
                <w:color w:val="000000"/>
                <w:kern w:val="0"/>
                <w:sz w:val="24"/>
              </w:rPr>
              <w:t>其他</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10</w:t>
            </w:r>
          </w:p>
        </w:tc>
        <w:tc>
          <w:tcPr>
            <w:tcW w:w="3260" w:type="dxa"/>
            <w:vAlign w:val="center"/>
          </w:tcPr>
          <w:p>
            <w:pPr>
              <w:widowControl/>
              <w:spacing w:before="29" w:line="288" w:lineRule="auto"/>
              <w:rPr>
                <w:color w:val="000000"/>
                <w:kern w:val="0"/>
                <w:sz w:val="24"/>
              </w:rPr>
            </w:pPr>
            <w:r>
              <w:rPr>
                <w:rFonts w:hint="eastAsia"/>
                <w:color w:val="000000"/>
                <w:kern w:val="0"/>
                <w:sz w:val="24"/>
              </w:rPr>
              <w:t>合计</w:t>
            </w:r>
          </w:p>
        </w:tc>
        <w:tc>
          <w:tcPr>
            <w:tcW w:w="3558" w:type="dxa"/>
            <w:vAlign w:val="center"/>
          </w:tcPr>
          <w:p>
            <w:pPr>
              <w:spacing w:before="29" w:line="288" w:lineRule="auto"/>
              <w:jc w:val="right"/>
              <w:rPr>
                <w:kern w:val="0"/>
                <w:sz w:val="24"/>
              </w:rPr>
            </w:pPr>
            <w:r>
              <w:rPr>
                <w:kern w:val="0"/>
                <w:sz w:val="24"/>
              </w:rPr>
              <w:t>319,646,000.00</w:t>
            </w:r>
          </w:p>
        </w:tc>
        <w:tc>
          <w:tcPr>
            <w:tcW w:w="1679" w:type="dxa"/>
            <w:vAlign w:val="center"/>
          </w:tcPr>
          <w:p>
            <w:pPr>
              <w:spacing w:before="29" w:line="288" w:lineRule="auto"/>
              <w:jc w:val="right"/>
              <w:rPr>
                <w:kern w:val="0"/>
                <w:sz w:val="24"/>
              </w:rPr>
            </w:pPr>
            <w:r>
              <w:rPr>
                <w:kern w:val="0"/>
                <w:sz w:val="24"/>
              </w:rPr>
              <w:t>4.76</w:t>
            </w:r>
          </w:p>
        </w:tc>
      </w:tr>
    </w:tbl>
    <w:p>
      <w:pPr>
        <w:tabs>
          <w:tab w:val="left" w:pos="426"/>
        </w:tabs>
        <w:spacing w:before="29" w:line="288" w:lineRule="auto"/>
        <w:jc w:val="left"/>
        <w:rPr>
          <w:kern w:val="0"/>
          <w:sz w:val="24"/>
        </w:rPr>
      </w:pPr>
      <w:bookmarkStart w:id="222" w:name="_Toc361324884"/>
    </w:p>
    <w:p>
      <w:pPr>
        <w:pStyle w:val="3"/>
        <w:spacing w:before="29" w:after="0" w:line="288" w:lineRule="auto"/>
        <w:rPr>
          <w:rFonts w:ascii="Times New Roman" w:hAnsi="Times New Roman"/>
          <w:kern w:val="0"/>
          <w:szCs w:val="24"/>
        </w:rPr>
      </w:pPr>
      <w:bookmarkStart w:id="223" w:name="_Toc67591845"/>
      <w:r>
        <w:rPr>
          <w:rFonts w:ascii="Times New Roman" w:hAnsi="Times New Roman"/>
          <w:kern w:val="0"/>
          <w:szCs w:val="24"/>
        </w:rPr>
        <w:t>8.6</w:t>
      </w:r>
      <w:bookmarkStart w:id="224" w:name="_Toc234814105"/>
      <w:r>
        <w:rPr>
          <w:rFonts w:hint="eastAsia" w:ascii="Times New Roman" w:hAnsi="Times New Roman"/>
          <w:kern w:val="0"/>
          <w:szCs w:val="24"/>
        </w:rPr>
        <w:t>期末按公允价值占基金资产净值比例大小排序的前五名债券投资明细</w:t>
      </w:r>
      <w:bookmarkEnd w:id="222"/>
      <w:bookmarkEnd w:id="223"/>
      <w:bookmarkEnd w:id="22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670"/>
        <w:gridCol w:w="1282"/>
        <w:gridCol w:w="1849"/>
        <w:gridCol w:w="2126"/>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spacing w:before="29" w:line="288" w:lineRule="auto"/>
              <w:ind w:left="17"/>
              <w:jc w:val="center"/>
              <w:rPr>
                <w:color w:val="000000"/>
                <w:sz w:val="24"/>
              </w:rPr>
            </w:pPr>
            <w:r>
              <w:rPr>
                <w:rFonts w:hint="eastAsia"/>
                <w:color w:val="000000"/>
                <w:sz w:val="24"/>
              </w:rPr>
              <w:t>序号</w:t>
            </w:r>
          </w:p>
        </w:tc>
        <w:tc>
          <w:tcPr>
            <w:tcW w:w="1670" w:type="dxa"/>
            <w:vAlign w:val="center"/>
          </w:tcPr>
          <w:p>
            <w:pPr>
              <w:spacing w:before="29" w:line="288" w:lineRule="auto"/>
              <w:ind w:left="17"/>
              <w:jc w:val="center"/>
              <w:rPr>
                <w:color w:val="000000"/>
                <w:sz w:val="24"/>
              </w:rPr>
            </w:pPr>
            <w:r>
              <w:rPr>
                <w:rFonts w:hint="eastAsia"/>
                <w:color w:val="000000"/>
                <w:sz w:val="24"/>
              </w:rPr>
              <w:t>债券代码</w:t>
            </w:r>
          </w:p>
        </w:tc>
        <w:tc>
          <w:tcPr>
            <w:tcW w:w="1282" w:type="dxa"/>
            <w:vAlign w:val="center"/>
          </w:tcPr>
          <w:p>
            <w:pPr>
              <w:spacing w:before="29" w:line="288" w:lineRule="auto"/>
              <w:ind w:left="17"/>
              <w:jc w:val="center"/>
              <w:rPr>
                <w:color w:val="000000"/>
                <w:sz w:val="24"/>
              </w:rPr>
            </w:pPr>
            <w:r>
              <w:rPr>
                <w:rFonts w:hint="eastAsia"/>
                <w:color w:val="000000"/>
                <w:sz w:val="24"/>
              </w:rPr>
              <w:t>债券名称</w:t>
            </w:r>
          </w:p>
        </w:tc>
        <w:tc>
          <w:tcPr>
            <w:tcW w:w="1849" w:type="dxa"/>
            <w:vAlign w:val="center"/>
          </w:tcPr>
          <w:p>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pPr>
              <w:spacing w:before="29" w:line="288" w:lineRule="auto"/>
              <w:ind w:left="17"/>
              <w:jc w:val="center"/>
              <w:rPr>
                <w:color w:val="000000"/>
                <w:sz w:val="24"/>
              </w:rPr>
            </w:pPr>
            <w:r>
              <w:rPr>
                <w:rFonts w:hint="eastAsia"/>
                <w:color w:val="000000"/>
                <w:sz w:val="24"/>
              </w:rPr>
              <w:t>公允价值</w:t>
            </w:r>
          </w:p>
        </w:tc>
        <w:tc>
          <w:tcPr>
            <w:tcW w:w="1578" w:type="dxa"/>
            <w:vAlign w:val="center"/>
          </w:tcPr>
          <w:p>
            <w:pPr>
              <w:spacing w:before="29" w:line="288" w:lineRule="auto"/>
              <w:ind w:left="17"/>
              <w:jc w:val="center"/>
              <w:rPr>
                <w:color w:val="000000"/>
                <w:sz w:val="24"/>
              </w:rPr>
            </w:pPr>
            <w:r>
              <w:rPr>
                <w:color w:val="000000"/>
                <w:sz w:val="24"/>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1</w:t>
            </w:r>
          </w:p>
        </w:tc>
        <w:tc>
          <w:tcPr>
            <w:tcW w:w="1670" w:type="dxa"/>
            <w:vAlign w:val="center"/>
          </w:tcPr>
          <w:p>
            <w:pPr>
              <w:jc w:val="center"/>
            </w:pPr>
            <w:r>
              <w:rPr>
                <w:color w:val="000000"/>
                <w:sz w:val="24"/>
              </w:rPr>
              <w:t>200216</w:t>
            </w:r>
          </w:p>
        </w:tc>
        <w:tc>
          <w:tcPr>
            <w:tcW w:w="1282" w:type="dxa"/>
            <w:vAlign w:val="center"/>
          </w:tcPr>
          <w:p>
            <w:pPr>
              <w:jc w:val="center"/>
            </w:pPr>
            <w:r>
              <w:rPr>
                <w:color w:val="000000"/>
                <w:sz w:val="24"/>
              </w:rPr>
              <w:t>20国开16</w:t>
            </w:r>
          </w:p>
        </w:tc>
        <w:tc>
          <w:tcPr>
            <w:tcW w:w="1849" w:type="dxa"/>
            <w:vAlign w:val="center"/>
          </w:tcPr>
          <w:p>
            <w:pPr>
              <w:jc w:val="right"/>
            </w:pPr>
            <w:r>
              <w:rPr>
                <w:color w:val="000000"/>
                <w:sz w:val="24"/>
              </w:rPr>
              <w:t>1,100,000</w:t>
            </w:r>
          </w:p>
        </w:tc>
        <w:tc>
          <w:tcPr>
            <w:tcW w:w="2126" w:type="dxa"/>
            <w:vAlign w:val="center"/>
          </w:tcPr>
          <w:p>
            <w:pPr>
              <w:jc w:val="right"/>
            </w:pPr>
            <w:r>
              <w:rPr>
                <w:color w:val="000000"/>
                <w:sz w:val="24"/>
              </w:rPr>
              <w:t>110,187,000.00</w:t>
            </w:r>
          </w:p>
        </w:tc>
        <w:tc>
          <w:tcPr>
            <w:tcW w:w="1578" w:type="dxa"/>
            <w:vAlign w:val="center"/>
          </w:tcPr>
          <w:p>
            <w:pPr>
              <w:jc w:val="right"/>
            </w:pPr>
            <w:r>
              <w:rPr>
                <w:color w:val="000000"/>
                <w:sz w:val="24"/>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2</w:t>
            </w:r>
          </w:p>
        </w:tc>
        <w:tc>
          <w:tcPr>
            <w:tcW w:w="1670" w:type="dxa"/>
            <w:vAlign w:val="center"/>
          </w:tcPr>
          <w:p>
            <w:pPr>
              <w:jc w:val="center"/>
            </w:pPr>
            <w:r>
              <w:rPr>
                <w:color w:val="000000"/>
                <w:sz w:val="24"/>
              </w:rPr>
              <w:t>200406</w:t>
            </w:r>
          </w:p>
        </w:tc>
        <w:tc>
          <w:tcPr>
            <w:tcW w:w="1282" w:type="dxa"/>
            <w:vAlign w:val="center"/>
          </w:tcPr>
          <w:p>
            <w:pPr>
              <w:jc w:val="center"/>
            </w:pPr>
            <w:r>
              <w:rPr>
                <w:color w:val="000000"/>
                <w:sz w:val="24"/>
              </w:rPr>
              <w:t>20农发06</w:t>
            </w:r>
          </w:p>
        </w:tc>
        <w:tc>
          <w:tcPr>
            <w:tcW w:w="1849" w:type="dxa"/>
            <w:vAlign w:val="center"/>
          </w:tcPr>
          <w:p>
            <w:pPr>
              <w:jc w:val="right"/>
            </w:pPr>
            <w:r>
              <w:rPr>
                <w:color w:val="000000"/>
                <w:sz w:val="24"/>
              </w:rPr>
              <w:t>1,100,000</w:t>
            </w:r>
          </w:p>
        </w:tc>
        <w:tc>
          <w:tcPr>
            <w:tcW w:w="2126" w:type="dxa"/>
            <w:vAlign w:val="center"/>
          </w:tcPr>
          <w:p>
            <w:pPr>
              <w:jc w:val="right"/>
            </w:pPr>
            <w:r>
              <w:rPr>
                <w:color w:val="000000"/>
                <w:sz w:val="24"/>
              </w:rPr>
              <w:t>109,736,000.00</w:t>
            </w:r>
          </w:p>
        </w:tc>
        <w:tc>
          <w:tcPr>
            <w:tcW w:w="1578" w:type="dxa"/>
            <w:vAlign w:val="center"/>
          </w:tcPr>
          <w:p>
            <w:pPr>
              <w:jc w:val="right"/>
            </w:pPr>
            <w:r>
              <w:rPr>
                <w:color w:val="000000"/>
                <w:sz w:val="24"/>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3</w:t>
            </w:r>
          </w:p>
        </w:tc>
        <w:tc>
          <w:tcPr>
            <w:tcW w:w="1670" w:type="dxa"/>
            <w:vAlign w:val="center"/>
          </w:tcPr>
          <w:p>
            <w:pPr>
              <w:jc w:val="center"/>
            </w:pPr>
            <w:r>
              <w:rPr>
                <w:color w:val="000000"/>
                <w:sz w:val="24"/>
              </w:rPr>
              <w:t>200211</w:t>
            </w:r>
          </w:p>
        </w:tc>
        <w:tc>
          <w:tcPr>
            <w:tcW w:w="1282" w:type="dxa"/>
            <w:vAlign w:val="center"/>
          </w:tcPr>
          <w:p>
            <w:pPr>
              <w:jc w:val="center"/>
            </w:pPr>
            <w:r>
              <w:rPr>
                <w:color w:val="000000"/>
                <w:sz w:val="24"/>
              </w:rPr>
              <w:t>20国开11</w:t>
            </w:r>
          </w:p>
        </w:tc>
        <w:tc>
          <w:tcPr>
            <w:tcW w:w="1849" w:type="dxa"/>
            <w:vAlign w:val="center"/>
          </w:tcPr>
          <w:p>
            <w:pPr>
              <w:jc w:val="right"/>
            </w:pPr>
            <w:r>
              <w:rPr>
                <w:color w:val="000000"/>
                <w:sz w:val="24"/>
              </w:rPr>
              <w:t>700,000</w:t>
            </w:r>
          </w:p>
        </w:tc>
        <w:tc>
          <w:tcPr>
            <w:tcW w:w="2126" w:type="dxa"/>
            <w:vAlign w:val="center"/>
          </w:tcPr>
          <w:p>
            <w:pPr>
              <w:jc w:val="right"/>
            </w:pPr>
            <w:r>
              <w:rPr>
                <w:color w:val="000000"/>
                <w:sz w:val="24"/>
              </w:rPr>
              <w:t>69,720,000.00</w:t>
            </w:r>
          </w:p>
        </w:tc>
        <w:tc>
          <w:tcPr>
            <w:tcW w:w="1578" w:type="dxa"/>
            <w:vAlign w:val="center"/>
          </w:tcPr>
          <w:p>
            <w:pPr>
              <w:jc w:val="right"/>
            </w:pPr>
            <w:r>
              <w:rPr>
                <w:color w:val="000000"/>
                <w:sz w:val="24"/>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4</w:t>
            </w:r>
          </w:p>
        </w:tc>
        <w:tc>
          <w:tcPr>
            <w:tcW w:w="1670" w:type="dxa"/>
            <w:vAlign w:val="center"/>
          </w:tcPr>
          <w:p>
            <w:pPr>
              <w:jc w:val="center"/>
            </w:pPr>
            <w:r>
              <w:rPr>
                <w:color w:val="000000"/>
                <w:sz w:val="24"/>
              </w:rPr>
              <w:t>200201</w:t>
            </w:r>
          </w:p>
        </w:tc>
        <w:tc>
          <w:tcPr>
            <w:tcW w:w="1282" w:type="dxa"/>
            <w:vAlign w:val="center"/>
          </w:tcPr>
          <w:p>
            <w:pPr>
              <w:jc w:val="center"/>
            </w:pPr>
            <w:r>
              <w:rPr>
                <w:color w:val="000000"/>
                <w:sz w:val="24"/>
              </w:rPr>
              <w:t>20国开01</w:t>
            </w:r>
          </w:p>
        </w:tc>
        <w:tc>
          <w:tcPr>
            <w:tcW w:w="1849" w:type="dxa"/>
            <w:vAlign w:val="center"/>
          </w:tcPr>
          <w:p>
            <w:pPr>
              <w:jc w:val="right"/>
            </w:pPr>
            <w:r>
              <w:rPr>
                <w:color w:val="000000"/>
                <w:sz w:val="24"/>
              </w:rPr>
              <w:t>300,000</w:t>
            </w:r>
          </w:p>
        </w:tc>
        <w:tc>
          <w:tcPr>
            <w:tcW w:w="2126" w:type="dxa"/>
            <w:vAlign w:val="center"/>
          </w:tcPr>
          <w:p>
            <w:pPr>
              <w:jc w:val="right"/>
            </w:pPr>
            <w:r>
              <w:rPr>
                <w:color w:val="000000"/>
                <w:sz w:val="24"/>
              </w:rPr>
              <w:t>30,003,000.00</w:t>
            </w:r>
          </w:p>
        </w:tc>
        <w:tc>
          <w:tcPr>
            <w:tcW w:w="1578" w:type="dxa"/>
            <w:vAlign w:val="center"/>
          </w:tcPr>
          <w:p>
            <w:pPr>
              <w:jc w:val="right"/>
            </w:pPr>
            <w:r>
              <w:rPr>
                <w:color w:val="000000"/>
                <w:sz w:val="24"/>
              </w:rPr>
              <w:t>0.45</w:t>
            </w:r>
          </w:p>
        </w:tc>
      </w:tr>
    </w:tbl>
    <w:p>
      <w:pPr>
        <w:tabs>
          <w:tab w:val="left" w:pos="426"/>
        </w:tabs>
        <w:spacing w:before="29" w:line="288" w:lineRule="auto"/>
        <w:jc w:val="left"/>
        <w:rPr>
          <w:kern w:val="0"/>
          <w:sz w:val="24"/>
        </w:rPr>
      </w:pPr>
      <w:bookmarkStart w:id="225" w:name="_Toc361324885"/>
    </w:p>
    <w:p>
      <w:pPr>
        <w:pStyle w:val="3"/>
        <w:spacing w:before="29" w:after="0" w:line="288" w:lineRule="auto"/>
        <w:rPr>
          <w:rFonts w:ascii="Times New Roman" w:hAnsi="Times New Roman"/>
          <w:kern w:val="0"/>
          <w:szCs w:val="24"/>
        </w:rPr>
      </w:pPr>
      <w:bookmarkStart w:id="226" w:name="_Toc67591846"/>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225"/>
      <w:bookmarkEnd w:id="226"/>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227" w:name="_Toc67591847"/>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227"/>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8" w:name="_Toc361324886"/>
      <w:bookmarkStart w:id="229" w:name="_Toc67591848"/>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228"/>
      <w:bookmarkEnd w:id="229"/>
    </w:p>
    <w:p>
      <w:pPr>
        <w:tabs>
          <w:tab w:val="left" w:pos="426"/>
        </w:tabs>
        <w:spacing w:before="29" w:line="288" w:lineRule="auto"/>
        <w:jc w:val="left"/>
        <w:rPr>
          <w:kern w:val="0"/>
          <w:sz w:val="24"/>
        </w:rPr>
      </w:pPr>
      <w:r>
        <w:rPr>
          <w:kern w:val="0"/>
          <w:sz w:val="24"/>
        </w:rPr>
        <w:t>本基金本报告期末未持有权证。</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0" w:name="_Toc67591849"/>
      <w:r>
        <w:rPr>
          <w:rFonts w:hint="eastAsia" w:ascii="Times New Roman" w:hAnsi="Times New Roman"/>
          <w:kern w:val="0"/>
          <w:szCs w:val="24"/>
        </w:rPr>
        <w:t>8.10 报告期末本基金投资的股指期货交易情况说明</w:t>
      </w:r>
      <w:bookmarkEnd w:id="230"/>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31" w:name="_Toc67591850"/>
      <w:r>
        <w:rPr>
          <w:rFonts w:hint="eastAsia" w:ascii="Times New Roman" w:hAnsi="Times New Roman"/>
          <w:kern w:val="0"/>
          <w:szCs w:val="24"/>
        </w:rPr>
        <w:t>8.11报告期末本基金投资的国债期货交易情况说明</w:t>
      </w:r>
      <w:bookmarkEnd w:id="231"/>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32" w:name="_Toc67591851"/>
      <w:bookmarkStart w:id="233" w:name="_Toc361324887"/>
      <w:r>
        <w:rPr>
          <w:rFonts w:ascii="Times New Roman" w:hAnsi="Times New Roman"/>
          <w:kern w:val="0"/>
          <w:szCs w:val="24"/>
        </w:rPr>
        <w:t xml:space="preserve">8.12 </w:t>
      </w:r>
      <w:r>
        <w:rPr>
          <w:rFonts w:hint="eastAsia" w:ascii="Times New Roman" w:hAnsi="Times New Roman"/>
          <w:kern w:val="0"/>
          <w:szCs w:val="24"/>
        </w:rPr>
        <w:t>投资组合报告附注</w:t>
      </w:r>
      <w:bookmarkEnd w:id="232"/>
      <w:bookmarkEnd w:id="233"/>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pStyle w:val="3"/>
        <w:spacing w:before="29" w:after="0" w:line="288" w:lineRule="auto"/>
        <w:rPr>
          <w:rFonts w:ascii="Times New Roman" w:hAnsi="Times New Roman"/>
          <w:kern w:val="0"/>
          <w:szCs w:val="24"/>
        </w:rPr>
      </w:pPr>
      <w:bookmarkStart w:id="234" w:name="_Toc67591852"/>
      <w:r>
        <w:rPr>
          <w:rFonts w:ascii="Times New Roman" w:hAnsi="Times New Roman"/>
          <w:kern w:val="0"/>
          <w:szCs w:val="24"/>
        </w:rPr>
        <w:t>8.12.3</w:t>
      </w:r>
      <w:r>
        <w:rPr>
          <w:rFonts w:hint="eastAsia" w:ascii="Times New Roman" w:hAnsi="Times New Roman"/>
          <w:kern w:val="0"/>
          <w:szCs w:val="24"/>
        </w:rPr>
        <w:t>期末其他各项资产构成</w:t>
      </w:r>
      <w:bookmarkEnd w:id="23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839,481.25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38,576,025.41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3,344,399.24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17,693,717.00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60,453,622.90</w:t>
            </w:r>
          </w:p>
        </w:tc>
      </w:tr>
    </w:tbl>
    <w:p>
      <w:pPr>
        <w:pStyle w:val="28"/>
        <w:spacing w:before="0" w:beforeAutospacing="0" w:after="0" w:afterAutospacing="0" w:line="360" w:lineRule="auto"/>
        <w:rPr>
          <w:rFonts w:asciiTheme="minorEastAsia" w:hAnsiTheme="minorEastAsia" w:eastAsiaTheme="minorEastAsia"/>
          <w:b/>
          <w:bCs/>
          <w:color w:val="000000"/>
          <w:sz w:val="21"/>
          <w:szCs w:val="21"/>
        </w:rPr>
      </w:pPr>
    </w:p>
    <w:p>
      <w:pPr>
        <w:pStyle w:val="3"/>
        <w:spacing w:before="29" w:after="0" w:line="288" w:lineRule="auto"/>
        <w:rPr>
          <w:rFonts w:ascii="Times New Roman" w:hAnsi="Times New Roman"/>
          <w:kern w:val="0"/>
          <w:szCs w:val="24"/>
        </w:rPr>
      </w:pPr>
      <w:bookmarkStart w:id="235" w:name="_Toc67591853"/>
      <w:r>
        <w:rPr>
          <w:rFonts w:ascii="Times New Roman" w:hAnsi="Times New Roman"/>
          <w:kern w:val="0"/>
          <w:szCs w:val="24"/>
        </w:rPr>
        <w:t>8.12.4</w:t>
      </w:r>
      <w:r>
        <w:rPr>
          <w:rFonts w:hint="eastAsia" w:ascii="Times New Roman" w:hAnsi="Times New Roman"/>
          <w:kern w:val="0"/>
          <w:szCs w:val="24"/>
        </w:rPr>
        <w:t>期末持有的处于转股期的可转换债券明细</w:t>
      </w:r>
      <w:bookmarkEnd w:id="235"/>
    </w:p>
    <w:p>
      <w:pPr>
        <w:tabs>
          <w:tab w:val="left" w:pos="426"/>
        </w:tabs>
        <w:spacing w:before="29" w:line="288" w:lineRule="auto"/>
        <w:jc w:val="left"/>
        <w:rPr>
          <w:kern w:val="0"/>
          <w:sz w:val="24"/>
        </w:rPr>
      </w:pPr>
      <w:r>
        <w:rPr>
          <w:kern w:val="0"/>
          <w:sz w:val="24"/>
        </w:rPr>
        <w:t>本基金本报告期末未持有处于转股期的可转换债券。</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6" w:name="_Toc67591854"/>
      <w:r>
        <w:rPr>
          <w:rFonts w:ascii="Times New Roman" w:hAnsi="Times New Roman"/>
          <w:kern w:val="0"/>
          <w:szCs w:val="24"/>
        </w:rPr>
        <w:t>8.12.5</w:t>
      </w:r>
      <w:r>
        <w:rPr>
          <w:rFonts w:hint="eastAsia" w:ascii="Times New Roman" w:hAnsi="Times New Roman"/>
          <w:kern w:val="0"/>
          <w:szCs w:val="24"/>
        </w:rPr>
        <w:t>期末前十名股票中存在流通受限情况的说明</w:t>
      </w:r>
      <w:bookmarkEnd w:id="23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18"/>
        <w:gridCol w:w="1485"/>
        <w:gridCol w:w="2058"/>
        <w:gridCol w:w="1418"/>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spacing w:before="29" w:line="288" w:lineRule="auto"/>
              <w:ind w:left="17"/>
              <w:jc w:val="center"/>
              <w:rPr>
                <w:color w:val="000000"/>
                <w:sz w:val="24"/>
              </w:rPr>
            </w:pPr>
            <w:r>
              <w:rPr>
                <w:rFonts w:hint="eastAsia"/>
                <w:color w:val="000000"/>
                <w:sz w:val="24"/>
              </w:rPr>
              <w:t>序号</w:t>
            </w:r>
          </w:p>
        </w:tc>
        <w:tc>
          <w:tcPr>
            <w:tcW w:w="1418" w:type="dxa"/>
            <w:vAlign w:val="center"/>
          </w:tcPr>
          <w:p>
            <w:pPr>
              <w:spacing w:before="29" w:line="288" w:lineRule="auto"/>
              <w:ind w:left="17"/>
              <w:jc w:val="center"/>
              <w:rPr>
                <w:color w:val="000000"/>
                <w:sz w:val="24"/>
              </w:rPr>
            </w:pPr>
            <w:r>
              <w:rPr>
                <w:rFonts w:hint="eastAsia"/>
                <w:color w:val="000000"/>
                <w:sz w:val="24"/>
              </w:rPr>
              <w:t>股票代码</w:t>
            </w:r>
          </w:p>
        </w:tc>
        <w:tc>
          <w:tcPr>
            <w:tcW w:w="1485" w:type="dxa"/>
            <w:vAlign w:val="center"/>
          </w:tcPr>
          <w:p>
            <w:pPr>
              <w:spacing w:before="29" w:line="288" w:lineRule="auto"/>
              <w:ind w:left="17"/>
              <w:jc w:val="center"/>
              <w:rPr>
                <w:color w:val="000000"/>
                <w:sz w:val="24"/>
              </w:rPr>
            </w:pPr>
            <w:r>
              <w:rPr>
                <w:rFonts w:hint="eastAsia"/>
                <w:color w:val="000000"/>
                <w:sz w:val="24"/>
              </w:rPr>
              <w:t>股票名称</w:t>
            </w:r>
          </w:p>
        </w:tc>
        <w:tc>
          <w:tcPr>
            <w:tcW w:w="2058" w:type="dxa"/>
            <w:vAlign w:val="center"/>
          </w:tcPr>
          <w:p>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pPr>
              <w:spacing w:before="29" w:line="288" w:lineRule="auto"/>
              <w:ind w:left="17"/>
              <w:jc w:val="center"/>
              <w:rPr>
                <w:color w:val="000000"/>
                <w:sz w:val="24"/>
              </w:rPr>
            </w:pPr>
            <w:r>
              <w:rPr>
                <w:rFonts w:hint="eastAsia"/>
                <w:color w:val="000000"/>
                <w:sz w:val="24"/>
              </w:rPr>
              <w:t>流通受限情况说明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jc w:val="center"/>
            </w:pPr>
            <w:r>
              <w:rPr>
                <w:color w:val="000000"/>
                <w:sz w:val="24"/>
              </w:rPr>
              <w:t>1</w:t>
            </w:r>
          </w:p>
        </w:tc>
        <w:tc>
          <w:tcPr>
            <w:tcW w:w="1418" w:type="dxa"/>
            <w:vAlign w:val="center"/>
          </w:tcPr>
          <w:p>
            <w:pPr>
              <w:jc w:val="center"/>
            </w:pPr>
            <w:r>
              <w:rPr>
                <w:color w:val="000000"/>
                <w:sz w:val="24"/>
              </w:rPr>
              <w:t>002352</w:t>
            </w:r>
          </w:p>
        </w:tc>
        <w:tc>
          <w:tcPr>
            <w:tcW w:w="1485" w:type="dxa"/>
            <w:vAlign w:val="center"/>
          </w:tcPr>
          <w:p>
            <w:pPr>
              <w:jc w:val="center"/>
            </w:pPr>
            <w:r>
              <w:rPr>
                <w:color w:val="000000"/>
                <w:sz w:val="24"/>
              </w:rPr>
              <w:t>顺丰控股</w:t>
            </w:r>
          </w:p>
        </w:tc>
        <w:tc>
          <w:tcPr>
            <w:tcW w:w="2058" w:type="dxa"/>
            <w:vAlign w:val="center"/>
          </w:tcPr>
          <w:p>
            <w:pPr>
              <w:jc w:val="right"/>
            </w:pPr>
            <w:r>
              <w:rPr>
                <w:color w:val="000000"/>
                <w:sz w:val="24"/>
              </w:rPr>
              <w:t>43,455,000.00</w:t>
            </w:r>
          </w:p>
        </w:tc>
        <w:tc>
          <w:tcPr>
            <w:tcW w:w="1418" w:type="dxa"/>
            <w:vAlign w:val="center"/>
          </w:tcPr>
          <w:p>
            <w:pPr>
              <w:jc w:val="right"/>
            </w:pPr>
            <w:r>
              <w:rPr>
                <w:color w:val="000000"/>
                <w:sz w:val="24"/>
              </w:rPr>
              <w:t>0.65</w:t>
            </w:r>
          </w:p>
        </w:tc>
        <w:tc>
          <w:tcPr>
            <w:tcW w:w="2056" w:type="dxa"/>
            <w:vAlign w:val="center"/>
          </w:tcPr>
          <w:p>
            <w:pPr>
              <w:jc w:val="right"/>
            </w:pPr>
            <w:r>
              <w:rPr>
                <w:color w:val="000000"/>
                <w:sz w:val="24"/>
              </w:rPr>
              <w:t>限售股</w:t>
            </w:r>
          </w:p>
        </w:tc>
      </w:tr>
    </w:tbl>
    <w:p>
      <w:pPr>
        <w:autoSpaceDE w:val="0"/>
        <w:autoSpaceDN w:val="0"/>
        <w:adjustRightInd w:val="0"/>
        <w:spacing w:line="360" w:lineRule="auto"/>
        <w:ind w:firstLine="42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37" w:name="_Toc67591855"/>
      <w:r>
        <w:rPr>
          <w:rFonts w:ascii="Times New Roman" w:hAnsi="Times New Roman"/>
          <w:kern w:val="0"/>
          <w:szCs w:val="24"/>
        </w:rPr>
        <w:t>8.12.6</w:t>
      </w:r>
      <w:r>
        <w:rPr>
          <w:rFonts w:hint="eastAsia" w:ascii="Times New Roman" w:hAnsi="Times New Roman"/>
          <w:kern w:val="0"/>
          <w:szCs w:val="24"/>
        </w:rPr>
        <w:t>投资组合报告附注的其他文字描述部分</w:t>
      </w:r>
      <w:bookmarkEnd w:id="237"/>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p>
    <w:p>
      <w:pPr>
        <w:pStyle w:val="2"/>
        <w:keepNext/>
        <w:keepLines/>
        <w:widowControl w:val="0"/>
        <w:spacing w:before="312" w:beforeLines="100" w:after="312" w:afterLines="100" w:line="288" w:lineRule="auto"/>
        <w:jc w:val="center"/>
        <w:rPr>
          <w:b/>
          <w:color w:val="000000"/>
          <w:szCs w:val="24"/>
        </w:rPr>
      </w:pPr>
      <w:bookmarkStart w:id="238" w:name="_Toc225500050"/>
      <w:bookmarkStart w:id="239" w:name="_Toc361324888"/>
      <w:bookmarkStart w:id="240" w:name="_Toc67591856"/>
      <w:r>
        <w:rPr>
          <w:rFonts w:hint="eastAsia"/>
          <w:b/>
          <w:color w:val="000000"/>
          <w:szCs w:val="24"/>
        </w:rPr>
        <w:t>§</w:t>
      </w:r>
      <w:r>
        <w:rPr>
          <w:b/>
          <w:color w:val="000000"/>
          <w:szCs w:val="24"/>
        </w:rPr>
        <w:t>9</w:t>
      </w:r>
      <w:r>
        <w:rPr>
          <w:rFonts w:hint="eastAsia"/>
          <w:b/>
          <w:color w:val="000000"/>
          <w:szCs w:val="24"/>
        </w:rPr>
        <w:t>基金份额持有人信息</w:t>
      </w:r>
      <w:bookmarkEnd w:id="238"/>
      <w:bookmarkEnd w:id="239"/>
      <w:bookmarkEnd w:id="240"/>
    </w:p>
    <w:p>
      <w:pPr>
        <w:pStyle w:val="3"/>
        <w:spacing w:before="29" w:after="0" w:line="288" w:lineRule="auto"/>
        <w:rPr>
          <w:rFonts w:ascii="Times New Roman" w:hAnsi="Times New Roman"/>
          <w:kern w:val="0"/>
          <w:szCs w:val="24"/>
        </w:rPr>
      </w:pPr>
      <w:bookmarkStart w:id="241" w:name="_Toc225500051"/>
      <w:bookmarkStart w:id="242" w:name="_Toc361324889"/>
      <w:bookmarkStart w:id="243" w:name="_Toc67591857"/>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241"/>
      <w:bookmarkEnd w:id="242"/>
      <w:bookmarkEnd w:id="243"/>
    </w:p>
    <w:p>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Style w:val="31"/>
        <w:tblW w:w="5000" w:type="pct"/>
        <w:jc w:val="center"/>
        <w:tblLayout w:type="fixed"/>
        <w:tblCellMar>
          <w:top w:w="0" w:type="dxa"/>
          <w:left w:w="108" w:type="dxa"/>
          <w:bottom w:w="0" w:type="dxa"/>
          <w:right w:w="108" w:type="dxa"/>
        </w:tblCellMar>
      </w:tblPr>
      <w:tblGrid>
        <w:gridCol w:w="1976"/>
        <w:gridCol w:w="1748"/>
        <w:gridCol w:w="1691"/>
        <w:gridCol w:w="1088"/>
        <w:gridCol w:w="1728"/>
        <w:gridCol w:w="1055"/>
      </w:tblGrid>
      <w:tr>
        <w:tblPrEx>
          <w:tblCellMar>
            <w:top w:w="0" w:type="dxa"/>
            <w:left w:w="108" w:type="dxa"/>
            <w:bottom w:w="0" w:type="dxa"/>
            <w:right w:w="108" w:type="dxa"/>
          </w:tblCellMar>
        </w:tblPrEx>
        <w:trPr>
          <w:jc w:val="center"/>
        </w:trPr>
        <w:tc>
          <w:tcPr>
            <w:tcW w:w="1976" w:type="dxa"/>
            <w:vMerge w:val="restart"/>
            <w:tcBorders>
              <w:top w:val="single" w:color="000000" w:sz="8" w:space="0"/>
              <w:left w:val="single" w:color="000000" w:sz="8" w:space="0"/>
              <w:right w:val="single" w:color="000000" w:sz="8" w:space="0"/>
            </w:tcBorders>
            <w:vAlign w:val="center"/>
          </w:tcPr>
          <w:p>
            <w:pPr>
              <w:jc w:val="center"/>
              <w:rPr>
                <w:sz w:val="24"/>
              </w:rPr>
            </w:pPr>
            <w:r>
              <w:t>持有人户数(户)</w:t>
            </w:r>
          </w:p>
        </w:tc>
        <w:tc>
          <w:tcPr>
            <w:tcW w:w="1748" w:type="dxa"/>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户均持有的基金份额</w:t>
            </w:r>
          </w:p>
        </w:tc>
        <w:tc>
          <w:tcPr>
            <w:tcW w:w="5562" w:type="dxa"/>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 w:val="24"/>
              </w:rPr>
            </w:pPr>
            <w:r>
              <w:rPr>
                <w:rFonts w:hint="eastAsia"/>
                <w:szCs w:val="21"/>
              </w:rPr>
              <w:t>持有人结构</w:t>
            </w:r>
          </w:p>
        </w:tc>
      </w:tr>
      <w:tr>
        <w:tblPrEx>
          <w:tblCellMar>
            <w:top w:w="0" w:type="dxa"/>
            <w:left w:w="108" w:type="dxa"/>
            <w:bottom w:w="0" w:type="dxa"/>
            <w:right w:w="108" w:type="dxa"/>
          </w:tblCellMar>
        </w:tblPrEx>
        <w:trPr>
          <w:jc w:val="center"/>
        </w:trPr>
        <w:tc>
          <w:tcPr>
            <w:tcW w:w="1976" w:type="dxa"/>
            <w:vMerge w:val="continue"/>
            <w:tcBorders>
              <w:left w:val="single" w:color="000000" w:sz="8" w:space="0"/>
              <w:right w:val="single" w:color="000000" w:sz="8" w:space="0"/>
            </w:tcBorders>
            <w:vAlign w:val="top"/>
          </w:tcPr>
          <w:p>
            <w:pPr>
              <w:jc w:val="center"/>
              <w:rPr>
                <w:sz w:val="24"/>
              </w:rP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p>
        </w:tc>
        <w:tc>
          <w:tcPr>
            <w:tcW w:w="2779"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机构投资者</w:t>
            </w:r>
          </w:p>
        </w:tc>
        <w:tc>
          <w:tcPr>
            <w:tcW w:w="2783"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个人投资者</w:t>
            </w:r>
          </w:p>
        </w:tc>
      </w:tr>
      <w:tr>
        <w:tblPrEx>
          <w:tblCellMar>
            <w:top w:w="0" w:type="dxa"/>
            <w:left w:w="108" w:type="dxa"/>
            <w:bottom w:w="0" w:type="dxa"/>
            <w:right w:w="108" w:type="dxa"/>
          </w:tblCellMar>
        </w:tblPrEx>
        <w:trPr>
          <w:jc w:val="center"/>
        </w:trPr>
        <w:tc>
          <w:tcPr>
            <w:tcW w:w="1976" w:type="dxa"/>
            <w:vMerge w:val="continue"/>
            <w:tcBorders>
              <w:left w:val="single" w:color="000000" w:sz="8" w:space="0"/>
              <w:bottom w:val="single" w:color="000000" w:sz="8" w:space="0"/>
              <w:right w:val="single" w:color="000000" w:sz="8" w:space="0"/>
            </w:tcBorders>
            <w:vAlign w:val="top"/>
          </w:tcPr>
          <w:p>
            <w:pPr>
              <w:jc w:val="center"/>
              <w:rPr>
                <w:sz w:val="24"/>
              </w:rP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p>
        </w:tc>
        <w:tc>
          <w:tcPr>
            <w:tcW w:w="1691"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持有份额</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占总份额</w:t>
            </w:r>
            <w:bookmarkStart w:id="290" w:name="_GoBack"/>
            <w:bookmarkEnd w:id="290"/>
            <w:r>
              <w:rPr>
                <w:rFonts w:hint="eastAsia"/>
                <w:szCs w:val="21"/>
              </w:rPr>
              <w:t>比例</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 w:val="24"/>
              </w:rPr>
            </w:pPr>
            <w:r>
              <w:rPr>
                <w:rFonts w:hint="eastAsia"/>
                <w:szCs w:val="21"/>
              </w:rPr>
              <w:t>持有份额</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 w:val="24"/>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rPr>
                <w:sz w:val="24"/>
              </w:rPr>
            </w:pPr>
            <w:r>
              <w:rPr>
                <w:kern w:val="0"/>
                <w:szCs w:val="21"/>
              </w:rPr>
              <w:t>435,246</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 w:val="24"/>
              </w:rPr>
            </w:pPr>
            <w:r>
              <w:rPr>
                <w:kern w:val="0"/>
                <w:szCs w:val="21"/>
              </w:rPr>
              <w:t>2,796.40</w:t>
            </w:r>
          </w:p>
        </w:tc>
        <w:tc>
          <w:tcPr>
            <w:tcW w:w="169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 w:val="24"/>
              </w:rPr>
            </w:pPr>
            <w:r>
              <w:rPr>
                <w:kern w:val="0"/>
                <w:szCs w:val="21"/>
              </w:rPr>
              <w:t>14,753,479.40</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 w:val="24"/>
              </w:rPr>
            </w:pPr>
            <w:r>
              <w:rPr>
                <w:kern w:val="0"/>
                <w:szCs w:val="21"/>
              </w:rPr>
              <w:t>1.21%</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 w:val="24"/>
              </w:rPr>
            </w:pPr>
            <w:r>
              <w:rPr>
                <w:kern w:val="0"/>
                <w:szCs w:val="21"/>
              </w:rPr>
              <w:t>1,202,366,754.74</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 w:val="24"/>
              </w:rPr>
            </w:pPr>
            <w:r>
              <w:rPr>
                <w:kern w:val="0"/>
                <w:szCs w:val="21"/>
              </w:rPr>
              <w:t>98.79%</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4" w:name="_Toc361324891"/>
      <w:bookmarkStart w:id="245" w:name="_Toc67591858"/>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244"/>
      <w:bookmarkEnd w:id="245"/>
    </w:p>
    <w:tbl>
      <w:tblPr>
        <w:tblStyle w:val="32"/>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3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3215"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375,648.23</w:t>
            </w:r>
          </w:p>
        </w:tc>
        <w:tc>
          <w:tcPr>
            <w:tcW w:w="3215" w:type="dxa"/>
            <w:vAlign w:val="center"/>
          </w:tcPr>
          <w:p>
            <w:pPr>
              <w:spacing w:before="29" w:line="288" w:lineRule="auto"/>
              <w:jc w:val="right"/>
              <w:rPr>
                <w:kern w:val="0"/>
                <w:sz w:val="24"/>
              </w:rPr>
            </w:pPr>
            <w:r>
              <w:rPr>
                <w:kern w:val="0"/>
                <w:sz w:val="24"/>
              </w:rPr>
              <w:t>0.03%</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6" w:name="_Toc67591859"/>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246"/>
    </w:p>
    <w:tbl>
      <w:tblPr>
        <w:tblStyle w:val="31"/>
        <w:tblW w:w="50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19"/>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247" w:name="_Toc225500053"/>
      <w:bookmarkStart w:id="248" w:name="_Toc361324892"/>
      <w:bookmarkStart w:id="249" w:name="_Toc67591860"/>
      <w:r>
        <w:rPr>
          <w:rFonts w:hint="eastAsia"/>
          <w:b/>
          <w:bCs/>
          <w:szCs w:val="24"/>
          <w:lang w:val="en-US"/>
        </w:rPr>
        <w:t>§</w:t>
      </w:r>
      <w:r>
        <w:rPr>
          <w:b/>
          <w:bCs/>
          <w:szCs w:val="24"/>
          <w:lang w:val="en-US"/>
        </w:rPr>
        <w:t>10</w:t>
      </w:r>
      <w:r>
        <w:rPr>
          <w:rFonts w:hint="eastAsia"/>
          <w:b/>
          <w:bCs/>
          <w:szCs w:val="24"/>
          <w:lang w:val="en-US"/>
        </w:rPr>
        <w:t>开放式基金份额变动</w:t>
      </w:r>
      <w:bookmarkEnd w:id="247"/>
      <w:bookmarkEnd w:id="248"/>
      <w:bookmarkEnd w:id="249"/>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2012年2月3日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4,956,375,599.84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pPr>
              <w:spacing w:before="29" w:line="288" w:lineRule="auto"/>
              <w:jc w:val="right"/>
              <w:rPr>
                <w:kern w:val="0"/>
                <w:sz w:val="24"/>
              </w:rPr>
            </w:pPr>
            <w:r>
              <w:rPr>
                <w:kern w:val="0"/>
                <w:sz w:val="24"/>
              </w:rPr>
              <w:t>938,158,668.40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1,800,456,758.92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1,521,495,193.18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1,217,120,234.14</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50" w:name="_Toc67591861"/>
      <w:bookmarkStart w:id="251" w:name="_Toc361324893"/>
      <w:bookmarkStart w:id="252" w:name="_Toc225500054"/>
      <w:r>
        <w:rPr>
          <w:rFonts w:hint="eastAsia"/>
          <w:b/>
          <w:bCs/>
          <w:szCs w:val="24"/>
          <w:lang w:val="en-US"/>
        </w:rPr>
        <w:t>§</w:t>
      </w:r>
      <w:r>
        <w:rPr>
          <w:b/>
          <w:bCs/>
          <w:szCs w:val="24"/>
          <w:lang w:val="en-US"/>
        </w:rPr>
        <w:t>11</w:t>
      </w:r>
      <w:r>
        <w:rPr>
          <w:rFonts w:hint="eastAsia"/>
          <w:b/>
          <w:bCs/>
          <w:szCs w:val="24"/>
          <w:lang w:val="en-US"/>
        </w:rPr>
        <w:t>重大事件揭示</w:t>
      </w:r>
      <w:bookmarkEnd w:id="250"/>
      <w:bookmarkEnd w:id="251"/>
      <w:bookmarkEnd w:id="252"/>
    </w:p>
    <w:p/>
    <w:p>
      <w:pPr>
        <w:pStyle w:val="3"/>
        <w:spacing w:before="29" w:after="0" w:line="288" w:lineRule="auto"/>
        <w:rPr>
          <w:rFonts w:ascii="Times New Roman" w:hAnsi="Times New Roman"/>
          <w:kern w:val="0"/>
          <w:szCs w:val="24"/>
        </w:rPr>
      </w:pPr>
      <w:bookmarkStart w:id="253" w:name="_Toc67591862"/>
      <w:bookmarkStart w:id="254" w:name="_Toc361324894"/>
      <w:r>
        <w:rPr>
          <w:rFonts w:ascii="Times New Roman" w:hAnsi="Times New Roman"/>
          <w:kern w:val="0"/>
          <w:szCs w:val="24"/>
        </w:rPr>
        <w:t>11.1</w:t>
      </w:r>
      <w:r>
        <w:rPr>
          <w:rFonts w:hint="eastAsia" w:ascii="Times New Roman" w:hAnsi="Times New Roman"/>
          <w:kern w:val="0"/>
          <w:szCs w:val="24"/>
        </w:rPr>
        <w:t>基金份额持有人大会决议</w:t>
      </w:r>
      <w:bookmarkEnd w:id="253"/>
      <w:bookmarkEnd w:id="254"/>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5" w:name="_Toc67591863"/>
      <w:bookmarkStart w:id="256" w:name="_Toc361324895"/>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255"/>
      <w:bookmarkEnd w:id="256"/>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2、基金托管人的基金托管部门的重大人事变动：本基金托管人的专门基金托管部门本报告期内未发生重大人事变动。</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7" w:name="_Toc67591864"/>
      <w:bookmarkStart w:id="258" w:name="_Toc361324896"/>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257"/>
      <w:bookmarkEnd w:id="258"/>
    </w:p>
    <w:p>
      <w:pPr>
        <w:spacing w:before="29" w:line="288" w:lineRule="auto"/>
        <w:ind w:firstLine="480" w:firstLineChars="200"/>
        <w:rPr>
          <w:color w:val="000000"/>
          <w:sz w:val="24"/>
        </w:rPr>
      </w:pPr>
      <w:r>
        <w:rPr>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9" w:name="_Toc67591865"/>
      <w:bookmarkStart w:id="260" w:name="_Toc361324897"/>
      <w:r>
        <w:rPr>
          <w:rFonts w:ascii="Times New Roman" w:hAnsi="Times New Roman"/>
          <w:kern w:val="0"/>
          <w:szCs w:val="24"/>
        </w:rPr>
        <w:t xml:space="preserve">11.4 </w:t>
      </w:r>
      <w:r>
        <w:rPr>
          <w:rFonts w:hint="eastAsia" w:ascii="Times New Roman" w:hAnsi="Times New Roman"/>
          <w:kern w:val="0"/>
          <w:szCs w:val="24"/>
        </w:rPr>
        <w:t>基金投资策略的改变</w:t>
      </w:r>
      <w:bookmarkEnd w:id="259"/>
      <w:bookmarkEnd w:id="260"/>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261" w:name="_Toc361324898"/>
      <w:bookmarkStart w:id="262" w:name="_Toc67591866"/>
      <w:bookmarkStart w:id="263" w:name="_Toc409100103"/>
      <w:bookmarkStart w:id="264" w:name="_Toc409100466"/>
      <w:r>
        <w:rPr>
          <w:rFonts w:ascii="Times New Roman" w:hAnsi="Times New Roman" w:eastAsiaTheme="minorEastAsia"/>
          <w:color w:val="000000" w:themeColor="text1"/>
          <w:kern w:val="0"/>
          <w:szCs w:val="24"/>
        </w:rPr>
        <w:t>11.</w:t>
      </w:r>
      <w:bookmarkEnd w:id="261"/>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262"/>
      <w:bookmarkEnd w:id="263"/>
      <w:bookmarkEnd w:id="264"/>
    </w:p>
    <w:p>
      <w:pPr>
        <w:spacing w:line="360" w:lineRule="auto"/>
        <w:ind w:firstLine="480" w:firstLineChars="200"/>
        <w:rPr>
          <w:rFonts w:eastAsiaTheme="minorEastAsia"/>
          <w:color w:val="000000" w:themeColor="text1"/>
          <w:sz w:val="24"/>
        </w:rPr>
      </w:pPr>
      <w:bookmarkStart w:id="265" w:name="OLE_LINK3"/>
      <w:r>
        <w:rPr>
          <w:rFonts w:eastAsiaTheme="minorEastAsia"/>
          <w:color w:val="000000" w:themeColor="text1"/>
          <w:sz w:val="24"/>
        </w:rPr>
        <w:t>本报告期内，为本基金提供审计服务的会计师事务所为普华永道中天会计师事务所(特殊普通合伙），本期审计费为90,000.00元。自本基金合同生效以来，本基金未改聘为其审计的会计师事务所。</w:t>
      </w:r>
    </w:p>
    <w:p>
      <w:pPr>
        <w:spacing w:line="360" w:lineRule="auto"/>
        <w:ind w:firstLine="480" w:firstLineChars="200"/>
        <w:rPr>
          <w:rFonts w:eastAsiaTheme="minorEastAsia"/>
          <w:color w:val="000000" w:themeColor="text1"/>
          <w:sz w:val="24"/>
        </w:rPr>
      </w:pPr>
    </w:p>
    <w:bookmarkEnd w:id="265"/>
    <w:p>
      <w:pPr>
        <w:pStyle w:val="3"/>
        <w:spacing w:before="0" w:after="0"/>
        <w:rPr>
          <w:rFonts w:ascii="Times New Roman" w:hAnsi="Times New Roman" w:eastAsiaTheme="minorEastAsia"/>
          <w:color w:val="000000" w:themeColor="text1"/>
          <w:kern w:val="0"/>
          <w:szCs w:val="24"/>
        </w:rPr>
      </w:pPr>
      <w:bookmarkStart w:id="266" w:name="_Toc67591867"/>
      <w:bookmarkStart w:id="267" w:name="_Toc361324899"/>
      <w:bookmarkStart w:id="268" w:name="_Toc409100467"/>
      <w:bookmarkStart w:id="269" w:name="_Toc409100104"/>
      <w:r>
        <w:rPr>
          <w:rFonts w:ascii="Times New Roman" w:hAnsi="Times New Roman" w:eastAsiaTheme="minorEastAsia"/>
          <w:color w:val="000000" w:themeColor="text1"/>
          <w:kern w:val="0"/>
          <w:szCs w:val="24"/>
        </w:rPr>
        <w:t>11.6 管理人、托管人及其高级管理人员受稽查或处罚等情况</w:t>
      </w:r>
      <w:bookmarkEnd w:id="266"/>
      <w:bookmarkEnd w:id="267"/>
      <w:bookmarkEnd w:id="268"/>
      <w:bookmarkEnd w:id="269"/>
    </w:p>
    <w:p>
      <w:pPr>
        <w:spacing w:line="360" w:lineRule="auto"/>
        <w:ind w:firstLine="480" w:firstLineChars="200"/>
        <w:rPr>
          <w:rFonts w:eastAsiaTheme="minorEastAsia"/>
          <w:color w:val="000000" w:themeColor="text1"/>
          <w:sz w:val="24"/>
        </w:rPr>
      </w:pPr>
      <w:r>
        <w:rPr>
          <w:rFonts w:eastAsiaTheme="minorEastAsia"/>
          <w:color w:val="000000" w:themeColor="text1"/>
          <w:sz w:val="24"/>
        </w:rPr>
        <w:t>1、管理人及其高级管理人员受稽查或处罚等情况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2、托管人及其高级管理人员受稽查或处罚等情况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spacing w:line="360" w:lineRule="auto"/>
        <w:ind w:firstLine="480" w:firstLineChars="200"/>
        <w:rPr>
          <w:rFonts w:eastAsiaTheme="minorEastAsia"/>
          <w:color w:val="000000" w:themeColor="text1"/>
          <w:sz w:val="24"/>
        </w:rPr>
      </w:pPr>
    </w:p>
    <w:p>
      <w:pPr>
        <w:pStyle w:val="3"/>
        <w:spacing w:before="0" w:after="0"/>
        <w:rPr>
          <w:rFonts w:ascii="Times New Roman" w:hAnsi="Times New Roman" w:eastAsiaTheme="minorEastAsia"/>
          <w:color w:val="000000" w:themeColor="text1"/>
          <w:kern w:val="0"/>
          <w:szCs w:val="24"/>
        </w:rPr>
      </w:pPr>
      <w:bookmarkStart w:id="270" w:name="_Toc67591868"/>
      <w:bookmarkStart w:id="271" w:name="_Toc361324900"/>
      <w:bookmarkStart w:id="272" w:name="_Toc409100468"/>
      <w:bookmarkStart w:id="273" w:name="_Toc409100105"/>
      <w:r>
        <w:rPr>
          <w:rFonts w:ascii="Times New Roman" w:hAnsi="Times New Roman" w:eastAsiaTheme="minorEastAsia"/>
          <w:color w:val="000000" w:themeColor="text1"/>
          <w:kern w:val="0"/>
          <w:szCs w:val="24"/>
        </w:rPr>
        <w:t>11.7 基金租用证券公司交易单元的有关情况</w:t>
      </w:r>
      <w:bookmarkEnd w:id="270"/>
      <w:bookmarkEnd w:id="271"/>
      <w:bookmarkEnd w:id="272"/>
      <w:bookmarkEnd w:id="273"/>
    </w:p>
    <w:p>
      <w:pPr>
        <w:spacing w:line="360" w:lineRule="auto"/>
        <w:rPr>
          <w:rFonts w:eastAsiaTheme="minorEastAsia"/>
          <w:b/>
          <w:color w:val="000000" w:themeColor="text1"/>
          <w:sz w:val="24"/>
        </w:rPr>
      </w:pPr>
      <w:bookmarkStart w:id="274" w:name="_Toc249760070"/>
      <w:r>
        <w:rPr>
          <w:rFonts w:eastAsiaTheme="minorEastAsia"/>
          <w:b/>
          <w:color w:val="000000" w:themeColor="text1"/>
          <w:sz w:val="24"/>
        </w:rPr>
        <w:t>11.7.1基金租用证券公司交易单元进行股票投资及佣金支付情况</w:t>
      </w:r>
      <w:bookmarkEnd w:id="274"/>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275"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北京高华证券有限责任公司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70,820,960.00</w:t>
            </w:r>
          </w:p>
        </w:tc>
        <w:tc>
          <w:tcPr>
            <w:tcW w:w="1080" w:type="dxa"/>
            <w:vAlign w:val="center"/>
          </w:tcPr>
          <w:p>
            <w:pPr>
              <w:jc w:val="right"/>
            </w:pPr>
            <w:r>
              <w:rPr>
                <w:rFonts w:eastAsiaTheme="minorEastAsia"/>
                <w:color w:val="000000" w:themeColor="text1"/>
                <w:sz w:val="24"/>
              </w:rPr>
              <w:t>0.36%</w:t>
            </w:r>
          </w:p>
        </w:tc>
        <w:tc>
          <w:tcPr>
            <w:tcW w:w="1620" w:type="dxa"/>
            <w:vAlign w:val="center"/>
          </w:tcPr>
          <w:p>
            <w:pPr>
              <w:jc w:val="right"/>
            </w:pPr>
            <w:r>
              <w:rPr>
                <w:rFonts w:eastAsiaTheme="minorEastAsia"/>
                <w:color w:val="000000" w:themeColor="text1"/>
                <w:sz w:val="24"/>
              </w:rPr>
              <w:t>66,990.25</w:t>
            </w:r>
          </w:p>
        </w:tc>
        <w:tc>
          <w:tcPr>
            <w:tcW w:w="1080" w:type="dxa"/>
            <w:vAlign w:val="center"/>
          </w:tcPr>
          <w:p>
            <w:pPr>
              <w:jc w:val="right"/>
            </w:pPr>
            <w:r>
              <w:rPr>
                <w:rFonts w:eastAsiaTheme="minorEastAsia"/>
                <w:color w:val="000000" w:themeColor="text1"/>
                <w:sz w:val="24"/>
              </w:rPr>
              <w:t>0.36%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东方财富证券股份有限公司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664,791,263.35</w:t>
            </w:r>
          </w:p>
        </w:tc>
        <w:tc>
          <w:tcPr>
            <w:tcW w:w="1080" w:type="dxa"/>
            <w:vAlign w:val="center"/>
          </w:tcPr>
          <w:p>
            <w:pPr>
              <w:jc w:val="right"/>
            </w:pPr>
            <w:r>
              <w:rPr>
                <w:rFonts w:eastAsiaTheme="minorEastAsia"/>
                <w:color w:val="000000" w:themeColor="text1"/>
                <w:sz w:val="24"/>
              </w:rPr>
              <w:t>3.36%</w:t>
            </w:r>
          </w:p>
        </w:tc>
        <w:tc>
          <w:tcPr>
            <w:tcW w:w="1620" w:type="dxa"/>
            <w:vAlign w:val="center"/>
          </w:tcPr>
          <w:p>
            <w:pPr>
              <w:jc w:val="right"/>
            </w:pPr>
            <w:r>
              <w:rPr>
                <w:rFonts w:eastAsiaTheme="minorEastAsia"/>
                <w:color w:val="000000" w:themeColor="text1"/>
                <w:sz w:val="24"/>
              </w:rPr>
              <w:t>619,115.97</w:t>
            </w:r>
          </w:p>
        </w:tc>
        <w:tc>
          <w:tcPr>
            <w:tcW w:w="1080" w:type="dxa"/>
            <w:vAlign w:val="center"/>
          </w:tcPr>
          <w:p>
            <w:pPr>
              <w:jc w:val="right"/>
            </w:pPr>
            <w:r>
              <w:rPr>
                <w:rFonts w:eastAsiaTheme="minorEastAsia"/>
                <w:color w:val="000000" w:themeColor="text1"/>
                <w:sz w:val="24"/>
              </w:rPr>
              <w:t>3.36%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广发证券股份有限公司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5,278,865,299.26</w:t>
            </w:r>
          </w:p>
        </w:tc>
        <w:tc>
          <w:tcPr>
            <w:tcW w:w="1080" w:type="dxa"/>
            <w:vAlign w:val="center"/>
          </w:tcPr>
          <w:p>
            <w:pPr>
              <w:jc w:val="right"/>
            </w:pPr>
            <w:r>
              <w:rPr>
                <w:rFonts w:eastAsiaTheme="minorEastAsia"/>
                <w:color w:val="000000" w:themeColor="text1"/>
                <w:sz w:val="24"/>
              </w:rPr>
              <w:t>26.67%</w:t>
            </w:r>
          </w:p>
        </w:tc>
        <w:tc>
          <w:tcPr>
            <w:tcW w:w="1620" w:type="dxa"/>
            <w:vAlign w:val="center"/>
          </w:tcPr>
          <w:p>
            <w:pPr>
              <w:jc w:val="right"/>
            </w:pPr>
            <w:r>
              <w:rPr>
                <w:rFonts w:eastAsiaTheme="minorEastAsia"/>
                <w:color w:val="000000" w:themeColor="text1"/>
                <w:sz w:val="24"/>
              </w:rPr>
              <w:t>4,916,218.06</w:t>
            </w:r>
          </w:p>
        </w:tc>
        <w:tc>
          <w:tcPr>
            <w:tcW w:w="1080" w:type="dxa"/>
            <w:vAlign w:val="center"/>
          </w:tcPr>
          <w:p>
            <w:pPr>
              <w:jc w:val="right"/>
            </w:pPr>
            <w:r>
              <w:rPr>
                <w:rFonts w:eastAsiaTheme="minorEastAsia"/>
                <w:color w:val="000000" w:themeColor="text1"/>
                <w:sz w:val="24"/>
              </w:rPr>
              <w:t>26.67%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野村东方国际证券有限公司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428,530,121.12</w:t>
            </w:r>
          </w:p>
        </w:tc>
        <w:tc>
          <w:tcPr>
            <w:tcW w:w="1080" w:type="dxa"/>
            <w:vAlign w:val="center"/>
          </w:tcPr>
          <w:p>
            <w:pPr>
              <w:jc w:val="right"/>
            </w:pPr>
            <w:r>
              <w:rPr>
                <w:rFonts w:eastAsiaTheme="minorEastAsia"/>
                <w:color w:val="000000" w:themeColor="text1"/>
                <w:sz w:val="24"/>
              </w:rPr>
              <w:t>2.17%</w:t>
            </w:r>
          </w:p>
        </w:tc>
        <w:tc>
          <w:tcPr>
            <w:tcW w:w="1620" w:type="dxa"/>
            <w:vAlign w:val="center"/>
          </w:tcPr>
          <w:p>
            <w:pPr>
              <w:jc w:val="right"/>
            </w:pPr>
            <w:r>
              <w:rPr>
                <w:rFonts w:eastAsiaTheme="minorEastAsia"/>
                <w:color w:val="000000" w:themeColor="text1"/>
                <w:sz w:val="24"/>
              </w:rPr>
              <w:t>399,093.84</w:t>
            </w:r>
          </w:p>
        </w:tc>
        <w:tc>
          <w:tcPr>
            <w:tcW w:w="1080" w:type="dxa"/>
            <w:vAlign w:val="center"/>
          </w:tcPr>
          <w:p>
            <w:pPr>
              <w:jc w:val="right"/>
            </w:pPr>
            <w:r>
              <w:rPr>
                <w:rFonts w:eastAsiaTheme="minorEastAsia"/>
                <w:color w:val="000000" w:themeColor="text1"/>
                <w:sz w:val="24"/>
              </w:rPr>
              <w:t>2.17%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3</w:t>
            </w:r>
          </w:p>
        </w:tc>
        <w:tc>
          <w:tcPr>
            <w:tcW w:w="1800" w:type="dxa"/>
            <w:vAlign w:val="center"/>
          </w:tcPr>
          <w:p>
            <w:pPr>
              <w:jc w:val="right"/>
            </w:pPr>
            <w:r>
              <w:rPr>
                <w:rFonts w:eastAsiaTheme="minorEastAsia"/>
                <w:color w:val="000000" w:themeColor="text1"/>
                <w:sz w:val="24"/>
              </w:rPr>
              <w:t>376,881,063.79</w:t>
            </w:r>
          </w:p>
        </w:tc>
        <w:tc>
          <w:tcPr>
            <w:tcW w:w="1080" w:type="dxa"/>
            <w:vAlign w:val="center"/>
          </w:tcPr>
          <w:p>
            <w:pPr>
              <w:jc w:val="right"/>
            </w:pPr>
            <w:r>
              <w:rPr>
                <w:rFonts w:eastAsiaTheme="minorEastAsia"/>
                <w:color w:val="000000" w:themeColor="text1"/>
                <w:sz w:val="24"/>
              </w:rPr>
              <w:t>1.90%</w:t>
            </w:r>
          </w:p>
        </w:tc>
        <w:tc>
          <w:tcPr>
            <w:tcW w:w="1620" w:type="dxa"/>
            <w:vAlign w:val="center"/>
          </w:tcPr>
          <w:p>
            <w:pPr>
              <w:jc w:val="right"/>
            </w:pPr>
            <w:r>
              <w:rPr>
                <w:rFonts w:eastAsiaTheme="minorEastAsia"/>
                <w:color w:val="000000" w:themeColor="text1"/>
                <w:sz w:val="24"/>
              </w:rPr>
              <w:t>350,987.96</w:t>
            </w:r>
          </w:p>
        </w:tc>
        <w:tc>
          <w:tcPr>
            <w:tcW w:w="1080" w:type="dxa"/>
            <w:vAlign w:val="center"/>
          </w:tcPr>
          <w:p>
            <w:pPr>
              <w:jc w:val="right"/>
            </w:pPr>
            <w:r>
              <w:rPr>
                <w:rFonts w:eastAsiaTheme="minorEastAsia"/>
                <w:color w:val="000000" w:themeColor="text1"/>
                <w:sz w:val="24"/>
              </w:rPr>
              <w:t>1.90%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3,088,592,380.10</w:t>
            </w:r>
          </w:p>
        </w:tc>
        <w:tc>
          <w:tcPr>
            <w:tcW w:w="1080" w:type="dxa"/>
            <w:vAlign w:val="center"/>
          </w:tcPr>
          <w:p>
            <w:pPr>
              <w:jc w:val="right"/>
            </w:pPr>
            <w:r>
              <w:rPr>
                <w:rFonts w:eastAsiaTheme="minorEastAsia"/>
                <w:color w:val="000000" w:themeColor="text1"/>
                <w:sz w:val="24"/>
              </w:rPr>
              <w:t>15.61%</w:t>
            </w:r>
          </w:p>
        </w:tc>
        <w:tc>
          <w:tcPr>
            <w:tcW w:w="1620" w:type="dxa"/>
            <w:vAlign w:val="center"/>
          </w:tcPr>
          <w:p>
            <w:pPr>
              <w:jc w:val="right"/>
            </w:pPr>
            <w:r>
              <w:rPr>
                <w:rFonts w:eastAsiaTheme="minorEastAsia"/>
                <w:color w:val="000000" w:themeColor="text1"/>
                <w:sz w:val="24"/>
              </w:rPr>
              <w:t>2,876,410.78</w:t>
            </w:r>
          </w:p>
        </w:tc>
        <w:tc>
          <w:tcPr>
            <w:tcW w:w="1080" w:type="dxa"/>
            <w:vAlign w:val="center"/>
          </w:tcPr>
          <w:p>
            <w:pPr>
              <w:jc w:val="right"/>
            </w:pPr>
            <w:r>
              <w:rPr>
                <w:rFonts w:eastAsiaTheme="minorEastAsia"/>
                <w:color w:val="000000" w:themeColor="text1"/>
                <w:sz w:val="24"/>
              </w:rPr>
              <w:t>15.60%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华创证券有限责任公司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2,706,977,197.55</w:t>
            </w:r>
          </w:p>
        </w:tc>
        <w:tc>
          <w:tcPr>
            <w:tcW w:w="1080" w:type="dxa"/>
            <w:vAlign w:val="center"/>
          </w:tcPr>
          <w:p>
            <w:pPr>
              <w:jc w:val="right"/>
            </w:pPr>
            <w:r>
              <w:rPr>
                <w:rFonts w:eastAsiaTheme="minorEastAsia"/>
                <w:color w:val="000000" w:themeColor="text1"/>
                <w:sz w:val="24"/>
              </w:rPr>
              <w:t>13.68%</w:t>
            </w:r>
          </w:p>
        </w:tc>
        <w:tc>
          <w:tcPr>
            <w:tcW w:w="1620" w:type="dxa"/>
            <w:vAlign w:val="center"/>
          </w:tcPr>
          <w:p>
            <w:pPr>
              <w:jc w:val="right"/>
            </w:pPr>
            <w:r>
              <w:rPr>
                <w:rFonts w:eastAsiaTheme="minorEastAsia"/>
                <w:color w:val="000000" w:themeColor="text1"/>
                <w:sz w:val="24"/>
              </w:rPr>
              <w:t>2,521,008.74</w:t>
            </w:r>
          </w:p>
        </w:tc>
        <w:tc>
          <w:tcPr>
            <w:tcW w:w="1080" w:type="dxa"/>
            <w:vAlign w:val="center"/>
          </w:tcPr>
          <w:p>
            <w:pPr>
              <w:jc w:val="right"/>
            </w:pPr>
            <w:r>
              <w:rPr>
                <w:rFonts w:eastAsiaTheme="minorEastAsia"/>
                <w:color w:val="000000" w:themeColor="text1"/>
                <w:sz w:val="24"/>
              </w:rPr>
              <w:t>13.68%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2,114,590,273.91</w:t>
            </w:r>
          </w:p>
        </w:tc>
        <w:tc>
          <w:tcPr>
            <w:tcW w:w="1080" w:type="dxa"/>
            <w:vAlign w:val="center"/>
          </w:tcPr>
          <w:p>
            <w:pPr>
              <w:jc w:val="right"/>
            </w:pPr>
            <w:r>
              <w:rPr>
                <w:rFonts w:eastAsiaTheme="minorEastAsia"/>
                <w:color w:val="000000" w:themeColor="text1"/>
                <w:sz w:val="24"/>
              </w:rPr>
              <w:t>10.68%</w:t>
            </w:r>
          </w:p>
        </w:tc>
        <w:tc>
          <w:tcPr>
            <w:tcW w:w="1620" w:type="dxa"/>
            <w:vAlign w:val="center"/>
          </w:tcPr>
          <w:p>
            <w:pPr>
              <w:jc w:val="right"/>
            </w:pPr>
            <w:r>
              <w:rPr>
                <w:rFonts w:eastAsiaTheme="minorEastAsia"/>
                <w:color w:val="000000" w:themeColor="text1"/>
                <w:sz w:val="24"/>
              </w:rPr>
              <w:t>1,970,233.78</w:t>
            </w:r>
          </w:p>
        </w:tc>
        <w:tc>
          <w:tcPr>
            <w:tcW w:w="1080" w:type="dxa"/>
            <w:vAlign w:val="center"/>
          </w:tcPr>
          <w:p>
            <w:pPr>
              <w:jc w:val="right"/>
            </w:pPr>
            <w:r>
              <w:rPr>
                <w:rFonts w:eastAsiaTheme="minorEastAsia"/>
                <w:color w:val="000000" w:themeColor="text1"/>
                <w:sz w:val="24"/>
              </w:rPr>
              <w:t>10.69%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2,032,517,023.71</w:t>
            </w:r>
          </w:p>
        </w:tc>
        <w:tc>
          <w:tcPr>
            <w:tcW w:w="1080" w:type="dxa"/>
            <w:vAlign w:val="center"/>
          </w:tcPr>
          <w:p>
            <w:pPr>
              <w:jc w:val="right"/>
            </w:pPr>
            <w:r>
              <w:rPr>
                <w:rFonts w:eastAsiaTheme="minorEastAsia"/>
                <w:color w:val="000000" w:themeColor="text1"/>
                <w:sz w:val="24"/>
              </w:rPr>
              <w:t>10.27%</w:t>
            </w:r>
          </w:p>
        </w:tc>
        <w:tc>
          <w:tcPr>
            <w:tcW w:w="1620" w:type="dxa"/>
            <w:vAlign w:val="center"/>
          </w:tcPr>
          <w:p>
            <w:pPr>
              <w:jc w:val="right"/>
            </w:pPr>
            <w:r>
              <w:rPr>
                <w:rFonts w:eastAsiaTheme="minorEastAsia"/>
                <w:color w:val="000000" w:themeColor="text1"/>
                <w:sz w:val="24"/>
              </w:rPr>
              <w:t>1,892,891.72</w:t>
            </w:r>
          </w:p>
        </w:tc>
        <w:tc>
          <w:tcPr>
            <w:tcW w:w="1080" w:type="dxa"/>
            <w:vAlign w:val="center"/>
          </w:tcPr>
          <w:p>
            <w:pPr>
              <w:jc w:val="right"/>
            </w:pPr>
            <w:r>
              <w:rPr>
                <w:rFonts w:eastAsiaTheme="minorEastAsia"/>
                <w:color w:val="000000" w:themeColor="text1"/>
                <w:sz w:val="24"/>
              </w:rPr>
              <w:t>10.27%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202,560,163.23</w:t>
            </w:r>
          </w:p>
        </w:tc>
        <w:tc>
          <w:tcPr>
            <w:tcW w:w="1080" w:type="dxa"/>
            <w:vAlign w:val="center"/>
          </w:tcPr>
          <w:p>
            <w:pPr>
              <w:jc w:val="right"/>
            </w:pPr>
            <w:r>
              <w:rPr>
                <w:rFonts w:eastAsiaTheme="minorEastAsia"/>
                <w:color w:val="000000" w:themeColor="text1"/>
                <w:sz w:val="24"/>
              </w:rPr>
              <w:t>1.02%</w:t>
            </w:r>
          </w:p>
        </w:tc>
        <w:tc>
          <w:tcPr>
            <w:tcW w:w="1620" w:type="dxa"/>
            <w:vAlign w:val="center"/>
          </w:tcPr>
          <w:p>
            <w:pPr>
              <w:jc w:val="right"/>
            </w:pPr>
            <w:r>
              <w:rPr>
                <w:rFonts w:eastAsiaTheme="minorEastAsia"/>
                <w:color w:val="000000" w:themeColor="text1"/>
                <w:sz w:val="24"/>
              </w:rPr>
              <w:t>188,645.22</w:t>
            </w:r>
          </w:p>
        </w:tc>
        <w:tc>
          <w:tcPr>
            <w:tcW w:w="1080" w:type="dxa"/>
            <w:vAlign w:val="center"/>
          </w:tcPr>
          <w:p>
            <w:pPr>
              <w:jc w:val="right"/>
            </w:pPr>
            <w:r>
              <w:rPr>
                <w:rFonts w:eastAsiaTheme="minorEastAsia"/>
                <w:color w:val="000000" w:themeColor="text1"/>
                <w:sz w:val="24"/>
              </w:rPr>
              <w:t>1.02%</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东方证券股份有限公司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1,426,794,814.93</w:t>
            </w:r>
          </w:p>
        </w:tc>
        <w:tc>
          <w:tcPr>
            <w:tcW w:w="1080" w:type="dxa"/>
            <w:vAlign w:val="center"/>
          </w:tcPr>
          <w:p>
            <w:pPr>
              <w:jc w:val="right"/>
            </w:pPr>
            <w:r>
              <w:rPr>
                <w:rFonts w:eastAsiaTheme="minorEastAsia"/>
                <w:color w:val="000000" w:themeColor="text1"/>
                <w:sz w:val="24"/>
              </w:rPr>
              <w:t>7.21%</w:t>
            </w:r>
          </w:p>
        </w:tc>
        <w:tc>
          <w:tcPr>
            <w:tcW w:w="1620" w:type="dxa"/>
            <w:vAlign w:val="center"/>
          </w:tcPr>
          <w:p>
            <w:pPr>
              <w:jc w:val="right"/>
            </w:pPr>
            <w:r>
              <w:rPr>
                <w:rFonts w:eastAsiaTheme="minorEastAsia"/>
                <w:color w:val="000000" w:themeColor="text1"/>
                <w:sz w:val="24"/>
              </w:rPr>
              <w:t>1,328,760.48</w:t>
            </w:r>
          </w:p>
        </w:tc>
        <w:tc>
          <w:tcPr>
            <w:tcW w:w="1080" w:type="dxa"/>
            <w:vAlign w:val="center"/>
          </w:tcPr>
          <w:p>
            <w:pPr>
              <w:jc w:val="right"/>
            </w:pPr>
            <w:r>
              <w:rPr>
                <w:rFonts w:eastAsiaTheme="minorEastAsia"/>
                <w:color w:val="000000" w:themeColor="text1"/>
                <w:sz w:val="24"/>
              </w:rPr>
              <w:t>7.21%</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1,276,940,128.06</w:t>
            </w:r>
          </w:p>
        </w:tc>
        <w:tc>
          <w:tcPr>
            <w:tcW w:w="1080" w:type="dxa"/>
            <w:vAlign w:val="center"/>
          </w:tcPr>
          <w:p>
            <w:pPr>
              <w:jc w:val="right"/>
            </w:pPr>
            <w:r>
              <w:rPr>
                <w:rFonts w:eastAsiaTheme="minorEastAsia"/>
                <w:color w:val="000000" w:themeColor="text1"/>
                <w:sz w:val="24"/>
              </w:rPr>
              <w:t>6.45%</w:t>
            </w:r>
          </w:p>
        </w:tc>
        <w:tc>
          <w:tcPr>
            <w:tcW w:w="1620" w:type="dxa"/>
            <w:vAlign w:val="center"/>
          </w:tcPr>
          <w:p>
            <w:pPr>
              <w:jc w:val="right"/>
            </w:pPr>
            <w:r>
              <w:rPr>
                <w:rFonts w:eastAsiaTheme="minorEastAsia"/>
                <w:color w:val="000000" w:themeColor="text1"/>
                <w:sz w:val="24"/>
              </w:rPr>
              <w:t>1,189,208.58</w:t>
            </w:r>
          </w:p>
        </w:tc>
        <w:tc>
          <w:tcPr>
            <w:tcW w:w="1080" w:type="dxa"/>
            <w:vAlign w:val="center"/>
          </w:tcPr>
          <w:p>
            <w:pPr>
              <w:jc w:val="right"/>
            </w:pPr>
            <w:r>
              <w:rPr>
                <w:rFonts w:eastAsiaTheme="minorEastAsia"/>
                <w:color w:val="000000" w:themeColor="text1"/>
                <w:sz w:val="24"/>
              </w:rPr>
              <w:t>6.45%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瑞银证券有限责任公司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122,320,825.89</w:t>
            </w:r>
          </w:p>
        </w:tc>
        <w:tc>
          <w:tcPr>
            <w:tcW w:w="1080" w:type="dxa"/>
            <w:vAlign w:val="center"/>
          </w:tcPr>
          <w:p>
            <w:pPr>
              <w:jc w:val="right"/>
            </w:pPr>
            <w:r>
              <w:rPr>
                <w:rFonts w:eastAsiaTheme="minorEastAsia"/>
                <w:color w:val="000000" w:themeColor="text1"/>
                <w:sz w:val="24"/>
              </w:rPr>
              <w:t>0.62%</w:t>
            </w:r>
          </w:p>
        </w:tc>
        <w:tc>
          <w:tcPr>
            <w:tcW w:w="1620" w:type="dxa"/>
            <w:vAlign w:val="center"/>
          </w:tcPr>
          <w:p>
            <w:pPr>
              <w:jc w:val="right"/>
            </w:pPr>
            <w:r>
              <w:rPr>
                <w:rFonts w:eastAsiaTheme="minorEastAsia"/>
                <w:color w:val="000000" w:themeColor="text1"/>
                <w:sz w:val="24"/>
              </w:rPr>
              <w:t>113,917.96</w:t>
            </w:r>
          </w:p>
        </w:tc>
        <w:tc>
          <w:tcPr>
            <w:tcW w:w="1080" w:type="dxa"/>
            <w:vAlign w:val="center"/>
          </w:tcPr>
          <w:p>
            <w:pPr>
              <w:jc w:val="right"/>
            </w:pPr>
            <w:r>
              <w:rPr>
                <w:rFonts w:eastAsiaTheme="minorEastAsia"/>
                <w:color w:val="000000" w:themeColor="text1"/>
                <w:sz w:val="24"/>
              </w:rPr>
              <w:t>0.62%</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民生证券股份有限公司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spacing w:before="312" w:beforeLines="100" w:line="360" w:lineRule="auto"/>
        <w:rPr>
          <w:rFonts w:eastAsiaTheme="minorEastAsia"/>
          <w:b/>
          <w:color w:val="000000" w:themeColor="text1"/>
          <w:sz w:val="24"/>
        </w:rPr>
      </w:pPr>
      <w:r>
        <w:rPr>
          <w:rFonts w:eastAsiaTheme="minorEastAsia"/>
          <w:b/>
          <w:color w:val="000000" w:themeColor="text1"/>
          <w:sz w:val="24"/>
        </w:rPr>
        <w:t>11.7.2 基金租用证券公司交易单元进行其他证券投资的情况</w:t>
      </w:r>
      <w:bookmarkEnd w:id="275"/>
    </w:p>
    <w:p>
      <w:pPr>
        <w:spacing w:line="360" w:lineRule="auto"/>
        <w:ind w:firstLine="420"/>
        <w:jc w:val="right"/>
        <w:rPr>
          <w:rFonts w:eastAsiaTheme="minorEastAsia"/>
          <w:color w:val="000000" w:themeColor="text1"/>
          <w:sz w:val="24"/>
        </w:rPr>
      </w:pPr>
      <w:bookmarkStart w:id="276"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6"/>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20"/>
        <w:gridCol w:w="1080"/>
        <w:gridCol w:w="1143"/>
        <w:gridCol w:w="1197"/>
        <w:gridCol w:w="1497"/>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kern w:val="0"/>
                <w:sz w:val="24"/>
              </w:rPr>
            </w:pPr>
          </w:p>
        </w:tc>
        <w:tc>
          <w:tcPr>
            <w:tcW w:w="132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广发证券股份有限公司</w:t>
            </w:r>
          </w:p>
        </w:tc>
        <w:tc>
          <w:tcPr>
            <w:tcW w:w="1320" w:type="dxa"/>
            <w:vAlign w:val="center"/>
          </w:tcPr>
          <w:p>
            <w:pPr>
              <w:jc w:val="right"/>
            </w:pPr>
            <w:r>
              <w:rPr>
                <w:rFonts w:eastAsiaTheme="minorEastAsia"/>
                <w:color w:val="000000" w:themeColor="text1"/>
                <w:sz w:val="24"/>
              </w:rPr>
              <w:t>1,298,094.63</w:t>
            </w:r>
          </w:p>
        </w:tc>
        <w:tc>
          <w:tcPr>
            <w:tcW w:w="1080" w:type="dxa"/>
            <w:vAlign w:val="center"/>
          </w:tcPr>
          <w:p>
            <w:pPr>
              <w:jc w:val="right"/>
            </w:pPr>
            <w:r>
              <w:rPr>
                <w:rFonts w:eastAsiaTheme="minorEastAsia"/>
                <w:color w:val="000000" w:themeColor="text1"/>
                <w:sz w:val="24"/>
              </w:rPr>
              <w:t>14.46%</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center"/>
            </w:pPr>
            <w:r>
              <w:rPr>
                <w:rFonts w:eastAsiaTheme="minorEastAsia"/>
                <w:color w:val="000000" w:themeColor="text1"/>
                <w:sz w:val="24"/>
              </w:rPr>
              <w:t>长江证券股份有限公司</w:t>
            </w:r>
          </w:p>
        </w:tc>
        <w:tc>
          <w:tcPr>
            <w:tcW w:w="1320" w:type="dxa"/>
            <w:vAlign w:val="center"/>
          </w:tcPr>
          <w:p>
            <w:pPr>
              <w:jc w:val="right"/>
            </w:pPr>
            <w:r>
              <w:rPr>
                <w:rFonts w:eastAsiaTheme="minorEastAsia"/>
                <w:color w:val="000000" w:themeColor="text1"/>
                <w:sz w:val="24"/>
              </w:rPr>
              <w:t>7,126,459.59</w:t>
            </w:r>
          </w:p>
        </w:tc>
        <w:tc>
          <w:tcPr>
            <w:tcW w:w="1080" w:type="dxa"/>
            <w:vAlign w:val="center"/>
          </w:tcPr>
          <w:p>
            <w:pPr>
              <w:jc w:val="right"/>
            </w:pPr>
            <w:r>
              <w:rPr>
                <w:rFonts w:eastAsiaTheme="minorEastAsia"/>
                <w:color w:val="000000" w:themeColor="text1"/>
                <w:sz w:val="24"/>
              </w:rPr>
              <w:t>79.39%</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东吴证券股份有限公司</w:t>
            </w:r>
          </w:p>
        </w:tc>
        <w:tc>
          <w:tcPr>
            <w:tcW w:w="1320" w:type="dxa"/>
            <w:vAlign w:val="center"/>
          </w:tcPr>
          <w:p>
            <w:pPr>
              <w:jc w:val="right"/>
            </w:pPr>
            <w:r>
              <w:rPr>
                <w:rFonts w:eastAsiaTheme="minorEastAsia"/>
                <w:color w:val="000000" w:themeColor="text1"/>
                <w:sz w:val="24"/>
              </w:rPr>
              <w:t>552,346.50</w:t>
            </w:r>
          </w:p>
        </w:tc>
        <w:tc>
          <w:tcPr>
            <w:tcW w:w="1080" w:type="dxa"/>
            <w:vAlign w:val="center"/>
          </w:tcPr>
          <w:p>
            <w:pPr>
              <w:jc w:val="right"/>
            </w:pPr>
            <w:r>
              <w:rPr>
                <w:rFonts w:eastAsiaTheme="minorEastAsia"/>
                <w:color w:val="000000" w:themeColor="text1"/>
                <w:sz w:val="24"/>
              </w:rPr>
              <w:t>6.15%</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bl>
    <w:p>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注：1、报告期内，本基金新增加交易单元为野村东方国际证券有限公司，其它交易单元未发生变化；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3、租用证券公司交易单元的程序：首先根据租用证券公司交易单元的选择标准进行综合评价，然后根据评价选择基金交易单元。研究部提交方案，并上报公司批准。</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77" w:name="_Toc67591869"/>
      <w:bookmarkStart w:id="278" w:name="_Toc361324901"/>
      <w:r>
        <w:rPr>
          <w:rFonts w:ascii="Times New Roman" w:hAnsi="Times New Roman"/>
          <w:kern w:val="0"/>
          <w:szCs w:val="24"/>
        </w:rPr>
        <w:t>11.8</w:t>
      </w:r>
      <w:r>
        <w:rPr>
          <w:rFonts w:hint="eastAsia" w:ascii="Times New Roman" w:hAnsi="Times New Roman"/>
          <w:kern w:val="0"/>
          <w:szCs w:val="24"/>
        </w:rPr>
        <w:t>其他重大事件</w:t>
      </w:r>
      <w:bookmarkEnd w:id="277"/>
      <w:bookmarkEnd w:id="278"/>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交银施罗德优势行业灵活配置混合型证券投资基金2019年第4季度报告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交银施罗德基金管理有限公司关于增加长城证券股份有限公司为旗下基金销售机构的公告</w:t>
            </w:r>
          </w:p>
        </w:tc>
        <w:tc>
          <w:tcPr>
            <w:tcW w:w="2331" w:type="dxa"/>
            <w:vAlign w:val="center"/>
          </w:tcPr>
          <w:p>
            <w:pPr>
              <w:jc w:val="center"/>
            </w:pPr>
            <w:r>
              <w:rPr>
                <w:color w:val="000000"/>
                <w:sz w:val="24"/>
              </w:rPr>
              <w:t>上海证券报、证券时报、公司网站</w:t>
            </w:r>
          </w:p>
        </w:tc>
        <w:tc>
          <w:tcPr>
            <w:tcW w:w="1629" w:type="dxa"/>
            <w:vAlign w:val="center"/>
          </w:tcPr>
          <w:p>
            <w:pPr>
              <w:jc w:val="center"/>
            </w:pPr>
            <w:r>
              <w:rPr>
                <w:color w:val="000000"/>
                <w:sz w:val="24"/>
              </w:rPr>
              <w:t>2020-03-11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交银施罗德优势行业灵活配置混合型证券投资基金2019年年度报告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交银施罗德优势行业灵活配置混合型证券投资基金2020年第1季度报告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交银施罗德基金管理有限公司关于增加国信证券股份有限公司为旗下基金销售机构的公告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交银施罗德基金管理有限公司关于增加方正证券股份有限公司为旗下基金销售机构的公告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2020-06-18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交银施罗德基金管理有限公司关于增加华鑫证券有限责任公司为旗下基金销售机构的公告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交银施罗德基金管理有限公司关于增加华宝证券有限责任公司为旗下基金销售机构的公告</w:t>
            </w:r>
          </w:p>
        </w:tc>
        <w:tc>
          <w:tcPr>
            <w:tcW w:w="2331" w:type="dxa"/>
            <w:vAlign w:val="center"/>
          </w:tcPr>
          <w:p>
            <w:pPr>
              <w:jc w:val="center"/>
            </w:pPr>
            <w:r>
              <w:rPr>
                <w:color w:val="000000"/>
                <w:sz w:val="24"/>
              </w:rPr>
              <w:t>上海证券报、证券时报、公司网站</w:t>
            </w:r>
          </w:p>
        </w:tc>
        <w:tc>
          <w:tcPr>
            <w:tcW w:w="1629" w:type="dxa"/>
            <w:vAlign w:val="center"/>
          </w:tcPr>
          <w:p>
            <w:pPr>
              <w:jc w:val="center"/>
            </w:pPr>
            <w:r>
              <w:rPr>
                <w:color w:val="000000"/>
                <w:sz w:val="24"/>
              </w:rPr>
              <w:t>2020-07-10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交银施罗德优势行业灵活配置混合型证券投资基金（更新）招募说明书摘要（2020年第1号）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交银施罗德优势行业灵活配置混合型证券投资基金（更新）招募说明书（2020年第1号）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交银施罗德优势行业灵活配置混合型证券投资基金2020年第2季度报告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交银施罗德基金管理有限公司关于增加厦门银行股份有限公司为旗下基金销售机构的公告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2020-07-24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交银施罗德优势行业灵活配置混合型证券投资基金2020年中期报告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交银施罗德优势行业灵活配置混合型证券投资基金基金产品资料概要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交银施罗德优势行业灵活配置混合型证券投资基金2020年第3季度报告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交银施罗德基金管理有限公司关于增加上海中欧财富基金销售有限公司为旗下基金销售机构的公告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交银施罗德优势行业灵活配置混合型证券投资基金托管协议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交银施罗德优势行业灵活配置混合型证券投资基金基金产品资料概要更新(2020年第2号)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交银施罗德优势行业灵活配置混合型证券投资基金基金合同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交银施罗德优势行业灵活配置混合型证券投资基金（更新）招募说明书（2020年第2号）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交银施罗德基金管理有限公司关于增加华宝证券有限责任公司为旗下基金的销售机构的公告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交银施罗德基金管理有限公司关于增加财通证券股份有限公司为旗下基金销售机构的公告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交银施罗德基金管理有限公司关于增加中国人寿保险股份有限公司为旗下基金销售机构的公告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34</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Cs w:val="24"/>
          <w:lang w:val="en-US"/>
        </w:rPr>
      </w:pPr>
      <w:bookmarkStart w:id="279" w:name="_Toc374532345"/>
      <w:bookmarkStart w:id="280" w:name="_Toc67591870"/>
      <w:r>
        <w:rPr>
          <w:rFonts w:hint="eastAsia"/>
          <w:b/>
          <w:bCs/>
          <w:color w:val="000000"/>
          <w:szCs w:val="24"/>
        </w:rPr>
        <w:t>§</w:t>
      </w:r>
      <w:r>
        <w:rPr>
          <w:rFonts w:eastAsiaTheme="minorEastAsia"/>
          <w:b/>
          <w:bCs/>
          <w:szCs w:val="24"/>
          <w:lang w:val="en-US"/>
        </w:rPr>
        <w:t>12  影响投资者决策的其他重要信息</w:t>
      </w:r>
      <w:bookmarkEnd w:id="279"/>
      <w:bookmarkEnd w:id="280"/>
    </w:p>
    <w:p>
      <w:pPr>
        <w:autoSpaceDE w:val="0"/>
        <w:autoSpaceDN w:val="0"/>
        <w:adjustRightInd w:val="0"/>
        <w:spacing w:line="360" w:lineRule="auto"/>
        <w:jc w:val="left"/>
        <w:rPr>
          <w:rFonts w:ascii="宋体" w:hAnsi="宋体"/>
          <w:b/>
          <w:bCs/>
          <w:color w:val="000000"/>
          <w:kern w:val="0"/>
          <w:sz w:val="24"/>
        </w:rPr>
      </w:pPr>
      <w:r>
        <w:rPr>
          <w:rFonts w:hint="eastAsia" w:ascii="宋体" w:hAnsi="宋体"/>
          <w:b/>
          <w:bCs/>
          <w:color w:val="000000"/>
          <w:kern w:val="0"/>
          <w:sz w:val="24"/>
        </w:rPr>
        <w:t>12.1 影响投资者决策的其他重要信息</w:t>
      </w:r>
    </w:p>
    <w:p>
      <w:pPr>
        <w:spacing w:line="360" w:lineRule="auto"/>
        <w:ind w:firstLine="480" w:firstLineChars="200"/>
        <w:rPr>
          <w:rFonts w:ascii="宋体" w:hAnsi="宋体"/>
          <w:color w:val="000000"/>
          <w:sz w:val="24"/>
        </w:rPr>
      </w:pPr>
      <w:r>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80" w:firstLineChars="200"/>
        <w:rPr>
          <w:rFonts w:asciiTheme="minorEastAsia" w:hAnsiTheme="minorEastAsia" w:eastAsiaTheme="minorEastAsia"/>
          <w:sz w:val="24"/>
        </w:rPr>
      </w:pPr>
    </w:p>
    <w:p>
      <w:pPr>
        <w:pStyle w:val="2"/>
        <w:keepNext/>
        <w:keepLines/>
        <w:widowControl w:val="0"/>
        <w:spacing w:before="312" w:beforeLines="100" w:after="312" w:afterLines="100" w:line="288" w:lineRule="auto"/>
        <w:jc w:val="center"/>
        <w:rPr>
          <w:b/>
          <w:bCs/>
          <w:color w:val="000000"/>
          <w:szCs w:val="24"/>
        </w:rPr>
      </w:pPr>
      <w:bookmarkStart w:id="281" w:name="_Toc225500055"/>
      <w:bookmarkStart w:id="282" w:name="_Toc361324903"/>
      <w:bookmarkStart w:id="283" w:name="_Toc67591871"/>
      <w:r>
        <w:rPr>
          <w:rFonts w:hint="eastAsia"/>
          <w:b/>
          <w:bCs/>
          <w:color w:val="000000"/>
          <w:szCs w:val="24"/>
        </w:rPr>
        <w:t>§</w:t>
      </w:r>
      <w:r>
        <w:rPr>
          <w:b/>
          <w:bCs/>
          <w:color w:val="000000"/>
          <w:szCs w:val="24"/>
        </w:rPr>
        <w:t>13</w:t>
      </w:r>
      <w:r>
        <w:rPr>
          <w:rFonts w:hint="eastAsia"/>
          <w:b/>
          <w:bCs/>
          <w:color w:val="000000"/>
          <w:szCs w:val="24"/>
        </w:rPr>
        <w:t>备查文件目录</w:t>
      </w:r>
      <w:bookmarkEnd w:id="281"/>
      <w:bookmarkEnd w:id="282"/>
      <w:bookmarkEnd w:id="283"/>
    </w:p>
    <w:p>
      <w:pPr>
        <w:rPr>
          <w:lang w:val="en-GB"/>
        </w:rPr>
      </w:pPr>
    </w:p>
    <w:p>
      <w:pPr>
        <w:pStyle w:val="3"/>
        <w:spacing w:before="29" w:after="0" w:line="288" w:lineRule="auto"/>
        <w:rPr>
          <w:rFonts w:ascii="Times New Roman" w:hAnsi="Times New Roman"/>
          <w:kern w:val="0"/>
          <w:szCs w:val="24"/>
        </w:rPr>
      </w:pPr>
      <w:bookmarkStart w:id="284" w:name="_Toc361324904"/>
      <w:bookmarkStart w:id="285" w:name="_Toc67591872"/>
      <w:r>
        <w:rPr>
          <w:rFonts w:ascii="Times New Roman" w:hAnsi="Times New Roman"/>
          <w:kern w:val="0"/>
          <w:szCs w:val="24"/>
        </w:rPr>
        <w:t xml:space="preserve">13.1 </w:t>
      </w:r>
      <w:r>
        <w:rPr>
          <w:rFonts w:hint="eastAsia" w:ascii="Times New Roman" w:hAnsi="Times New Roman"/>
          <w:kern w:val="0"/>
          <w:szCs w:val="24"/>
        </w:rPr>
        <w:t>备查文件目录</w:t>
      </w:r>
      <w:bookmarkEnd w:id="284"/>
      <w:bookmarkEnd w:id="285"/>
    </w:p>
    <w:p>
      <w:pPr>
        <w:spacing w:before="29" w:line="288" w:lineRule="auto"/>
        <w:rPr>
          <w:color w:val="000000"/>
          <w:sz w:val="24"/>
        </w:rPr>
      </w:pPr>
      <w:r>
        <w:rPr>
          <w:color w:val="000000"/>
          <w:sz w:val="24"/>
        </w:rPr>
        <w:t xml:space="preserve">1、中国证监会批准交银施罗德保本混合型证券投资基金募集的文件； </w:t>
      </w:r>
    </w:p>
    <w:p>
      <w:pPr>
        <w:spacing w:before="29" w:line="288" w:lineRule="auto"/>
        <w:rPr>
          <w:color w:val="000000"/>
          <w:sz w:val="24"/>
        </w:rPr>
      </w:pPr>
      <w:r>
        <w:rPr>
          <w:color w:val="000000"/>
          <w:sz w:val="24"/>
        </w:rPr>
        <w:t xml:space="preserve">2、《交银施罗德优势行业灵活配置混合型证券投资基金基金合同》； </w:t>
      </w:r>
    </w:p>
    <w:p>
      <w:pPr>
        <w:spacing w:before="29" w:line="288" w:lineRule="auto"/>
        <w:rPr>
          <w:color w:val="000000"/>
          <w:sz w:val="24"/>
        </w:rPr>
      </w:pPr>
      <w:r>
        <w:rPr>
          <w:color w:val="000000"/>
          <w:sz w:val="24"/>
        </w:rPr>
        <w:t xml:space="preserve">3、《交银施罗德优势行业灵活配置混合型证券投资基金招募说明书》； </w:t>
      </w:r>
    </w:p>
    <w:p>
      <w:pPr>
        <w:spacing w:before="29" w:line="288" w:lineRule="auto"/>
        <w:rPr>
          <w:color w:val="000000"/>
          <w:sz w:val="24"/>
        </w:rPr>
      </w:pPr>
      <w:r>
        <w:rPr>
          <w:color w:val="000000"/>
          <w:sz w:val="24"/>
        </w:rPr>
        <w:t>4、《交银施罗德优势行业灵活配置混合型证券投资基金托管协议》；</w:t>
      </w:r>
    </w:p>
    <w:p>
      <w:pPr>
        <w:spacing w:before="29" w:line="288" w:lineRule="auto"/>
        <w:rPr>
          <w:color w:val="000000"/>
          <w:sz w:val="24"/>
        </w:rPr>
      </w:pPr>
      <w:r>
        <w:rPr>
          <w:color w:val="000000"/>
          <w:sz w:val="24"/>
        </w:rPr>
        <w:t xml:space="preserve">5、《交银施罗德保本混合型证券投资基金基金合同》； </w:t>
      </w:r>
    </w:p>
    <w:p>
      <w:pPr>
        <w:spacing w:before="29" w:line="288" w:lineRule="auto"/>
        <w:rPr>
          <w:color w:val="000000"/>
          <w:sz w:val="24"/>
        </w:rPr>
      </w:pPr>
      <w:r>
        <w:rPr>
          <w:color w:val="000000"/>
          <w:sz w:val="24"/>
        </w:rPr>
        <w:t xml:space="preserve">6、《交银施罗德保本混合型证券投资基金招募说明书》； </w:t>
      </w:r>
    </w:p>
    <w:p>
      <w:pPr>
        <w:spacing w:before="29" w:line="288" w:lineRule="auto"/>
        <w:rPr>
          <w:color w:val="000000"/>
          <w:sz w:val="24"/>
        </w:rPr>
      </w:pPr>
      <w:r>
        <w:rPr>
          <w:color w:val="000000"/>
          <w:sz w:val="24"/>
        </w:rPr>
        <w:t>7、《交银施罗德保本混合型证券投资基金托管协议》；</w:t>
      </w:r>
    </w:p>
    <w:p>
      <w:pPr>
        <w:spacing w:before="29" w:line="288" w:lineRule="auto"/>
        <w:rPr>
          <w:color w:val="000000"/>
          <w:sz w:val="24"/>
        </w:rPr>
      </w:pPr>
      <w:r>
        <w:rPr>
          <w:color w:val="000000"/>
          <w:sz w:val="24"/>
        </w:rPr>
        <w:t>8、《交银施罗德保本混合型证券投资基金保函》；</w:t>
      </w:r>
    </w:p>
    <w:p>
      <w:pPr>
        <w:spacing w:before="29" w:line="288" w:lineRule="auto"/>
        <w:rPr>
          <w:color w:val="000000"/>
          <w:sz w:val="24"/>
        </w:rPr>
      </w:pPr>
      <w:r>
        <w:rPr>
          <w:color w:val="000000"/>
          <w:sz w:val="24"/>
        </w:rPr>
        <w:t>9、上海源泰律师事务所出具的《关于申请募集交银施罗德保本混合型证券投资基金之法律意见书》；</w:t>
      </w:r>
    </w:p>
    <w:p>
      <w:pPr>
        <w:spacing w:before="29" w:line="288" w:lineRule="auto"/>
        <w:rPr>
          <w:color w:val="000000"/>
          <w:sz w:val="24"/>
        </w:rPr>
      </w:pPr>
      <w:r>
        <w:rPr>
          <w:color w:val="000000"/>
          <w:sz w:val="24"/>
        </w:rPr>
        <w:t>10、上海市通力律师事务所出具的《关于交银施罗德保本混合型证券投资基金保本周期到期转型方案及基金合同修改的法律意见》；</w:t>
      </w:r>
    </w:p>
    <w:p>
      <w:pPr>
        <w:spacing w:before="29" w:line="288" w:lineRule="auto"/>
        <w:rPr>
          <w:color w:val="000000"/>
          <w:sz w:val="24"/>
        </w:rPr>
      </w:pPr>
      <w:r>
        <w:rPr>
          <w:color w:val="000000"/>
          <w:sz w:val="24"/>
        </w:rPr>
        <w:t>11、基金管理人业务资格批件、营业执照；</w:t>
      </w:r>
    </w:p>
    <w:p>
      <w:pPr>
        <w:spacing w:before="29" w:line="288" w:lineRule="auto"/>
        <w:rPr>
          <w:color w:val="000000"/>
          <w:sz w:val="24"/>
        </w:rPr>
      </w:pPr>
      <w:r>
        <w:rPr>
          <w:color w:val="000000"/>
          <w:sz w:val="24"/>
        </w:rPr>
        <w:t>12、基金托管人业务资格批件、营业执照；</w:t>
      </w:r>
    </w:p>
    <w:p>
      <w:pPr>
        <w:spacing w:before="29" w:line="288" w:lineRule="auto"/>
        <w:rPr>
          <w:color w:val="000000"/>
          <w:sz w:val="24"/>
        </w:rPr>
      </w:pPr>
      <w:r>
        <w:rPr>
          <w:color w:val="000000"/>
          <w:sz w:val="24"/>
        </w:rPr>
        <w:t>13、报告期内交银施罗德优势行业灵活配置混合型证券投资基金在指定报刊上各项公告的原稿。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6" w:name="_Toc361324905"/>
      <w:bookmarkStart w:id="287" w:name="_Toc67591873"/>
      <w:r>
        <w:rPr>
          <w:rFonts w:ascii="Times New Roman" w:hAnsi="Times New Roman"/>
          <w:kern w:val="0"/>
          <w:szCs w:val="24"/>
        </w:rPr>
        <w:t>13.2</w:t>
      </w:r>
      <w:r>
        <w:rPr>
          <w:rFonts w:hint="eastAsia" w:ascii="Times New Roman" w:hAnsi="Times New Roman"/>
          <w:kern w:val="0"/>
          <w:szCs w:val="24"/>
        </w:rPr>
        <w:t>存放地点</w:t>
      </w:r>
      <w:bookmarkEnd w:id="286"/>
      <w:bookmarkEnd w:id="287"/>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8" w:name="_Toc361324906"/>
      <w:bookmarkStart w:id="289" w:name="_Toc67591874"/>
      <w:r>
        <w:rPr>
          <w:rFonts w:ascii="Times New Roman" w:hAnsi="Times New Roman"/>
          <w:kern w:val="0"/>
          <w:szCs w:val="24"/>
        </w:rPr>
        <w:t>13.3</w:t>
      </w:r>
      <w:r>
        <w:rPr>
          <w:rFonts w:hint="eastAsia" w:ascii="Times New Roman" w:hAnsi="Times New Roman"/>
          <w:kern w:val="0"/>
          <w:szCs w:val="24"/>
        </w:rPr>
        <w:t>查阅方式</w:t>
      </w:r>
      <w:bookmarkEnd w:id="288"/>
      <w:bookmarkEnd w:id="289"/>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color w:val="000000"/>
          <w:sz w:val="24"/>
        </w:rPr>
      </w:pPr>
      <w:r>
        <w:rPr>
          <w:b/>
          <w:color w:val="000000"/>
          <w:sz w:val="24"/>
        </w:rPr>
        <w:t>交银施罗德基金管理有限公司</w:t>
      </w:r>
    </w:p>
    <w:p>
      <w:pPr>
        <w:spacing w:before="29" w:line="288" w:lineRule="auto"/>
        <w:ind w:firstLine="482" w:firstLineChars="200"/>
        <w:jc w:val="right"/>
        <w:rPr>
          <w:b/>
          <w:color w:val="000000"/>
          <w:sz w:val="24"/>
        </w:rPr>
      </w:pPr>
      <w:r>
        <w:rPr>
          <w:b/>
          <w:color w:val="00000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13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62</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35"/>
      </w:rPr>
    </w:pPr>
    <w:r>
      <w:rPr>
        <w:rStyle w:val="35"/>
      </w:rPr>
      <w:fldChar w:fldCharType="begin"/>
    </w:r>
    <w:r>
      <w:rPr>
        <w:rStyle w:val="35"/>
      </w:rPr>
      <w:instrText xml:space="preserve">PAGE  </w:instrText>
    </w:r>
    <w:r>
      <w:rPr>
        <w:rStyle w:val="35"/>
      </w:rP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交银施罗德优势行业灵活配置混合型证券投资基金2020年年度报告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E36"/>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A7F45"/>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4DA"/>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47AF"/>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CB8"/>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30A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3976"/>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6E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484"/>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2AA"/>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5BCD"/>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0B2"/>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78C"/>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3C3"/>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2E0"/>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5B68"/>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8B0"/>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2872"/>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658"/>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5AA6"/>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09FD"/>
    <w:rsid w:val="00E41313"/>
    <w:rsid w:val="00E41773"/>
    <w:rsid w:val="00E41ACD"/>
    <w:rsid w:val="00E41B98"/>
    <w:rsid w:val="00E42FE6"/>
    <w:rsid w:val="00E44E78"/>
    <w:rsid w:val="00E460B6"/>
    <w:rsid w:val="00E46BD2"/>
    <w:rsid w:val="00E473D4"/>
    <w:rsid w:val="00E474CF"/>
    <w:rsid w:val="00E4754B"/>
    <w:rsid w:val="00E503AC"/>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141"/>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6C6"/>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40F2"/>
    <w:rsid w:val="00FF59BE"/>
    <w:rsid w:val="00FF6ADB"/>
    <w:rsid w:val="00FF6C36"/>
    <w:rsid w:val="00FF70D6"/>
    <w:rsid w:val="00FF7CE7"/>
    <w:rsid w:val="12D70C0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9"/>
    <w:pPr>
      <w:widowControl/>
      <w:jc w:val="left"/>
      <w:outlineLvl w:val="0"/>
    </w:pPr>
    <w:rPr>
      <w:kern w:val="0"/>
      <w:sz w:val="24"/>
      <w:szCs w:val="20"/>
      <w:lang w:val="en-GB"/>
    </w:rPr>
  </w:style>
  <w:style w:type="paragraph" w:styleId="3">
    <w:name w:val="heading 2"/>
    <w:basedOn w:val="1"/>
    <w:next w:val="4"/>
    <w:link w:val="41"/>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42"/>
    <w:qFormat/>
    <w:uiPriority w:val="99"/>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link w:val="72"/>
    <w:semiHidden/>
    <w:qFormat/>
    <w:uiPriority w:val="99"/>
    <w:pPr>
      <w:shd w:val="clear" w:color="auto" w:fill="000080"/>
    </w:pPr>
  </w:style>
  <w:style w:type="paragraph" w:styleId="8">
    <w:name w:val="annotation text"/>
    <w:basedOn w:val="1"/>
    <w:link w:val="69"/>
    <w:semiHidden/>
    <w:qFormat/>
    <w:uiPriority w:val="99"/>
    <w:pPr>
      <w:jc w:val="left"/>
    </w:pPr>
  </w:style>
  <w:style w:type="paragraph" w:styleId="9">
    <w:name w:val="Body Text"/>
    <w:basedOn w:val="1"/>
    <w:link w:val="50"/>
    <w:qFormat/>
    <w:uiPriority w:val="99"/>
    <w:pPr>
      <w:spacing w:after="120"/>
    </w:pPr>
  </w:style>
  <w:style w:type="paragraph" w:styleId="10">
    <w:name w:val="Body Text Indent"/>
    <w:basedOn w:val="1"/>
    <w:link w:val="44"/>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Plain Text"/>
    <w:basedOn w:val="1"/>
    <w:link w:val="45"/>
    <w:qFormat/>
    <w:uiPriority w:val="0"/>
    <w:rPr>
      <w:rFonts w:ascii="宋体" w:hAnsi="Courier New"/>
      <w:szCs w:val="21"/>
    </w:rPr>
  </w:style>
  <w:style w:type="paragraph" w:styleId="1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5">
    <w:name w:val="Date"/>
    <w:basedOn w:val="1"/>
    <w:next w:val="1"/>
    <w:link w:val="51"/>
    <w:qFormat/>
    <w:uiPriority w:val="99"/>
    <w:rPr>
      <w:sz w:val="24"/>
      <w:szCs w:val="20"/>
    </w:rPr>
  </w:style>
  <w:style w:type="paragraph" w:styleId="16">
    <w:name w:val="Body Text Indent 2"/>
    <w:basedOn w:val="1"/>
    <w:link w:val="46"/>
    <w:qFormat/>
    <w:uiPriority w:val="99"/>
    <w:pPr>
      <w:spacing w:line="560" w:lineRule="exact"/>
      <w:ind w:firstLine="480" w:firstLineChars="200"/>
    </w:pPr>
    <w:rPr>
      <w:rFonts w:ascii="宋体" w:hAnsi="宋体"/>
      <w:color w:val="FF0000"/>
      <w:sz w:val="24"/>
    </w:rPr>
  </w:style>
  <w:style w:type="paragraph" w:styleId="17">
    <w:name w:val="Balloon Text"/>
    <w:basedOn w:val="1"/>
    <w:link w:val="43"/>
    <w:semiHidden/>
    <w:uiPriority w:val="99"/>
    <w:rPr>
      <w:sz w:val="18"/>
      <w:szCs w:val="18"/>
    </w:rPr>
  </w:style>
  <w:style w:type="paragraph" w:styleId="18">
    <w:name w:val="footer"/>
    <w:basedOn w:val="1"/>
    <w:link w:val="47"/>
    <w:qFormat/>
    <w:uiPriority w:val="99"/>
    <w:pPr>
      <w:tabs>
        <w:tab w:val="center" w:pos="4153"/>
        <w:tab w:val="right" w:pos="8306"/>
      </w:tabs>
      <w:snapToGrid w:val="0"/>
      <w:jc w:val="left"/>
    </w:pPr>
    <w:rPr>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9072"/>
      </w:tabs>
    </w:pPr>
  </w:style>
  <w:style w:type="paragraph" w:styleId="21">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2">
    <w:name w:val="List"/>
    <w:basedOn w:val="9"/>
    <w:qFormat/>
    <w:uiPriority w:val="99"/>
    <w:pPr>
      <w:spacing w:after="220" w:line="220" w:lineRule="atLeast"/>
      <w:ind w:left="1440" w:hanging="360"/>
    </w:pPr>
    <w:rPr>
      <w:szCs w:val="20"/>
    </w:rPr>
  </w:style>
  <w:style w:type="paragraph" w:styleId="23">
    <w:name w:val="footnote text"/>
    <w:basedOn w:val="1"/>
    <w:link w:val="74"/>
    <w:qFormat/>
    <w:uiPriority w:val="0"/>
    <w:pPr>
      <w:snapToGrid w:val="0"/>
      <w:jc w:val="left"/>
    </w:pPr>
    <w:rPr>
      <w:sz w:val="18"/>
      <w:szCs w:val="18"/>
    </w:rPr>
  </w:style>
  <w:style w:type="paragraph" w:styleId="2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5">
    <w:name w:val="Body Text Indent 3"/>
    <w:basedOn w:val="1"/>
    <w:link w:val="48"/>
    <w:qFormat/>
    <w:uiPriority w:val="99"/>
    <w:pPr>
      <w:spacing w:line="560" w:lineRule="exact"/>
      <w:ind w:firstLine="420" w:firstLineChars="200"/>
    </w:pPr>
    <w:rPr>
      <w:rFonts w:ascii="Arial" w:hAnsi="Arial" w:cs="Arial"/>
      <w:color w:val="FF0000"/>
    </w:rPr>
  </w:style>
  <w:style w:type="paragraph" w:styleId="26">
    <w:name w:val="toc 2"/>
    <w:basedOn w:val="1"/>
    <w:next w:val="1"/>
    <w:qFormat/>
    <w:uiPriority w:val="39"/>
    <w:pPr>
      <w:tabs>
        <w:tab w:val="right" w:leader="dot" w:pos="9072"/>
      </w:tabs>
      <w:ind w:left="420" w:leftChars="200"/>
    </w:pPr>
    <w:rPr>
      <w:kern w:val="0"/>
      <w:szCs w:val="21"/>
    </w:rPr>
  </w:style>
  <w:style w:type="paragraph" w:styleId="2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8">
    <w:name w:val="Normal (Web)"/>
    <w:basedOn w:val="1"/>
    <w:qFormat/>
    <w:uiPriority w:val="99"/>
    <w:pPr>
      <w:widowControl/>
      <w:spacing w:before="100" w:beforeAutospacing="1" w:after="100" w:afterAutospacing="1"/>
      <w:jc w:val="left"/>
    </w:pPr>
    <w:rPr>
      <w:rFonts w:ascii="宋体" w:hAnsi="宋体"/>
      <w:kern w:val="0"/>
      <w:sz w:val="24"/>
    </w:rPr>
  </w:style>
  <w:style w:type="paragraph" w:styleId="29">
    <w:name w:val="index 1"/>
    <w:basedOn w:val="1"/>
    <w:next w:val="1"/>
    <w:semiHidden/>
    <w:qFormat/>
    <w:uiPriority w:val="99"/>
    <w:pPr>
      <w:jc w:val="right"/>
    </w:pPr>
    <w:rPr>
      <w:color w:val="008000"/>
    </w:rPr>
  </w:style>
  <w:style w:type="paragraph" w:styleId="30">
    <w:name w:val="annotation subject"/>
    <w:basedOn w:val="8"/>
    <w:next w:val="8"/>
    <w:link w:val="70"/>
    <w:semiHidden/>
    <w:qFormat/>
    <w:uiPriority w:val="99"/>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22"/>
    <w:rPr>
      <w:b/>
      <w:bCs/>
    </w:rPr>
  </w:style>
  <w:style w:type="character" w:styleId="35">
    <w:name w:val="page number"/>
    <w:qFormat/>
    <w:uiPriority w:val="99"/>
    <w:rPr>
      <w:rFonts w:cs="Times New Roman"/>
    </w:rPr>
  </w:style>
  <w:style w:type="character" w:styleId="36">
    <w:name w:val="FollowedHyperlink"/>
    <w:qFormat/>
    <w:uiPriority w:val="99"/>
    <w:rPr>
      <w:rFonts w:cs="Times New Roman"/>
      <w:color w:val="800080"/>
      <w:u w:val="single"/>
    </w:rPr>
  </w:style>
  <w:style w:type="character" w:styleId="37">
    <w:name w:val="Hyperlink"/>
    <w:qFormat/>
    <w:uiPriority w:val="99"/>
    <w:rPr>
      <w:rFonts w:cs="Times New Roman"/>
      <w:color w:val="0000FF"/>
      <w:u w:val="single"/>
    </w:rPr>
  </w:style>
  <w:style w:type="character" w:styleId="38">
    <w:name w:val="annotation reference"/>
    <w:semiHidden/>
    <w:qFormat/>
    <w:uiPriority w:val="99"/>
    <w:rPr>
      <w:rFonts w:cs="Times New Roman"/>
      <w:sz w:val="21"/>
    </w:rPr>
  </w:style>
  <w:style w:type="character" w:styleId="39">
    <w:name w:val="footnote reference"/>
    <w:qFormat/>
    <w:uiPriority w:val="0"/>
    <w:rPr>
      <w:rFonts w:cs="Times New Roman"/>
      <w:vertAlign w:val="superscript"/>
    </w:rPr>
  </w:style>
  <w:style w:type="character" w:customStyle="1" w:styleId="40">
    <w:name w:val="标题 1 字符"/>
    <w:link w:val="2"/>
    <w:qFormat/>
    <w:locked/>
    <w:uiPriority w:val="99"/>
    <w:rPr>
      <w:rFonts w:cs="Times New Roman"/>
      <w:sz w:val="24"/>
      <w:lang w:val="en-GB"/>
    </w:rPr>
  </w:style>
  <w:style w:type="character" w:customStyle="1" w:styleId="41">
    <w:name w:val="标题 2 字符"/>
    <w:link w:val="3"/>
    <w:qFormat/>
    <w:locked/>
    <w:uiPriority w:val="99"/>
    <w:rPr>
      <w:rFonts w:ascii="Arial" w:hAnsi="Arial"/>
      <w:b/>
      <w:kern w:val="2"/>
      <w:sz w:val="28"/>
    </w:rPr>
  </w:style>
  <w:style w:type="character" w:customStyle="1" w:styleId="42">
    <w:name w:val="标题 3 字符"/>
    <w:link w:val="5"/>
    <w:qFormat/>
    <w:locked/>
    <w:uiPriority w:val="99"/>
    <w:rPr>
      <w:rFonts w:cs="Times New Roman"/>
      <w:b/>
      <w:bCs/>
      <w:kern w:val="2"/>
      <w:sz w:val="32"/>
      <w:szCs w:val="32"/>
    </w:rPr>
  </w:style>
  <w:style w:type="character" w:customStyle="1" w:styleId="43">
    <w:name w:val="批注框文本 字符"/>
    <w:link w:val="17"/>
    <w:semiHidden/>
    <w:qFormat/>
    <w:locked/>
    <w:uiPriority w:val="99"/>
    <w:rPr>
      <w:rFonts w:cs="Times New Roman"/>
      <w:kern w:val="2"/>
      <w:sz w:val="18"/>
      <w:szCs w:val="18"/>
    </w:rPr>
  </w:style>
  <w:style w:type="character" w:customStyle="1" w:styleId="44">
    <w:name w:val="正文文本缩进 字符"/>
    <w:link w:val="10"/>
    <w:qFormat/>
    <w:locked/>
    <w:uiPriority w:val="99"/>
    <w:rPr>
      <w:rFonts w:ascii="Arial Unicode MS" w:hAnsi="Arial Unicode MS" w:eastAsia="Times New Roman" w:cs="Arial Unicode MS"/>
      <w:sz w:val="24"/>
      <w:szCs w:val="24"/>
    </w:rPr>
  </w:style>
  <w:style w:type="character" w:customStyle="1" w:styleId="45">
    <w:name w:val="纯文本 字符"/>
    <w:link w:val="13"/>
    <w:qFormat/>
    <w:locked/>
    <w:uiPriority w:val="0"/>
    <w:rPr>
      <w:rFonts w:ascii="宋体" w:hAnsi="Courier New"/>
      <w:kern w:val="2"/>
      <w:sz w:val="21"/>
    </w:rPr>
  </w:style>
  <w:style w:type="character" w:customStyle="1" w:styleId="46">
    <w:name w:val="正文文本缩进 2 字符"/>
    <w:link w:val="16"/>
    <w:qFormat/>
    <w:locked/>
    <w:uiPriority w:val="99"/>
    <w:rPr>
      <w:rFonts w:ascii="宋体" w:eastAsia="宋体" w:cs="Times New Roman"/>
      <w:color w:val="FF0000"/>
      <w:kern w:val="2"/>
      <w:sz w:val="24"/>
      <w:szCs w:val="24"/>
    </w:rPr>
  </w:style>
  <w:style w:type="character" w:customStyle="1" w:styleId="47">
    <w:name w:val="页脚 字符"/>
    <w:link w:val="18"/>
    <w:qFormat/>
    <w:locked/>
    <w:uiPriority w:val="99"/>
    <w:rPr>
      <w:rFonts w:cs="Times New Roman"/>
      <w:kern w:val="2"/>
      <w:sz w:val="18"/>
      <w:szCs w:val="18"/>
    </w:rPr>
  </w:style>
  <w:style w:type="character" w:customStyle="1" w:styleId="48">
    <w:name w:val="正文文本缩进 3 字符"/>
    <w:link w:val="25"/>
    <w:qFormat/>
    <w:locked/>
    <w:uiPriority w:val="99"/>
    <w:rPr>
      <w:rFonts w:ascii="Arial" w:hAnsi="Arial" w:cs="Arial"/>
      <w:color w:val="FF0000"/>
      <w:kern w:val="2"/>
      <w:sz w:val="24"/>
      <w:szCs w:val="24"/>
    </w:rPr>
  </w:style>
  <w:style w:type="character" w:customStyle="1" w:styleId="49">
    <w:name w:val="页眉 字符"/>
    <w:link w:val="19"/>
    <w:qFormat/>
    <w:locked/>
    <w:uiPriority w:val="99"/>
    <w:rPr>
      <w:rFonts w:cs="Times New Roman"/>
      <w:kern w:val="2"/>
      <w:sz w:val="18"/>
      <w:szCs w:val="18"/>
    </w:rPr>
  </w:style>
  <w:style w:type="character" w:customStyle="1" w:styleId="50">
    <w:name w:val="正文文本 字符"/>
    <w:link w:val="9"/>
    <w:qFormat/>
    <w:locked/>
    <w:uiPriority w:val="99"/>
    <w:rPr>
      <w:rFonts w:cs="Times New Roman"/>
      <w:kern w:val="2"/>
      <w:sz w:val="24"/>
      <w:szCs w:val="24"/>
    </w:rPr>
  </w:style>
  <w:style w:type="character" w:customStyle="1" w:styleId="51">
    <w:name w:val="日期 字符"/>
    <w:link w:val="15"/>
    <w:qFormat/>
    <w:locked/>
    <w:uiPriority w:val="99"/>
    <w:rPr>
      <w:rFonts w:cs="Times New Roman"/>
      <w:kern w:val="2"/>
      <w:sz w:val="24"/>
    </w:rPr>
  </w:style>
  <w:style w:type="character" w:customStyle="1" w:styleId="52">
    <w:name w:val="c1"/>
    <w:qFormat/>
    <w:uiPriority w:val="99"/>
    <w:rPr>
      <w:color w:val="000000"/>
      <w:spacing w:val="300"/>
      <w:sz w:val="18"/>
    </w:rPr>
  </w:style>
  <w:style w:type="paragraph" w:customStyle="1" w:styleId="53">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4">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55">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6">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7">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8">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9">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0">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1">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2">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3">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64">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5">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6">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7">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8">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9">
    <w:name w:val="批注文字 字符"/>
    <w:link w:val="8"/>
    <w:semiHidden/>
    <w:qFormat/>
    <w:locked/>
    <w:uiPriority w:val="99"/>
    <w:rPr>
      <w:rFonts w:cs="Times New Roman"/>
      <w:kern w:val="2"/>
      <w:sz w:val="24"/>
      <w:szCs w:val="24"/>
    </w:rPr>
  </w:style>
  <w:style w:type="character" w:customStyle="1" w:styleId="70">
    <w:name w:val="批注主题 字符"/>
    <w:link w:val="30"/>
    <w:semiHidden/>
    <w:qFormat/>
    <w:locked/>
    <w:uiPriority w:val="99"/>
    <w:rPr>
      <w:rFonts w:cs="Times New Roman"/>
      <w:b/>
      <w:bCs/>
      <w:kern w:val="2"/>
      <w:sz w:val="24"/>
      <w:szCs w:val="24"/>
    </w:rPr>
  </w:style>
  <w:style w:type="paragraph" w:customStyle="1" w:styleId="71">
    <w:name w:val="Char"/>
    <w:basedOn w:val="1"/>
    <w:qFormat/>
    <w:uiPriority w:val="99"/>
  </w:style>
  <w:style w:type="character" w:customStyle="1" w:styleId="72">
    <w:name w:val="文档结构图 字符"/>
    <w:link w:val="7"/>
    <w:semiHidden/>
    <w:qFormat/>
    <w:locked/>
    <w:uiPriority w:val="99"/>
    <w:rPr>
      <w:rFonts w:cs="Times New Roman"/>
      <w:kern w:val="2"/>
      <w:sz w:val="24"/>
      <w:szCs w:val="24"/>
      <w:shd w:val="clear" w:color="auto" w:fill="000080"/>
    </w:rPr>
  </w:style>
  <w:style w:type="paragraph" w:customStyle="1" w:styleId="73">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74">
    <w:name w:val="脚注文本 字符"/>
    <w:link w:val="23"/>
    <w:qFormat/>
    <w:locked/>
    <w:uiPriority w:val="0"/>
    <w:rPr>
      <w:rFonts w:cs="Times New Roman"/>
      <w:kern w:val="2"/>
      <w:sz w:val="18"/>
      <w:szCs w:val="18"/>
    </w:rPr>
  </w:style>
  <w:style w:type="paragraph" w:customStyle="1" w:styleId="75">
    <w:name w:val="Char1"/>
    <w:basedOn w:val="1"/>
    <w:qFormat/>
    <w:uiPriority w:val="99"/>
  </w:style>
  <w:style w:type="paragraph" w:customStyle="1" w:styleId="76">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7">
    <w:name w:val="Char Char Char Char"/>
    <w:basedOn w:val="1"/>
    <w:qFormat/>
    <w:uiPriority w:val="99"/>
    <w:pPr>
      <w:tabs>
        <w:tab w:val="left" w:pos="840"/>
      </w:tabs>
      <w:adjustRightInd w:val="0"/>
      <w:spacing w:line="360" w:lineRule="atLeast"/>
      <w:ind w:left="840" w:hanging="360"/>
      <w:textAlignment w:val="baseline"/>
    </w:pPr>
    <w:rPr>
      <w:sz w:val="24"/>
    </w:rPr>
  </w:style>
  <w:style w:type="paragraph" w:customStyle="1" w:styleId="78">
    <w:name w:val="Char Char Char Char Char Char1 Char Char Char1"/>
    <w:basedOn w:val="1"/>
    <w:qFormat/>
    <w:uiPriority w:val="99"/>
    <w:pPr>
      <w:autoSpaceDE w:val="0"/>
      <w:autoSpaceDN w:val="0"/>
      <w:adjustRightInd w:val="0"/>
      <w:jc w:val="left"/>
      <w:textAlignment w:val="baseline"/>
    </w:pPr>
    <w:rPr>
      <w:rFonts w:ascii="宋体"/>
      <w:kern w:val="0"/>
      <w:sz w:val="34"/>
      <w:szCs w:val="20"/>
    </w:rPr>
  </w:style>
  <w:style w:type="paragraph" w:customStyle="1" w:styleId="79">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80">
    <w:name w:val="Unresolved Mention"/>
    <w:basedOn w:val="3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1AABA-1F5B-4A79-9CDA-0B5F019CBFE4}">
  <ds:schemaRefs/>
</ds:datastoreItem>
</file>

<file path=docProps/app.xml><?xml version="1.0" encoding="utf-8"?>
<Properties xmlns="http://schemas.openxmlformats.org/officeDocument/2006/extended-properties" xmlns:vt="http://schemas.openxmlformats.org/officeDocument/2006/docPropsVTypes">
  <Template>Normal</Template>
  <Pages>63</Pages>
  <Words>9070</Words>
  <Characters>51701</Characters>
  <Lines>430</Lines>
  <Paragraphs>121</Paragraphs>
  <TotalTime>0</TotalTime>
  <ScaleCrop>false</ScaleCrop>
  <LinksUpToDate>false</LinksUpToDate>
  <CharactersWithSpaces>60650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hongzhong</cp:lastModifiedBy>
  <cp:lastPrinted>2007-07-19T00:46:00Z</cp:lastPrinted>
  <dcterms:modified xsi:type="dcterms:W3CDTF">2021-03-31T04:05:46Z</dcterms:modified>
  <cp:revision>1523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