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jc w:val="center"/>
        <w:rPr>
          <w:b/>
          <w:sz w:val="36"/>
          <w:szCs w:val="36"/>
        </w:rPr>
      </w:pPr>
      <w:bookmarkStart w:id="0" w:name="_Toc361324840"/>
      <w:r>
        <w:rPr>
          <w:b/>
          <w:sz w:val="36"/>
          <w:szCs w:val="36"/>
        </w:rPr>
        <w:t>交银施罗德丰晟收益债券型证券投资基金</w:t>
      </w:r>
      <w:bookmarkEnd w:id="0"/>
    </w:p>
    <w:p>
      <w:pPr>
        <w:spacing w:before="29" w:line="288" w:lineRule="auto"/>
        <w:jc w:val="center"/>
        <w:rPr>
          <w:b/>
          <w:sz w:val="36"/>
          <w:szCs w:val="36"/>
        </w:rPr>
      </w:pPr>
      <w:bookmarkStart w:id="1" w:name="_Toc361324841"/>
      <w:r>
        <w:rPr>
          <w:b/>
          <w:sz w:val="36"/>
          <w:szCs w:val="36"/>
        </w:rPr>
        <w:t>2020年年度报告</w:t>
      </w:r>
      <w:bookmarkEnd w:id="1"/>
    </w:p>
    <w:p>
      <w:pPr>
        <w:spacing w:before="29" w:line="288" w:lineRule="auto"/>
        <w:jc w:val="center"/>
        <w:rPr>
          <w:b/>
          <w:sz w:val="36"/>
          <w:szCs w:val="36"/>
        </w:rPr>
      </w:pPr>
      <w:r>
        <w:rPr>
          <w:b/>
          <w:sz w:val="36"/>
          <w:szCs w:val="36"/>
        </w:rPr>
        <w:t>2020年12月31日</w:t>
      </w: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before="29" w:line="288" w:lineRule="auto"/>
        <w:ind w:firstLine="2168" w:firstLineChars="900"/>
        <w:rPr>
          <w:b/>
          <w:color w:val="000000"/>
          <w:sz w:val="24"/>
        </w:rPr>
      </w:pPr>
      <w:r>
        <w:rPr>
          <w:rFonts w:hint="eastAsia"/>
          <w:b/>
          <w:color w:val="000000"/>
          <w:sz w:val="24"/>
        </w:rPr>
        <w:t>基金管理人：</w:t>
      </w:r>
      <w:r>
        <w:rPr>
          <w:b/>
          <w:color w:val="000000"/>
          <w:sz w:val="24"/>
        </w:rPr>
        <w:t>交银施罗德基金管理有限公司</w:t>
      </w:r>
    </w:p>
    <w:p>
      <w:pPr>
        <w:spacing w:before="29" w:line="288" w:lineRule="auto"/>
        <w:ind w:firstLine="2168" w:firstLineChars="900"/>
        <w:rPr>
          <w:b/>
          <w:color w:val="000000"/>
          <w:sz w:val="24"/>
        </w:rPr>
      </w:pPr>
      <w:r>
        <w:rPr>
          <w:rFonts w:hint="eastAsia"/>
          <w:b/>
          <w:color w:val="000000"/>
          <w:sz w:val="24"/>
        </w:rPr>
        <w:t>基金托管人：</w:t>
      </w:r>
      <w:r>
        <w:rPr>
          <w:b/>
          <w:color w:val="000000"/>
          <w:sz w:val="24"/>
        </w:rPr>
        <w:t>招商银行股份有限公司</w:t>
      </w:r>
    </w:p>
    <w:p>
      <w:pPr>
        <w:spacing w:before="29" w:line="288" w:lineRule="auto"/>
        <w:ind w:firstLine="2168" w:firstLineChars="900"/>
        <w:rPr>
          <w:b/>
          <w:color w:val="000000"/>
          <w:sz w:val="24"/>
        </w:rPr>
        <w:sectPr>
          <w:headerReference r:id="rId5" w:type="first"/>
          <w:footerReference r:id="rId8" w:type="first"/>
          <w:headerReference r:id="rId3" w:type="default"/>
          <w:footerReference r:id="rId6" w:type="default"/>
          <w:headerReference r:id="rId4" w:type="even"/>
          <w:footerReference r:id="rId7" w:type="even"/>
          <w:pgSz w:w="11926" w:h="15840"/>
          <w:pgMar w:top="1418" w:right="1418" w:bottom="851" w:left="1418" w:header="851" w:footer="992" w:gutter="0"/>
          <w:cols w:space="720" w:num="1"/>
          <w:titlePg/>
          <w:docGrid w:linePitch="286" w:charSpace="0"/>
        </w:sectPr>
      </w:pPr>
      <w:r>
        <w:rPr>
          <w:rFonts w:hint="eastAsia"/>
          <w:b/>
          <w:color w:val="000000"/>
          <w:sz w:val="24"/>
        </w:rPr>
        <w:t>报告送出日期：</w:t>
      </w:r>
      <w:r>
        <w:rPr>
          <w:b/>
          <w:color w:val="000000"/>
          <w:sz w:val="24"/>
        </w:rPr>
        <w:t>二〇二一年三月三十日</w:t>
      </w:r>
    </w:p>
    <w:p>
      <w:pPr>
        <w:pStyle w:val="2"/>
        <w:keepNext/>
        <w:keepLines/>
        <w:widowControl w:val="0"/>
        <w:spacing w:before="312" w:beforeLines="100" w:after="312" w:afterLines="100" w:line="288" w:lineRule="auto"/>
        <w:jc w:val="center"/>
        <w:rPr>
          <w:b/>
          <w:bCs/>
          <w:szCs w:val="24"/>
          <w:lang w:val="en-US"/>
        </w:rPr>
      </w:pPr>
      <w:bookmarkStart w:id="2" w:name="_Toc361324842"/>
      <w:bookmarkStart w:id="3" w:name="_Toc67667880"/>
      <w:bookmarkStart w:id="4" w:name="_Toc225498243"/>
      <w:r>
        <w:rPr>
          <w:rFonts w:hint="eastAsia"/>
          <w:b/>
          <w:bCs/>
          <w:szCs w:val="24"/>
          <w:lang w:val="en-US"/>
        </w:rPr>
        <w:t>§</w:t>
      </w:r>
      <w:r>
        <w:rPr>
          <w:b/>
          <w:bCs/>
          <w:szCs w:val="24"/>
          <w:lang w:val="en-US"/>
        </w:rPr>
        <w:t xml:space="preserve">1  </w:t>
      </w:r>
      <w:r>
        <w:rPr>
          <w:rFonts w:hint="eastAsia"/>
          <w:b/>
          <w:bCs/>
          <w:szCs w:val="24"/>
          <w:lang w:val="en-US"/>
        </w:rPr>
        <w:t>重要提示及目录</w:t>
      </w:r>
      <w:bookmarkEnd w:id="2"/>
      <w:bookmarkEnd w:id="3"/>
      <w:bookmarkEnd w:id="4"/>
    </w:p>
    <w:p/>
    <w:p>
      <w:pPr>
        <w:pStyle w:val="3"/>
        <w:spacing w:before="29" w:after="0" w:line="288" w:lineRule="auto"/>
        <w:rPr>
          <w:rFonts w:ascii="Times New Roman" w:hAnsi="Times New Roman"/>
          <w:kern w:val="0"/>
          <w:szCs w:val="24"/>
        </w:rPr>
      </w:pPr>
      <w:bookmarkStart w:id="5" w:name="_Toc361324843"/>
      <w:bookmarkStart w:id="6" w:name="_Toc67667881"/>
      <w:r>
        <w:rPr>
          <w:rFonts w:ascii="Times New Roman" w:hAnsi="Times New Roman"/>
          <w:kern w:val="0"/>
          <w:szCs w:val="24"/>
        </w:rPr>
        <w:t xml:space="preserve">1.1 </w:t>
      </w:r>
      <w:r>
        <w:rPr>
          <w:rFonts w:hint="eastAsia" w:ascii="Times New Roman" w:hAnsi="Times New Roman"/>
          <w:kern w:val="0"/>
          <w:szCs w:val="24"/>
        </w:rPr>
        <w:t>重要提示</w:t>
      </w:r>
      <w:bookmarkEnd w:id="5"/>
      <w:bookmarkEnd w:id="6"/>
    </w:p>
    <w:p>
      <w:pPr>
        <w:spacing w:before="29" w:line="288" w:lineRule="auto"/>
        <w:ind w:firstLine="480" w:firstLineChars="200"/>
        <w:rPr>
          <w:color w:val="000000"/>
          <w:sz w:val="24"/>
        </w:rPr>
      </w:pPr>
      <w:r>
        <w:rPr>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pPr>
        <w:spacing w:before="29" w:line="288" w:lineRule="auto"/>
        <w:ind w:firstLine="480" w:firstLineChars="200"/>
        <w:rPr>
          <w:color w:val="000000"/>
          <w:sz w:val="24"/>
        </w:rPr>
      </w:pPr>
      <w:r>
        <w:rPr>
          <w:color w:val="000000"/>
          <w:sz w:val="24"/>
        </w:rPr>
        <w:t xml:space="preserve">基金托管人招商银行股份有限公司根据本基金合同规定，于2021年3月29日复核了本报告中的财务指标、净值表现、利润分配情况、财务会计报告、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基金的过往业绩并不代表其未来表现。投资有风险，投资者在作出投资决策前应仔细阅读本基金的招募说明书及其更新。</w:t>
      </w:r>
    </w:p>
    <w:p>
      <w:pPr>
        <w:spacing w:before="29" w:line="288" w:lineRule="auto"/>
        <w:ind w:firstLine="480" w:firstLineChars="200"/>
        <w:rPr>
          <w:color w:val="000000"/>
          <w:sz w:val="24"/>
        </w:rPr>
      </w:pPr>
      <w:r>
        <w:rPr>
          <w:color w:val="000000"/>
          <w:sz w:val="24"/>
        </w:rPr>
        <w:t>本报告期自2020年1月1日起至12月31日止。</w:t>
      </w:r>
    </w:p>
    <w:p>
      <w:pPr>
        <w:spacing w:before="29" w:line="288" w:lineRule="auto"/>
        <w:rPr>
          <w:b/>
          <w:color w:val="000000"/>
          <w:szCs w:val="21"/>
        </w:rPr>
      </w:pPr>
      <w:r>
        <w:rPr>
          <w:rFonts w:asciiTheme="minorEastAsia" w:hAnsiTheme="minorEastAsia" w:eastAsiaTheme="minorEastAsia"/>
          <w:szCs w:val="21"/>
        </w:rPr>
        <w:br w:type="page"/>
      </w:r>
      <w:bookmarkStart w:id="7" w:name="_Toc245193808"/>
      <w:r>
        <w:rPr>
          <w:b/>
          <w:bCs/>
          <w:kern w:val="0"/>
          <w:sz w:val="24"/>
        </w:rPr>
        <w:t>1.2</w:t>
      </w:r>
      <w:r>
        <w:rPr>
          <w:rFonts w:hint="eastAsia"/>
          <w:b/>
          <w:bCs/>
          <w:kern w:val="0"/>
          <w:sz w:val="24"/>
        </w:rPr>
        <w:t>目录</w:t>
      </w:r>
      <w:bookmarkEnd w:id="7"/>
    </w:p>
    <w:p>
      <w:pPr>
        <w:spacing w:line="360" w:lineRule="auto"/>
        <w:ind w:firstLine="120" w:firstLineChars="50"/>
        <w:rPr>
          <w:rFonts w:ascii="宋体" w:hAnsi="宋体"/>
          <w:b/>
          <w:color w:val="000000"/>
          <w:sz w:val="24"/>
        </w:rPr>
      </w:pPr>
    </w:p>
    <w:p>
      <w:pPr>
        <w:pStyle w:val="20"/>
        <w:rPr>
          <w:rFonts w:asciiTheme="minorHAnsi" w:hAnsiTheme="minorHAnsi" w:eastAsiaTheme="minorEastAsia" w:cstheme="minorBidi"/>
          <w:szCs w:val="22"/>
        </w:rPr>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r>
        <w:fldChar w:fldCharType="begin"/>
      </w:r>
      <w:r>
        <w:instrText xml:space="preserve"> HYPERLINK \l "_Toc67667880" </w:instrText>
      </w:r>
      <w:r>
        <w:fldChar w:fldCharType="separate"/>
      </w:r>
      <w:r>
        <w:rPr>
          <w:rStyle w:val="37"/>
          <w:b/>
          <w:bCs/>
        </w:rPr>
        <w:t xml:space="preserve">§1  </w:t>
      </w:r>
      <w:r>
        <w:rPr>
          <w:rStyle w:val="37"/>
          <w:rFonts w:hint="eastAsia"/>
          <w:b/>
          <w:bCs/>
        </w:rPr>
        <w:t>重要提示及目录</w:t>
      </w:r>
      <w:r>
        <w:tab/>
      </w:r>
      <w:r>
        <w:fldChar w:fldCharType="begin"/>
      </w:r>
      <w:r>
        <w:instrText xml:space="preserve"> PAGEREF _Toc67667880 \h </w:instrText>
      </w:r>
      <w:r>
        <w:fldChar w:fldCharType="separate"/>
      </w:r>
      <w:r>
        <w:t>2</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"_Toc67667881" </w:instrText>
      </w:r>
      <w:r>
        <w:fldChar w:fldCharType="separate"/>
      </w:r>
      <w:r>
        <w:rPr>
          <w:rStyle w:val="37"/>
        </w:rPr>
        <w:t xml:space="preserve">1.1 </w:t>
      </w:r>
      <w:r>
        <w:rPr>
          <w:rStyle w:val="37"/>
          <w:rFonts w:hint="eastAsia"/>
        </w:rPr>
        <w:t>重要提示</w:t>
      </w:r>
      <w:r>
        <w:tab/>
      </w:r>
      <w:r>
        <w:fldChar w:fldCharType="begin"/>
      </w:r>
      <w:r>
        <w:instrText xml:space="preserve"> PAGEREF _Toc67667881 \h </w:instrText>
      </w:r>
      <w:r>
        <w:fldChar w:fldCharType="separate"/>
      </w:r>
      <w:r>
        <w:t>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"_Toc67667882" </w:instrText>
      </w:r>
      <w:r>
        <w:fldChar w:fldCharType="separate"/>
      </w:r>
      <w:r>
        <w:rPr>
          <w:rStyle w:val="37"/>
          <w:b/>
          <w:bCs/>
        </w:rPr>
        <w:t xml:space="preserve">§2  </w:t>
      </w:r>
      <w:r>
        <w:rPr>
          <w:rStyle w:val="37"/>
          <w:rFonts w:hint="eastAsia"/>
          <w:b/>
          <w:bCs/>
        </w:rPr>
        <w:t>基金简介</w:t>
      </w:r>
      <w:r>
        <w:tab/>
      </w:r>
      <w:r>
        <w:fldChar w:fldCharType="begin"/>
      </w:r>
      <w:r>
        <w:instrText xml:space="preserve"> PAGEREF _Toc67667882 \h </w:instrText>
      </w:r>
      <w:r>
        <w:fldChar w:fldCharType="separate"/>
      </w:r>
      <w:r>
        <w:t>5</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"_Toc67667883" </w:instrText>
      </w:r>
      <w:r>
        <w:fldChar w:fldCharType="separate"/>
      </w:r>
      <w:r>
        <w:rPr>
          <w:rStyle w:val="37"/>
        </w:rPr>
        <w:t>2.1</w:t>
      </w:r>
      <w:r>
        <w:rPr>
          <w:rStyle w:val="37"/>
          <w:rFonts w:hint="eastAsia"/>
        </w:rPr>
        <w:t>基金基本情况</w:t>
      </w:r>
      <w:r>
        <w:tab/>
      </w:r>
      <w:r>
        <w:fldChar w:fldCharType="begin"/>
      </w:r>
      <w:r>
        <w:instrText xml:space="preserve"> PAGEREF _Toc67667883 \h </w:instrText>
      </w:r>
      <w:r>
        <w:fldChar w:fldCharType="separate"/>
      </w:r>
      <w:r>
        <w:t>5</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"_Toc67667884" </w:instrText>
      </w:r>
      <w:r>
        <w:fldChar w:fldCharType="separate"/>
      </w:r>
      <w:r>
        <w:rPr>
          <w:rStyle w:val="37"/>
        </w:rPr>
        <w:t xml:space="preserve">2.2 </w:t>
      </w:r>
      <w:r>
        <w:rPr>
          <w:rStyle w:val="37"/>
          <w:rFonts w:hint="eastAsia"/>
        </w:rPr>
        <w:t>基金产品说明</w:t>
      </w:r>
      <w:r>
        <w:tab/>
      </w:r>
      <w:r>
        <w:fldChar w:fldCharType="begin"/>
      </w:r>
      <w:r>
        <w:instrText xml:space="preserve"> PAGEREF _Toc67667884 \h </w:instrText>
      </w:r>
      <w:r>
        <w:fldChar w:fldCharType="separate"/>
      </w:r>
      <w:r>
        <w:t>5</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"_Toc67667885" </w:instrText>
      </w:r>
      <w:r>
        <w:fldChar w:fldCharType="separate"/>
      </w:r>
      <w:r>
        <w:rPr>
          <w:rStyle w:val="37"/>
        </w:rPr>
        <w:t xml:space="preserve">2.3 </w:t>
      </w:r>
      <w:r>
        <w:rPr>
          <w:rStyle w:val="37"/>
          <w:rFonts w:hint="eastAsia"/>
        </w:rPr>
        <w:t>基金管理人和基金托管人</w:t>
      </w:r>
      <w:r>
        <w:tab/>
      </w:r>
      <w:r>
        <w:fldChar w:fldCharType="begin"/>
      </w:r>
      <w:r>
        <w:instrText xml:space="preserve"> PAGEREF _Toc67667885 \h </w:instrText>
      </w:r>
      <w:r>
        <w:fldChar w:fldCharType="separate"/>
      </w:r>
      <w:r>
        <w:t>6</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"_Toc67667886" </w:instrText>
      </w:r>
      <w:r>
        <w:fldChar w:fldCharType="separate"/>
      </w:r>
      <w:r>
        <w:rPr>
          <w:rStyle w:val="37"/>
        </w:rPr>
        <w:t xml:space="preserve">2.4 </w:t>
      </w:r>
      <w:r>
        <w:rPr>
          <w:rStyle w:val="37"/>
          <w:rFonts w:hint="eastAsia"/>
        </w:rPr>
        <w:t>信息披露方式</w:t>
      </w:r>
      <w:r>
        <w:tab/>
      </w:r>
      <w:r>
        <w:fldChar w:fldCharType="begin"/>
      </w:r>
      <w:r>
        <w:instrText xml:space="preserve"> PAGEREF _Toc67667886 \h </w:instrText>
      </w:r>
      <w:r>
        <w:fldChar w:fldCharType="separate"/>
      </w:r>
      <w:r>
        <w:t>6</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"_Toc67667887" </w:instrText>
      </w:r>
      <w:r>
        <w:fldChar w:fldCharType="separate"/>
      </w:r>
      <w:r>
        <w:rPr>
          <w:rStyle w:val="37"/>
        </w:rPr>
        <w:t xml:space="preserve">2.5 </w:t>
      </w:r>
      <w:r>
        <w:rPr>
          <w:rStyle w:val="37"/>
          <w:rFonts w:hint="eastAsia"/>
        </w:rPr>
        <w:t>其他相关资料</w:t>
      </w:r>
      <w:r>
        <w:tab/>
      </w:r>
      <w:r>
        <w:fldChar w:fldCharType="begin"/>
      </w:r>
      <w:r>
        <w:instrText xml:space="preserve"> PAGEREF _Toc67667887 \h </w:instrText>
      </w:r>
      <w:r>
        <w:fldChar w:fldCharType="separate"/>
      </w:r>
      <w:r>
        <w:t>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"_Toc67667888" </w:instrText>
      </w:r>
      <w:r>
        <w:fldChar w:fldCharType="separate"/>
      </w:r>
      <w:r>
        <w:rPr>
          <w:rStyle w:val="37"/>
          <w:b/>
          <w:bCs/>
        </w:rPr>
        <w:t xml:space="preserve">§3 </w:t>
      </w:r>
      <w:r>
        <w:rPr>
          <w:rStyle w:val="37"/>
          <w:rFonts w:hint="eastAsia"/>
          <w:b/>
          <w:bCs/>
        </w:rPr>
        <w:t>主要财务指标、基金净值表现及利润分配情况</w:t>
      </w:r>
      <w:r>
        <w:tab/>
      </w:r>
      <w:r>
        <w:fldChar w:fldCharType="begin"/>
      </w:r>
      <w:r>
        <w:instrText xml:space="preserve"> PAGEREF _Toc67667888 \h </w:instrText>
      </w:r>
      <w:r>
        <w:fldChar w:fldCharType="separate"/>
      </w:r>
      <w:r>
        <w:t>7</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"_Toc67667889" </w:instrText>
      </w:r>
      <w:r>
        <w:fldChar w:fldCharType="separate"/>
      </w:r>
      <w:r>
        <w:rPr>
          <w:rStyle w:val="37"/>
        </w:rPr>
        <w:t xml:space="preserve">3.1 </w:t>
      </w:r>
      <w:r>
        <w:rPr>
          <w:rStyle w:val="37"/>
          <w:rFonts w:hint="eastAsia"/>
        </w:rPr>
        <w:t>主要会计数据和财务指标</w:t>
      </w:r>
      <w:r>
        <w:tab/>
      </w:r>
      <w:r>
        <w:fldChar w:fldCharType="begin"/>
      </w:r>
      <w:r>
        <w:instrText xml:space="preserve"> PAGEREF _Toc67667889 \h </w:instrText>
      </w:r>
      <w:r>
        <w:fldChar w:fldCharType="separate"/>
      </w:r>
      <w:r>
        <w:t>7</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"_Toc67667890" </w:instrText>
      </w:r>
      <w:r>
        <w:fldChar w:fldCharType="separate"/>
      </w:r>
      <w:r>
        <w:rPr>
          <w:rStyle w:val="37"/>
        </w:rPr>
        <w:t xml:space="preserve">3.2 </w:t>
      </w:r>
      <w:r>
        <w:rPr>
          <w:rStyle w:val="37"/>
          <w:rFonts w:hint="eastAsia"/>
        </w:rPr>
        <w:t>基金净值表现</w:t>
      </w:r>
      <w:r>
        <w:tab/>
      </w:r>
      <w:r>
        <w:fldChar w:fldCharType="begin"/>
      </w:r>
      <w:r>
        <w:instrText xml:space="preserve"> PAGEREF _Toc67667890 \h </w:instrText>
      </w:r>
      <w:r>
        <w:fldChar w:fldCharType="separate"/>
      </w:r>
      <w:r>
        <w:t>8</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"_Toc67667891" </w:instrText>
      </w:r>
      <w:r>
        <w:fldChar w:fldCharType="separate"/>
      </w:r>
      <w:r>
        <w:rPr>
          <w:rStyle w:val="37"/>
        </w:rPr>
        <w:t>3.3</w:t>
      </w:r>
      <w:r>
        <w:rPr>
          <w:rStyle w:val="37"/>
          <w:rFonts w:hint="eastAsia"/>
        </w:rPr>
        <w:t>过去三年基金的利润分配情况</w:t>
      </w:r>
      <w:r>
        <w:tab/>
      </w:r>
      <w:r>
        <w:fldChar w:fldCharType="begin"/>
      </w:r>
      <w:r>
        <w:instrText xml:space="preserve"> PAGEREF _Toc67667891 \h </w:instrText>
      </w:r>
      <w:r>
        <w:fldChar w:fldCharType="separate"/>
      </w:r>
      <w:r>
        <w:t>11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"_Toc67667894" </w:instrText>
      </w:r>
      <w:r>
        <w:fldChar w:fldCharType="separate"/>
      </w:r>
      <w:r>
        <w:rPr>
          <w:rStyle w:val="37"/>
          <w:b/>
          <w:bCs/>
        </w:rPr>
        <w:t xml:space="preserve">§4  </w:t>
      </w:r>
      <w:r>
        <w:rPr>
          <w:rStyle w:val="37"/>
          <w:rFonts w:hint="eastAsia"/>
          <w:b/>
          <w:bCs/>
        </w:rPr>
        <w:t>管理人报告</w:t>
      </w:r>
      <w:r>
        <w:tab/>
      </w:r>
      <w:r>
        <w:fldChar w:fldCharType="begin"/>
      </w:r>
      <w:r>
        <w:instrText xml:space="preserve"> PAGEREF _Toc67667894 \h </w:instrText>
      </w:r>
      <w:r>
        <w:fldChar w:fldCharType="separate"/>
      </w:r>
      <w:r>
        <w:t>12</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"_Toc67667895" </w:instrText>
      </w:r>
      <w:r>
        <w:fldChar w:fldCharType="separate"/>
      </w:r>
      <w:r>
        <w:rPr>
          <w:rStyle w:val="37"/>
        </w:rPr>
        <w:t xml:space="preserve">4.1 </w:t>
      </w:r>
      <w:r>
        <w:rPr>
          <w:rStyle w:val="37"/>
          <w:rFonts w:hint="eastAsia"/>
        </w:rPr>
        <w:t>基金管理人及基金经理情况</w:t>
      </w:r>
      <w:r>
        <w:tab/>
      </w:r>
      <w:r>
        <w:fldChar w:fldCharType="begin"/>
      </w:r>
      <w:r>
        <w:instrText xml:space="preserve"> PAGEREF _Toc67667895 \h </w:instrText>
      </w:r>
      <w:r>
        <w:fldChar w:fldCharType="separate"/>
      </w:r>
      <w:r>
        <w:t>12</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"_Toc67667898" </w:instrText>
      </w:r>
      <w:r>
        <w:fldChar w:fldCharType="separate"/>
      </w:r>
      <w:r>
        <w:rPr>
          <w:rStyle w:val="37"/>
        </w:rPr>
        <w:t xml:space="preserve">4.2 </w:t>
      </w:r>
      <w:r>
        <w:rPr>
          <w:rStyle w:val="37"/>
          <w:rFonts w:hint="eastAsia"/>
        </w:rPr>
        <w:t>管理人对报告期内本基金运作遵规守信情况的说明</w:t>
      </w:r>
      <w:r>
        <w:tab/>
      </w:r>
      <w:r>
        <w:fldChar w:fldCharType="begin"/>
      </w:r>
      <w:r>
        <w:instrText xml:space="preserve"> PAGEREF _Toc67667898 \h </w:instrText>
      </w:r>
      <w:r>
        <w:fldChar w:fldCharType="separate"/>
      </w:r>
      <w:r>
        <w:t>14</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"_Toc67667899" </w:instrText>
      </w:r>
      <w:r>
        <w:fldChar w:fldCharType="separate"/>
      </w:r>
      <w:r>
        <w:rPr>
          <w:rStyle w:val="37"/>
        </w:rPr>
        <w:t xml:space="preserve">4.3 </w:t>
      </w:r>
      <w:r>
        <w:rPr>
          <w:rStyle w:val="37"/>
          <w:rFonts w:hint="eastAsia"/>
        </w:rPr>
        <w:t>管理人对报告期内公平交易情况的专项说明</w:t>
      </w:r>
      <w:r>
        <w:tab/>
      </w:r>
      <w:r>
        <w:fldChar w:fldCharType="begin"/>
      </w:r>
      <w:r>
        <w:instrText xml:space="preserve"> PAGEREF _Toc67667899 \h </w:instrText>
      </w:r>
      <w:r>
        <w:fldChar w:fldCharType="separate"/>
      </w:r>
      <w:r>
        <w:t>15</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"_Toc67667903" </w:instrText>
      </w:r>
      <w:r>
        <w:fldChar w:fldCharType="separate"/>
      </w:r>
      <w:r>
        <w:rPr>
          <w:rStyle w:val="37"/>
        </w:rPr>
        <w:t xml:space="preserve">4.4 </w:t>
      </w:r>
      <w:r>
        <w:rPr>
          <w:rStyle w:val="37"/>
          <w:rFonts w:hint="eastAsia"/>
        </w:rPr>
        <w:t>管理人对报告期内基金的投资策略和业绩表现的说明</w:t>
      </w:r>
      <w:r>
        <w:tab/>
      </w:r>
      <w:r>
        <w:fldChar w:fldCharType="begin"/>
      </w:r>
      <w:r>
        <w:instrText xml:space="preserve"> PAGEREF _Toc67667903 \h </w:instrText>
      </w:r>
      <w:r>
        <w:fldChar w:fldCharType="separate"/>
      </w:r>
      <w:r>
        <w:t>16</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"_Toc67667906" </w:instrText>
      </w:r>
      <w:r>
        <w:fldChar w:fldCharType="separate"/>
      </w:r>
      <w:r>
        <w:rPr>
          <w:rStyle w:val="37"/>
        </w:rPr>
        <w:t xml:space="preserve">4.5 </w:t>
      </w:r>
      <w:r>
        <w:rPr>
          <w:rStyle w:val="37"/>
          <w:rFonts w:hint="eastAsia"/>
        </w:rPr>
        <w:t>管理人对宏观经济、证券市场及行业走势的简要展望</w:t>
      </w:r>
      <w:r>
        <w:tab/>
      </w:r>
      <w:r>
        <w:fldChar w:fldCharType="begin"/>
      </w:r>
      <w:r>
        <w:instrText xml:space="preserve"> PAGEREF _Toc67667906 \h </w:instrText>
      </w:r>
      <w:r>
        <w:fldChar w:fldCharType="separate"/>
      </w:r>
      <w:r>
        <w:t>17</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"_Toc67667907" </w:instrText>
      </w:r>
      <w:r>
        <w:fldChar w:fldCharType="separate"/>
      </w:r>
      <w:r>
        <w:rPr>
          <w:rStyle w:val="37"/>
        </w:rPr>
        <w:t xml:space="preserve">4.6 </w:t>
      </w:r>
      <w:r>
        <w:rPr>
          <w:rStyle w:val="37"/>
          <w:rFonts w:hint="eastAsia"/>
        </w:rPr>
        <w:t>管理人内部有关本基金的监察稽核工作情况</w:t>
      </w:r>
      <w:r>
        <w:tab/>
      </w:r>
      <w:r>
        <w:fldChar w:fldCharType="begin"/>
      </w:r>
      <w:r>
        <w:instrText xml:space="preserve"> PAGEREF _Toc67667907 \h </w:instrText>
      </w:r>
      <w:r>
        <w:fldChar w:fldCharType="separate"/>
      </w:r>
      <w:r>
        <w:t>17</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"_Toc67667908" </w:instrText>
      </w:r>
      <w:r>
        <w:fldChar w:fldCharType="separate"/>
      </w:r>
      <w:r>
        <w:rPr>
          <w:rStyle w:val="37"/>
        </w:rPr>
        <w:t xml:space="preserve">4.7 </w:t>
      </w:r>
      <w:r>
        <w:rPr>
          <w:rStyle w:val="37"/>
          <w:rFonts w:hint="eastAsia"/>
        </w:rPr>
        <w:t>管理人对报告期内基金估值程序等事项的说明</w:t>
      </w:r>
      <w:r>
        <w:tab/>
      </w:r>
      <w:r>
        <w:fldChar w:fldCharType="begin"/>
      </w:r>
      <w:r>
        <w:instrText xml:space="preserve"> PAGEREF _Toc67667908 \h </w:instrText>
      </w:r>
      <w:r>
        <w:fldChar w:fldCharType="separate"/>
      </w:r>
      <w:r>
        <w:t>18</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"_Toc67667909" </w:instrText>
      </w:r>
      <w:r>
        <w:fldChar w:fldCharType="separate"/>
      </w:r>
      <w:r>
        <w:rPr>
          <w:rStyle w:val="37"/>
        </w:rPr>
        <w:t>4.8</w:t>
      </w:r>
      <w:r>
        <w:rPr>
          <w:rStyle w:val="37"/>
          <w:rFonts w:hint="eastAsia"/>
        </w:rPr>
        <w:t>管理人对报告期内基金利润分配情况的说明</w:t>
      </w:r>
      <w:r>
        <w:tab/>
      </w:r>
      <w:r>
        <w:fldChar w:fldCharType="begin"/>
      </w:r>
      <w:r>
        <w:instrText xml:space="preserve"> PAGEREF _Toc67667909 \h </w:instrText>
      </w:r>
      <w:r>
        <w:fldChar w:fldCharType="separate"/>
      </w:r>
      <w:r>
        <w:t>18</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"_Toc67667910" </w:instrText>
      </w:r>
      <w:r>
        <w:fldChar w:fldCharType="separate"/>
      </w:r>
      <w:r>
        <w:rPr>
          <w:rStyle w:val="37"/>
        </w:rPr>
        <w:t>4.9</w:t>
      </w:r>
      <w:r>
        <w:rPr>
          <w:rStyle w:val="37"/>
          <w:rFonts w:hint="eastAsia"/>
        </w:rPr>
        <w:t>报告期内管理人对本基金持有人数或基金资产净值预警情形的说明</w:t>
      </w:r>
      <w:r>
        <w:tab/>
      </w:r>
      <w:r>
        <w:fldChar w:fldCharType="begin"/>
      </w:r>
      <w:r>
        <w:instrText xml:space="preserve"> PAGEREF _Toc67667910 \h </w:instrText>
      </w:r>
      <w:r>
        <w:fldChar w:fldCharType="separate"/>
      </w:r>
      <w:r>
        <w:t>18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"_Toc67667911" </w:instrText>
      </w:r>
      <w:r>
        <w:fldChar w:fldCharType="separate"/>
      </w:r>
      <w:r>
        <w:rPr>
          <w:rStyle w:val="37"/>
          <w:b/>
          <w:bCs/>
        </w:rPr>
        <w:t xml:space="preserve">§5  </w:t>
      </w:r>
      <w:r>
        <w:rPr>
          <w:rStyle w:val="37"/>
          <w:rFonts w:hint="eastAsia"/>
          <w:b/>
          <w:bCs/>
        </w:rPr>
        <w:t>托管人报告</w:t>
      </w:r>
      <w:r>
        <w:tab/>
      </w:r>
      <w:r>
        <w:fldChar w:fldCharType="begin"/>
      </w:r>
      <w:r>
        <w:instrText xml:space="preserve"> PAGEREF _Toc67667911 \h </w:instrText>
      </w:r>
      <w:r>
        <w:fldChar w:fldCharType="separate"/>
      </w:r>
      <w:r>
        <w:t>18</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"_Toc67667912" </w:instrText>
      </w:r>
      <w:r>
        <w:fldChar w:fldCharType="separate"/>
      </w:r>
      <w:r>
        <w:rPr>
          <w:rStyle w:val="37"/>
        </w:rPr>
        <w:t xml:space="preserve">5.1 </w:t>
      </w:r>
      <w:r>
        <w:rPr>
          <w:rStyle w:val="37"/>
          <w:rFonts w:hint="eastAsia"/>
        </w:rPr>
        <w:t>报告期内本基金托管人遵规守信情况声明</w:t>
      </w:r>
      <w:r>
        <w:tab/>
      </w:r>
      <w:r>
        <w:fldChar w:fldCharType="begin"/>
      </w:r>
      <w:r>
        <w:instrText xml:space="preserve"> PAGEREF _Toc67667912 \h </w:instrText>
      </w:r>
      <w:r>
        <w:fldChar w:fldCharType="separate"/>
      </w:r>
      <w:r>
        <w:t>18</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"_Toc67667913" </w:instrText>
      </w:r>
      <w:r>
        <w:fldChar w:fldCharType="separate"/>
      </w:r>
      <w:r>
        <w:rPr>
          <w:rStyle w:val="37"/>
        </w:rPr>
        <w:t xml:space="preserve">5.2 </w:t>
      </w:r>
      <w:r>
        <w:rPr>
          <w:rStyle w:val="37"/>
          <w:rFonts w:hint="eastAsia"/>
        </w:rPr>
        <w:t>托管人对报告期内本基金投资运作遵规守信、净值计算、利润分配等情况的说明</w:t>
      </w:r>
      <w:r>
        <w:tab/>
      </w:r>
      <w:r>
        <w:fldChar w:fldCharType="begin"/>
      </w:r>
      <w:r>
        <w:instrText xml:space="preserve"> PAGEREF _Toc67667913 \h </w:instrText>
      </w:r>
      <w:r>
        <w:fldChar w:fldCharType="separate"/>
      </w:r>
      <w:r>
        <w:t>19</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"_Toc67667914" </w:instrText>
      </w:r>
      <w:r>
        <w:fldChar w:fldCharType="separate"/>
      </w:r>
      <w:r>
        <w:rPr>
          <w:rStyle w:val="37"/>
        </w:rPr>
        <w:t xml:space="preserve">5.3 </w:t>
      </w:r>
      <w:r>
        <w:rPr>
          <w:rStyle w:val="37"/>
          <w:rFonts w:hint="eastAsia"/>
        </w:rPr>
        <w:t>托管人对本年度报告中财务信息等内容的真实、准确和完整发表意见</w:t>
      </w:r>
      <w:r>
        <w:tab/>
      </w:r>
      <w:r>
        <w:fldChar w:fldCharType="begin"/>
      </w:r>
      <w:r>
        <w:instrText xml:space="preserve"> PAGEREF _Toc67667914 \h </w:instrText>
      </w:r>
      <w:r>
        <w:fldChar w:fldCharType="separate"/>
      </w:r>
      <w:r>
        <w:t>19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"_Toc67667915" </w:instrText>
      </w:r>
      <w:r>
        <w:fldChar w:fldCharType="separate"/>
      </w:r>
      <w:r>
        <w:rPr>
          <w:rStyle w:val="37"/>
          <w:b/>
          <w:bCs/>
        </w:rPr>
        <w:t xml:space="preserve">§6  </w:t>
      </w:r>
      <w:r>
        <w:rPr>
          <w:rStyle w:val="37"/>
          <w:rFonts w:hint="eastAsia"/>
          <w:b/>
          <w:bCs/>
        </w:rPr>
        <w:t>审计报告</w:t>
      </w:r>
      <w:r>
        <w:tab/>
      </w:r>
      <w:r>
        <w:fldChar w:fldCharType="begin"/>
      </w:r>
      <w:r>
        <w:instrText xml:space="preserve"> PAGEREF _Toc67667915 \h </w:instrText>
      </w:r>
      <w:r>
        <w:fldChar w:fldCharType="separate"/>
      </w:r>
      <w:r>
        <w:t>19</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"_Toc67667916" </w:instrText>
      </w:r>
      <w:r>
        <w:fldChar w:fldCharType="separate"/>
      </w:r>
      <w:r>
        <w:rPr>
          <w:rStyle w:val="37"/>
        </w:rPr>
        <w:t xml:space="preserve">6.1 </w:t>
      </w:r>
      <w:r>
        <w:rPr>
          <w:rStyle w:val="37"/>
          <w:rFonts w:hint="eastAsia"/>
        </w:rPr>
        <w:t>审计意见</w:t>
      </w:r>
      <w:r>
        <w:tab/>
      </w:r>
      <w:r>
        <w:fldChar w:fldCharType="begin"/>
      </w:r>
      <w:r>
        <w:instrText xml:space="preserve"> PAGEREF _Toc67667916 \h </w:instrText>
      </w:r>
      <w:r>
        <w:fldChar w:fldCharType="separate"/>
      </w:r>
      <w:r>
        <w:t>19</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"_Toc67667919" </w:instrText>
      </w:r>
      <w:r>
        <w:fldChar w:fldCharType="separate"/>
      </w:r>
      <w:r>
        <w:rPr>
          <w:rStyle w:val="37"/>
        </w:rPr>
        <w:t xml:space="preserve">6.2 </w:t>
      </w:r>
      <w:r>
        <w:rPr>
          <w:rStyle w:val="37"/>
          <w:rFonts w:hint="eastAsia"/>
        </w:rPr>
        <w:t>形成审计意见的基础</w:t>
      </w:r>
      <w:r>
        <w:tab/>
      </w:r>
      <w:r>
        <w:fldChar w:fldCharType="begin"/>
      </w:r>
      <w:r>
        <w:instrText xml:space="preserve"> PAGEREF _Toc67667919 \h </w:instrText>
      </w:r>
      <w:r>
        <w:fldChar w:fldCharType="separate"/>
      </w:r>
      <w:r>
        <w:t>19</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"_Toc67667920" </w:instrText>
      </w:r>
      <w:r>
        <w:fldChar w:fldCharType="separate"/>
      </w:r>
      <w:r>
        <w:rPr>
          <w:rStyle w:val="37"/>
        </w:rPr>
        <w:t xml:space="preserve">6.3 </w:t>
      </w:r>
      <w:r>
        <w:rPr>
          <w:rStyle w:val="37"/>
          <w:rFonts w:hint="eastAsia"/>
        </w:rPr>
        <w:t>管理层和治理层对财务报表的责任</w:t>
      </w:r>
      <w:r>
        <w:tab/>
      </w:r>
      <w:r>
        <w:fldChar w:fldCharType="begin"/>
      </w:r>
      <w:r>
        <w:instrText xml:space="preserve"> PAGEREF _Toc67667920 \h </w:instrText>
      </w:r>
      <w:r>
        <w:fldChar w:fldCharType="separate"/>
      </w:r>
      <w:r>
        <w:t>20</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"_Toc67667921" </w:instrText>
      </w:r>
      <w:r>
        <w:fldChar w:fldCharType="separate"/>
      </w:r>
      <w:r>
        <w:rPr>
          <w:rStyle w:val="37"/>
        </w:rPr>
        <w:t xml:space="preserve">6.4 </w:t>
      </w:r>
      <w:r>
        <w:rPr>
          <w:rStyle w:val="37"/>
          <w:rFonts w:hint="eastAsia"/>
        </w:rPr>
        <w:t>注册会计师对财务报表审计的责任</w:t>
      </w:r>
      <w:r>
        <w:tab/>
      </w:r>
      <w:r>
        <w:fldChar w:fldCharType="begin"/>
      </w:r>
      <w:r>
        <w:instrText xml:space="preserve"> PAGEREF _Toc67667921 \h </w:instrText>
      </w:r>
      <w:r>
        <w:fldChar w:fldCharType="separate"/>
      </w:r>
      <w:r>
        <w:t>20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"_Toc67667922" </w:instrText>
      </w:r>
      <w:r>
        <w:fldChar w:fldCharType="separate"/>
      </w:r>
      <w:r>
        <w:rPr>
          <w:rStyle w:val="37"/>
          <w:b/>
          <w:bCs/>
        </w:rPr>
        <w:t>§7</w:t>
      </w:r>
      <w:r>
        <w:rPr>
          <w:rStyle w:val="37"/>
          <w:rFonts w:hint="eastAsia"/>
          <w:b/>
          <w:bCs/>
        </w:rPr>
        <w:t>年度财务报表</w:t>
      </w:r>
      <w:r>
        <w:tab/>
      </w:r>
      <w:r>
        <w:fldChar w:fldCharType="begin"/>
      </w:r>
      <w:r>
        <w:instrText xml:space="preserve"> PAGEREF _Toc67667922 \h </w:instrText>
      </w:r>
      <w:r>
        <w:fldChar w:fldCharType="separate"/>
      </w:r>
      <w:r>
        <w:t>21</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"_Toc67667923" </w:instrText>
      </w:r>
      <w:r>
        <w:fldChar w:fldCharType="separate"/>
      </w:r>
      <w:r>
        <w:rPr>
          <w:rStyle w:val="37"/>
        </w:rPr>
        <w:t xml:space="preserve">7.1 </w:t>
      </w:r>
      <w:r>
        <w:rPr>
          <w:rStyle w:val="37"/>
          <w:rFonts w:hint="eastAsia"/>
        </w:rPr>
        <w:t>资产负债表</w:t>
      </w:r>
      <w:r>
        <w:tab/>
      </w:r>
      <w:r>
        <w:fldChar w:fldCharType="begin"/>
      </w:r>
      <w:r>
        <w:instrText xml:space="preserve"> PAGEREF _Toc67667923 \h </w:instrText>
      </w:r>
      <w:r>
        <w:fldChar w:fldCharType="separate"/>
      </w:r>
      <w:r>
        <w:t>21</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"_Toc67667924" </w:instrText>
      </w:r>
      <w:r>
        <w:fldChar w:fldCharType="separate"/>
      </w:r>
      <w:r>
        <w:rPr>
          <w:rStyle w:val="37"/>
        </w:rPr>
        <w:t xml:space="preserve">7.2 </w:t>
      </w:r>
      <w:r>
        <w:rPr>
          <w:rStyle w:val="37"/>
          <w:rFonts w:hint="eastAsia"/>
        </w:rPr>
        <w:t>利润表</w:t>
      </w:r>
      <w:r>
        <w:tab/>
      </w:r>
      <w:r>
        <w:fldChar w:fldCharType="begin"/>
      </w:r>
      <w:r>
        <w:instrText xml:space="preserve"> PAGEREF _Toc67667924 \h </w:instrText>
      </w:r>
      <w:r>
        <w:fldChar w:fldCharType="separate"/>
      </w:r>
      <w:r>
        <w:t>22</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"_Toc67667925" </w:instrText>
      </w:r>
      <w:r>
        <w:fldChar w:fldCharType="separate"/>
      </w:r>
      <w:r>
        <w:rPr>
          <w:rStyle w:val="37"/>
        </w:rPr>
        <w:t xml:space="preserve">7.3 </w:t>
      </w:r>
      <w:r>
        <w:rPr>
          <w:rStyle w:val="37"/>
          <w:rFonts w:hint="eastAsia"/>
        </w:rPr>
        <w:t>所有者权益（基金净值）变动表</w:t>
      </w:r>
      <w:r>
        <w:tab/>
      </w:r>
      <w:r>
        <w:fldChar w:fldCharType="begin"/>
      </w:r>
      <w:r>
        <w:instrText xml:space="preserve"> PAGEREF _Toc67667925 \h </w:instrText>
      </w:r>
      <w:r>
        <w:fldChar w:fldCharType="separate"/>
      </w:r>
      <w:r>
        <w:t>24</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"_Toc67667926" </w:instrText>
      </w:r>
      <w:r>
        <w:fldChar w:fldCharType="separate"/>
      </w:r>
      <w:r>
        <w:rPr>
          <w:rStyle w:val="37"/>
        </w:rPr>
        <w:t xml:space="preserve">7.4 </w:t>
      </w:r>
      <w:r>
        <w:rPr>
          <w:rStyle w:val="37"/>
          <w:rFonts w:hint="eastAsia"/>
        </w:rPr>
        <w:t>报表附注</w:t>
      </w:r>
      <w:r>
        <w:tab/>
      </w:r>
      <w:r>
        <w:fldChar w:fldCharType="begin"/>
      </w:r>
      <w:r>
        <w:instrText xml:space="preserve"> PAGEREF _Toc67667926 \h </w:instrText>
      </w:r>
      <w:r>
        <w:fldChar w:fldCharType="separate"/>
      </w:r>
      <w:r>
        <w:t>25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"_Toc67667998" </w:instrText>
      </w:r>
      <w:r>
        <w:fldChar w:fldCharType="separate"/>
      </w:r>
      <w:r>
        <w:rPr>
          <w:rStyle w:val="37"/>
          <w:b/>
          <w:bCs/>
        </w:rPr>
        <w:t>§8</w:t>
      </w:r>
      <w:r>
        <w:rPr>
          <w:rStyle w:val="37"/>
          <w:rFonts w:hint="eastAsia"/>
          <w:b/>
          <w:bCs/>
        </w:rPr>
        <w:t>投资组合报告</w:t>
      </w:r>
      <w:r>
        <w:tab/>
      </w:r>
      <w:r>
        <w:fldChar w:fldCharType="begin"/>
      </w:r>
      <w:r>
        <w:instrText xml:space="preserve"> PAGEREF _Toc67667998 \h </w:instrText>
      </w:r>
      <w:r>
        <w:fldChar w:fldCharType="separate"/>
      </w:r>
      <w:r>
        <w:t>48</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"_Toc67667999" </w:instrText>
      </w:r>
      <w:r>
        <w:fldChar w:fldCharType="separate"/>
      </w:r>
      <w:r>
        <w:rPr>
          <w:rStyle w:val="37"/>
        </w:rPr>
        <w:t xml:space="preserve">8.1 </w:t>
      </w:r>
      <w:r>
        <w:rPr>
          <w:rStyle w:val="37"/>
          <w:rFonts w:hint="eastAsia"/>
        </w:rPr>
        <w:t>期末基金资产组合情况</w:t>
      </w:r>
      <w:r>
        <w:tab/>
      </w:r>
      <w:r>
        <w:fldChar w:fldCharType="begin"/>
      </w:r>
      <w:r>
        <w:instrText xml:space="preserve"> PAGEREF _Toc67667999 \h </w:instrText>
      </w:r>
      <w:r>
        <w:fldChar w:fldCharType="separate"/>
      </w:r>
      <w:r>
        <w:t>48</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"_Toc67668000" </w:instrText>
      </w:r>
      <w:r>
        <w:fldChar w:fldCharType="separate"/>
      </w:r>
      <w:r>
        <w:rPr>
          <w:rStyle w:val="37"/>
        </w:rPr>
        <w:t>8.2</w:t>
      </w:r>
      <w:r>
        <w:rPr>
          <w:rStyle w:val="37"/>
          <w:rFonts w:hint="eastAsia"/>
        </w:rPr>
        <w:t>期末按行业分类的股票投资组合</w:t>
      </w:r>
      <w:r>
        <w:tab/>
      </w:r>
      <w:r>
        <w:fldChar w:fldCharType="begin"/>
      </w:r>
      <w:r>
        <w:instrText xml:space="preserve"> PAGEREF _Toc67668000 \h </w:instrText>
      </w:r>
      <w:r>
        <w:fldChar w:fldCharType="separate"/>
      </w:r>
      <w:r>
        <w:t>49</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"_Toc67668001" </w:instrText>
      </w:r>
      <w:r>
        <w:fldChar w:fldCharType="separate"/>
      </w:r>
      <w:r>
        <w:rPr>
          <w:rStyle w:val="37"/>
        </w:rPr>
        <w:t>8.3</w:t>
      </w:r>
      <w:r>
        <w:rPr>
          <w:rStyle w:val="37"/>
          <w:rFonts w:hint="eastAsia"/>
        </w:rPr>
        <w:t>期末按公允价值占基金资产净值比例大小排序的所有股票投资明细</w:t>
      </w:r>
      <w:r>
        <w:tab/>
      </w:r>
      <w:r>
        <w:fldChar w:fldCharType="begin"/>
      </w:r>
      <w:r>
        <w:instrText xml:space="preserve"> PAGEREF _Toc67668001 \h </w:instrText>
      </w:r>
      <w:r>
        <w:fldChar w:fldCharType="separate"/>
      </w:r>
      <w:r>
        <w:t>49</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"_Toc67668002" </w:instrText>
      </w:r>
      <w:r>
        <w:fldChar w:fldCharType="separate"/>
      </w:r>
      <w:r>
        <w:rPr>
          <w:rStyle w:val="37"/>
        </w:rPr>
        <w:t>8.4</w:t>
      </w:r>
      <w:r>
        <w:rPr>
          <w:rStyle w:val="37"/>
          <w:rFonts w:hint="eastAsia"/>
        </w:rPr>
        <w:t>报告期内股票投资组合的重大变动</w:t>
      </w:r>
      <w:r>
        <w:tab/>
      </w:r>
      <w:r>
        <w:fldChar w:fldCharType="begin"/>
      </w:r>
      <w:r>
        <w:instrText xml:space="preserve"> PAGEREF _Toc67668002 \h </w:instrText>
      </w:r>
      <w:r>
        <w:fldChar w:fldCharType="separate"/>
      </w:r>
      <w:r>
        <w:t>49</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"_Toc67668003" </w:instrText>
      </w:r>
      <w:r>
        <w:fldChar w:fldCharType="separate"/>
      </w:r>
      <w:r>
        <w:rPr>
          <w:rStyle w:val="37"/>
        </w:rPr>
        <w:t>8.5</w:t>
      </w:r>
      <w:r>
        <w:rPr>
          <w:rStyle w:val="37"/>
          <w:rFonts w:hint="eastAsia"/>
        </w:rPr>
        <w:t>期末按债券品种分类的债券投资组合</w:t>
      </w:r>
      <w:r>
        <w:tab/>
      </w:r>
      <w:r>
        <w:fldChar w:fldCharType="begin"/>
      </w:r>
      <w:r>
        <w:instrText xml:space="preserve"> PAGEREF _Toc67668003 \h </w:instrText>
      </w:r>
      <w:r>
        <w:fldChar w:fldCharType="separate"/>
      </w:r>
      <w:r>
        <w:t>49</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"_Toc67668004" </w:instrText>
      </w:r>
      <w:r>
        <w:fldChar w:fldCharType="separate"/>
      </w:r>
      <w:r>
        <w:rPr>
          <w:rStyle w:val="37"/>
        </w:rPr>
        <w:t>8.6</w:t>
      </w:r>
      <w:r>
        <w:rPr>
          <w:rStyle w:val="37"/>
          <w:rFonts w:hint="eastAsia"/>
        </w:rPr>
        <w:t>期末按公允价值占基金资产净值比例大小排序的前五名债券投资明细</w:t>
      </w:r>
      <w:r>
        <w:tab/>
      </w:r>
      <w:r>
        <w:fldChar w:fldCharType="begin"/>
      </w:r>
      <w:r>
        <w:instrText xml:space="preserve"> PAGEREF _Toc67668004 \h </w:instrText>
      </w:r>
      <w:r>
        <w:fldChar w:fldCharType="separate"/>
      </w:r>
      <w:r>
        <w:t>50</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"_Toc67668005" </w:instrText>
      </w:r>
      <w:r>
        <w:fldChar w:fldCharType="separate"/>
      </w:r>
      <w:r>
        <w:rPr>
          <w:rStyle w:val="37"/>
        </w:rPr>
        <w:t>8.7</w:t>
      </w:r>
      <w:r>
        <w:rPr>
          <w:rStyle w:val="37"/>
          <w:rFonts w:hint="eastAsia"/>
        </w:rPr>
        <w:t>期末按公允价值占基金资产净值比例大小排序的所有资产支持证券投资明细</w:t>
      </w:r>
      <w:r>
        <w:tab/>
      </w:r>
      <w:r>
        <w:fldChar w:fldCharType="begin"/>
      </w:r>
      <w:r>
        <w:instrText xml:space="preserve"> PAGEREF _Toc67668005 \h </w:instrText>
      </w:r>
      <w:r>
        <w:fldChar w:fldCharType="separate"/>
      </w:r>
      <w:r>
        <w:t>50</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"_Toc67668006" </w:instrText>
      </w:r>
      <w:r>
        <w:fldChar w:fldCharType="separate"/>
      </w:r>
      <w:r>
        <w:rPr>
          <w:rStyle w:val="37"/>
        </w:rPr>
        <w:t>8.8</w:t>
      </w:r>
      <w:r>
        <w:rPr>
          <w:rStyle w:val="37"/>
          <w:rFonts w:hint="eastAsia"/>
        </w:rPr>
        <w:t>报告期末按公允价值占基金资产净值比例大小排序的前五名贵金属投资明细</w:t>
      </w:r>
      <w:r>
        <w:tab/>
      </w:r>
      <w:r>
        <w:fldChar w:fldCharType="begin"/>
      </w:r>
      <w:r>
        <w:instrText xml:space="preserve"> PAGEREF _Toc67668006 \h </w:instrText>
      </w:r>
      <w:r>
        <w:fldChar w:fldCharType="separate"/>
      </w:r>
      <w:r>
        <w:t>50</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"_Toc67668007" </w:instrText>
      </w:r>
      <w:r>
        <w:fldChar w:fldCharType="separate"/>
      </w:r>
      <w:r>
        <w:rPr>
          <w:rStyle w:val="37"/>
        </w:rPr>
        <w:t>8.9</w:t>
      </w:r>
      <w:r>
        <w:rPr>
          <w:rStyle w:val="37"/>
          <w:rFonts w:hint="eastAsia"/>
        </w:rPr>
        <w:t>期末按公允价值占基金资产净值比例大小排序的前五名权证投资明细</w:t>
      </w:r>
      <w:r>
        <w:tab/>
      </w:r>
      <w:r>
        <w:fldChar w:fldCharType="begin"/>
      </w:r>
      <w:r>
        <w:instrText xml:space="preserve"> PAGEREF _Toc67668007 \h </w:instrText>
      </w:r>
      <w:r>
        <w:fldChar w:fldCharType="separate"/>
      </w:r>
      <w:r>
        <w:t>50</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"_Toc67668008" </w:instrText>
      </w:r>
      <w:r>
        <w:fldChar w:fldCharType="separate"/>
      </w:r>
      <w:r>
        <w:rPr>
          <w:rStyle w:val="37"/>
        </w:rPr>
        <w:t xml:space="preserve">8.10 </w:t>
      </w:r>
      <w:r>
        <w:rPr>
          <w:rStyle w:val="37"/>
          <w:rFonts w:hint="eastAsia"/>
        </w:rPr>
        <w:t>报告期末本基金投资的股指期货交易情况说明</w:t>
      </w:r>
      <w:r>
        <w:tab/>
      </w:r>
      <w:r>
        <w:fldChar w:fldCharType="begin"/>
      </w:r>
      <w:r>
        <w:instrText xml:space="preserve"> PAGEREF _Toc67668008 \h </w:instrText>
      </w:r>
      <w:r>
        <w:fldChar w:fldCharType="separate"/>
      </w:r>
      <w:r>
        <w:t>50</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"_Toc67668009" </w:instrText>
      </w:r>
      <w:r>
        <w:fldChar w:fldCharType="separate"/>
      </w:r>
      <w:r>
        <w:rPr>
          <w:rStyle w:val="37"/>
        </w:rPr>
        <w:t>8.11</w:t>
      </w:r>
      <w:r>
        <w:rPr>
          <w:rStyle w:val="37"/>
          <w:rFonts w:hint="eastAsia"/>
        </w:rPr>
        <w:t>报告期末本基金投资的国债期货交易情况说明</w:t>
      </w:r>
      <w:r>
        <w:tab/>
      </w:r>
      <w:r>
        <w:fldChar w:fldCharType="begin"/>
      </w:r>
      <w:r>
        <w:instrText xml:space="preserve"> PAGEREF _Toc67668009 \h </w:instrText>
      </w:r>
      <w:r>
        <w:fldChar w:fldCharType="separate"/>
      </w:r>
      <w:r>
        <w:t>51</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"_Toc67668010" </w:instrText>
      </w:r>
      <w:r>
        <w:fldChar w:fldCharType="separate"/>
      </w:r>
      <w:r>
        <w:rPr>
          <w:rStyle w:val="37"/>
        </w:rPr>
        <w:t xml:space="preserve">8.12 </w:t>
      </w:r>
      <w:r>
        <w:rPr>
          <w:rStyle w:val="37"/>
          <w:rFonts w:hint="eastAsia"/>
        </w:rPr>
        <w:t>投资组合报告附注</w:t>
      </w:r>
      <w:r>
        <w:tab/>
      </w:r>
      <w:r>
        <w:fldChar w:fldCharType="begin"/>
      </w:r>
      <w:r>
        <w:instrText xml:space="preserve"> PAGEREF _Toc67668010 \h </w:instrText>
      </w:r>
      <w:r>
        <w:fldChar w:fldCharType="separate"/>
      </w:r>
      <w:r>
        <w:t>51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"_Toc67668011" </w:instrText>
      </w:r>
      <w:r>
        <w:fldChar w:fldCharType="separate"/>
      </w:r>
      <w:r>
        <w:rPr>
          <w:rStyle w:val="37"/>
          <w:b/>
          <w:bCs/>
        </w:rPr>
        <w:t>§9</w:t>
      </w:r>
      <w:r>
        <w:rPr>
          <w:rStyle w:val="37"/>
          <w:rFonts w:hint="eastAsia"/>
          <w:b/>
          <w:bCs/>
        </w:rPr>
        <w:t>基金份额持有人信息</w:t>
      </w:r>
      <w:r>
        <w:tab/>
      </w:r>
      <w:r>
        <w:fldChar w:fldCharType="begin"/>
      </w:r>
      <w:r>
        <w:instrText xml:space="preserve"> PAGEREF _Toc67668011 \h </w:instrText>
      </w:r>
      <w:r>
        <w:fldChar w:fldCharType="separate"/>
      </w:r>
      <w:r>
        <w:t>51</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"_Toc67668012" </w:instrText>
      </w:r>
      <w:r>
        <w:fldChar w:fldCharType="separate"/>
      </w:r>
      <w:r>
        <w:rPr>
          <w:rStyle w:val="37"/>
        </w:rPr>
        <w:t xml:space="preserve">9.1 </w:t>
      </w:r>
      <w:r>
        <w:rPr>
          <w:rStyle w:val="37"/>
          <w:rFonts w:hint="eastAsia"/>
        </w:rPr>
        <w:t>期末基金份额持有人户数及持有人结构</w:t>
      </w:r>
      <w:r>
        <w:tab/>
      </w:r>
      <w:r>
        <w:fldChar w:fldCharType="begin"/>
      </w:r>
      <w:r>
        <w:instrText xml:space="preserve"> PAGEREF _Toc67668012 \h </w:instrText>
      </w:r>
      <w:r>
        <w:fldChar w:fldCharType="separate"/>
      </w:r>
      <w:r>
        <w:t>51</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"_Toc67668013" </w:instrText>
      </w:r>
      <w:r>
        <w:fldChar w:fldCharType="separate"/>
      </w:r>
      <w:r>
        <w:rPr>
          <w:rStyle w:val="37"/>
        </w:rPr>
        <w:t>9.2</w:t>
      </w:r>
      <w:r>
        <w:rPr>
          <w:rStyle w:val="37"/>
          <w:rFonts w:hint="eastAsia"/>
        </w:rPr>
        <w:t>期末基金管理人的从业人员持有本基金的情况</w:t>
      </w:r>
      <w:r>
        <w:tab/>
      </w:r>
      <w:r>
        <w:fldChar w:fldCharType="begin"/>
      </w:r>
      <w:r>
        <w:instrText xml:space="preserve"> PAGEREF _Toc67668013 \h </w:instrText>
      </w:r>
      <w:r>
        <w:fldChar w:fldCharType="separate"/>
      </w:r>
      <w:r>
        <w:t>52</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"_Toc67668014" </w:instrText>
      </w:r>
      <w:r>
        <w:fldChar w:fldCharType="separate"/>
      </w:r>
      <w:r>
        <w:rPr>
          <w:rStyle w:val="37"/>
        </w:rPr>
        <w:t>9.3</w:t>
      </w:r>
      <w:r>
        <w:rPr>
          <w:rStyle w:val="37"/>
          <w:rFonts w:hint="eastAsia"/>
        </w:rPr>
        <w:t>期末基金管理人的从业人员持有本开放式基金份额总量区间的情况</w:t>
      </w:r>
      <w:r>
        <w:tab/>
      </w:r>
      <w:r>
        <w:fldChar w:fldCharType="begin"/>
      </w:r>
      <w:r>
        <w:instrText xml:space="preserve"> PAGEREF _Toc67668014 \h </w:instrText>
      </w:r>
      <w:r>
        <w:fldChar w:fldCharType="separate"/>
      </w:r>
      <w:r>
        <w:t>52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"_Toc67668015" </w:instrText>
      </w:r>
      <w:r>
        <w:fldChar w:fldCharType="separate"/>
      </w:r>
      <w:r>
        <w:rPr>
          <w:rStyle w:val="37"/>
          <w:b/>
          <w:bCs/>
        </w:rPr>
        <w:t>§10</w:t>
      </w:r>
      <w:r>
        <w:rPr>
          <w:rStyle w:val="37"/>
          <w:rFonts w:hint="eastAsia"/>
          <w:b/>
          <w:bCs/>
        </w:rPr>
        <w:t>开放式基金份额变动</w:t>
      </w:r>
      <w:r>
        <w:tab/>
      </w:r>
      <w:r>
        <w:fldChar w:fldCharType="begin"/>
      </w:r>
      <w:r>
        <w:instrText xml:space="preserve"> PAGEREF _Toc67668015 \h </w:instrText>
      </w:r>
      <w:r>
        <w:fldChar w:fldCharType="separate"/>
      </w:r>
      <w:r>
        <w:t>52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"_Toc67668016" </w:instrText>
      </w:r>
      <w:r>
        <w:fldChar w:fldCharType="separate"/>
      </w:r>
      <w:r>
        <w:rPr>
          <w:rStyle w:val="37"/>
          <w:b/>
          <w:bCs/>
        </w:rPr>
        <w:t>§11</w:t>
      </w:r>
      <w:r>
        <w:rPr>
          <w:rStyle w:val="37"/>
          <w:rFonts w:hint="eastAsia"/>
          <w:b/>
          <w:bCs/>
        </w:rPr>
        <w:t>重大事件揭示</w:t>
      </w:r>
      <w:r>
        <w:tab/>
      </w:r>
      <w:r>
        <w:fldChar w:fldCharType="begin"/>
      </w:r>
      <w:r>
        <w:instrText xml:space="preserve"> PAGEREF _Toc67668016 \h </w:instrText>
      </w:r>
      <w:r>
        <w:fldChar w:fldCharType="separate"/>
      </w:r>
      <w:r>
        <w:t>53</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"_Toc67668017" </w:instrText>
      </w:r>
      <w:r>
        <w:fldChar w:fldCharType="separate"/>
      </w:r>
      <w:r>
        <w:rPr>
          <w:rStyle w:val="37"/>
        </w:rPr>
        <w:t>11.1</w:t>
      </w:r>
      <w:r>
        <w:rPr>
          <w:rStyle w:val="37"/>
          <w:rFonts w:hint="eastAsia"/>
        </w:rPr>
        <w:t>基金份额持有人大会决议</w:t>
      </w:r>
      <w:r>
        <w:tab/>
      </w:r>
      <w:r>
        <w:fldChar w:fldCharType="begin"/>
      </w:r>
      <w:r>
        <w:instrText xml:space="preserve"> PAGEREF _Toc67668017 \h </w:instrText>
      </w:r>
      <w:r>
        <w:fldChar w:fldCharType="separate"/>
      </w:r>
      <w:r>
        <w:t>53</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"_Toc67668018" </w:instrText>
      </w:r>
      <w:r>
        <w:fldChar w:fldCharType="separate"/>
      </w:r>
      <w:r>
        <w:rPr>
          <w:rStyle w:val="37"/>
        </w:rPr>
        <w:t xml:space="preserve">11.2 </w:t>
      </w:r>
      <w:r>
        <w:rPr>
          <w:rStyle w:val="37"/>
          <w:rFonts w:hint="eastAsia"/>
        </w:rPr>
        <w:t>基金管理人、基金托管人的专门基金托管部门的重大人事变动</w:t>
      </w:r>
      <w:r>
        <w:tab/>
      </w:r>
      <w:r>
        <w:fldChar w:fldCharType="begin"/>
      </w:r>
      <w:r>
        <w:instrText xml:space="preserve"> PAGEREF _Toc67668018 \h </w:instrText>
      </w:r>
      <w:r>
        <w:fldChar w:fldCharType="separate"/>
      </w:r>
      <w:r>
        <w:t>53</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"_Toc67668019" </w:instrText>
      </w:r>
      <w:r>
        <w:fldChar w:fldCharType="separate"/>
      </w:r>
      <w:r>
        <w:rPr>
          <w:rStyle w:val="37"/>
        </w:rPr>
        <w:t xml:space="preserve">11.3 </w:t>
      </w:r>
      <w:r>
        <w:rPr>
          <w:rStyle w:val="37"/>
          <w:rFonts w:hint="eastAsia"/>
        </w:rPr>
        <w:t>涉及基金管理人、基金财产、基金托管业务的诉讼</w:t>
      </w:r>
      <w:r>
        <w:tab/>
      </w:r>
      <w:r>
        <w:fldChar w:fldCharType="begin"/>
      </w:r>
      <w:r>
        <w:instrText xml:space="preserve"> PAGEREF _Toc67668019 \h </w:instrText>
      </w:r>
      <w:r>
        <w:fldChar w:fldCharType="separate"/>
      </w:r>
      <w:r>
        <w:t>53</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"_Toc67668020" </w:instrText>
      </w:r>
      <w:r>
        <w:fldChar w:fldCharType="separate"/>
      </w:r>
      <w:r>
        <w:rPr>
          <w:rStyle w:val="37"/>
        </w:rPr>
        <w:t xml:space="preserve">11.4 </w:t>
      </w:r>
      <w:r>
        <w:rPr>
          <w:rStyle w:val="37"/>
          <w:rFonts w:hint="eastAsia"/>
        </w:rPr>
        <w:t>基金投资策略的改变</w:t>
      </w:r>
      <w:r>
        <w:tab/>
      </w:r>
      <w:r>
        <w:fldChar w:fldCharType="begin"/>
      </w:r>
      <w:r>
        <w:instrText xml:space="preserve"> PAGEREF _Toc67668020 \h </w:instrText>
      </w:r>
      <w:r>
        <w:fldChar w:fldCharType="separate"/>
      </w:r>
      <w:r>
        <w:t>53</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"_Toc67668021" </w:instrText>
      </w:r>
      <w:r>
        <w:fldChar w:fldCharType="separate"/>
      </w:r>
      <w:r>
        <w:rPr>
          <w:rStyle w:val="37"/>
        </w:rPr>
        <w:t>11.5</w:t>
      </w:r>
      <w:r>
        <w:rPr>
          <w:rStyle w:val="37"/>
          <w:rFonts w:hint="eastAsia"/>
        </w:rPr>
        <w:t>为基金进行审计的会计师事务所情况</w:t>
      </w:r>
      <w:r>
        <w:tab/>
      </w:r>
      <w:r>
        <w:fldChar w:fldCharType="begin"/>
      </w:r>
      <w:r>
        <w:instrText xml:space="preserve"> PAGEREF _Toc67668021 \h </w:instrText>
      </w:r>
      <w:r>
        <w:fldChar w:fldCharType="separate"/>
      </w:r>
      <w:r>
        <w:t>53</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"_Toc67668022" </w:instrText>
      </w:r>
      <w:r>
        <w:fldChar w:fldCharType="separate"/>
      </w:r>
      <w:r>
        <w:rPr>
          <w:rStyle w:val="37"/>
        </w:rPr>
        <w:t xml:space="preserve">11.6 </w:t>
      </w:r>
      <w:r>
        <w:rPr>
          <w:rStyle w:val="37"/>
          <w:rFonts w:hint="eastAsia"/>
        </w:rPr>
        <w:t>管理人、托管人及其高级管理人员受稽查或处罚等情况</w:t>
      </w:r>
      <w:r>
        <w:tab/>
      </w:r>
      <w:r>
        <w:fldChar w:fldCharType="begin"/>
      </w:r>
      <w:r>
        <w:instrText xml:space="preserve"> PAGEREF _Toc67668022 \h </w:instrText>
      </w:r>
      <w:r>
        <w:fldChar w:fldCharType="separate"/>
      </w:r>
      <w:r>
        <w:t>54</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"_Toc67668025" </w:instrText>
      </w:r>
      <w:r>
        <w:fldChar w:fldCharType="separate"/>
      </w:r>
      <w:r>
        <w:rPr>
          <w:rStyle w:val="37"/>
        </w:rPr>
        <w:t xml:space="preserve">11.7 </w:t>
      </w:r>
      <w:r>
        <w:rPr>
          <w:rStyle w:val="37"/>
          <w:rFonts w:hint="eastAsia"/>
        </w:rPr>
        <w:t>基金租用证券公司交易单元的有关情况</w:t>
      </w:r>
      <w:r>
        <w:tab/>
      </w:r>
      <w:r>
        <w:fldChar w:fldCharType="begin"/>
      </w:r>
      <w:r>
        <w:instrText xml:space="preserve"> PAGEREF _Toc67668025 \h </w:instrText>
      </w:r>
      <w:r>
        <w:fldChar w:fldCharType="separate"/>
      </w:r>
      <w:r>
        <w:t>54</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"_Toc67668028" </w:instrText>
      </w:r>
      <w:r>
        <w:fldChar w:fldCharType="separate"/>
      </w:r>
      <w:r>
        <w:rPr>
          <w:rStyle w:val="37"/>
        </w:rPr>
        <w:t>11.8</w:t>
      </w:r>
      <w:r>
        <w:rPr>
          <w:rStyle w:val="37"/>
          <w:rFonts w:hint="eastAsia"/>
        </w:rPr>
        <w:t>其他重大事件</w:t>
      </w:r>
      <w:r>
        <w:tab/>
      </w:r>
      <w:r>
        <w:fldChar w:fldCharType="begin"/>
      </w:r>
      <w:r>
        <w:instrText xml:space="preserve"> PAGEREF _Toc67668028 \h </w:instrText>
      </w:r>
      <w:r>
        <w:fldChar w:fldCharType="separate"/>
      </w:r>
      <w:r>
        <w:t>55</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"_Toc67668029" </w:instrText>
      </w:r>
      <w:r>
        <w:fldChar w:fldCharType="separate"/>
      </w:r>
      <w:r>
        <w:rPr>
          <w:rStyle w:val="37"/>
          <w:b/>
          <w:bCs/>
        </w:rPr>
        <w:t xml:space="preserve">§12  </w:t>
      </w:r>
      <w:r>
        <w:rPr>
          <w:rStyle w:val="37"/>
          <w:rFonts w:hint="eastAsia"/>
          <w:b/>
          <w:bCs/>
        </w:rPr>
        <w:t>影响投资者决策的其他重要信息</w:t>
      </w:r>
      <w:r>
        <w:tab/>
      </w:r>
      <w:r>
        <w:fldChar w:fldCharType="begin"/>
      </w:r>
      <w:r>
        <w:instrText xml:space="preserve"> PAGEREF _Toc67668029 \h </w:instrText>
      </w:r>
      <w:r>
        <w:fldChar w:fldCharType="separate"/>
      </w:r>
      <w:r>
        <w:t>57</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"_Toc67668030" </w:instrText>
      </w:r>
      <w:r>
        <w:fldChar w:fldCharType="separate"/>
      </w:r>
      <w:r>
        <w:rPr>
          <w:rStyle w:val="37"/>
        </w:rPr>
        <w:t xml:space="preserve">12.1 </w:t>
      </w:r>
      <w:r>
        <w:rPr>
          <w:rStyle w:val="37"/>
          <w:rFonts w:hint="eastAsia"/>
        </w:rPr>
        <w:t>报告期内单一投资者持有基金份额比例达到或超过</w:t>
      </w:r>
      <w:r>
        <w:rPr>
          <w:rStyle w:val="37"/>
        </w:rPr>
        <w:t>20%</w:t>
      </w:r>
      <w:r>
        <w:rPr>
          <w:rStyle w:val="37"/>
          <w:rFonts w:hint="eastAsia"/>
        </w:rPr>
        <w:t>的情况</w:t>
      </w:r>
      <w:r>
        <w:tab/>
      </w:r>
      <w:r>
        <w:fldChar w:fldCharType="begin"/>
      </w:r>
      <w:r>
        <w:instrText xml:space="preserve"> PAGEREF _Toc67668030 \h </w:instrText>
      </w:r>
      <w:r>
        <w:fldChar w:fldCharType="separate"/>
      </w:r>
      <w:r>
        <w:t>57</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"_Toc67668031" </w:instrText>
      </w:r>
      <w:r>
        <w:fldChar w:fldCharType="separate"/>
      </w:r>
      <w:r>
        <w:rPr>
          <w:rStyle w:val="37"/>
        </w:rPr>
        <w:t xml:space="preserve">12.2 </w:t>
      </w:r>
      <w:r>
        <w:rPr>
          <w:rStyle w:val="37"/>
          <w:rFonts w:hint="eastAsia"/>
        </w:rPr>
        <w:t>影响投资者决策的其他重要信息</w:t>
      </w:r>
      <w:r>
        <w:tab/>
      </w:r>
      <w:r>
        <w:fldChar w:fldCharType="begin"/>
      </w:r>
      <w:r>
        <w:instrText xml:space="preserve"> PAGEREF _Toc67668031 \h </w:instrText>
      </w:r>
      <w:r>
        <w:fldChar w:fldCharType="separate"/>
      </w:r>
      <w:r>
        <w:t>58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"_Toc67668032" </w:instrText>
      </w:r>
      <w:r>
        <w:fldChar w:fldCharType="separate"/>
      </w:r>
      <w:r>
        <w:rPr>
          <w:rStyle w:val="37"/>
          <w:b/>
          <w:bCs/>
        </w:rPr>
        <w:t>§13</w:t>
      </w:r>
      <w:r>
        <w:rPr>
          <w:rStyle w:val="37"/>
          <w:rFonts w:hint="eastAsia"/>
          <w:b/>
          <w:bCs/>
        </w:rPr>
        <w:t>备查文件目录</w:t>
      </w:r>
      <w:r>
        <w:tab/>
      </w:r>
      <w:r>
        <w:fldChar w:fldCharType="begin"/>
      </w:r>
      <w:r>
        <w:instrText xml:space="preserve"> PAGEREF _Toc67668032 \h </w:instrText>
      </w:r>
      <w:r>
        <w:fldChar w:fldCharType="separate"/>
      </w:r>
      <w:r>
        <w:t>58</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"_Toc67668033" </w:instrText>
      </w:r>
      <w:r>
        <w:fldChar w:fldCharType="separate"/>
      </w:r>
      <w:r>
        <w:rPr>
          <w:rStyle w:val="37"/>
        </w:rPr>
        <w:t xml:space="preserve">13.1 </w:t>
      </w:r>
      <w:r>
        <w:rPr>
          <w:rStyle w:val="37"/>
          <w:rFonts w:hint="eastAsia"/>
        </w:rPr>
        <w:t>备查文件目录</w:t>
      </w:r>
      <w:r>
        <w:tab/>
      </w:r>
      <w:r>
        <w:fldChar w:fldCharType="begin"/>
      </w:r>
      <w:r>
        <w:instrText xml:space="preserve"> PAGEREF _Toc67668033 \h </w:instrText>
      </w:r>
      <w:r>
        <w:fldChar w:fldCharType="separate"/>
      </w:r>
      <w:r>
        <w:t>58</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"_Toc67668034" </w:instrText>
      </w:r>
      <w:r>
        <w:fldChar w:fldCharType="separate"/>
      </w:r>
      <w:r>
        <w:rPr>
          <w:rStyle w:val="37"/>
        </w:rPr>
        <w:t>13.2</w:t>
      </w:r>
      <w:r>
        <w:rPr>
          <w:rStyle w:val="37"/>
          <w:rFonts w:hint="eastAsia"/>
        </w:rPr>
        <w:t>存放地点</w:t>
      </w:r>
      <w:r>
        <w:tab/>
      </w:r>
      <w:r>
        <w:fldChar w:fldCharType="begin"/>
      </w:r>
      <w:r>
        <w:instrText xml:space="preserve"> PAGEREF _Toc67668034 \h </w:instrText>
      </w:r>
      <w:r>
        <w:fldChar w:fldCharType="separate"/>
      </w:r>
      <w:r>
        <w:t>58</w:t>
      </w:r>
      <w:r>
        <w:fldChar w:fldCharType="end"/>
      </w:r>
      <w:r>
        <w:fldChar w:fldCharType="end"/>
      </w:r>
    </w:p>
    <w:p>
      <w:pPr>
        <w:pStyle w:val="26"/>
        <w:ind w:left="420"/>
        <w:rPr>
          <w:rFonts w:asciiTheme="minorHAnsi" w:hAnsiTheme="minorHAnsi" w:eastAsiaTheme="minorEastAsia" w:cstheme="minorBidi"/>
          <w:kern w:val="2"/>
          <w:szCs w:val="22"/>
        </w:rPr>
      </w:pPr>
      <w:r>
        <w:fldChar w:fldCharType="begin"/>
      </w:r>
      <w:r>
        <w:instrText xml:space="preserve"> HYPERLINK \l "_Toc67668035" </w:instrText>
      </w:r>
      <w:r>
        <w:fldChar w:fldCharType="separate"/>
      </w:r>
      <w:r>
        <w:rPr>
          <w:rStyle w:val="37"/>
        </w:rPr>
        <w:t>13.3</w:t>
      </w:r>
      <w:r>
        <w:rPr>
          <w:rStyle w:val="37"/>
          <w:rFonts w:hint="eastAsia"/>
        </w:rPr>
        <w:t>查阅方式</w:t>
      </w:r>
      <w:r>
        <w:tab/>
      </w:r>
      <w:r>
        <w:fldChar w:fldCharType="begin"/>
      </w:r>
      <w:r>
        <w:instrText xml:space="preserve"> PAGEREF _Toc67668035 \h </w:instrText>
      </w:r>
      <w:r>
        <w:fldChar w:fldCharType="separate"/>
      </w:r>
      <w:r>
        <w:t>59</w:t>
      </w:r>
      <w:r>
        <w:fldChar w:fldCharType="end"/>
      </w:r>
      <w:r>
        <w:fldChar w:fldCharType="end"/>
      </w:r>
    </w:p>
    <w:p>
      <w:pPr>
        <w:spacing w:line="360" w:lineRule="auto"/>
        <w:ind w:firstLine="480" w:firstLineChars="200"/>
        <w:rPr>
          <w:rFonts w:asciiTheme="minorEastAsia" w:hAnsiTheme="minorEastAsia" w:eastAsiaTheme="minorEastAsia"/>
          <w:b/>
          <w:color w:val="000000"/>
          <w:kern w:val="0"/>
          <w:szCs w:val="21"/>
        </w:rPr>
      </w:pPr>
      <w:r>
        <w:rPr>
          <w:color w:val="000000"/>
          <w:kern w:val="0"/>
          <w:sz w:val="24"/>
        </w:rPr>
        <w:fldChar w:fldCharType="end"/>
      </w: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pStyle w:val="2"/>
        <w:keepNext/>
        <w:keepLines/>
        <w:widowControl w:val="0"/>
        <w:spacing w:before="312" w:beforeLines="100" w:after="312" w:afterLines="100" w:line="288" w:lineRule="auto"/>
        <w:jc w:val="center"/>
        <w:rPr>
          <w:b/>
          <w:bCs/>
          <w:szCs w:val="24"/>
          <w:lang w:val="en-US"/>
        </w:rPr>
      </w:pPr>
      <w:r>
        <w:rPr>
          <w:rFonts w:asciiTheme="minorEastAsia" w:hAnsiTheme="minorEastAsia" w:eastAsiaTheme="minorEastAsia"/>
          <w:color w:val="000000"/>
          <w:sz w:val="21"/>
          <w:szCs w:val="21"/>
        </w:rPr>
        <w:br w:type="page"/>
      </w:r>
      <w:bookmarkStart w:id="8" w:name="_Toc361324844"/>
      <w:bookmarkStart w:id="9" w:name="_Toc67667882"/>
      <w:bookmarkStart w:id="10" w:name="_Toc225498244"/>
      <w:r>
        <w:rPr>
          <w:rFonts w:hint="eastAsia"/>
          <w:b/>
          <w:bCs/>
          <w:szCs w:val="24"/>
          <w:lang w:val="en-US"/>
        </w:rPr>
        <w:t>§</w:t>
      </w:r>
      <w:r>
        <w:rPr>
          <w:b/>
          <w:bCs/>
          <w:szCs w:val="24"/>
          <w:lang w:val="en-US"/>
        </w:rPr>
        <w:t xml:space="preserve">2  </w:t>
      </w:r>
      <w:r>
        <w:rPr>
          <w:rFonts w:hint="eastAsia"/>
          <w:b/>
          <w:bCs/>
          <w:szCs w:val="24"/>
          <w:lang w:val="en-US"/>
        </w:rPr>
        <w:t>基金简介</w:t>
      </w:r>
      <w:bookmarkEnd w:id="8"/>
      <w:bookmarkEnd w:id="9"/>
      <w:bookmarkEnd w:id="10"/>
    </w:p>
    <w:p/>
    <w:p>
      <w:pPr>
        <w:pStyle w:val="3"/>
        <w:spacing w:before="29" w:after="0" w:line="288" w:lineRule="auto"/>
        <w:rPr>
          <w:rFonts w:ascii="Times New Roman" w:hAnsi="Times New Roman"/>
          <w:kern w:val="0"/>
          <w:szCs w:val="24"/>
        </w:rPr>
      </w:pPr>
      <w:bookmarkStart w:id="11" w:name="_Toc67667883"/>
      <w:bookmarkStart w:id="12" w:name="_Toc361324845"/>
      <w:r>
        <w:rPr>
          <w:rFonts w:ascii="Times New Roman" w:hAnsi="Times New Roman"/>
          <w:kern w:val="0"/>
          <w:szCs w:val="24"/>
        </w:rPr>
        <w:t>2.1</w:t>
      </w:r>
      <w:r>
        <w:rPr>
          <w:rFonts w:hint="eastAsia" w:ascii="Times New Roman" w:hAnsi="Times New Roman"/>
          <w:kern w:val="0"/>
          <w:szCs w:val="24"/>
        </w:rPr>
        <w:t>基金基本情况</w:t>
      </w:r>
      <w:bookmarkEnd w:id="11"/>
      <w:bookmarkEnd w:id="12"/>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2880"/>
        <w:gridCol w:w="2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基金名称</w:t>
            </w:r>
          </w:p>
        </w:tc>
        <w:tc>
          <w:tcPr>
            <w:tcW w:w="5879" w:type="dxa"/>
            <w:gridSpan w:val="2"/>
            <w:vAlign w:val="center"/>
          </w:tcPr>
          <w:p>
            <w:pPr>
              <w:spacing w:before="29" w:line="288" w:lineRule="auto"/>
              <w:jc w:val="center"/>
              <w:rPr>
                <w:sz w:val="24"/>
              </w:rPr>
            </w:pPr>
            <w:r>
              <w:rPr>
                <w:sz w:val="24"/>
              </w:rPr>
              <w:t>交银施罗德丰晟收益债券型证券投资基金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基金简称</w:t>
            </w:r>
          </w:p>
        </w:tc>
        <w:tc>
          <w:tcPr>
            <w:tcW w:w="5879" w:type="dxa"/>
            <w:gridSpan w:val="2"/>
            <w:vAlign w:val="center"/>
          </w:tcPr>
          <w:p>
            <w:pPr>
              <w:spacing w:before="29" w:line="288" w:lineRule="auto"/>
              <w:jc w:val="center"/>
              <w:rPr>
                <w:sz w:val="24"/>
              </w:rPr>
            </w:pPr>
            <w:r>
              <w:rPr>
                <w:sz w:val="24"/>
              </w:rPr>
              <w:t>交银丰晟收益债券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基金主代码</w:t>
            </w:r>
          </w:p>
        </w:tc>
        <w:tc>
          <w:tcPr>
            <w:tcW w:w="5879" w:type="dxa"/>
            <w:gridSpan w:val="2"/>
            <w:vAlign w:val="center"/>
          </w:tcPr>
          <w:p>
            <w:pPr>
              <w:spacing w:before="29" w:line="288" w:lineRule="auto"/>
              <w:jc w:val="center"/>
              <w:rPr>
                <w:sz w:val="24"/>
              </w:rPr>
            </w:pPr>
            <w:r>
              <w:rPr>
                <w:sz w:val="24"/>
              </w:rPr>
              <w:t>005577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交易代码</w:t>
            </w:r>
          </w:p>
        </w:tc>
        <w:tc>
          <w:tcPr>
            <w:tcW w:w="5879" w:type="dxa"/>
            <w:gridSpan w:val="2"/>
            <w:vAlign w:val="center"/>
          </w:tcPr>
          <w:p>
            <w:pPr>
              <w:spacing w:before="29" w:line="288" w:lineRule="auto"/>
              <w:jc w:val="center"/>
              <w:rPr>
                <w:sz w:val="24"/>
              </w:rPr>
            </w:pPr>
            <w:r>
              <w:rPr>
                <w:sz w:val="24"/>
              </w:rPr>
              <w:t>005577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基金运作方式</w:t>
            </w:r>
          </w:p>
        </w:tc>
        <w:tc>
          <w:tcPr>
            <w:tcW w:w="5879" w:type="dxa"/>
            <w:gridSpan w:val="2"/>
            <w:vAlign w:val="center"/>
          </w:tcPr>
          <w:p>
            <w:pPr>
              <w:spacing w:before="29" w:line="288" w:lineRule="auto"/>
              <w:jc w:val="center"/>
              <w:rPr>
                <w:sz w:val="24"/>
              </w:rPr>
            </w:pPr>
            <w:r>
              <w:rPr>
                <w:sz w:val="24"/>
              </w:rPr>
              <w:t>契约型，本基金在基金合同生效之日起两年（含两年）的期间内封闭式运作，封闭期结束后转为开放式运作。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基金合同生效日</w:t>
            </w:r>
          </w:p>
        </w:tc>
        <w:tc>
          <w:tcPr>
            <w:tcW w:w="5879" w:type="dxa"/>
            <w:gridSpan w:val="2"/>
            <w:vAlign w:val="center"/>
          </w:tcPr>
          <w:p>
            <w:pPr>
              <w:spacing w:before="29" w:line="288" w:lineRule="auto"/>
              <w:jc w:val="center"/>
              <w:rPr>
                <w:sz w:val="24"/>
              </w:rPr>
            </w:pPr>
            <w:r>
              <w:rPr>
                <w:sz w:val="24"/>
              </w:rPr>
              <w:t>2018年5月23日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基金管理人</w:t>
            </w:r>
          </w:p>
        </w:tc>
        <w:tc>
          <w:tcPr>
            <w:tcW w:w="5879" w:type="dxa"/>
            <w:gridSpan w:val="2"/>
            <w:vAlign w:val="center"/>
          </w:tcPr>
          <w:p>
            <w:pPr>
              <w:spacing w:before="29" w:line="288" w:lineRule="auto"/>
              <w:jc w:val="center"/>
              <w:rPr>
                <w:sz w:val="24"/>
              </w:rPr>
            </w:pPr>
            <w:r>
              <w:rPr>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基金托管人</w:t>
            </w:r>
          </w:p>
        </w:tc>
        <w:tc>
          <w:tcPr>
            <w:tcW w:w="5879" w:type="dxa"/>
            <w:gridSpan w:val="2"/>
            <w:vAlign w:val="center"/>
          </w:tcPr>
          <w:p>
            <w:pPr>
              <w:spacing w:before="29" w:line="288" w:lineRule="auto"/>
              <w:jc w:val="center"/>
              <w:rPr>
                <w:sz w:val="24"/>
              </w:rPr>
            </w:pPr>
            <w:r>
              <w:rPr>
                <w:sz w:val="24"/>
              </w:rPr>
              <w:t>招商银行股份有限公司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报告期末基金份额总额</w:t>
            </w:r>
          </w:p>
        </w:tc>
        <w:tc>
          <w:tcPr>
            <w:tcW w:w="5879" w:type="dxa"/>
            <w:gridSpan w:val="2"/>
            <w:vAlign w:val="center"/>
          </w:tcPr>
          <w:p>
            <w:pPr>
              <w:spacing w:before="29" w:line="288" w:lineRule="auto"/>
              <w:jc w:val="center"/>
              <w:rPr>
                <w:sz w:val="24"/>
              </w:rPr>
            </w:pPr>
            <w:r>
              <w:rPr>
                <w:sz w:val="24"/>
              </w:rPr>
              <w:t>277,179,543.00</w:t>
            </w:r>
            <w:r>
              <w:rPr>
                <w:rFonts w:hint="eastAsia"/>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sz w:val="24"/>
              </w:rPr>
            </w:pPr>
            <w:r>
              <w:rPr>
                <w:rFonts w:hint="eastAsia"/>
                <w:sz w:val="24"/>
              </w:rPr>
              <w:t>基金合同存续期</w:t>
            </w:r>
          </w:p>
        </w:tc>
        <w:tc>
          <w:tcPr>
            <w:tcW w:w="5879" w:type="dxa"/>
            <w:gridSpan w:val="2"/>
            <w:vAlign w:val="center"/>
          </w:tcPr>
          <w:p>
            <w:pPr>
              <w:spacing w:before="29" w:line="288" w:lineRule="auto"/>
              <w:jc w:val="center"/>
              <w:rPr>
                <w:sz w:val="24"/>
              </w:rPr>
            </w:pPr>
            <w:r>
              <w:rPr>
                <w:sz w:val="24"/>
              </w:rPr>
              <w:t>不定期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3119" w:type="dxa"/>
            <w:vAlign w:val="center"/>
          </w:tcPr>
          <w:p>
            <w:pPr>
              <w:spacing w:before="29" w:line="288" w:lineRule="auto"/>
              <w:jc w:val="left"/>
              <w:rPr>
                <w:sz w:val="24"/>
              </w:rPr>
            </w:pPr>
            <w:r>
              <w:rPr>
                <w:rFonts w:hint="eastAsia"/>
                <w:sz w:val="24"/>
              </w:rPr>
              <w:t>下属分级基金的基金简称</w:t>
            </w:r>
          </w:p>
        </w:tc>
        <w:tc>
          <w:tcPr>
            <w:tcW w:w="2880" w:type="dxa"/>
            <w:vAlign w:val="center"/>
          </w:tcPr>
          <w:p>
            <w:pPr>
              <w:spacing w:before="29" w:line="288" w:lineRule="auto"/>
              <w:jc w:val="center"/>
              <w:rPr>
                <w:sz w:val="24"/>
              </w:rPr>
            </w:pPr>
            <w:r>
              <w:rPr>
                <w:sz w:val="24"/>
              </w:rPr>
              <w:t>交银丰晟收益债券A</w:t>
            </w:r>
          </w:p>
        </w:tc>
        <w:tc>
          <w:tcPr>
            <w:tcW w:w="2999" w:type="dxa"/>
            <w:vAlign w:val="center"/>
          </w:tcPr>
          <w:p>
            <w:pPr>
              <w:spacing w:before="29" w:line="288" w:lineRule="auto"/>
              <w:jc w:val="center"/>
              <w:rPr>
                <w:sz w:val="24"/>
              </w:rPr>
            </w:pPr>
            <w:r>
              <w:rPr>
                <w:sz w:val="24"/>
              </w:rPr>
              <w:t>交银丰晟收益债券C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adjustRightInd w:val="0"/>
              <w:spacing w:before="29" w:line="288" w:lineRule="auto"/>
              <w:ind w:left="17"/>
              <w:jc w:val="left"/>
              <w:rPr>
                <w:color w:val="000000"/>
                <w:sz w:val="24"/>
              </w:rPr>
            </w:pPr>
            <w:r>
              <w:rPr>
                <w:color w:val="000000"/>
                <w:sz w:val="24"/>
              </w:rPr>
              <w:t>下属</w:t>
            </w:r>
            <w:r>
              <w:rPr>
                <w:rFonts w:hint="eastAsia"/>
                <w:sz w:val="24"/>
              </w:rPr>
              <w:t>分级</w:t>
            </w:r>
            <w:r>
              <w:rPr>
                <w:color w:val="000000"/>
                <w:sz w:val="24"/>
              </w:rPr>
              <w:t>基金的交易代码</w:t>
            </w:r>
          </w:p>
          <w:p>
            <w:pPr>
              <w:adjustRightInd w:val="0"/>
              <w:spacing w:before="29" w:line="288" w:lineRule="auto"/>
              <w:ind w:left="17"/>
              <w:jc w:val="left"/>
              <w:rPr>
                <w:color w:val="000000"/>
                <w:sz w:val="24"/>
              </w:rPr>
            </w:pPr>
          </w:p>
        </w:tc>
        <w:tc>
          <w:tcPr>
            <w:tcW w:w="2880" w:type="dxa"/>
            <w:vAlign w:val="center"/>
          </w:tcPr>
          <w:p>
            <w:pPr>
              <w:spacing w:before="29" w:line="288" w:lineRule="auto"/>
              <w:jc w:val="left"/>
              <w:rPr>
                <w:sz w:val="24"/>
              </w:rPr>
            </w:pPr>
            <w:r>
              <w:rPr>
                <w:sz w:val="24"/>
              </w:rPr>
              <w:t>005577</w:t>
            </w:r>
          </w:p>
        </w:tc>
        <w:tc>
          <w:tcPr>
            <w:tcW w:w="2999" w:type="dxa"/>
            <w:vAlign w:val="center"/>
          </w:tcPr>
          <w:p>
            <w:pPr>
              <w:spacing w:before="29" w:line="288" w:lineRule="auto"/>
              <w:jc w:val="left"/>
              <w:rPr>
                <w:sz w:val="24"/>
              </w:rPr>
            </w:pPr>
            <w:r>
              <w:rPr>
                <w:sz w:val="24"/>
              </w:rPr>
              <w:t>005578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3119" w:type="dxa"/>
            <w:vAlign w:val="center"/>
          </w:tcPr>
          <w:p>
            <w:pPr>
              <w:spacing w:before="29" w:line="288" w:lineRule="auto"/>
              <w:jc w:val="left"/>
              <w:rPr>
                <w:sz w:val="24"/>
              </w:rPr>
            </w:pPr>
            <w:r>
              <w:rPr>
                <w:rFonts w:hint="eastAsia"/>
                <w:sz w:val="24"/>
              </w:rPr>
              <w:t>报告期末下属分级基金的份额总额</w:t>
            </w:r>
          </w:p>
        </w:tc>
        <w:tc>
          <w:tcPr>
            <w:tcW w:w="2880" w:type="dxa"/>
            <w:vAlign w:val="center"/>
          </w:tcPr>
          <w:p>
            <w:pPr>
              <w:spacing w:before="29" w:line="288" w:lineRule="auto"/>
              <w:jc w:val="center"/>
              <w:rPr>
                <w:sz w:val="24"/>
              </w:rPr>
            </w:pPr>
            <w:r>
              <w:rPr>
                <w:sz w:val="24"/>
              </w:rPr>
              <w:t>277,061,205.72</w:t>
            </w:r>
            <w:r>
              <w:rPr>
                <w:rFonts w:hint="eastAsia"/>
                <w:sz w:val="24"/>
              </w:rPr>
              <w:t>份</w:t>
            </w:r>
          </w:p>
        </w:tc>
        <w:tc>
          <w:tcPr>
            <w:tcW w:w="2999" w:type="dxa"/>
            <w:vAlign w:val="center"/>
          </w:tcPr>
          <w:p>
            <w:pPr>
              <w:spacing w:before="29" w:line="288" w:lineRule="auto"/>
              <w:jc w:val="center"/>
              <w:rPr>
                <w:sz w:val="24"/>
              </w:rPr>
            </w:pPr>
            <w:r>
              <w:rPr>
                <w:sz w:val="24"/>
              </w:rPr>
              <w:t>118,337.28</w:t>
            </w:r>
            <w:r>
              <w:rPr>
                <w:rFonts w:hint="eastAsia"/>
                <w:sz w:val="24"/>
              </w:rPr>
              <w:t>份</w:t>
            </w:r>
          </w:p>
        </w:tc>
      </w:tr>
    </w:tbl>
    <w:p>
      <w:pPr>
        <w:spacing w:before="29" w:line="288" w:lineRule="auto"/>
        <w:rPr>
          <w:rFonts w:eastAsiaTheme="minorEastAsia"/>
          <w:b/>
          <w:sz w:val="24"/>
        </w:rPr>
      </w:pPr>
    </w:p>
    <w:p>
      <w:pPr>
        <w:pStyle w:val="3"/>
        <w:spacing w:before="29" w:after="0" w:line="288" w:lineRule="auto"/>
        <w:rPr>
          <w:rFonts w:ascii="Times New Roman" w:hAnsi="Times New Roman"/>
          <w:kern w:val="0"/>
          <w:szCs w:val="24"/>
        </w:rPr>
      </w:pPr>
      <w:bookmarkStart w:id="13" w:name="_Toc361324846"/>
      <w:bookmarkStart w:id="14" w:name="_Toc67667884"/>
      <w:r>
        <w:rPr>
          <w:rFonts w:ascii="Times New Roman" w:hAnsi="Times New Roman"/>
          <w:kern w:val="0"/>
          <w:szCs w:val="24"/>
        </w:rPr>
        <w:t xml:space="preserve">2.2 </w:t>
      </w:r>
      <w:r>
        <w:rPr>
          <w:rFonts w:hint="eastAsia" w:ascii="Times New Roman" w:hAnsi="Times New Roman"/>
          <w:kern w:val="0"/>
          <w:szCs w:val="24"/>
        </w:rPr>
        <w:t>基金产品说明</w:t>
      </w:r>
      <w:bookmarkEnd w:id="13"/>
      <w:bookmarkEnd w:id="14"/>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5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投资目标</w:t>
            </w:r>
          </w:p>
        </w:tc>
        <w:tc>
          <w:tcPr>
            <w:tcW w:w="5879" w:type="dxa"/>
            <w:vAlign w:val="center"/>
          </w:tcPr>
          <w:p>
            <w:pPr>
              <w:spacing w:before="29" w:line="288" w:lineRule="auto"/>
              <w:rPr>
                <w:sz w:val="24"/>
              </w:rPr>
            </w:pPr>
            <w:r>
              <w:rPr>
                <w:sz w:val="24"/>
              </w:rPr>
              <w:t>在严格控制风险的前提下,力求获得高于业绩基准的投资收益。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投资策略</w:t>
            </w:r>
          </w:p>
        </w:tc>
        <w:tc>
          <w:tcPr>
            <w:tcW w:w="5879" w:type="dxa"/>
            <w:vAlign w:val="center"/>
          </w:tcPr>
          <w:p>
            <w:pPr>
              <w:spacing w:before="29" w:line="288" w:lineRule="auto"/>
              <w:rPr>
                <w:sz w:val="24"/>
              </w:rPr>
            </w:pPr>
            <w:r>
              <w:rPr>
                <w:sz w:val="24"/>
              </w:rPr>
              <w:t>封闭期内的投资策略：</w:t>
            </w:r>
          </w:p>
          <w:p>
            <w:pPr>
              <w:spacing w:before="29" w:line="288" w:lineRule="auto"/>
              <w:rPr>
                <w:sz w:val="24"/>
              </w:rPr>
            </w:pPr>
            <w:r>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pPr>
              <w:spacing w:before="29" w:line="288" w:lineRule="auto"/>
              <w:rPr>
                <w:sz w:val="24"/>
              </w:rPr>
            </w:pPr>
            <w:r>
              <w:rPr>
                <w:sz w:val="24"/>
              </w:rPr>
              <w:t>转为开放式运作后的投资策略：</w:t>
            </w:r>
          </w:p>
          <w:p>
            <w:pPr>
              <w:spacing w:before="29" w:line="288" w:lineRule="auto"/>
              <w:rPr>
                <w:sz w:val="24"/>
              </w:rPr>
            </w:pPr>
            <w:r>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业绩比较基准</w:t>
            </w:r>
          </w:p>
        </w:tc>
        <w:tc>
          <w:tcPr>
            <w:tcW w:w="5879" w:type="dxa"/>
            <w:vAlign w:val="center"/>
          </w:tcPr>
          <w:p>
            <w:pPr>
              <w:spacing w:before="29" w:line="288" w:lineRule="auto"/>
              <w:rPr>
                <w:sz w:val="24"/>
              </w:rPr>
            </w:pPr>
            <w:r>
              <w:rPr>
                <w:sz w:val="24"/>
              </w:rPr>
              <w:t>中债综合全价指数收益率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rPr>
                <w:sz w:val="24"/>
              </w:rPr>
            </w:pPr>
            <w:r>
              <w:rPr>
                <w:rFonts w:hint="eastAsia"/>
                <w:sz w:val="24"/>
              </w:rPr>
              <w:t>风险收益特征</w:t>
            </w:r>
          </w:p>
        </w:tc>
        <w:tc>
          <w:tcPr>
            <w:tcW w:w="5879" w:type="dxa"/>
            <w:vAlign w:val="center"/>
          </w:tcPr>
          <w:p>
            <w:pPr>
              <w:spacing w:before="29" w:line="288" w:lineRule="auto"/>
              <w:rPr>
                <w:sz w:val="24"/>
              </w:rPr>
            </w:pPr>
            <w:r>
              <w:rPr>
                <w:sz w:val="24"/>
              </w:rPr>
              <w:t>本基金是一只债券型基金，其预期风险与预期收益高于货币市场基金，低于混合型基金和股票型基金。</w:t>
            </w:r>
          </w:p>
        </w:tc>
      </w:tr>
    </w:tbl>
    <w:p>
      <w:pPr>
        <w:tabs>
          <w:tab w:val="left" w:pos="426"/>
        </w:tabs>
        <w:spacing w:line="360" w:lineRule="auto"/>
        <w:jc w:val="left"/>
        <w:rPr>
          <w:rFonts w:cs="宋体" w:asciiTheme="minorEastAsia" w:hAnsiTheme="minorEastAsia" w:eastAsiaTheme="minorEastAsia"/>
          <w:kern w:val="0"/>
          <w:szCs w:val="21"/>
        </w:rPr>
      </w:pPr>
    </w:p>
    <w:p>
      <w:pPr>
        <w:pStyle w:val="3"/>
        <w:spacing w:before="29" w:after="0" w:line="288" w:lineRule="auto"/>
        <w:rPr>
          <w:rFonts w:ascii="Times New Roman" w:hAnsi="Times New Roman"/>
          <w:kern w:val="0"/>
          <w:szCs w:val="24"/>
        </w:rPr>
      </w:pPr>
      <w:bookmarkStart w:id="15" w:name="_Toc361324847"/>
      <w:bookmarkStart w:id="16" w:name="_Toc225498247"/>
      <w:bookmarkStart w:id="17" w:name="_Toc67667885"/>
      <w:r>
        <w:rPr>
          <w:rFonts w:ascii="Times New Roman" w:hAnsi="Times New Roman"/>
          <w:kern w:val="0"/>
          <w:szCs w:val="24"/>
        </w:rPr>
        <w:t xml:space="preserve">2.3 </w:t>
      </w:r>
      <w:r>
        <w:rPr>
          <w:rFonts w:hint="eastAsia" w:ascii="Times New Roman" w:hAnsi="Times New Roman"/>
          <w:kern w:val="0"/>
          <w:szCs w:val="24"/>
        </w:rPr>
        <w:t>基金管理人和基金托管人</w:t>
      </w:r>
      <w:bookmarkEnd w:id="15"/>
      <w:bookmarkEnd w:id="16"/>
      <w:bookmarkEnd w:id="17"/>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6"/>
        <w:gridCol w:w="3260"/>
        <w:gridCol w:w="31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260" w:type="dxa"/>
            <w:vAlign w:val="center"/>
          </w:tcPr>
          <w:p>
            <w:pPr>
              <w:spacing w:line="288" w:lineRule="auto"/>
              <w:jc w:val="center"/>
              <w:rPr>
                <w:color w:val="000000"/>
                <w:kern w:val="0"/>
                <w:sz w:val="24"/>
              </w:rPr>
            </w:pPr>
            <w:r>
              <w:rPr>
                <w:rFonts w:hint="eastAsia"/>
                <w:color w:val="000000"/>
                <w:kern w:val="0"/>
                <w:sz w:val="24"/>
              </w:rPr>
              <w:t>基金管理人</w:t>
            </w:r>
          </w:p>
        </w:tc>
        <w:tc>
          <w:tcPr>
            <w:tcW w:w="3186" w:type="dxa"/>
            <w:vAlign w:val="center"/>
          </w:tcPr>
          <w:p>
            <w:pPr>
              <w:spacing w:line="288" w:lineRule="auto"/>
              <w:jc w:val="center"/>
              <w:rPr>
                <w:color w:val="000000"/>
                <w:kern w:val="0"/>
                <w:sz w:val="24"/>
              </w:rPr>
            </w:pPr>
            <w:r>
              <w:rPr>
                <w:rFonts w:hint="eastAsia"/>
                <w:color w:val="000000"/>
                <w:kern w:val="0"/>
                <w:sz w:val="24"/>
              </w:rPr>
              <w:t>基金托管人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交银施罗德基金管理有限公司</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招商银行股份有限公司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restart"/>
            <w:vAlign w:val="center"/>
          </w:tcPr>
          <w:p>
            <w:pPr>
              <w:spacing w:line="288" w:lineRule="auto"/>
              <w:jc w:val="center"/>
              <w:rPr>
                <w:color w:val="000000"/>
                <w:kern w:val="0"/>
                <w:sz w:val="24"/>
              </w:rPr>
            </w:pPr>
            <w:r>
              <w:rPr>
                <w:rFonts w:hint="eastAsia"/>
                <w:color w:val="000000"/>
                <w:kern w:val="0"/>
                <w:sz w:val="24"/>
              </w:rPr>
              <w:t>信息披露负责人</w:t>
            </w:r>
          </w:p>
        </w:tc>
        <w:tc>
          <w:tcPr>
            <w:tcW w:w="1276" w:type="dxa"/>
            <w:vAlign w:val="center"/>
          </w:tcPr>
          <w:p>
            <w:pPr>
              <w:spacing w:line="288" w:lineRule="auto"/>
              <w:jc w:val="center"/>
              <w:rPr>
                <w:color w:val="000000"/>
                <w:kern w:val="0"/>
                <w:sz w:val="24"/>
              </w:rPr>
            </w:pPr>
            <w:r>
              <w:rPr>
                <w:rFonts w:hint="eastAsia"/>
                <w:color w:val="000000"/>
                <w:kern w:val="0"/>
                <w:sz w:val="24"/>
              </w:rPr>
              <w:t>姓名</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王晚婷</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张燕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联系电话</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（021）61055050</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0755-83199084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电子邮箱</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yan_zhang@cmbchina.com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客户服务电话</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400-700-5000，021-61055000</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95555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传真</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（021）61055054</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0755-83195201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注册地址</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中国（上海）自由贸易试验区银城中路188号交通银行大楼二层（裙）</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深圳市深南大道7088号招商银行大厦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办公地址</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上海市浦东新区世纪大道8号国金中心二期21-22楼</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深圳市深南大道7088号招商银行大厦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邮政编码</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518040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法定代表人</w:t>
            </w:r>
          </w:p>
        </w:tc>
        <w:tc>
          <w:tcPr>
            <w:tcW w:w="3260" w:type="dxa"/>
            <w:vAlign w:val="center"/>
          </w:tcPr>
          <w:p>
            <w:pPr>
              <w:autoSpaceDE w:val="0"/>
              <w:autoSpaceDN w:val="0"/>
              <w:adjustRightInd w:val="0"/>
              <w:spacing w:before="29" w:line="288" w:lineRule="auto"/>
              <w:ind w:left="15"/>
              <w:jc w:val="center"/>
              <w:rPr>
                <w:color w:val="000000"/>
                <w:kern w:val="0"/>
                <w:sz w:val="24"/>
              </w:rPr>
            </w:pPr>
            <w:r>
              <w:rPr>
                <w:color w:val="000000"/>
                <w:kern w:val="0"/>
                <w:sz w:val="24"/>
              </w:rPr>
              <w:t>阮红</w:t>
            </w:r>
          </w:p>
        </w:tc>
        <w:tc>
          <w:tcPr>
            <w:tcW w:w="318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缪</w:t>
            </w:r>
            <w:r>
              <w:rPr>
                <w:color w:val="000000"/>
                <w:kern w:val="0"/>
                <w:sz w:val="24"/>
              </w:rPr>
              <w:t>建民</w:t>
            </w:r>
          </w:p>
        </w:tc>
      </w:tr>
    </w:tbl>
    <w:p>
      <w:pPr>
        <w:tabs>
          <w:tab w:val="left" w:pos="1740"/>
        </w:tabs>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 w:name="_Toc225498248"/>
      <w:bookmarkStart w:id="19" w:name="_Toc361324848"/>
      <w:bookmarkStart w:id="20" w:name="_Toc67667886"/>
      <w:r>
        <w:rPr>
          <w:rFonts w:ascii="Times New Roman" w:hAnsi="Times New Roman"/>
          <w:kern w:val="0"/>
          <w:szCs w:val="24"/>
        </w:rPr>
        <w:t xml:space="preserve">2.4 </w:t>
      </w:r>
      <w:r>
        <w:rPr>
          <w:rFonts w:hint="eastAsia" w:ascii="Times New Roman" w:hAnsi="Times New Roman"/>
          <w:kern w:val="0"/>
          <w:szCs w:val="24"/>
        </w:rPr>
        <w:t>信息披露方式</w:t>
      </w:r>
      <w:bookmarkEnd w:id="18"/>
      <w:bookmarkEnd w:id="19"/>
      <w:bookmarkEnd w:id="20"/>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9"/>
        <w:gridCol w:w="4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tabs>
                <w:tab w:val="left" w:pos="1740"/>
              </w:tabs>
              <w:spacing w:before="29" w:line="288" w:lineRule="auto"/>
              <w:rPr>
                <w:color w:val="000000"/>
                <w:sz w:val="24"/>
              </w:rPr>
            </w:pPr>
            <w:r>
              <w:rPr>
                <w:rFonts w:hint="eastAsia"/>
                <w:color w:val="000000"/>
                <w:sz w:val="24"/>
              </w:rPr>
              <w:t>本基金选定的信息披露报纸名称</w:t>
            </w:r>
          </w:p>
        </w:tc>
        <w:tc>
          <w:tcPr>
            <w:tcW w:w="3459" w:type="dxa"/>
            <w:vAlign w:val="center"/>
          </w:tcPr>
          <w:p>
            <w:pPr>
              <w:tabs>
                <w:tab w:val="left" w:pos="1740"/>
              </w:tabs>
              <w:spacing w:before="29" w:line="288" w:lineRule="auto"/>
              <w:jc w:val="left"/>
              <w:rPr>
                <w:color w:val="000000"/>
                <w:sz w:val="24"/>
              </w:rPr>
            </w:pPr>
            <w:r>
              <w:rPr>
                <w:color w:val="000000"/>
                <w:sz w:val="24"/>
              </w:rPr>
              <w:t>《中国证券报》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tabs>
                <w:tab w:val="left" w:pos="1740"/>
              </w:tabs>
              <w:spacing w:before="29" w:line="288" w:lineRule="auto"/>
              <w:rPr>
                <w:color w:val="000000"/>
                <w:sz w:val="24"/>
              </w:rPr>
            </w:pPr>
            <w:r>
              <w:rPr>
                <w:rFonts w:hint="eastAsia"/>
                <w:color w:val="000000"/>
                <w:sz w:val="24"/>
              </w:rPr>
              <w:t>登载基金年度报告正文的管理人互联网网址</w:t>
            </w:r>
          </w:p>
        </w:tc>
        <w:tc>
          <w:tcPr>
            <w:tcW w:w="3459" w:type="dxa"/>
            <w:vAlign w:val="center"/>
          </w:tcPr>
          <w:p>
            <w:pPr>
              <w:tabs>
                <w:tab w:val="left" w:pos="1740"/>
              </w:tabs>
              <w:spacing w:before="29" w:line="288" w:lineRule="auto"/>
              <w:jc w:val="left"/>
              <w:rPr>
                <w:color w:val="000000"/>
                <w:sz w:val="24"/>
              </w:rPr>
            </w:pPr>
            <w:r>
              <w:rPr>
                <w:color w:val="000000"/>
                <w:sz w:val="24"/>
              </w:rPr>
              <w:t>www.fund001.com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tabs>
                <w:tab w:val="left" w:pos="1740"/>
              </w:tabs>
              <w:spacing w:before="29" w:line="288" w:lineRule="auto"/>
              <w:rPr>
                <w:color w:val="000000"/>
                <w:sz w:val="24"/>
              </w:rPr>
            </w:pPr>
            <w:r>
              <w:rPr>
                <w:rFonts w:hint="eastAsia"/>
                <w:color w:val="000000"/>
                <w:sz w:val="24"/>
              </w:rPr>
              <w:t>基金年度报告备置地点</w:t>
            </w:r>
          </w:p>
        </w:tc>
        <w:tc>
          <w:tcPr>
            <w:tcW w:w="3459" w:type="dxa"/>
            <w:vAlign w:val="center"/>
          </w:tcPr>
          <w:p>
            <w:pPr>
              <w:tabs>
                <w:tab w:val="left" w:pos="1740"/>
              </w:tabs>
              <w:spacing w:before="29" w:line="288" w:lineRule="auto"/>
              <w:jc w:val="left"/>
              <w:rPr>
                <w:color w:val="000000"/>
                <w:sz w:val="24"/>
              </w:rPr>
            </w:pPr>
            <w:r>
              <w:rPr>
                <w:color w:val="000000"/>
                <w:sz w:val="24"/>
              </w:rPr>
              <w:t>基金管理人的办公场所</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1" w:name="_Toc225498249"/>
      <w:bookmarkStart w:id="22" w:name="_Toc361324849"/>
      <w:bookmarkStart w:id="23" w:name="_Toc67667887"/>
      <w:r>
        <w:rPr>
          <w:rFonts w:ascii="Times New Roman" w:hAnsi="Times New Roman"/>
          <w:kern w:val="0"/>
          <w:szCs w:val="24"/>
        </w:rPr>
        <w:t xml:space="preserve">2.5 </w:t>
      </w:r>
      <w:r>
        <w:rPr>
          <w:rFonts w:hint="eastAsia" w:ascii="Times New Roman" w:hAnsi="Times New Roman"/>
          <w:kern w:val="0"/>
          <w:szCs w:val="24"/>
        </w:rPr>
        <w:t>其他相关资料</w:t>
      </w:r>
      <w:bookmarkEnd w:id="21"/>
      <w:bookmarkEnd w:id="22"/>
      <w:bookmarkEnd w:id="23"/>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402"/>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tabs>
                <w:tab w:val="left" w:pos="1740"/>
              </w:tabs>
              <w:spacing w:before="29" w:line="288" w:lineRule="auto"/>
              <w:jc w:val="center"/>
              <w:rPr>
                <w:color w:val="000000"/>
                <w:sz w:val="24"/>
              </w:rPr>
            </w:pPr>
            <w:r>
              <w:rPr>
                <w:rFonts w:hint="eastAsia"/>
                <w:color w:val="000000"/>
                <w:sz w:val="24"/>
              </w:rPr>
              <w:t>项目</w:t>
            </w:r>
          </w:p>
        </w:tc>
        <w:tc>
          <w:tcPr>
            <w:tcW w:w="3402" w:type="dxa"/>
            <w:vAlign w:val="center"/>
          </w:tcPr>
          <w:p>
            <w:pPr>
              <w:tabs>
                <w:tab w:val="left" w:pos="1740"/>
              </w:tabs>
              <w:spacing w:before="29" w:line="288" w:lineRule="auto"/>
              <w:jc w:val="center"/>
              <w:rPr>
                <w:color w:val="000000"/>
                <w:sz w:val="24"/>
              </w:rPr>
            </w:pPr>
            <w:r>
              <w:rPr>
                <w:rFonts w:hint="eastAsia"/>
                <w:color w:val="000000"/>
                <w:sz w:val="24"/>
              </w:rPr>
              <w:t>名称</w:t>
            </w:r>
          </w:p>
        </w:tc>
        <w:tc>
          <w:tcPr>
            <w:tcW w:w="3328" w:type="dxa"/>
            <w:vAlign w:val="center"/>
          </w:tcPr>
          <w:p>
            <w:pPr>
              <w:tabs>
                <w:tab w:val="left" w:pos="1740"/>
              </w:tabs>
              <w:spacing w:before="29" w:line="288" w:lineRule="auto"/>
              <w:jc w:val="center"/>
              <w:rPr>
                <w:color w:val="000000"/>
                <w:sz w:val="24"/>
              </w:rPr>
            </w:pPr>
            <w:r>
              <w:rPr>
                <w:rFonts w:hint="eastAsia"/>
                <w:color w:val="000000"/>
                <w:sz w:val="24"/>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tabs>
                <w:tab w:val="left" w:pos="1740"/>
              </w:tabs>
              <w:spacing w:before="29" w:line="288" w:lineRule="auto"/>
              <w:rPr>
                <w:color w:val="000000"/>
                <w:sz w:val="24"/>
              </w:rPr>
            </w:pPr>
            <w:r>
              <w:rPr>
                <w:rFonts w:hint="eastAsia"/>
                <w:color w:val="000000"/>
                <w:sz w:val="24"/>
              </w:rPr>
              <w:t>会计师事务所</w:t>
            </w:r>
          </w:p>
        </w:tc>
        <w:tc>
          <w:tcPr>
            <w:tcW w:w="3402" w:type="dxa"/>
            <w:vAlign w:val="center"/>
          </w:tcPr>
          <w:p>
            <w:pPr>
              <w:tabs>
                <w:tab w:val="left" w:pos="1740"/>
              </w:tabs>
              <w:spacing w:before="29" w:line="288" w:lineRule="auto"/>
              <w:rPr>
                <w:color w:val="000000"/>
                <w:sz w:val="24"/>
              </w:rPr>
            </w:pPr>
            <w:r>
              <w:rPr>
                <w:color w:val="000000"/>
                <w:sz w:val="24"/>
              </w:rPr>
              <w:t>普华永道中天会计师事务所（特殊普通合伙）</w:t>
            </w:r>
          </w:p>
        </w:tc>
        <w:tc>
          <w:tcPr>
            <w:tcW w:w="3328" w:type="dxa"/>
            <w:vAlign w:val="center"/>
          </w:tcPr>
          <w:p>
            <w:pPr>
              <w:tabs>
                <w:tab w:val="left" w:pos="1740"/>
              </w:tabs>
              <w:spacing w:before="29" w:line="288" w:lineRule="auto"/>
              <w:rPr>
                <w:color w:val="000000"/>
                <w:sz w:val="24"/>
              </w:rPr>
            </w:pPr>
            <w:r>
              <w:rPr>
                <w:color w:val="000000"/>
                <w:sz w:val="24"/>
              </w:rPr>
              <w:t>上海市湖滨路202号普华永道中心11楼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tabs>
                <w:tab w:val="left" w:pos="1740"/>
              </w:tabs>
              <w:spacing w:before="29" w:line="288" w:lineRule="auto"/>
              <w:rPr>
                <w:color w:val="000000"/>
                <w:sz w:val="24"/>
              </w:rPr>
            </w:pPr>
            <w:r>
              <w:rPr>
                <w:rFonts w:hint="eastAsia"/>
                <w:color w:val="000000"/>
                <w:sz w:val="24"/>
              </w:rPr>
              <w:t>注册登记机构</w:t>
            </w:r>
          </w:p>
        </w:tc>
        <w:tc>
          <w:tcPr>
            <w:tcW w:w="3402" w:type="dxa"/>
            <w:vAlign w:val="center"/>
          </w:tcPr>
          <w:p>
            <w:pPr>
              <w:tabs>
                <w:tab w:val="left" w:pos="1740"/>
              </w:tabs>
              <w:spacing w:before="29" w:line="288" w:lineRule="auto"/>
              <w:rPr>
                <w:color w:val="000000"/>
                <w:sz w:val="24"/>
              </w:rPr>
            </w:pPr>
            <w:r>
              <w:rPr>
                <w:color w:val="000000"/>
                <w:sz w:val="24"/>
              </w:rPr>
              <w:t>中国证券登记结算有限责任公司</w:t>
            </w:r>
          </w:p>
        </w:tc>
        <w:tc>
          <w:tcPr>
            <w:tcW w:w="3328" w:type="dxa"/>
            <w:vAlign w:val="center"/>
          </w:tcPr>
          <w:p>
            <w:pPr>
              <w:tabs>
                <w:tab w:val="left" w:pos="1740"/>
              </w:tabs>
              <w:spacing w:before="29" w:line="288" w:lineRule="auto"/>
              <w:rPr>
                <w:color w:val="000000"/>
                <w:sz w:val="24"/>
              </w:rPr>
            </w:pPr>
            <w:r>
              <w:rPr>
                <w:color w:val="000000"/>
                <w:sz w:val="24"/>
              </w:rPr>
              <w:t>北京市西城区太平桥大街17号</w:t>
            </w:r>
          </w:p>
        </w:tc>
      </w:tr>
    </w:tbl>
    <w:p>
      <w:pPr>
        <w:tabs>
          <w:tab w:val="left" w:pos="426"/>
        </w:tabs>
        <w:spacing w:line="360" w:lineRule="auto"/>
        <w:jc w:val="left"/>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24" w:name="_Toc225498250"/>
      <w:bookmarkStart w:id="25" w:name="_Toc361324850"/>
      <w:bookmarkStart w:id="26" w:name="_Toc67667888"/>
      <w:bookmarkStart w:id="27" w:name="_Toc193947512"/>
      <w:bookmarkStart w:id="28" w:name="_Toc194312019"/>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4"/>
      <w:r>
        <w:rPr>
          <w:rFonts w:hint="eastAsia"/>
          <w:b/>
          <w:bCs/>
          <w:szCs w:val="24"/>
          <w:lang w:val="en-US"/>
        </w:rPr>
        <w:t>及利润分配情况</w:t>
      </w:r>
      <w:bookmarkEnd w:id="25"/>
      <w:bookmarkEnd w:id="26"/>
    </w:p>
    <w:p/>
    <w:p>
      <w:pPr>
        <w:pStyle w:val="3"/>
        <w:spacing w:before="29" w:after="0" w:line="288" w:lineRule="auto"/>
        <w:rPr>
          <w:rFonts w:ascii="Times New Roman" w:hAnsi="Times New Roman"/>
          <w:kern w:val="0"/>
          <w:szCs w:val="24"/>
        </w:rPr>
      </w:pPr>
      <w:bookmarkStart w:id="29" w:name="_Toc67667889"/>
      <w:bookmarkStart w:id="30" w:name="_Toc286996129"/>
      <w:bookmarkStart w:id="31" w:name="_Toc361324851"/>
      <w:r>
        <w:rPr>
          <w:rFonts w:ascii="Times New Roman" w:hAnsi="Times New Roman"/>
          <w:kern w:val="0"/>
          <w:szCs w:val="24"/>
        </w:rPr>
        <w:t xml:space="preserve">3.1 </w:t>
      </w:r>
      <w:r>
        <w:rPr>
          <w:rFonts w:hint="eastAsia" w:ascii="Times New Roman" w:hAnsi="Times New Roman"/>
          <w:kern w:val="0"/>
          <w:szCs w:val="24"/>
        </w:rPr>
        <w:t>主要会计数据和财务指标</w:t>
      </w:r>
      <w:bookmarkEnd w:id="29"/>
      <w:bookmarkEnd w:id="30"/>
      <w:bookmarkEnd w:id="31"/>
    </w:p>
    <w:p>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bookmarkEnd w:id="27"/>
    <w:bookmarkEnd w:id="28"/>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8"/>
        <w:gridCol w:w="1276"/>
        <w:gridCol w:w="1276"/>
        <w:gridCol w:w="1278"/>
        <w:gridCol w:w="1278"/>
        <w:gridCol w:w="1278"/>
        <w:gridCol w:w="1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823" w:type="pct"/>
            <w:vMerge w:val="restart"/>
            <w:vAlign w:val="center"/>
          </w:tcPr>
          <w:p>
            <w:pPr>
              <w:spacing w:before="29" w:line="288" w:lineRule="auto"/>
              <w:jc w:val="center"/>
              <w:rPr>
                <w:b/>
                <w:szCs w:val="21"/>
              </w:rPr>
            </w:pPr>
            <w:r>
              <w:rPr>
                <w:b/>
                <w:szCs w:val="21"/>
              </w:rPr>
              <w:t>3.1.1</w:t>
            </w:r>
            <w:r>
              <w:rPr>
                <w:rFonts w:hint="eastAsia"/>
                <w:b/>
                <w:szCs w:val="21"/>
              </w:rPr>
              <w:t>期间数据和指标</w:t>
            </w:r>
          </w:p>
        </w:tc>
        <w:tc>
          <w:tcPr>
            <w:tcW w:w="1372" w:type="pct"/>
            <w:gridSpan w:val="2"/>
            <w:vAlign w:val="center"/>
          </w:tcPr>
          <w:p>
            <w:pPr>
              <w:spacing w:before="29" w:line="288" w:lineRule="auto"/>
              <w:jc w:val="center"/>
              <w:rPr>
                <w:b/>
                <w:szCs w:val="21"/>
              </w:rPr>
            </w:pPr>
            <w:r>
              <w:rPr>
                <w:b/>
                <w:szCs w:val="21"/>
              </w:rPr>
              <w:t>2020年</w:t>
            </w:r>
          </w:p>
        </w:tc>
        <w:tc>
          <w:tcPr>
            <w:tcW w:w="1374" w:type="pct"/>
            <w:gridSpan w:val="2"/>
            <w:vAlign w:val="center"/>
          </w:tcPr>
          <w:p>
            <w:pPr>
              <w:spacing w:before="29" w:line="288" w:lineRule="auto"/>
              <w:jc w:val="center"/>
              <w:rPr>
                <w:b/>
                <w:szCs w:val="21"/>
              </w:rPr>
            </w:pPr>
            <w:r>
              <w:rPr>
                <w:b/>
                <w:szCs w:val="21"/>
              </w:rPr>
              <w:t>2019年</w:t>
            </w:r>
          </w:p>
        </w:tc>
        <w:tc>
          <w:tcPr>
            <w:tcW w:w="1431" w:type="pct"/>
            <w:gridSpan w:val="2"/>
            <w:vAlign w:val="center"/>
          </w:tcPr>
          <w:p>
            <w:pPr>
              <w:spacing w:before="29" w:line="288" w:lineRule="auto"/>
              <w:jc w:val="center"/>
              <w:rPr>
                <w:b/>
                <w:szCs w:val="21"/>
              </w:rPr>
            </w:pPr>
            <w:r>
              <w:rPr>
                <w:b/>
                <w:szCs w:val="21"/>
              </w:rPr>
              <w:t>2018年5月23日（基金合同生效日）至2018年12月31日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823" w:type="pct"/>
            <w:vMerge w:val="continue"/>
            <w:vAlign w:val="center"/>
          </w:tcPr>
          <w:p>
            <w:pPr>
              <w:spacing w:before="29" w:line="288" w:lineRule="auto"/>
              <w:jc w:val="right"/>
              <w:rPr>
                <w:szCs w:val="21"/>
              </w:rPr>
            </w:pPr>
          </w:p>
        </w:tc>
        <w:tc>
          <w:tcPr>
            <w:tcW w:w="686" w:type="pct"/>
            <w:vAlign w:val="center"/>
          </w:tcPr>
          <w:p>
            <w:pPr>
              <w:spacing w:before="29" w:line="288" w:lineRule="auto"/>
              <w:rPr>
                <w:szCs w:val="21"/>
              </w:rPr>
            </w:pPr>
            <w:r>
              <w:rPr>
                <w:szCs w:val="21"/>
              </w:rPr>
              <w:t>交银丰晟收益债券A</w:t>
            </w:r>
          </w:p>
        </w:tc>
        <w:tc>
          <w:tcPr>
            <w:tcW w:w="686" w:type="pct"/>
            <w:vAlign w:val="center"/>
          </w:tcPr>
          <w:p>
            <w:pPr>
              <w:spacing w:before="29" w:line="288" w:lineRule="auto"/>
              <w:rPr>
                <w:szCs w:val="21"/>
              </w:rPr>
            </w:pPr>
            <w:r>
              <w:rPr>
                <w:szCs w:val="21"/>
              </w:rPr>
              <w:t>交银丰晟收益债券C</w:t>
            </w:r>
          </w:p>
        </w:tc>
        <w:tc>
          <w:tcPr>
            <w:tcW w:w="687" w:type="pct"/>
            <w:vAlign w:val="center"/>
          </w:tcPr>
          <w:p>
            <w:pPr>
              <w:spacing w:before="29" w:line="288" w:lineRule="auto"/>
              <w:rPr>
                <w:szCs w:val="21"/>
              </w:rPr>
            </w:pPr>
            <w:r>
              <w:rPr>
                <w:szCs w:val="21"/>
              </w:rPr>
              <w:t>交银丰晟收益债券A</w:t>
            </w:r>
          </w:p>
        </w:tc>
        <w:tc>
          <w:tcPr>
            <w:tcW w:w="687" w:type="pct"/>
            <w:vAlign w:val="center"/>
          </w:tcPr>
          <w:p>
            <w:pPr>
              <w:spacing w:before="29" w:line="288" w:lineRule="auto"/>
              <w:rPr>
                <w:szCs w:val="21"/>
              </w:rPr>
            </w:pPr>
            <w:r>
              <w:rPr>
                <w:szCs w:val="21"/>
              </w:rPr>
              <w:t>交银丰晟收益债券C</w:t>
            </w:r>
          </w:p>
        </w:tc>
        <w:tc>
          <w:tcPr>
            <w:tcW w:w="688" w:type="pct"/>
            <w:vAlign w:val="center"/>
          </w:tcPr>
          <w:p>
            <w:pPr>
              <w:spacing w:before="29" w:line="288" w:lineRule="auto"/>
              <w:rPr>
                <w:szCs w:val="21"/>
              </w:rPr>
            </w:pPr>
            <w:r>
              <w:rPr>
                <w:szCs w:val="21"/>
              </w:rPr>
              <w:t>交银丰晟收益债券A</w:t>
            </w:r>
          </w:p>
        </w:tc>
        <w:tc>
          <w:tcPr>
            <w:tcW w:w="744" w:type="pct"/>
            <w:vAlign w:val="center"/>
          </w:tcPr>
          <w:p>
            <w:pPr>
              <w:spacing w:before="29" w:line="288" w:lineRule="auto"/>
              <w:rPr>
                <w:szCs w:val="21"/>
              </w:rPr>
            </w:pPr>
            <w:r>
              <w:rPr>
                <w:szCs w:val="21"/>
              </w:rPr>
              <w:t>交银丰晟收益债券C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vAlign w:val="center"/>
          </w:tcPr>
          <w:p>
            <w:pPr>
              <w:spacing w:before="29" w:line="288" w:lineRule="auto"/>
              <w:rPr>
                <w:szCs w:val="21"/>
              </w:rPr>
            </w:pPr>
            <w:r>
              <w:rPr>
                <w:rFonts w:hint="eastAsia"/>
                <w:szCs w:val="21"/>
              </w:rPr>
              <w:t>本期已实现收益</w:t>
            </w:r>
          </w:p>
        </w:tc>
        <w:tc>
          <w:tcPr>
            <w:tcW w:w="686" w:type="pct"/>
            <w:vAlign w:val="center"/>
          </w:tcPr>
          <w:p>
            <w:pPr>
              <w:spacing w:before="29" w:line="288" w:lineRule="auto"/>
              <w:jc w:val="right"/>
              <w:rPr>
                <w:szCs w:val="21"/>
              </w:rPr>
            </w:pPr>
            <w:r>
              <w:rPr>
                <w:szCs w:val="21"/>
              </w:rPr>
              <w:t>19,573,255.15</w:t>
            </w:r>
          </w:p>
        </w:tc>
        <w:tc>
          <w:tcPr>
            <w:tcW w:w="686" w:type="pct"/>
            <w:vAlign w:val="center"/>
          </w:tcPr>
          <w:p>
            <w:pPr>
              <w:spacing w:before="29" w:line="288" w:lineRule="auto"/>
              <w:jc w:val="right"/>
              <w:rPr>
                <w:szCs w:val="21"/>
              </w:rPr>
            </w:pPr>
            <w:r>
              <w:rPr>
                <w:szCs w:val="21"/>
              </w:rPr>
              <w:t>39,858.24</w:t>
            </w:r>
          </w:p>
        </w:tc>
        <w:tc>
          <w:tcPr>
            <w:tcW w:w="687" w:type="pct"/>
            <w:vAlign w:val="center"/>
          </w:tcPr>
          <w:p>
            <w:pPr>
              <w:spacing w:before="29" w:line="288" w:lineRule="auto"/>
              <w:jc w:val="right"/>
              <w:rPr>
                <w:szCs w:val="21"/>
              </w:rPr>
            </w:pPr>
            <w:r>
              <w:rPr>
                <w:szCs w:val="21"/>
              </w:rPr>
              <w:t>19,539,713.70</w:t>
            </w:r>
          </w:p>
        </w:tc>
        <w:tc>
          <w:tcPr>
            <w:tcW w:w="687" w:type="pct"/>
            <w:vAlign w:val="center"/>
          </w:tcPr>
          <w:p>
            <w:pPr>
              <w:spacing w:before="29" w:line="288" w:lineRule="auto"/>
              <w:jc w:val="right"/>
              <w:rPr>
                <w:szCs w:val="21"/>
              </w:rPr>
            </w:pPr>
            <w:r>
              <w:rPr>
                <w:szCs w:val="21"/>
              </w:rPr>
              <w:t>40,755.69</w:t>
            </w:r>
          </w:p>
        </w:tc>
        <w:tc>
          <w:tcPr>
            <w:tcW w:w="688" w:type="pct"/>
            <w:vAlign w:val="center"/>
          </w:tcPr>
          <w:p>
            <w:pPr>
              <w:spacing w:before="29" w:line="288" w:lineRule="auto"/>
              <w:jc w:val="right"/>
              <w:rPr>
                <w:szCs w:val="21"/>
              </w:rPr>
            </w:pPr>
            <w:r>
              <w:rPr>
                <w:szCs w:val="21"/>
              </w:rPr>
              <w:t>12,167,959.63</w:t>
            </w:r>
          </w:p>
        </w:tc>
        <w:tc>
          <w:tcPr>
            <w:tcW w:w="744" w:type="pct"/>
            <w:vAlign w:val="center"/>
          </w:tcPr>
          <w:p>
            <w:pPr>
              <w:spacing w:before="29" w:line="288" w:lineRule="auto"/>
              <w:jc w:val="right"/>
              <w:rPr>
                <w:szCs w:val="21"/>
              </w:rPr>
            </w:pPr>
            <w:r>
              <w:rPr>
                <w:szCs w:val="21"/>
              </w:rPr>
              <w:t>25,589.73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823" w:type="pct"/>
            <w:vAlign w:val="center"/>
          </w:tcPr>
          <w:p>
            <w:pPr>
              <w:spacing w:before="29" w:line="288" w:lineRule="auto"/>
              <w:rPr>
                <w:szCs w:val="21"/>
              </w:rPr>
            </w:pPr>
            <w:r>
              <w:rPr>
                <w:rFonts w:hint="eastAsia"/>
                <w:szCs w:val="21"/>
              </w:rPr>
              <w:t>本期利润</w:t>
            </w:r>
          </w:p>
        </w:tc>
        <w:tc>
          <w:tcPr>
            <w:tcW w:w="686" w:type="pct"/>
            <w:vAlign w:val="center"/>
          </w:tcPr>
          <w:p>
            <w:pPr>
              <w:spacing w:before="29" w:line="288" w:lineRule="auto"/>
              <w:jc w:val="right"/>
              <w:rPr>
                <w:szCs w:val="21"/>
              </w:rPr>
            </w:pPr>
            <w:r>
              <w:rPr>
                <w:szCs w:val="21"/>
              </w:rPr>
              <w:t>8,978,895.37</w:t>
            </w:r>
          </w:p>
        </w:tc>
        <w:tc>
          <w:tcPr>
            <w:tcW w:w="686" w:type="pct"/>
            <w:vAlign w:val="center"/>
          </w:tcPr>
          <w:p>
            <w:pPr>
              <w:spacing w:before="29" w:line="288" w:lineRule="auto"/>
              <w:jc w:val="right"/>
              <w:rPr>
                <w:szCs w:val="21"/>
              </w:rPr>
            </w:pPr>
            <w:r>
              <w:rPr>
                <w:szCs w:val="21"/>
              </w:rPr>
              <w:t>15,394.12</w:t>
            </w:r>
          </w:p>
        </w:tc>
        <w:tc>
          <w:tcPr>
            <w:tcW w:w="687" w:type="pct"/>
            <w:vAlign w:val="center"/>
          </w:tcPr>
          <w:p>
            <w:pPr>
              <w:spacing w:before="29" w:line="288" w:lineRule="auto"/>
              <w:jc w:val="right"/>
              <w:rPr>
                <w:szCs w:val="21"/>
              </w:rPr>
            </w:pPr>
            <w:r>
              <w:rPr>
                <w:szCs w:val="21"/>
              </w:rPr>
              <w:t>18,891,751.24</w:t>
            </w:r>
          </w:p>
        </w:tc>
        <w:tc>
          <w:tcPr>
            <w:tcW w:w="687" w:type="pct"/>
            <w:vAlign w:val="center"/>
          </w:tcPr>
          <w:p>
            <w:pPr>
              <w:spacing w:before="29" w:line="288" w:lineRule="auto"/>
              <w:jc w:val="right"/>
              <w:rPr>
                <w:szCs w:val="21"/>
              </w:rPr>
            </w:pPr>
            <w:r>
              <w:rPr>
                <w:szCs w:val="21"/>
              </w:rPr>
              <w:t>39,238.18</w:t>
            </w:r>
          </w:p>
        </w:tc>
        <w:tc>
          <w:tcPr>
            <w:tcW w:w="688" w:type="pct"/>
            <w:vAlign w:val="center"/>
          </w:tcPr>
          <w:p>
            <w:pPr>
              <w:spacing w:before="29" w:line="288" w:lineRule="auto"/>
              <w:jc w:val="right"/>
              <w:rPr>
                <w:szCs w:val="21"/>
              </w:rPr>
            </w:pPr>
            <w:r>
              <w:rPr>
                <w:szCs w:val="21"/>
              </w:rPr>
              <w:t>22,466,992.46</w:t>
            </w:r>
          </w:p>
        </w:tc>
        <w:tc>
          <w:tcPr>
            <w:tcW w:w="744" w:type="pct"/>
            <w:vAlign w:val="center"/>
          </w:tcPr>
          <w:p>
            <w:pPr>
              <w:spacing w:before="29" w:line="288" w:lineRule="auto"/>
              <w:jc w:val="right"/>
              <w:rPr>
                <w:szCs w:val="21"/>
              </w:rPr>
            </w:pPr>
            <w:r>
              <w:rPr>
                <w:szCs w:val="21"/>
              </w:rPr>
              <w:t>49,726.27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vAlign w:val="center"/>
          </w:tcPr>
          <w:p>
            <w:pPr>
              <w:spacing w:before="29" w:line="288" w:lineRule="auto"/>
              <w:rPr>
                <w:szCs w:val="21"/>
              </w:rPr>
            </w:pPr>
            <w:r>
              <w:rPr>
                <w:rFonts w:hint="eastAsia"/>
                <w:szCs w:val="21"/>
              </w:rPr>
              <w:t>加权平均基金份额本期利润</w:t>
            </w:r>
          </w:p>
        </w:tc>
        <w:tc>
          <w:tcPr>
            <w:tcW w:w="686" w:type="pct"/>
            <w:vAlign w:val="center"/>
          </w:tcPr>
          <w:p>
            <w:pPr>
              <w:spacing w:before="29" w:line="288" w:lineRule="auto"/>
              <w:jc w:val="right"/>
              <w:rPr>
                <w:szCs w:val="21"/>
              </w:rPr>
            </w:pPr>
            <w:r>
              <w:rPr>
                <w:szCs w:val="21"/>
              </w:rPr>
              <w:t>0.0392</w:t>
            </w:r>
          </w:p>
        </w:tc>
        <w:tc>
          <w:tcPr>
            <w:tcW w:w="686" w:type="pct"/>
            <w:vAlign w:val="center"/>
          </w:tcPr>
          <w:p>
            <w:pPr>
              <w:spacing w:before="29" w:line="288" w:lineRule="auto"/>
              <w:jc w:val="right"/>
              <w:rPr>
                <w:szCs w:val="21"/>
              </w:rPr>
            </w:pPr>
            <w:r>
              <w:rPr>
                <w:szCs w:val="21"/>
              </w:rPr>
              <w:t>0.0346</w:t>
            </w:r>
          </w:p>
        </w:tc>
        <w:tc>
          <w:tcPr>
            <w:tcW w:w="687" w:type="pct"/>
            <w:vAlign w:val="center"/>
          </w:tcPr>
          <w:p>
            <w:pPr>
              <w:spacing w:before="29" w:line="288" w:lineRule="auto"/>
              <w:jc w:val="right"/>
              <w:rPr>
                <w:szCs w:val="21"/>
              </w:rPr>
            </w:pPr>
            <w:r>
              <w:rPr>
                <w:szCs w:val="21"/>
              </w:rPr>
              <w:t>0.0571</w:t>
            </w:r>
          </w:p>
        </w:tc>
        <w:tc>
          <w:tcPr>
            <w:tcW w:w="687" w:type="pct"/>
            <w:vAlign w:val="center"/>
          </w:tcPr>
          <w:p>
            <w:pPr>
              <w:spacing w:before="29" w:line="288" w:lineRule="auto"/>
              <w:jc w:val="right"/>
              <w:rPr>
                <w:szCs w:val="21"/>
              </w:rPr>
            </w:pPr>
            <w:r>
              <w:rPr>
                <w:szCs w:val="21"/>
              </w:rPr>
              <w:t>0.0505</w:t>
            </w:r>
          </w:p>
        </w:tc>
        <w:tc>
          <w:tcPr>
            <w:tcW w:w="688" w:type="pct"/>
            <w:vAlign w:val="center"/>
          </w:tcPr>
          <w:p>
            <w:pPr>
              <w:spacing w:before="29" w:line="288" w:lineRule="auto"/>
              <w:jc w:val="right"/>
              <w:rPr>
                <w:szCs w:val="21"/>
              </w:rPr>
            </w:pPr>
            <w:r>
              <w:rPr>
                <w:szCs w:val="21"/>
              </w:rPr>
              <w:t>0.0679</w:t>
            </w:r>
          </w:p>
        </w:tc>
        <w:tc>
          <w:tcPr>
            <w:tcW w:w="744" w:type="pct"/>
            <w:vAlign w:val="center"/>
          </w:tcPr>
          <w:p>
            <w:pPr>
              <w:spacing w:before="29" w:line="288" w:lineRule="auto"/>
              <w:jc w:val="right"/>
              <w:rPr>
                <w:szCs w:val="21"/>
              </w:rPr>
            </w:pPr>
            <w:r>
              <w:rPr>
                <w:szCs w:val="21"/>
              </w:rPr>
              <w:t>0.0640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vAlign w:val="center"/>
          </w:tcPr>
          <w:p>
            <w:pPr>
              <w:spacing w:before="29" w:line="288" w:lineRule="auto"/>
              <w:rPr>
                <w:szCs w:val="21"/>
              </w:rPr>
            </w:pPr>
            <w:r>
              <w:rPr>
                <w:rFonts w:hint="eastAsia"/>
                <w:szCs w:val="21"/>
              </w:rPr>
              <w:t>本期加权平均净值利润率</w:t>
            </w:r>
          </w:p>
        </w:tc>
        <w:tc>
          <w:tcPr>
            <w:tcW w:w="686" w:type="pct"/>
            <w:vAlign w:val="center"/>
          </w:tcPr>
          <w:p>
            <w:pPr>
              <w:spacing w:before="29" w:line="288" w:lineRule="auto"/>
              <w:jc w:val="right"/>
              <w:rPr>
                <w:szCs w:val="21"/>
              </w:rPr>
            </w:pPr>
            <w:r>
              <w:rPr>
                <w:szCs w:val="21"/>
              </w:rPr>
              <w:t>3.71%</w:t>
            </w:r>
          </w:p>
        </w:tc>
        <w:tc>
          <w:tcPr>
            <w:tcW w:w="686" w:type="pct"/>
            <w:vAlign w:val="center"/>
          </w:tcPr>
          <w:p>
            <w:pPr>
              <w:spacing w:before="29" w:line="288" w:lineRule="auto"/>
              <w:jc w:val="right"/>
              <w:rPr>
                <w:szCs w:val="21"/>
              </w:rPr>
            </w:pPr>
            <w:r>
              <w:rPr>
                <w:szCs w:val="21"/>
              </w:rPr>
              <w:t>3.30%</w:t>
            </w:r>
          </w:p>
        </w:tc>
        <w:tc>
          <w:tcPr>
            <w:tcW w:w="687" w:type="pct"/>
            <w:vAlign w:val="center"/>
          </w:tcPr>
          <w:p>
            <w:pPr>
              <w:spacing w:before="29" w:line="288" w:lineRule="auto"/>
              <w:jc w:val="right"/>
              <w:rPr>
                <w:szCs w:val="21"/>
              </w:rPr>
            </w:pPr>
            <w:r>
              <w:rPr>
                <w:szCs w:val="21"/>
              </w:rPr>
              <w:t>5.33%</w:t>
            </w:r>
          </w:p>
        </w:tc>
        <w:tc>
          <w:tcPr>
            <w:tcW w:w="687" w:type="pct"/>
            <w:vAlign w:val="center"/>
          </w:tcPr>
          <w:p>
            <w:pPr>
              <w:spacing w:before="29" w:line="288" w:lineRule="auto"/>
              <w:jc w:val="right"/>
              <w:rPr>
                <w:szCs w:val="21"/>
              </w:rPr>
            </w:pPr>
            <w:r>
              <w:rPr>
                <w:szCs w:val="21"/>
              </w:rPr>
              <w:t>4.73%</w:t>
            </w:r>
          </w:p>
        </w:tc>
        <w:tc>
          <w:tcPr>
            <w:tcW w:w="688" w:type="pct"/>
            <w:vAlign w:val="center"/>
          </w:tcPr>
          <w:p>
            <w:pPr>
              <w:spacing w:before="29" w:line="288" w:lineRule="auto"/>
              <w:jc w:val="right"/>
              <w:rPr>
                <w:szCs w:val="21"/>
              </w:rPr>
            </w:pPr>
            <w:r>
              <w:rPr>
                <w:szCs w:val="21"/>
              </w:rPr>
              <w:t>6.57%</w:t>
            </w:r>
          </w:p>
        </w:tc>
        <w:tc>
          <w:tcPr>
            <w:tcW w:w="744" w:type="pct"/>
            <w:vAlign w:val="center"/>
          </w:tcPr>
          <w:p>
            <w:pPr>
              <w:spacing w:before="29" w:line="288" w:lineRule="auto"/>
              <w:jc w:val="right"/>
              <w:rPr>
                <w:szCs w:val="21"/>
              </w:rPr>
            </w:pPr>
            <w:r>
              <w:rPr>
                <w:szCs w:val="21"/>
              </w:rPr>
              <w:t>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3" w:type="pct"/>
            <w:vAlign w:val="center"/>
          </w:tcPr>
          <w:p>
            <w:pPr>
              <w:spacing w:before="29" w:line="288" w:lineRule="auto"/>
              <w:rPr>
                <w:szCs w:val="21"/>
              </w:rPr>
            </w:pPr>
            <w:r>
              <w:rPr>
                <w:rFonts w:hint="eastAsia"/>
                <w:szCs w:val="21"/>
              </w:rPr>
              <w:t>本期基金份额净值增长率</w:t>
            </w:r>
          </w:p>
        </w:tc>
        <w:tc>
          <w:tcPr>
            <w:tcW w:w="686" w:type="pct"/>
            <w:vAlign w:val="center"/>
          </w:tcPr>
          <w:p>
            <w:pPr>
              <w:spacing w:before="29" w:line="288" w:lineRule="auto"/>
              <w:jc w:val="right"/>
              <w:rPr>
                <w:szCs w:val="21"/>
              </w:rPr>
            </w:pPr>
            <w:r>
              <w:rPr>
                <w:szCs w:val="21"/>
              </w:rPr>
              <w:t>2.81%</w:t>
            </w:r>
          </w:p>
        </w:tc>
        <w:tc>
          <w:tcPr>
            <w:tcW w:w="686" w:type="pct"/>
            <w:vAlign w:val="center"/>
          </w:tcPr>
          <w:p>
            <w:pPr>
              <w:spacing w:before="29" w:line="288" w:lineRule="auto"/>
              <w:jc w:val="right"/>
              <w:rPr>
                <w:szCs w:val="21"/>
              </w:rPr>
            </w:pPr>
            <w:r>
              <w:rPr>
                <w:szCs w:val="21"/>
              </w:rPr>
              <w:t>2.20%</w:t>
            </w:r>
          </w:p>
        </w:tc>
        <w:tc>
          <w:tcPr>
            <w:tcW w:w="687" w:type="pct"/>
            <w:vAlign w:val="center"/>
          </w:tcPr>
          <w:p>
            <w:pPr>
              <w:spacing w:before="29" w:line="288" w:lineRule="auto"/>
              <w:jc w:val="right"/>
              <w:rPr>
                <w:szCs w:val="21"/>
              </w:rPr>
            </w:pPr>
            <w:r>
              <w:rPr>
                <w:szCs w:val="21"/>
              </w:rPr>
              <w:t>5.48%</w:t>
            </w:r>
          </w:p>
        </w:tc>
        <w:tc>
          <w:tcPr>
            <w:tcW w:w="687" w:type="pct"/>
            <w:vAlign w:val="center"/>
          </w:tcPr>
          <w:p>
            <w:pPr>
              <w:spacing w:before="29" w:line="288" w:lineRule="auto"/>
              <w:jc w:val="right"/>
              <w:rPr>
                <w:szCs w:val="21"/>
              </w:rPr>
            </w:pPr>
            <w:r>
              <w:rPr>
                <w:szCs w:val="21"/>
              </w:rPr>
              <w:t>4.84%</w:t>
            </w:r>
          </w:p>
        </w:tc>
        <w:tc>
          <w:tcPr>
            <w:tcW w:w="688" w:type="pct"/>
            <w:vAlign w:val="center"/>
          </w:tcPr>
          <w:p>
            <w:pPr>
              <w:spacing w:before="29" w:line="288" w:lineRule="auto"/>
              <w:jc w:val="right"/>
              <w:rPr>
                <w:szCs w:val="21"/>
              </w:rPr>
            </w:pPr>
            <w:r>
              <w:rPr>
                <w:szCs w:val="21"/>
              </w:rPr>
              <w:t>6.79%</w:t>
            </w:r>
          </w:p>
        </w:tc>
        <w:tc>
          <w:tcPr>
            <w:tcW w:w="744" w:type="pct"/>
            <w:vAlign w:val="center"/>
          </w:tcPr>
          <w:p>
            <w:pPr>
              <w:spacing w:before="29" w:line="288" w:lineRule="auto"/>
              <w:jc w:val="right"/>
              <w:rPr>
                <w:szCs w:val="21"/>
              </w:rPr>
            </w:pPr>
            <w:r>
              <w:rPr>
                <w:szCs w:val="21"/>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pct"/>
            <w:vMerge w:val="restart"/>
            <w:vAlign w:val="center"/>
          </w:tcPr>
          <w:p>
            <w:pPr>
              <w:spacing w:before="29" w:line="288" w:lineRule="auto"/>
              <w:ind w:left="-107" w:leftChars="-51" w:right="-107" w:rightChars="-51"/>
              <w:rPr>
                <w:b/>
                <w:color w:val="000000"/>
                <w:szCs w:val="21"/>
              </w:rPr>
            </w:pPr>
            <w:r>
              <w:rPr>
                <w:b/>
                <w:color w:val="000000"/>
                <w:szCs w:val="21"/>
              </w:rPr>
              <w:t>3.1.2</w:t>
            </w:r>
            <w:r>
              <w:rPr>
                <w:rFonts w:hint="eastAsia"/>
                <w:b/>
                <w:color w:val="000000"/>
                <w:szCs w:val="21"/>
              </w:rPr>
              <w:t>期末数据和指标</w:t>
            </w:r>
          </w:p>
        </w:tc>
        <w:tc>
          <w:tcPr>
            <w:tcW w:w="1374" w:type="pct"/>
            <w:gridSpan w:val="2"/>
            <w:vAlign w:val="center"/>
          </w:tcPr>
          <w:p>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6" w:type="pct"/>
            <w:gridSpan w:val="2"/>
            <w:vAlign w:val="center"/>
          </w:tcPr>
          <w:p>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28" w:type="pct"/>
            <w:gridSpan w:val="2"/>
            <w:vAlign w:val="center"/>
          </w:tcPr>
          <w:p>
            <w:pPr>
              <w:spacing w:before="29" w:line="288" w:lineRule="auto"/>
              <w:jc w:val="center"/>
              <w:rPr>
                <w:b/>
                <w:color w:val="000000"/>
                <w:szCs w:val="21"/>
              </w:rPr>
            </w:pPr>
            <w:r>
              <w:rPr>
                <w:b/>
                <w:color w:val="000000"/>
                <w:szCs w:val="21"/>
              </w:rPr>
              <w:t>2018</w:t>
            </w:r>
            <w:r>
              <w:rPr>
                <w:rFonts w:hint="eastAsia"/>
                <w:b/>
                <w:color w:val="000000"/>
                <w:szCs w:val="21"/>
              </w:rPr>
              <w:t>年末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822" w:type="pct"/>
            <w:vMerge w:val="continue"/>
            <w:vAlign w:val="center"/>
          </w:tcPr>
          <w:p>
            <w:pPr>
              <w:widowControl/>
              <w:spacing w:line="360" w:lineRule="auto"/>
              <w:jc w:val="left"/>
              <w:rPr>
                <w:rFonts w:asciiTheme="minorEastAsia" w:hAnsiTheme="minorEastAsia" w:eastAsiaTheme="minorEastAsia"/>
                <w:b/>
                <w:color w:val="000000"/>
                <w:szCs w:val="21"/>
              </w:rPr>
            </w:pPr>
          </w:p>
        </w:tc>
        <w:tc>
          <w:tcPr>
            <w:tcW w:w="687" w:type="pct"/>
            <w:vAlign w:val="center"/>
          </w:tcPr>
          <w:p>
            <w:pPr>
              <w:spacing w:before="29" w:line="288" w:lineRule="auto"/>
              <w:rPr>
                <w:szCs w:val="21"/>
              </w:rPr>
            </w:pPr>
            <w:r>
              <w:rPr>
                <w:szCs w:val="21"/>
              </w:rPr>
              <w:t>交银丰晟收益债券A</w:t>
            </w:r>
          </w:p>
        </w:tc>
        <w:tc>
          <w:tcPr>
            <w:tcW w:w="687" w:type="pct"/>
            <w:vAlign w:val="center"/>
          </w:tcPr>
          <w:p>
            <w:pPr>
              <w:spacing w:before="29" w:line="288" w:lineRule="auto"/>
              <w:rPr>
                <w:szCs w:val="21"/>
              </w:rPr>
            </w:pPr>
            <w:r>
              <w:rPr>
                <w:szCs w:val="21"/>
              </w:rPr>
              <w:t>交银丰晟收益债券C</w:t>
            </w:r>
          </w:p>
        </w:tc>
        <w:tc>
          <w:tcPr>
            <w:tcW w:w="688" w:type="pct"/>
            <w:vAlign w:val="center"/>
          </w:tcPr>
          <w:p>
            <w:pPr>
              <w:spacing w:before="29" w:line="288" w:lineRule="auto"/>
              <w:rPr>
                <w:szCs w:val="21"/>
              </w:rPr>
            </w:pPr>
            <w:r>
              <w:rPr>
                <w:szCs w:val="21"/>
              </w:rPr>
              <w:t>交银丰晟收益债券A</w:t>
            </w:r>
          </w:p>
        </w:tc>
        <w:tc>
          <w:tcPr>
            <w:tcW w:w="688" w:type="pct"/>
            <w:vAlign w:val="center"/>
          </w:tcPr>
          <w:p>
            <w:pPr>
              <w:spacing w:before="29" w:line="288" w:lineRule="auto"/>
              <w:rPr>
                <w:szCs w:val="21"/>
              </w:rPr>
            </w:pPr>
            <w:r>
              <w:rPr>
                <w:szCs w:val="21"/>
              </w:rPr>
              <w:t>交银丰晟收益债券C</w:t>
            </w:r>
          </w:p>
        </w:tc>
        <w:tc>
          <w:tcPr>
            <w:tcW w:w="684" w:type="pct"/>
            <w:vAlign w:val="center"/>
          </w:tcPr>
          <w:p>
            <w:pPr>
              <w:spacing w:before="29" w:line="288" w:lineRule="auto"/>
              <w:rPr>
                <w:szCs w:val="21"/>
              </w:rPr>
            </w:pPr>
            <w:r>
              <w:rPr>
                <w:szCs w:val="21"/>
              </w:rPr>
              <w:t>交银丰晟收益债券A</w:t>
            </w:r>
          </w:p>
        </w:tc>
        <w:tc>
          <w:tcPr>
            <w:tcW w:w="744" w:type="pct"/>
            <w:vAlign w:val="center"/>
          </w:tcPr>
          <w:p>
            <w:pPr>
              <w:spacing w:before="29" w:line="288" w:lineRule="auto"/>
              <w:rPr>
                <w:szCs w:val="21"/>
              </w:rPr>
            </w:pPr>
            <w:r>
              <w:rPr>
                <w:szCs w:val="21"/>
              </w:rPr>
              <w:t>交银丰晟收益债券C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pct"/>
            <w:vAlign w:val="center"/>
          </w:tcPr>
          <w:p>
            <w:pPr>
              <w:spacing w:before="29" w:line="288" w:lineRule="auto"/>
              <w:rPr>
                <w:szCs w:val="21"/>
              </w:rPr>
            </w:pPr>
            <w:r>
              <w:rPr>
                <w:rFonts w:hint="eastAsia"/>
                <w:szCs w:val="21"/>
              </w:rPr>
              <w:t>期末可供分配利润</w:t>
            </w:r>
          </w:p>
        </w:tc>
        <w:tc>
          <w:tcPr>
            <w:tcW w:w="687" w:type="pct"/>
            <w:vAlign w:val="center"/>
          </w:tcPr>
          <w:p>
            <w:pPr>
              <w:spacing w:before="29" w:line="288" w:lineRule="auto"/>
              <w:jc w:val="right"/>
              <w:rPr>
                <w:szCs w:val="21"/>
              </w:rPr>
            </w:pPr>
            <w:r>
              <w:rPr>
                <w:szCs w:val="21"/>
              </w:rPr>
              <w:t>17,796,209.23</w:t>
            </w:r>
          </w:p>
        </w:tc>
        <w:tc>
          <w:tcPr>
            <w:tcW w:w="687" w:type="pct"/>
            <w:vAlign w:val="center"/>
          </w:tcPr>
          <w:p>
            <w:pPr>
              <w:spacing w:before="29" w:line="288" w:lineRule="auto"/>
              <w:jc w:val="right"/>
              <w:rPr>
                <w:szCs w:val="21"/>
              </w:rPr>
            </w:pPr>
            <w:r>
              <w:rPr>
                <w:szCs w:val="21"/>
              </w:rPr>
              <w:t>6,792.94</w:t>
            </w:r>
          </w:p>
        </w:tc>
        <w:tc>
          <w:tcPr>
            <w:tcW w:w="688" w:type="pct"/>
            <w:vAlign w:val="center"/>
          </w:tcPr>
          <w:p>
            <w:pPr>
              <w:spacing w:before="29" w:line="288" w:lineRule="auto"/>
              <w:jc w:val="right"/>
              <w:rPr>
                <w:szCs w:val="21"/>
              </w:rPr>
            </w:pPr>
            <w:r>
              <w:rPr>
                <w:szCs w:val="21"/>
              </w:rPr>
              <w:t>20,460,022.39</w:t>
            </w:r>
          </w:p>
        </w:tc>
        <w:tc>
          <w:tcPr>
            <w:tcW w:w="688" w:type="pct"/>
            <w:vAlign w:val="center"/>
          </w:tcPr>
          <w:p>
            <w:pPr>
              <w:spacing w:before="29" w:line="288" w:lineRule="auto"/>
              <w:jc w:val="right"/>
              <w:rPr>
                <w:szCs w:val="21"/>
              </w:rPr>
            </w:pPr>
            <w:r>
              <w:rPr>
                <w:szCs w:val="21"/>
              </w:rPr>
              <w:t>43,045.50</w:t>
            </w:r>
          </w:p>
        </w:tc>
        <w:tc>
          <w:tcPr>
            <w:tcW w:w="684" w:type="pct"/>
            <w:vAlign w:val="center"/>
          </w:tcPr>
          <w:p>
            <w:pPr>
              <w:spacing w:before="29" w:line="288" w:lineRule="auto"/>
              <w:jc w:val="right"/>
              <w:rPr>
                <w:szCs w:val="21"/>
              </w:rPr>
            </w:pPr>
            <w:r>
              <w:rPr>
                <w:szCs w:val="21"/>
              </w:rPr>
              <w:t>12,167,959.63</w:t>
            </w:r>
          </w:p>
        </w:tc>
        <w:tc>
          <w:tcPr>
            <w:tcW w:w="744" w:type="pct"/>
            <w:vAlign w:val="center"/>
          </w:tcPr>
          <w:p>
            <w:pPr>
              <w:spacing w:before="29" w:line="288" w:lineRule="auto"/>
              <w:jc w:val="right"/>
              <w:rPr>
                <w:szCs w:val="21"/>
              </w:rPr>
            </w:pPr>
            <w:r>
              <w:rPr>
                <w:szCs w:val="21"/>
              </w:rPr>
              <w:t>25,589.73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pct"/>
            <w:vAlign w:val="center"/>
          </w:tcPr>
          <w:p>
            <w:pPr>
              <w:spacing w:before="29" w:line="288" w:lineRule="auto"/>
              <w:rPr>
                <w:szCs w:val="21"/>
              </w:rPr>
            </w:pPr>
            <w:r>
              <w:rPr>
                <w:rFonts w:hint="eastAsia"/>
                <w:szCs w:val="21"/>
              </w:rPr>
              <w:t>期末可供分配基金份额利润</w:t>
            </w:r>
          </w:p>
        </w:tc>
        <w:tc>
          <w:tcPr>
            <w:tcW w:w="687" w:type="pct"/>
            <w:vAlign w:val="center"/>
          </w:tcPr>
          <w:p>
            <w:pPr>
              <w:spacing w:before="29" w:line="288" w:lineRule="auto"/>
              <w:jc w:val="right"/>
              <w:rPr>
                <w:szCs w:val="21"/>
              </w:rPr>
            </w:pPr>
            <w:r>
              <w:rPr>
                <w:szCs w:val="21"/>
              </w:rPr>
              <w:t>0.0642</w:t>
            </w:r>
          </w:p>
        </w:tc>
        <w:tc>
          <w:tcPr>
            <w:tcW w:w="687" w:type="pct"/>
            <w:vAlign w:val="center"/>
          </w:tcPr>
          <w:p>
            <w:pPr>
              <w:spacing w:before="29" w:line="288" w:lineRule="auto"/>
              <w:jc w:val="right"/>
              <w:rPr>
                <w:szCs w:val="21"/>
              </w:rPr>
            </w:pPr>
            <w:r>
              <w:rPr>
                <w:szCs w:val="21"/>
              </w:rPr>
              <w:t>0.0574</w:t>
            </w:r>
          </w:p>
        </w:tc>
        <w:tc>
          <w:tcPr>
            <w:tcW w:w="688" w:type="pct"/>
            <w:vAlign w:val="center"/>
          </w:tcPr>
          <w:p>
            <w:pPr>
              <w:spacing w:before="29" w:line="288" w:lineRule="auto"/>
              <w:jc w:val="right"/>
              <w:rPr>
                <w:szCs w:val="21"/>
              </w:rPr>
            </w:pPr>
            <w:r>
              <w:rPr>
                <w:szCs w:val="21"/>
              </w:rPr>
              <w:t>0.0618</w:t>
            </w:r>
          </w:p>
        </w:tc>
        <w:tc>
          <w:tcPr>
            <w:tcW w:w="688" w:type="pct"/>
            <w:vAlign w:val="center"/>
          </w:tcPr>
          <w:p>
            <w:pPr>
              <w:spacing w:before="29" w:line="288" w:lineRule="auto"/>
              <w:jc w:val="right"/>
              <w:rPr>
                <w:szCs w:val="21"/>
              </w:rPr>
            </w:pPr>
            <w:r>
              <w:rPr>
                <w:szCs w:val="21"/>
              </w:rPr>
              <w:t>0.0554</w:t>
            </w:r>
          </w:p>
        </w:tc>
        <w:tc>
          <w:tcPr>
            <w:tcW w:w="684" w:type="pct"/>
            <w:vAlign w:val="center"/>
          </w:tcPr>
          <w:p>
            <w:pPr>
              <w:spacing w:before="29" w:line="288" w:lineRule="auto"/>
              <w:jc w:val="right"/>
              <w:rPr>
                <w:szCs w:val="21"/>
              </w:rPr>
            </w:pPr>
            <w:r>
              <w:rPr>
                <w:szCs w:val="21"/>
              </w:rPr>
              <w:t>0.0368</w:t>
            </w:r>
          </w:p>
        </w:tc>
        <w:tc>
          <w:tcPr>
            <w:tcW w:w="744" w:type="pct"/>
            <w:vAlign w:val="center"/>
          </w:tcPr>
          <w:p>
            <w:pPr>
              <w:spacing w:before="29" w:line="288" w:lineRule="auto"/>
              <w:jc w:val="right"/>
              <w:rPr>
                <w:szCs w:val="21"/>
              </w:rPr>
            </w:pPr>
            <w:r>
              <w:rPr>
                <w:szCs w:val="21"/>
              </w:rPr>
              <w:t>0.0329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pct"/>
            <w:vAlign w:val="center"/>
          </w:tcPr>
          <w:p>
            <w:pPr>
              <w:spacing w:before="29" w:line="288" w:lineRule="auto"/>
              <w:rPr>
                <w:szCs w:val="21"/>
              </w:rPr>
            </w:pPr>
            <w:r>
              <w:rPr>
                <w:rFonts w:hint="eastAsia"/>
                <w:szCs w:val="21"/>
              </w:rPr>
              <w:t>期末基金资产净值</w:t>
            </w:r>
          </w:p>
        </w:tc>
        <w:tc>
          <w:tcPr>
            <w:tcW w:w="687" w:type="pct"/>
            <w:vAlign w:val="center"/>
          </w:tcPr>
          <w:p>
            <w:pPr>
              <w:spacing w:before="29" w:line="288" w:lineRule="auto"/>
              <w:jc w:val="right"/>
              <w:rPr>
                <w:szCs w:val="21"/>
              </w:rPr>
            </w:pPr>
            <w:r>
              <w:rPr>
                <w:szCs w:val="21"/>
              </w:rPr>
              <w:t>294,857,414.95</w:t>
            </w:r>
          </w:p>
        </w:tc>
        <w:tc>
          <w:tcPr>
            <w:tcW w:w="687" w:type="pct"/>
            <w:vAlign w:val="center"/>
          </w:tcPr>
          <w:p>
            <w:pPr>
              <w:spacing w:before="29" w:line="288" w:lineRule="auto"/>
              <w:jc w:val="right"/>
              <w:rPr>
                <w:szCs w:val="21"/>
              </w:rPr>
            </w:pPr>
            <w:r>
              <w:rPr>
                <w:szCs w:val="21"/>
              </w:rPr>
              <w:t>125,130.22</w:t>
            </w:r>
          </w:p>
        </w:tc>
        <w:tc>
          <w:tcPr>
            <w:tcW w:w="688" w:type="pct"/>
            <w:vAlign w:val="center"/>
          </w:tcPr>
          <w:p>
            <w:pPr>
              <w:spacing w:before="29" w:line="288" w:lineRule="auto"/>
              <w:jc w:val="right"/>
              <w:rPr>
                <w:szCs w:val="21"/>
              </w:rPr>
            </w:pPr>
            <w:r>
              <w:rPr>
                <w:szCs w:val="21"/>
              </w:rPr>
              <w:t>360,924,337.56</w:t>
            </w:r>
          </w:p>
        </w:tc>
        <w:tc>
          <w:tcPr>
            <w:tcW w:w="688" w:type="pct"/>
            <w:vAlign w:val="center"/>
          </w:tcPr>
          <w:p>
            <w:pPr>
              <w:spacing w:before="29" w:line="288" w:lineRule="auto"/>
              <w:jc w:val="right"/>
              <w:rPr>
                <w:szCs w:val="21"/>
              </w:rPr>
            </w:pPr>
            <w:r>
              <w:rPr>
                <w:szCs w:val="21"/>
              </w:rPr>
              <w:t>842,327.96</w:t>
            </w:r>
          </w:p>
        </w:tc>
        <w:tc>
          <w:tcPr>
            <w:tcW w:w="684" w:type="pct"/>
            <w:vAlign w:val="center"/>
          </w:tcPr>
          <w:p>
            <w:pPr>
              <w:spacing w:before="29" w:line="288" w:lineRule="auto"/>
              <w:jc w:val="right"/>
              <w:rPr>
                <w:szCs w:val="21"/>
              </w:rPr>
            </w:pPr>
            <w:r>
              <w:rPr>
                <w:szCs w:val="21"/>
              </w:rPr>
              <w:t>353,280,237.26</w:t>
            </w:r>
          </w:p>
        </w:tc>
        <w:tc>
          <w:tcPr>
            <w:tcW w:w="744" w:type="pct"/>
            <w:vAlign w:val="center"/>
          </w:tcPr>
          <w:p>
            <w:pPr>
              <w:spacing w:before="29" w:line="288" w:lineRule="auto"/>
              <w:jc w:val="right"/>
              <w:rPr>
                <w:szCs w:val="21"/>
              </w:rPr>
            </w:pPr>
            <w:r>
              <w:rPr>
                <w:szCs w:val="21"/>
              </w:rPr>
              <w:t>826,389.70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pct"/>
            <w:vAlign w:val="center"/>
          </w:tcPr>
          <w:p>
            <w:pPr>
              <w:spacing w:before="29" w:line="288" w:lineRule="auto"/>
              <w:rPr>
                <w:szCs w:val="21"/>
              </w:rPr>
            </w:pPr>
            <w:r>
              <w:rPr>
                <w:rFonts w:hint="eastAsia"/>
                <w:szCs w:val="21"/>
              </w:rPr>
              <w:t>期末基金份额净值</w:t>
            </w:r>
          </w:p>
        </w:tc>
        <w:tc>
          <w:tcPr>
            <w:tcW w:w="687" w:type="pct"/>
            <w:vAlign w:val="center"/>
          </w:tcPr>
          <w:p>
            <w:pPr>
              <w:spacing w:before="29" w:line="288" w:lineRule="auto"/>
              <w:jc w:val="right"/>
              <w:rPr>
                <w:szCs w:val="21"/>
              </w:rPr>
            </w:pPr>
            <w:r>
              <w:rPr>
                <w:szCs w:val="21"/>
              </w:rPr>
              <w:t>1.0642</w:t>
            </w:r>
          </w:p>
        </w:tc>
        <w:tc>
          <w:tcPr>
            <w:tcW w:w="687" w:type="pct"/>
            <w:vAlign w:val="center"/>
          </w:tcPr>
          <w:p>
            <w:pPr>
              <w:spacing w:before="29" w:line="288" w:lineRule="auto"/>
              <w:jc w:val="right"/>
              <w:rPr>
                <w:szCs w:val="21"/>
              </w:rPr>
            </w:pPr>
            <w:r>
              <w:rPr>
                <w:szCs w:val="21"/>
              </w:rPr>
              <w:t>1.0574</w:t>
            </w:r>
          </w:p>
        </w:tc>
        <w:tc>
          <w:tcPr>
            <w:tcW w:w="688" w:type="pct"/>
            <w:vAlign w:val="center"/>
          </w:tcPr>
          <w:p>
            <w:pPr>
              <w:spacing w:before="29" w:line="288" w:lineRule="auto"/>
              <w:jc w:val="right"/>
              <w:rPr>
                <w:szCs w:val="21"/>
              </w:rPr>
            </w:pPr>
            <w:r>
              <w:rPr>
                <w:szCs w:val="21"/>
              </w:rPr>
              <w:t>1.0910</w:t>
            </w:r>
          </w:p>
        </w:tc>
        <w:tc>
          <w:tcPr>
            <w:tcW w:w="688" w:type="pct"/>
            <w:vAlign w:val="center"/>
          </w:tcPr>
          <w:p>
            <w:pPr>
              <w:spacing w:before="29" w:line="288" w:lineRule="auto"/>
              <w:jc w:val="right"/>
              <w:rPr>
                <w:szCs w:val="21"/>
              </w:rPr>
            </w:pPr>
            <w:r>
              <w:rPr>
                <w:szCs w:val="21"/>
              </w:rPr>
              <w:t>1.0845</w:t>
            </w:r>
          </w:p>
        </w:tc>
        <w:tc>
          <w:tcPr>
            <w:tcW w:w="684" w:type="pct"/>
            <w:vAlign w:val="center"/>
          </w:tcPr>
          <w:p>
            <w:pPr>
              <w:spacing w:before="29" w:line="288" w:lineRule="auto"/>
              <w:jc w:val="right"/>
              <w:rPr>
                <w:szCs w:val="21"/>
              </w:rPr>
            </w:pPr>
            <w:r>
              <w:rPr>
                <w:szCs w:val="21"/>
              </w:rPr>
              <w:t>1.0679</w:t>
            </w:r>
          </w:p>
        </w:tc>
        <w:tc>
          <w:tcPr>
            <w:tcW w:w="744" w:type="pct"/>
            <w:vAlign w:val="center"/>
          </w:tcPr>
          <w:p>
            <w:pPr>
              <w:spacing w:before="29" w:line="288" w:lineRule="auto"/>
              <w:jc w:val="right"/>
              <w:rPr>
                <w:szCs w:val="21"/>
              </w:rPr>
            </w:pPr>
            <w:r>
              <w:rPr>
                <w:szCs w:val="21"/>
              </w:rPr>
              <w:t>1.0640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pct"/>
            <w:vMerge w:val="restart"/>
            <w:vAlign w:val="center"/>
          </w:tcPr>
          <w:p>
            <w:pPr>
              <w:spacing w:before="29" w:line="288" w:lineRule="auto"/>
              <w:ind w:left="-107" w:leftChars="-51" w:right="-107" w:rightChars="-51"/>
              <w:rPr>
                <w:b/>
                <w:color w:val="000000"/>
                <w:szCs w:val="21"/>
              </w:rPr>
            </w:pPr>
            <w:r>
              <w:rPr>
                <w:b/>
                <w:color w:val="000000"/>
                <w:szCs w:val="21"/>
              </w:rPr>
              <w:t>3.1.3</w:t>
            </w:r>
            <w:r>
              <w:rPr>
                <w:rFonts w:hint="eastAsia"/>
                <w:b/>
                <w:color w:val="000000"/>
                <w:szCs w:val="21"/>
              </w:rPr>
              <w:t>累计期末指标</w:t>
            </w:r>
          </w:p>
        </w:tc>
        <w:tc>
          <w:tcPr>
            <w:tcW w:w="1374" w:type="pct"/>
            <w:gridSpan w:val="2"/>
            <w:vAlign w:val="center"/>
          </w:tcPr>
          <w:p>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5" w:type="pct"/>
            <w:gridSpan w:val="2"/>
            <w:vAlign w:val="center"/>
          </w:tcPr>
          <w:p>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30" w:type="pct"/>
            <w:gridSpan w:val="2"/>
            <w:vAlign w:val="center"/>
          </w:tcPr>
          <w:p>
            <w:pPr>
              <w:spacing w:before="29" w:line="288" w:lineRule="auto"/>
              <w:jc w:val="center"/>
              <w:rPr>
                <w:b/>
                <w:color w:val="000000"/>
                <w:szCs w:val="21"/>
              </w:rPr>
            </w:pPr>
            <w:r>
              <w:rPr>
                <w:b/>
                <w:color w:val="000000"/>
                <w:szCs w:val="21"/>
              </w:rPr>
              <w:t>2018</w:t>
            </w:r>
            <w:r>
              <w:rPr>
                <w:rFonts w:hint="eastAsia"/>
                <w:b/>
                <w:color w:val="000000"/>
                <w:szCs w:val="21"/>
              </w:rPr>
              <w:t>年末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pct"/>
            <w:vMerge w:val="continue"/>
            <w:vAlign w:val="center"/>
          </w:tcPr>
          <w:p>
            <w:pPr>
              <w:widowControl/>
              <w:spacing w:line="360" w:lineRule="auto"/>
              <w:jc w:val="left"/>
              <w:rPr>
                <w:rFonts w:asciiTheme="minorEastAsia" w:hAnsiTheme="minorEastAsia" w:eastAsiaTheme="minorEastAsia"/>
                <w:b/>
                <w:color w:val="000000"/>
                <w:szCs w:val="21"/>
              </w:rPr>
            </w:pPr>
          </w:p>
        </w:tc>
        <w:tc>
          <w:tcPr>
            <w:tcW w:w="687" w:type="pct"/>
            <w:vAlign w:val="center"/>
          </w:tcPr>
          <w:p>
            <w:pPr>
              <w:spacing w:before="29" w:line="288" w:lineRule="auto"/>
              <w:rPr>
                <w:szCs w:val="21"/>
              </w:rPr>
            </w:pPr>
            <w:r>
              <w:rPr>
                <w:szCs w:val="21"/>
              </w:rPr>
              <w:t>交银丰晟收益债券A</w:t>
            </w:r>
          </w:p>
        </w:tc>
        <w:tc>
          <w:tcPr>
            <w:tcW w:w="687" w:type="pct"/>
            <w:vAlign w:val="center"/>
          </w:tcPr>
          <w:p>
            <w:pPr>
              <w:spacing w:before="29" w:line="288" w:lineRule="auto"/>
              <w:rPr>
                <w:szCs w:val="21"/>
              </w:rPr>
            </w:pPr>
            <w:r>
              <w:rPr>
                <w:szCs w:val="21"/>
              </w:rPr>
              <w:t>交银丰晟收益债券C</w:t>
            </w:r>
          </w:p>
        </w:tc>
        <w:tc>
          <w:tcPr>
            <w:tcW w:w="687" w:type="pct"/>
            <w:vAlign w:val="center"/>
          </w:tcPr>
          <w:p>
            <w:pPr>
              <w:spacing w:before="29" w:line="288" w:lineRule="auto"/>
              <w:rPr>
                <w:szCs w:val="21"/>
              </w:rPr>
            </w:pPr>
            <w:r>
              <w:rPr>
                <w:szCs w:val="21"/>
              </w:rPr>
              <w:t>交银丰晟收益债券A</w:t>
            </w:r>
          </w:p>
        </w:tc>
        <w:tc>
          <w:tcPr>
            <w:tcW w:w="688" w:type="pct"/>
            <w:vAlign w:val="center"/>
          </w:tcPr>
          <w:p>
            <w:pPr>
              <w:spacing w:before="29" w:line="288" w:lineRule="auto"/>
              <w:rPr>
                <w:szCs w:val="21"/>
              </w:rPr>
            </w:pPr>
            <w:r>
              <w:rPr>
                <w:szCs w:val="21"/>
              </w:rPr>
              <w:t>交银丰晟收益债券C</w:t>
            </w:r>
          </w:p>
        </w:tc>
        <w:tc>
          <w:tcPr>
            <w:tcW w:w="687" w:type="pct"/>
            <w:vAlign w:val="center"/>
          </w:tcPr>
          <w:p>
            <w:pPr>
              <w:spacing w:before="29" w:line="288" w:lineRule="auto"/>
              <w:rPr>
                <w:szCs w:val="21"/>
              </w:rPr>
            </w:pPr>
            <w:r>
              <w:rPr>
                <w:szCs w:val="21"/>
              </w:rPr>
              <w:t>交银丰晟收益债券A</w:t>
            </w:r>
          </w:p>
        </w:tc>
        <w:tc>
          <w:tcPr>
            <w:tcW w:w="743" w:type="pct"/>
            <w:vAlign w:val="center"/>
          </w:tcPr>
          <w:p>
            <w:pPr>
              <w:spacing w:before="29" w:line="288" w:lineRule="auto"/>
              <w:rPr>
                <w:szCs w:val="21"/>
              </w:rPr>
            </w:pPr>
            <w:r>
              <w:rPr>
                <w:szCs w:val="21"/>
              </w:rPr>
              <w:t>交银丰晟收益债券C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2" w:type="pct"/>
            <w:vAlign w:val="center"/>
          </w:tcPr>
          <w:p>
            <w:pPr>
              <w:spacing w:before="29" w:line="288" w:lineRule="auto"/>
              <w:rPr>
                <w:rFonts w:asciiTheme="minorEastAsia" w:hAnsiTheme="minorEastAsia" w:eastAsiaTheme="minorEastAsia"/>
                <w:szCs w:val="21"/>
              </w:rPr>
            </w:pPr>
            <w:r>
              <w:rPr>
                <w:rFonts w:hint="eastAsia"/>
                <w:szCs w:val="21"/>
              </w:rPr>
              <w:t>基金份额累计净值增长率</w:t>
            </w:r>
          </w:p>
        </w:tc>
        <w:tc>
          <w:tcPr>
            <w:tcW w:w="687" w:type="pct"/>
            <w:vAlign w:val="center"/>
          </w:tcPr>
          <w:p>
            <w:pPr>
              <w:spacing w:before="29" w:line="288" w:lineRule="auto"/>
              <w:jc w:val="right"/>
              <w:rPr>
                <w:szCs w:val="21"/>
              </w:rPr>
            </w:pPr>
            <w:r>
              <w:rPr>
                <w:szCs w:val="21"/>
              </w:rPr>
              <w:t>15.80%</w:t>
            </w:r>
          </w:p>
        </w:tc>
        <w:tc>
          <w:tcPr>
            <w:tcW w:w="687" w:type="pct"/>
            <w:vAlign w:val="center"/>
          </w:tcPr>
          <w:p>
            <w:pPr>
              <w:spacing w:before="29" w:line="288" w:lineRule="auto"/>
              <w:jc w:val="right"/>
              <w:rPr>
                <w:szCs w:val="21"/>
              </w:rPr>
            </w:pPr>
            <w:r>
              <w:rPr>
                <w:szCs w:val="21"/>
              </w:rPr>
              <w:t>14.01%</w:t>
            </w:r>
          </w:p>
        </w:tc>
        <w:tc>
          <w:tcPr>
            <w:tcW w:w="687" w:type="pct"/>
            <w:vAlign w:val="center"/>
          </w:tcPr>
          <w:p>
            <w:pPr>
              <w:spacing w:before="29" w:line="288" w:lineRule="auto"/>
              <w:jc w:val="right"/>
              <w:rPr>
                <w:szCs w:val="21"/>
              </w:rPr>
            </w:pPr>
            <w:r>
              <w:rPr>
                <w:szCs w:val="21"/>
              </w:rPr>
              <w:t>12.64%</w:t>
            </w:r>
          </w:p>
        </w:tc>
        <w:tc>
          <w:tcPr>
            <w:tcW w:w="688" w:type="pct"/>
            <w:vAlign w:val="center"/>
          </w:tcPr>
          <w:p>
            <w:pPr>
              <w:spacing w:before="29" w:line="288" w:lineRule="auto"/>
              <w:jc w:val="right"/>
              <w:rPr>
                <w:szCs w:val="21"/>
              </w:rPr>
            </w:pPr>
            <w:r>
              <w:rPr>
                <w:szCs w:val="21"/>
              </w:rPr>
              <w:t>11.55%</w:t>
            </w:r>
          </w:p>
        </w:tc>
        <w:tc>
          <w:tcPr>
            <w:tcW w:w="687" w:type="pct"/>
            <w:vAlign w:val="center"/>
          </w:tcPr>
          <w:p>
            <w:pPr>
              <w:spacing w:before="29" w:line="288" w:lineRule="auto"/>
              <w:jc w:val="right"/>
              <w:rPr>
                <w:szCs w:val="21"/>
              </w:rPr>
            </w:pPr>
            <w:r>
              <w:rPr>
                <w:szCs w:val="21"/>
              </w:rPr>
              <w:t>6.79%</w:t>
            </w:r>
          </w:p>
        </w:tc>
        <w:tc>
          <w:tcPr>
            <w:tcW w:w="743" w:type="pct"/>
            <w:vAlign w:val="center"/>
          </w:tcPr>
          <w:p>
            <w:pPr>
              <w:spacing w:before="29" w:line="288" w:lineRule="auto"/>
              <w:jc w:val="right"/>
              <w:rPr>
                <w:szCs w:val="21"/>
              </w:rPr>
            </w:pPr>
            <w:r>
              <w:rPr>
                <w:szCs w:val="21"/>
              </w:rPr>
              <w:t>6.40%</w:t>
            </w:r>
          </w:p>
        </w:tc>
      </w:tr>
    </w:tbl>
    <w:p>
      <w:pPr>
        <w:tabs>
          <w:tab w:val="left" w:pos="426"/>
        </w:tabs>
        <w:spacing w:before="29" w:line="288" w:lineRule="auto"/>
        <w:jc w:val="left"/>
        <w:rPr>
          <w:kern w:val="0"/>
          <w:sz w:val="24"/>
        </w:rPr>
      </w:pPr>
      <w:r>
        <w:rPr>
          <w:kern w:val="0"/>
          <w:sz w:val="24"/>
        </w:rPr>
        <w:t>注：1、本基金A类业绩指标不包括持有人认购或交易基金的各项费用，计入费用后的实际收益水平要低于所列数字。 　</w:t>
      </w:r>
    </w:p>
    <w:p>
      <w:pPr>
        <w:tabs>
          <w:tab w:val="left" w:pos="426"/>
        </w:tabs>
        <w:spacing w:before="29" w:line="288" w:lineRule="auto"/>
        <w:jc w:val="left"/>
        <w:rPr>
          <w:kern w:val="0"/>
          <w:sz w:val="24"/>
        </w:rPr>
      </w:pPr>
      <w:r>
        <w:rPr>
          <w:kern w:val="0"/>
          <w:sz w:val="24"/>
        </w:rPr>
        <w:t>2、本期已实现收益指基金本期利息收入、投资收益、其他收入（不含公允价值变动收益）扣除相关费用后的余额，本期利润为本期已实现收益加上本期公允价值变动收益。</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2" w:name="_Toc225498252"/>
      <w:bookmarkStart w:id="33" w:name="_Toc361324852"/>
      <w:bookmarkStart w:id="34" w:name="_Toc67667890"/>
      <w:r>
        <w:rPr>
          <w:rFonts w:ascii="Times New Roman" w:hAnsi="Times New Roman"/>
          <w:kern w:val="0"/>
          <w:szCs w:val="24"/>
        </w:rPr>
        <w:t xml:space="preserve">3.2 </w:t>
      </w:r>
      <w:r>
        <w:rPr>
          <w:rFonts w:hint="eastAsia" w:ascii="Times New Roman" w:hAnsi="Times New Roman"/>
          <w:kern w:val="0"/>
          <w:szCs w:val="24"/>
        </w:rPr>
        <w:t>基金净值表现</w:t>
      </w:r>
      <w:bookmarkEnd w:id="32"/>
      <w:bookmarkEnd w:id="33"/>
      <w:bookmarkEnd w:id="34"/>
    </w:p>
    <w:p>
      <w:pPr>
        <w:spacing w:before="29" w:line="288" w:lineRule="auto"/>
        <w:rPr>
          <w:rFonts w:eastAsiaTheme="minorEastAsia"/>
          <w:b/>
          <w:sz w:val="24"/>
        </w:rPr>
      </w:pPr>
      <w:r>
        <w:rPr>
          <w:rFonts w:eastAsiaTheme="minorEastAsia"/>
          <w:b/>
          <w:sz w:val="24"/>
        </w:rPr>
        <w:t xml:space="preserve">3.2.1 </w:t>
      </w:r>
      <w:r>
        <w:rPr>
          <w:rFonts w:hint="eastAsia" w:eastAsiaTheme="minorEastAsia"/>
          <w:b/>
          <w:sz w:val="24"/>
        </w:rPr>
        <w:t>基金份额净值增长率及其与同期业绩比较基准收益率的比较</w:t>
      </w:r>
    </w:p>
    <w:p>
      <w:pPr>
        <w:pStyle w:val="16"/>
        <w:spacing w:before="29" w:line="288" w:lineRule="auto"/>
        <w:ind w:firstLine="0" w:firstLineChars="0"/>
        <w:rPr>
          <w:rFonts w:ascii="Times New Roman" w:hAnsi="Times New Roman"/>
          <w:color w:val="auto"/>
        </w:rPr>
      </w:pPr>
      <w:r>
        <w:rPr>
          <w:rFonts w:ascii="Times New Roman" w:hAnsi="Times New Roman"/>
          <w:color w:val="auto"/>
        </w:rPr>
        <w:t>1</w:t>
      </w:r>
      <w:r>
        <w:rPr>
          <w:rFonts w:hint="eastAsia" w:ascii="Times New Roman" w:hAnsi="Times New Roman"/>
          <w:color w:val="auto"/>
        </w:rPr>
        <w:t>．</w:t>
      </w:r>
      <w:r>
        <w:rPr>
          <w:rFonts w:ascii="Times New Roman" w:hAnsi="Times New Roman"/>
          <w:color w:val="auto"/>
        </w:rPr>
        <w:t>交银丰晟收益债券A</w:t>
      </w:r>
      <w:r>
        <w:rPr>
          <w:rFonts w:hint="eastAsia" w:ascii="Times New Roman" w:hAnsi="Times New Roman"/>
          <w:color w:val="auto"/>
        </w:rPr>
        <w:t>：</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286"/>
        <w:gridCol w:w="1286"/>
        <w:gridCol w:w="1285"/>
        <w:gridCol w:w="1285"/>
        <w:gridCol w:w="1285"/>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jc w:val="center"/>
              <w:rPr>
                <w:color w:val="000000"/>
                <w:sz w:val="24"/>
              </w:rPr>
            </w:pPr>
            <w:r>
              <w:rPr>
                <w:rFonts w:hint="eastAsia"/>
                <w:color w:val="000000"/>
                <w:sz w:val="24"/>
              </w:rPr>
              <w:t>阶段</w:t>
            </w:r>
          </w:p>
        </w:tc>
        <w:tc>
          <w:tcPr>
            <w:tcW w:w="3459" w:type="dxa"/>
            <w:vAlign w:val="center"/>
          </w:tcPr>
          <w:p>
            <w:pPr>
              <w:spacing w:before="29" w:line="288" w:lineRule="auto"/>
              <w:jc w:val="center"/>
              <w:rPr>
                <w:color w:val="000000"/>
                <w:sz w:val="24"/>
              </w:rPr>
            </w:pPr>
            <w:r>
              <w:rPr>
                <w:rFonts w:hint="eastAsia"/>
                <w:color w:val="000000"/>
                <w:sz w:val="24"/>
              </w:rPr>
              <w:t>份额净值增长率①</w:t>
            </w:r>
          </w:p>
        </w:tc>
        <w:tc>
          <w:tcPr>
            <w:tcW w:w="3459" w:type="dxa"/>
            <w:vAlign w:val="center"/>
          </w:tcPr>
          <w:p>
            <w:pPr>
              <w:spacing w:before="29" w:line="288" w:lineRule="auto"/>
              <w:jc w:val="center"/>
              <w:rPr>
                <w:color w:val="000000"/>
                <w:sz w:val="24"/>
              </w:rPr>
            </w:pPr>
            <w:r>
              <w:rPr>
                <w:rFonts w:hint="eastAsia"/>
                <w:color w:val="000000"/>
                <w:sz w:val="24"/>
              </w:rPr>
              <w:t>份额净值增长率标准差②</w:t>
            </w:r>
          </w:p>
        </w:tc>
        <w:tc>
          <w:tcPr>
            <w:tcW w:w="3459" w:type="dxa"/>
            <w:vAlign w:val="center"/>
          </w:tcPr>
          <w:p>
            <w:pPr>
              <w:spacing w:before="29" w:line="288" w:lineRule="auto"/>
              <w:jc w:val="center"/>
              <w:rPr>
                <w:color w:val="000000"/>
                <w:sz w:val="24"/>
              </w:rPr>
            </w:pPr>
            <w:r>
              <w:rPr>
                <w:rFonts w:hint="eastAsia"/>
                <w:color w:val="000000"/>
                <w:sz w:val="24"/>
              </w:rPr>
              <w:t>业绩比较基准收益率③</w:t>
            </w:r>
          </w:p>
        </w:tc>
        <w:tc>
          <w:tcPr>
            <w:tcW w:w="3459" w:type="dxa"/>
            <w:vAlign w:val="center"/>
          </w:tcPr>
          <w:p>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pPr>
              <w:spacing w:before="29" w:line="288" w:lineRule="auto"/>
              <w:jc w:val="center"/>
              <w:rPr>
                <w:color w:val="000000"/>
                <w:sz w:val="24"/>
              </w:rPr>
            </w:pPr>
            <w:r>
              <w:rPr>
                <w:rFonts w:hint="eastAsia"/>
                <w:color w:val="000000"/>
                <w:sz w:val="24"/>
              </w:rPr>
              <w:t>①－③</w:t>
            </w:r>
          </w:p>
        </w:tc>
        <w:tc>
          <w:tcPr>
            <w:tcW w:w="3459" w:type="dxa"/>
            <w:vAlign w:val="center"/>
          </w:tcPr>
          <w:p>
            <w:pPr>
              <w:spacing w:before="29" w:line="288" w:lineRule="auto"/>
              <w:jc w:val="center"/>
              <w:rPr>
                <w:color w:val="000000"/>
                <w:sz w:val="24"/>
              </w:rPr>
            </w:pPr>
            <w:r>
              <w:rPr>
                <w:rFonts w:hint="eastAsia"/>
                <w:color w:val="000000"/>
                <w:sz w:val="24"/>
              </w:rPr>
              <w:t>②－④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过去三个月</w:t>
            </w:r>
          </w:p>
        </w:tc>
        <w:tc>
          <w:tcPr>
            <w:tcW w:w="1286" w:type="dxa"/>
            <w:vAlign w:val="center"/>
          </w:tcPr>
          <w:p>
            <w:pPr>
              <w:jc w:val="center"/>
            </w:pPr>
            <w:r>
              <w:rPr>
                <w:color w:val="000000"/>
                <w:sz w:val="24"/>
              </w:rPr>
              <w:t>0.57%</w:t>
            </w:r>
          </w:p>
        </w:tc>
        <w:tc>
          <w:tcPr>
            <w:tcW w:w="1286" w:type="dxa"/>
            <w:vAlign w:val="center"/>
          </w:tcPr>
          <w:p>
            <w:pPr>
              <w:jc w:val="center"/>
            </w:pPr>
            <w:r>
              <w:rPr>
                <w:color w:val="000000"/>
                <w:sz w:val="24"/>
              </w:rPr>
              <w:t>0.05%</w:t>
            </w:r>
          </w:p>
        </w:tc>
        <w:tc>
          <w:tcPr>
            <w:tcW w:w="1285" w:type="dxa"/>
            <w:vAlign w:val="center"/>
          </w:tcPr>
          <w:p>
            <w:pPr>
              <w:jc w:val="center"/>
            </w:pPr>
            <w:r>
              <w:rPr>
                <w:color w:val="000000"/>
                <w:sz w:val="24"/>
              </w:rPr>
              <w:t>0.64%</w:t>
            </w:r>
          </w:p>
        </w:tc>
        <w:tc>
          <w:tcPr>
            <w:tcW w:w="1285" w:type="dxa"/>
            <w:vAlign w:val="center"/>
          </w:tcPr>
          <w:p>
            <w:pPr>
              <w:jc w:val="center"/>
            </w:pPr>
            <w:r>
              <w:rPr>
                <w:color w:val="000000"/>
                <w:sz w:val="24"/>
              </w:rPr>
              <w:t>0.04%</w:t>
            </w:r>
          </w:p>
        </w:tc>
        <w:tc>
          <w:tcPr>
            <w:tcW w:w="1285" w:type="dxa"/>
            <w:vAlign w:val="center"/>
          </w:tcPr>
          <w:p>
            <w:pPr>
              <w:jc w:val="center"/>
            </w:pPr>
            <w:r>
              <w:rPr>
                <w:color w:val="000000"/>
                <w:sz w:val="24"/>
              </w:rPr>
              <w:t>-0.07%</w:t>
            </w:r>
          </w:p>
        </w:tc>
        <w:tc>
          <w:tcPr>
            <w:tcW w:w="1285" w:type="dxa"/>
            <w:vAlign w:val="center"/>
          </w:tcPr>
          <w:p>
            <w:pPr>
              <w:jc w:val="center"/>
            </w:pPr>
            <w:r>
              <w:rPr>
                <w:color w:val="000000"/>
                <w:sz w:val="24"/>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过去六个月</w:t>
            </w:r>
          </w:p>
        </w:tc>
        <w:tc>
          <w:tcPr>
            <w:tcW w:w="1286" w:type="dxa"/>
            <w:vAlign w:val="center"/>
          </w:tcPr>
          <w:p>
            <w:pPr>
              <w:jc w:val="center"/>
            </w:pPr>
            <w:r>
              <w:rPr>
                <w:color w:val="000000"/>
                <w:sz w:val="24"/>
              </w:rPr>
              <w:t>0.79%</w:t>
            </w:r>
          </w:p>
        </w:tc>
        <w:tc>
          <w:tcPr>
            <w:tcW w:w="1286" w:type="dxa"/>
            <w:vAlign w:val="center"/>
          </w:tcPr>
          <w:p>
            <w:pPr>
              <w:jc w:val="center"/>
            </w:pPr>
            <w:r>
              <w:rPr>
                <w:color w:val="000000"/>
                <w:sz w:val="24"/>
              </w:rPr>
              <w:t>0.05%</w:t>
            </w:r>
          </w:p>
        </w:tc>
        <w:tc>
          <w:tcPr>
            <w:tcW w:w="1285" w:type="dxa"/>
            <w:vAlign w:val="center"/>
          </w:tcPr>
          <w:p>
            <w:pPr>
              <w:jc w:val="center"/>
            </w:pPr>
            <w:r>
              <w:rPr>
                <w:color w:val="000000"/>
                <w:sz w:val="24"/>
              </w:rPr>
              <w:t>-0.85%</w:t>
            </w:r>
          </w:p>
        </w:tc>
        <w:tc>
          <w:tcPr>
            <w:tcW w:w="1285" w:type="dxa"/>
            <w:vAlign w:val="center"/>
          </w:tcPr>
          <w:p>
            <w:pPr>
              <w:jc w:val="center"/>
            </w:pPr>
            <w:r>
              <w:rPr>
                <w:color w:val="000000"/>
                <w:sz w:val="24"/>
              </w:rPr>
              <w:t>0.07%</w:t>
            </w:r>
          </w:p>
        </w:tc>
        <w:tc>
          <w:tcPr>
            <w:tcW w:w="1285" w:type="dxa"/>
            <w:vAlign w:val="center"/>
          </w:tcPr>
          <w:p>
            <w:pPr>
              <w:jc w:val="center"/>
            </w:pPr>
            <w:r>
              <w:rPr>
                <w:color w:val="000000"/>
                <w:sz w:val="24"/>
              </w:rPr>
              <w:t>1.64%</w:t>
            </w:r>
          </w:p>
        </w:tc>
        <w:tc>
          <w:tcPr>
            <w:tcW w:w="1285" w:type="dxa"/>
            <w:vAlign w:val="center"/>
          </w:tcPr>
          <w:p>
            <w:pPr>
              <w:jc w:val="center"/>
            </w:pPr>
            <w:r>
              <w:rPr>
                <w:color w:val="000000"/>
                <w:sz w:val="24"/>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过去一年</w:t>
            </w:r>
          </w:p>
        </w:tc>
        <w:tc>
          <w:tcPr>
            <w:tcW w:w="1286" w:type="dxa"/>
            <w:vAlign w:val="center"/>
          </w:tcPr>
          <w:p>
            <w:pPr>
              <w:jc w:val="center"/>
            </w:pPr>
            <w:r>
              <w:rPr>
                <w:color w:val="000000"/>
                <w:sz w:val="24"/>
              </w:rPr>
              <w:t>2.81%</w:t>
            </w:r>
          </w:p>
        </w:tc>
        <w:tc>
          <w:tcPr>
            <w:tcW w:w="1286" w:type="dxa"/>
            <w:vAlign w:val="center"/>
          </w:tcPr>
          <w:p>
            <w:pPr>
              <w:jc w:val="center"/>
            </w:pPr>
            <w:r>
              <w:rPr>
                <w:color w:val="000000"/>
                <w:sz w:val="24"/>
              </w:rPr>
              <w:t>0.04%</w:t>
            </w:r>
          </w:p>
        </w:tc>
        <w:tc>
          <w:tcPr>
            <w:tcW w:w="1285" w:type="dxa"/>
            <w:vAlign w:val="center"/>
          </w:tcPr>
          <w:p>
            <w:pPr>
              <w:jc w:val="center"/>
            </w:pPr>
            <w:r>
              <w:rPr>
                <w:color w:val="000000"/>
                <w:sz w:val="24"/>
              </w:rPr>
              <w:t>-0.07%</w:t>
            </w:r>
          </w:p>
        </w:tc>
        <w:tc>
          <w:tcPr>
            <w:tcW w:w="1285" w:type="dxa"/>
            <w:vAlign w:val="center"/>
          </w:tcPr>
          <w:p>
            <w:pPr>
              <w:jc w:val="center"/>
            </w:pPr>
            <w:r>
              <w:rPr>
                <w:color w:val="000000"/>
                <w:sz w:val="24"/>
              </w:rPr>
              <w:t>0.09%</w:t>
            </w:r>
          </w:p>
        </w:tc>
        <w:tc>
          <w:tcPr>
            <w:tcW w:w="1285" w:type="dxa"/>
            <w:vAlign w:val="center"/>
          </w:tcPr>
          <w:p>
            <w:pPr>
              <w:jc w:val="center"/>
            </w:pPr>
            <w:r>
              <w:rPr>
                <w:color w:val="000000"/>
                <w:sz w:val="24"/>
              </w:rPr>
              <w:t>2.88%</w:t>
            </w:r>
          </w:p>
        </w:tc>
        <w:tc>
          <w:tcPr>
            <w:tcW w:w="1285" w:type="dxa"/>
            <w:vAlign w:val="center"/>
          </w:tcPr>
          <w:p>
            <w:pPr>
              <w:jc w:val="center"/>
            </w:pPr>
            <w:r>
              <w:rPr>
                <w:color w:val="000000"/>
                <w:sz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自基金合同生效至今</w:t>
            </w:r>
          </w:p>
        </w:tc>
        <w:tc>
          <w:tcPr>
            <w:tcW w:w="1286" w:type="dxa"/>
            <w:vAlign w:val="center"/>
          </w:tcPr>
          <w:p>
            <w:pPr>
              <w:jc w:val="center"/>
            </w:pPr>
            <w:r>
              <w:rPr>
                <w:color w:val="000000"/>
                <w:sz w:val="24"/>
              </w:rPr>
              <w:t>15.80%</w:t>
            </w:r>
          </w:p>
        </w:tc>
        <w:tc>
          <w:tcPr>
            <w:tcW w:w="1286" w:type="dxa"/>
            <w:vAlign w:val="center"/>
          </w:tcPr>
          <w:p>
            <w:pPr>
              <w:jc w:val="center"/>
            </w:pPr>
            <w:r>
              <w:rPr>
                <w:color w:val="000000"/>
                <w:sz w:val="24"/>
              </w:rPr>
              <w:t>0.07%</w:t>
            </w:r>
          </w:p>
        </w:tc>
        <w:tc>
          <w:tcPr>
            <w:tcW w:w="1285" w:type="dxa"/>
            <w:vAlign w:val="center"/>
          </w:tcPr>
          <w:p>
            <w:pPr>
              <w:jc w:val="center"/>
            </w:pPr>
            <w:r>
              <w:rPr>
                <w:color w:val="000000"/>
                <w:sz w:val="24"/>
              </w:rPr>
              <w:t>4.32%</w:t>
            </w:r>
          </w:p>
        </w:tc>
        <w:tc>
          <w:tcPr>
            <w:tcW w:w="1285" w:type="dxa"/>
            <w:vAlign w:val="center"/>
          </w:tcPr>
          <w:p>
            <w:pPr>
              <w:jc w:val="center"/>
            </w:pPr>
            <w:r>
              <w:rPr>
                <w:color w:val="000000"/>
                <w:sz w:val="24"/>
              </w:rPr>
              <w:t>0.07%</w:t>
            </w:r>
          </w:p>
        </w:tc>
        <w:tc>
          <w:tcPr>
            <w:tcW w:w="1285" w:type="dxa"/>
            <w:vAlign w:val="center"/>
          </w:tcPr>
          <w:p>
            <w:pPr>
              <w:jc w:val="center"/>
            </w:pPr>
            <w:r>
              <w:rPr>
                <w:color w:val="000000"/>
                <w:sz w:val="24"/>
              </w:rPr>
              <w:t>11.48%</w:t>
            </w:r>
          </w:p>
        </w:tc>
        <w:tc>
          <w:tcPr>
            <w:tcW w:w="1285" w:type="dxa"/>
            <w:vAlign w:val="center"/>
          </w:tcPr>
          <w:p>
            <w:pPr>
              <w:jc w:val="center"/>
            </w:pPr>
            <w:r>
              <w:rPr>
                <w:color w:val="000000"/>
                <w:sz w:val="24"/>
              </w:rPr>
              <w:t>0.00%</w:t>
            </w:r>
          </w:p>
        </w:tc>
      </w:tr>
    </w:tbl>
    <w:p>
      <w:pPr>
        <w:tabs>
          <w:tab w:val="left" w:pos="426"/>
        </w:tabs>
        <w:spacing w:before="29" w:line="288" w:lineRule="auto"/>
        <w:jc w:val="left"/>
        <w:rPr>
          <w:kern w:val="0"/>
          <w:sz w:val="24"/>
        </w:rPr>
      </w:pPr>
      <w:r>
        <w:rPr>
          <w:kern w:val="0"/>
          <w:sz w:val="24"/>
        </w:rPr>
        <w:t>注：本基金的业绩比较基准为中债综合全价指数。</w:t>
      </w:r>
    </w:p>
    <w:p>
      <w:pPr>
        <w:tabs>
          <w:tab w:val="left" w:pos="426"/>
        </w:tabs>
        <w:spacing w:before="29" w:line="288" w:lineRule="auto"/>
        <w:jc w:val="left"/>
        <w:rPr>
          <w:kern w:val="0"/>
          <w:sz w:val="24"/>
        </w:rPr>
      </w:pPr>
    </w:p>
    <w:p>
      <w:pPr>
        <w:pStyle w:val="16"/>
        <w:spacing w:before="29" w:line="288" w:lineRule="auto"/>
        <w:ind w:firstLine="0" w:firstLineChars="0"/>
        <w:rPr>
          <w:rFonts w:ascii="Times New Roman" w:hAnsi="Times New Roman"/>
          <w:color w:val="auto"/>
        </w:rPr>
      </w:pPr>
      <w:r>
        <w:rPr>
          <w:rFonts w:ascii="Times New Roman" w:hAnsi="Times New Roman"/>
          <w:color w:val="auto"/>
        </w:rPr>
        <w:t>2</w:t>
      </w:r>
      <w:r>
        <w:rPr>
          <w:rFonts w:hint="eastAsia" w:ascii="Times New Roman" w:hAnsi="Times New Roman"/>
          <w:color w:val="auto"/>
        </w:rPr>
        <w:t>．</w:t>
      </w:r>
      <w:r>
        <w:rPr>
          <w:rFonts w:ascii="Times New Roman" w:hAnsi="Times New Roman"/>
          <w:color w:val="auto"/>
        </w:rPr>
        <w:t>交银丰晟收益债券C</w:t>
      </w:r>
      <w:r>
        <w:rPr>
          <w:rFonts w:hint="eastAsia" w:ascii="Times New Roman" w:hAnsi="Times New Roman"/>
          <w:color w:val="auto"/>
        </w:rPr>
        <w:t>：</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286"/>
        <w:gridCol w:w="1286"/>
        <w:gridCol w:w="1285"/>
        <w:gridCol w:w="1285"/>
        <w:gridCol w:w="1285"/>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jc w:val="center"/>
              <w:rPr>
                <w:color w:val="000000"/>
                <w:sz w:val="24"/>
              </w:rPr>
            </w:pPr>
            <w:r>
              <w:rPr>
                <w:rFonts w:hint="eastAsia"/>
                <w:color w:val="000000"/>
                <w:sz w:val="24"/>
              </w:rPr>
              <w:t>阶段</w:t>
            </w:r>
          </w:p>
        </w:tc>
        <w:tc>
          <w:tcPr>
            <w:tcW w:w="3459" w:type="dxa"/>
            <w:vAlign w:val="center"/>
          </w:tcPr>
          <w:p>
            <w:pPr>
              <w:spacing w:before="29" w:line="288" w:lineRule="auto"/>
              <w:jc w:val="center"/>
              <w:rPr>
                <w:color w:val="000000"/>
                <w:sz w:val="24"/>
              </w:rPr>
            </w:pPr>
            <w:r>
              <w:rPr>
                <w:rFonts w:hint="eastAsia"/>
                <w:color w:val="000000"/>
                <w:sz w:val="24"/>
              </w:rPr>
              <w:t>份额净值增长率①</w:t>
            </w:r>
          </w:p>
        </w:tc>
        <w:tc>
          <w:tcPr>
            <w:tcW w:w="3459" w:type="dxa"/>
            <w:vAlign w:val="center"/>
          </w:tcPr>
          <w:p>
            <w:pPr>
              <w:spacing w:before="29" w:line="288" w:lineRule="auto"/>
              <w:jc w:val="center"/>
              <w:rPr>
                <w:color w:val="000000"/>
                <w:sz w:val="24"/>
              </w:rPr>
            </w:pPr>
            <w:r>
              <w:rPr>
                <w:rFonts w:hint="eastAsia"/>
                <w:color w:val="000000"/>
                <w:sz w:val="24"/>
              </w:rPr>
              <w:t>份额净值增长率标准差②</w:t>
            </w:r>
          </w:p>
        </w:tc>
        <w:tc>
          <w:tcPr>
            <w:tcW w:w="3459" w:type="dxa"/>
            <w:vAlign w:val="center"/>
          </w:tcPr>
          <w:p>
            <w:pPr>
              <w:spacing w:before="29" w:line="288" w:lineRule="auto"/>
              <w:jc w:val="center"/>
              <w:rPr>
                <w:color w:val="000000"/>
                <w:sz w:val="24"/>
              </w:rPr>
            </w:pPr>
            <w:r>
              <w:rPr>
                <w:rFonts w:hint="eastAsia"/>
                <w:color w:val="000000"/>
                <w:sz w:val="24"/>
              </w:rPr>
              <w:t>业绩比较基准收益率③</w:t>
            </w:r>
          </w:p>
        </w:tc>
        <w:tc>
          <w:tcPr>
            <w:tcW w:w="3459" w:type="dxa"/>
            <w:vAlign w:val="center"/>
          </w:tcPr>
          <w:p>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pPr>
              <w:spacing w:before="29" w:line="288" w:lineRule="auto"/>
              <w:jc w:val="center"/>
              <w:rPr>
                <w:color w:val="000000"/>
                <w:sz w:val="24"/>
              </w:rPr>
            </w:pPr>
            <w:r>
              <w:rPr>
                <w:rFonts w:hint="eastAsia"/>
                <w:color w:val="000000"/>
                <w:sz w:val="24"/>
              </w:rPr>
              <w:t>①－③</w:t>
            </w:r>
          </w:p>
        </w:tc>
        <w:tc>
          <w:tcPr>
            <w:tcW w:w="3459" w:type="dxa"/>
            <w:vAlign w:val="center"/>
          </w:tcPr>
          <w:p>
            <w:pPr>
              <w:spacing w:before="29" w:line="288" w:lineRule="auto"/>
              <w:jc w:val="center"/>
              <w:rPr>
                <w:color w:val="000000"/>
                <w:sz w:val="24"/>
              </w:rPr>
            </w:pPr>
            <w:r>
              <w:rPr>
                <w:rFonts w:hint="eastAsia"/>
                <w:color w:val="000000"/>
                <w:sz w:val="24"/>
              </w:rPr>
              <w:t>②－④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过去三个月</w:t>
            </w:r>
          </w:p>
        </w:tc>
        <w:tc>
          <w:tcPr>
            <w:tcW w:w="1286" w:type="dxa"/>
            <w:vAlign w:val="center"/>
          </w:tcPr>
          <w:p>
            <w:pPr>
              <w:jc w:val="center"/>
            </w:pPr>
            <w:r>
              <w:rPr>
                <w:color w:val="000000"/>
                <w:sz w:val="24"/>
              </w:rPr>
              <w:t>0.42%</w:t>
            </w:r>
          </w:p>
        </w:tc>
        <w:tc>
          <w:tcPr>
            <w:tcW w:w="1286" w:type="dxa"/>
            <w:vAlign w:val="center"/>
          </w:tcPr>
          <w:p>
            <w:pPr>
              <w:jc w:val="center"/>
            </w:pPr>
            <w:r>
              <w:rPr>
                <w:color w:val="000000"/>
                <w:sz w:val="24"/>
              </w:rPr>
              <w:t>0.05%</w:t>
            </w:r>
          </w:p>
        </w:tc>
        <w:tc>
          <w:tcPr>
            <w:tcW w:w="1285" w:type="dxa"/>
            <w:vAlign w:val="center"/>
          </w:tcPr>
          <w:p>
            <w:pPr>
              <w:jc w:val="center"/>
            </w:pPr>
            <w:r>
              <w:rPr>
                <w:color w:val="000000"/>
                <w:sz w:val="24"/>
              </w:rPr>
              <w:t>0.64%</w:t>
            </w:r>
          </w:p>
        </w:tc>
        <w:tc>
          <w:tcPr>
            <w:tcW w:w="1285" w:type="dxa"/>
            <w:vAlign w:val="center"/>
          </w:tcPr>
          <w:p>
            <w:pPr>
              <w:jc w:val="center"/>
            </w:pPr>
            <w:r>
              <w:rPr>
                <w:color w:val="000000"/>
                <w:sz w:val="24"/>
              </w:rPr>
              <w:t>0.04%</w:t>
            </w:r>
          </w:p>
        </w:tc>
        <w:tc>
          <w:tcPr>
            <w:tcW w:w="1285" w:type="dxa"/>
            <w:vAlign w:val="center"/>
          </w:tcPr>
          <w:p>
            <w:pPr>
              <w:jc w:val="center"/>
            </w:pPr>
            <w:r>
              <w:rPr>
                <w:color w:val="000000"/>
                <w:sz w:val="24"/>
              </w:rPr>
              <w:t>-0.22%</w:t>
            </w:r>
          </w:p>
        </w:tc>
        <w:tc>
          <w:tcPr>
            <w:tcW w:w="1285" w:type="dxa"/>
            <w:vAlign w:val="center"/>
          </w:tcPr>
          <w:p>
            <w:pPr>
              <w:jc w:val="center"/>
            </w:pPr>
            <w:r>
              <w:rPr>
                <w:color w:val="000000"/>
                <w:sz w:val="24"/>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过去六个月</w:t>
            </w:r>
          </w:p>
        </w:tc>
        <w:tc>
          <w:tcPr>
            <w:tcW w:w="1286" w:type="dxa"/>
            <w:vAlign w:val="center"/>
          </w:tcPr>
          <w:p>
            <w:pPr>
              <w:jc w:val="center"/>
            </w:pPr>
            <w:r>
              <w:rPr>
                <w:color w:val="000000"/>
                <w:sz w:val="24"/>
              </w:rPr>
              <w:t>0.48%</w:t>
            </w:r>
          </w:p>
        </w:tc>
        <w:tc>
          <w:tcPr>
            <w:tcW w:w="1286" w:type="dxa"/>
            <w:vAlign w:val="center"/>
          </w:tcPr>
          <w:p>
            <w:pPr>
              <w:jc w:val="center"/>
            </w:pPr>
            <w:r>
              <w:rPr>
                <w:color w:val="000000"/>
                <w:sz w:val="24"/>
              </w:rPr>
              <w:t>0.05%</w:t>
            </w:r>
          </w:p>
        </w:tc>
        <w:tc>
          <w:tcPr>
            <w:tcW w:w="1285" w:type="dxa"/>
            <w:vAlign w:val="center"/>
          </w:tcPr>
          <w:p>
            <w:pPr>
              <w:jc w:val="center"/>
            </w:pPr>
            <w:r>
              <w:rPr>
                <w:color w:val="000000"/>
                <w:sz w:val="24"/>
              </w:rPr>
              <w:t>-0.85%</w:t>
            </w:r>
          </w:p>
        </w:tc>
        <w:tc>
          <w:tcPr>
            <w:tcW w:w="1285" w:type="dxa"/>
            <w:vAlign w:val="center"/>
          </w:tcPr>
          <w:p>
            <w:pPr>
              <w:jc w:val="center"/>
            </w:pPr>
            <w:r>
              <w:rPr>
                <w:color w:val="000000"/>
                <w:sz w:val="24"/>
              </w:rPr>
              <w:t>0.07%</w:t>
            </w:r>
          </w:p>
        </w:tc>
        <w:tc>
          <w:tcPr>
            <w:tcW w:w="1285" w:type="dxa"/>
            <w:vAlign w:val="center"/>
          </w:tcPr>
          <w:p>
            <w:pPr>
              <w:jc w:val="center"/>
            </w:pPr>
            <w:r>
              <w:rPr>
                <w:color w:val="000000"/>
                <w:sz w:val="24"/>
              </w:rPr>
              <w:t>1.33%</w:t>
            </w:r>
          </w:p>
        </w:tc>
        <w:tc>
          <w:tcPr>
            <w:tcW w:w="1285" w:type="dxa"/>
            <w:vAlign w:val="center"/>
          </w:tcPr>
          <w:p>
            <w:pPr>
              <w:jc w:val="center"/>
            </w:pPr>
            <w:r>
              <w:rPr>
                <w:color w:val="000000"/>
                <w:sz w:val="24"/>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过去一年</w:t>
            </w:r>
          </w:p>
        </w:tc>
        <w:tc>
          <w:tcPr>
            <w:tcW w:w="1286" w:type="dxa"/>
            <w:vAlign w:val="center"/>
          </w:tcPr>
          <w:p>
            <w:pPr>
              <w:jc w:val="center"/>
            </w:pPr>
            <w:r>
              <w:rPr>
                <w:color w:val="000000"/>
                <w:sz w:val="24"/>
              </w:rPr>
              <w:t>2.20%</w:t>
            </w:r>
          </w:p>
        </w:tc>
        <w:tc>
          <w:tcPr>
            <w:tcW w:w="1286" w:type="dxa"/>
            <w:vAlign w:val="center"/>
          </w:tcPr>
          <w:p>
            <w:pPr>
              <w:jc w:val="center"/>
            </w:pPr>
            <w:r>
              <w:rPr>
                <w:color w:val="000000"/>
                <w:sz w:val="24"/>
              </w:rPr>
              <w:t>0.04%</w:t>
            </w:r>
          </w:p>
        </w:tc>
        <w:tc>
          <w:tcPr>
            <w:tcW w:w="1285" w:type="dxa"/>
            <w:vAlign w:val="center"/>
          </w:tcPr>
          <w:p>
            <w:pPr>
              <w:jc w:val="center"/>
            </w:pPr>
            <w:r>
              <w:rPr>
                <w:color w:val="000000"/>
                <w:sz w:val="24"/>
              </w:rPr>
              <w:t>-0.07%</w:t>
            </w:r>
          </w:p>
        </w:tc>
        <w:tc>
          <w:tcPr>
            <w:tcW w:w="1285" w:type="dxa"/>
            <w:vAlign w:val="center"/>
          </w:tcPr>
          <w:p>
            <w:pPr>
              <w:jc w:val="center"/>
            </w:pPr>
            <w:r>
              <w:rPr>
                <w:color w:val="000000"/>
                <w:sz w:val="24"/>
              </w:rPr>
              <w:t>0.09%</w:t>
            </w:r>
          </w:p>
        </w:tc>
        <w:tc>
          <w:tcPr>
            <w:tcW w:w="1285" w:type="dxa"/>
            <w:vAlign w:val="center"/>
          </w:tcPr>
          <w:p>
            <w:pPr>
              <w:jc w:val="center"/>
            </w:pPr>
            <w:r>
              <w:rPr>
                <w:color w:val="000000"/>
                <w:sz w:val="24"/>
              </w:rPr>
              <w:t>2.27%</w:t>
            </w:r>
          </w:p>
        </w:tc>
        <w:tc>
          <w:tcPr>
            <w:tcW w:w="1285" w:type="dxa"/>
            <w:vAlign w:val="center"/>
          </w:tcPr>
          <w:p>
            <w:pPr>
              <w:jc w:val="center"/>
            </w:pPr>
            <w:r>
              <w:rPr>
                <w:color w:val="000000"/>
                <w:sz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自基金合同生效至今</w:t>
            </w:r>
          </w:p>
        </w:tc>
        <w:tc>
          <w:tcPr>
            <w:tcW w:w="1286" w:type="dxa"/>
            <w:vAlign w:val="center"/>
          </w:tcPr>
          <w:p>
            <w:pPr>
              <w:jc w:val="center"/>
            </w:pPr>
            <w:r>
              <w:rPr>
                <w:color w:val="000000"/>
                <w:sz w:val="24"/>
              </w:rPr>
              <w:t>14.01%</w:t>
            </w:r>
          </w:p>
        </w:tc>
        <w:tc>
          <w:tcPr>
            <w:tcW w:w="1286" w:type="dxa"/>
            <w:vAlign w:val="center"/>
          </w:tcPr>
          <w:p>
            <w:pPr>
              <w:jc w:val="center"/>
            </w:pPr>
            <w:r>
              <w:rPr>
                <w:color w:val="000000"/>
                <w:sz w:val="24"/>
              </w:rPr>
              <w:t>0.07%</w:t>
            </w:r>
          </w:p>
        </w:tc>
        <w:tc>
          <w:tcPr>
            <w:tcW w:w="1285" w:type="dxa"/>
            <w:vAlign w:val="center"/>
          </w:tcPr>
          <w:p>
            <w:pPr>
              <w:jc w:val="center"/>
            </w:pPr>
            <w:r>
              <w:rPr>
                <w:color w:val="000000"/>
                <w:sz w:val="24"/>
              </w:rPr>
              <w:t>4.32%</w:t>
            </w:r>
          </w:p>
        </w:tc>
        <w:tc>
          <w:tcPr>
            <w:tcW w:w="1285" w:type="dxa"/>
            <w:vAlign w:val="center"/>
          </w:tcPr>
          <w:p>
            <w:pPr>
              <w:jc w:val="center"/>
            </w:pPr>
            <w:r>
              <w:rPr>
                <w:color w:val="000000"/>
                <w:sz w:val="24"/>
              </w:rPr>
              <w:t>0.07%</w:t>
            </w:r>
          </w:p>
        </w:tc>
        <w:tc>
          <w:tcPr>
            <w:tcW w:w="1285" w:type="dxa"/>
            <w:vAlign w:val="center"/>
          </w:tcPr>
          <w:p>
            <w:pPr>
              <w:jc w:val="center"/>
            </w:pPr>
            <w:r>
              <w:rPr>
                <w:color w:val="000000"/>
                <w:sz w:val="24"/>
              </w:rPr>
              <w:t>9.69%</w:t>
            </w:r>
          </w:p>
        </w:tc>
        <w:tc>
          <w:tcPr>
            <w:tcW w:w="1285" w:type="dxa"/>
            <w:vAlign w:val="center"/>
          </w:tcPr>
          <w:p>
            <w:pPr>
              <w:jc w:val="center"/>
            </w:pPr>
            <w:r>
              <w:rPr>
                <w:color w:val="000000"/>
                <w:sz w:val="24"/>
              </w:rPr>
              <w:t>0.00%</w:t>
            </w:r>
          </w:p>
        </w:tc>
      </w:tr>
    </w:tbl>
    <w:p>
      <w:pPr>
        <w:tabs>
          <w:tab w:val="left" w:pos="426"/>
        </w:tabs>
        <w:spacing w:before="29" w:line="288" w:lineRule="auto"/>
        <w:jc w:val="left"/>
        <w:rPr>
          <w:kern w:val="0"/>
          <w:sz w:val="24"/>
        </w:rPr>
      </w:pPr>
      <w:r>
        <w:rPr>
          <w:kern w:val="0"/>
          <w:sz w:val="24"/>
        </w:rPr>
        <w:t>注：本基金的业绩比较基准为中债综合全价指数。</w:t>
      </w:r>
    </w:p>
    <w:p>
      <w:pPr>
        <w:spacing w:before="29" w:line="288" w:lineRule="auto"/>
        <w:rPr>
          <w:rFonts w:eastAsiaTheme="minorEastAsia"/>
          <w:b/>
          <w:sz w:val="24"/>
        </w:rPr>
      </w:pPr>
      <w:r>
        <w:rPr>
          <w:rFonts w:hint="eastAsia" w:eastAsiaTheme="minorEastAsia"/>
          <w:b/>
          <w:sz w:val="24"/>
        </w:rPr>
        <w:t xml:space="preserve">3.2.2 </w:t>
      </w:r>
      <w:r>
        <w:rPr>
          <w:rFonts w:eastAsiaTheme="minorEastAsia"/>
          <w:b/>
          <w:sz w:val="24"/>
        </w:rPr>
        <w:t>自基金合同生效以来基金份额累计净值增长率变动及其与同期业绩比较基准收益率变动的比较</w:t>
      </w:r>
    </w:p>
    <w:p>
      <w:pPr>
        <w:pStyle w:val="16"/>
        <w:spacing w:before="29" w:line="288" w:lineRule="auto"/>
        <w:ind w:firstLine="0" w:firstLineChars="0"/>
        <w:rPr>
          <w:rFonts w:ascii="Times New Roman" w:hAnsi="Times New Roman"/>
          <w:color w:val="auto"/>
        </w:rPr>
      </w:pPr>
      <w:r>
        <w:rPr>
          <w:rFonts w:ascii="Times New Roman" w:hAnsi="Times New Roman"/>
          <w:color w:val="auto"/>
        </w:rPr>
        <w:t>1</w:t>
      </w:r>
      <w:r>
        <w:rPr>
          <w:rFonts w:hint="eastAsia" w:ascii="Times New Roman" w:hAnsi="Times New Roman"/>
          <w:color w:val="auto"/>
        </w:rPr>
        <w:t>、</w:t>
      </w:r>
      <w:r>
        <w:rPr>
          <w:rFonts w:ascii="Times New Roman" w:hAnsi="Times New Roman"/>
          <w:color w:val="auto"/>
        </w:rPr>
        <w:t>交银丰晟收益债券A</w:t>
      </w:r>
    </w:p>
    <w:p>
      <w:pPr>
        <w:pStyle w:val="16"/>
        <w:adjustRightInd w:val="0"/>
        <w:snapToGrid w:val="0"/>
        <w:spacing w:line="360" w:lineRule="auto"/>
        <w:ind w:firstLine="0" w:firstLineChars="0"/>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bonnieliu\Desktop\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3100" cy="3371850"/>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注：本基金建仓期为自基金合同生效日起的6个月。截至建仓期结束，本基金各项资产配置比例符合基金合同及招募说明书有关投资比例的约定。</w:t>
      </w:r>
    </w:p>
    <w:p>
      <w:pPr>
        <w:tabs>
          <w:tab w:val="left" w:pos="426"/>
        </w:tabs>
        <w:spacing w:before="29" w:line="288" w:lineRule="auto"/>
        <w:jc w:val="left"/>
        <w:rPr>
          <w:kern w:val="0"/>
          <w:sz w:val="24"/>
        </w:rPr>
      </w:pPr>
    </w:p>
    <w:p>
      <w:pPr>
        <w:pStyle w:val="16"/>
        <w:spacing w:before="29" w:line="288" w:lineRule="auto"/>
        <w:ind w:firstLine="0" w:firstLineChars="0"/>
        <w:rPr>
          <w:rFonts w:ascii="Times New Roman" w:hAnsi="Times New Roman"/>
          <w:color w:val="auto"/>
        </w:rPr>
      </w:pPr>
      <w:r>
        <w:rPr>
          <w:rFonts w:ascii="Times New Roman" w:hAnsi="Times New Roman"/>
          <w:color w:val="auto"/>
        </w:rPr>
        <w:t>2</w:t>
      </w:r>
      <w:r>
        <w:rPr>
          <w:rFonts w:hint="eastAsia" w:ascii="Times New Roman" w:hAnsi="Times New Roman"/>
          <w:color w:val="auto"/>
        </w:rPr>
        <w:t>、</w:t>
      </w:r>
      <w:r>
        <w:rPr>
          <w:rFonts w:ascii="Times New Roman" w:hAnsi="Times New Roman"/>
          <w:color w:val="auto"/>
        </w:rPr>
        <w:t>交银丰晟收益债券C</w:t>
      </w:r>
    </w:p>
    <w:p>
      <w:pPr>
        <w:pStyle w:val="16"/>
        <w:adjustRightInd w:val="0"/>
        <w:snapToGrid w:val="0"/>
        <w:spacing w:line="360" w:lineRule="auto"/>
        <w:ind w:firstLine="0" w:firstLineChars="0"/>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drawing>
          <wp:inline distT="0" distB="0" distL="0" distR="0">
            <wp:extent cx="5759450" cy="3372485"/>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bonnieliu\Desktop\走势图柱状图\走势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注：本基金建仓期为自基金合同生效日起的6个月。截至建仓期结束，本基金各项资产配置比例符合基金合同及招募说明书有关投资比例的约定。</w:t>
      </w:r>
    </w:p>
    <w:p>
      <w:pPr>
        <w:tabs>
          <w:tab w:val="left" w:pos="426"/>
        </w:tabs>
        <w:spacing w:before="29" w:line="288" w:lineRule="auto"/>
        <w:jc w:val="left"/>
        <w:rPr>
          <w:kern w:val="0"/>
          <w:sz w:val="24"/>
        </w:rPr>
      </w:pPr>
    </w:p>
    <w:p>
      <w:pPr>
        <w:spacing w:line="360" w:lineRule="auto"/>
        <w:rPr>
          <w:rFonts w:asciiTheme="minorEastAsia" w:hAnsiTheme="minorEastAsia" w:eastAsiaTheme="minorEastAsia"/>
          <w:color w:val="000000"/>
          <w:szCs w:val="21"/>
        </w:rPr>
      </w:pPr>
    </w:p>
    <w:p>
      <w:pPr>
        <w:spacing w:before="29" w:line="288" w:lineRule="auto"/>
        <w:rPr>
          <w:rFonts w:eastAsiaTheme="minorEastAsia"/>
          <w:b/>
          <w:sz w:val="24"/>
        </w:rPr>
      </w:pPr>
      <w:r>
        <w:rPr>
          <w:rFonts w:eastAsiaTheme="minorEastAsia"/>
          <w:b/>
          <w:sz w:val="24"/>
        </w:rPr>
        <w:t xml:space="preserve">3.2.3 </w:t>
      </w:r>
      <w:r>
        <w:rPr>
          <w:rFonts w:hint="eastAsia" w:eastAsiaTheme="minorEastAsia"/>
          <w:b/>
          <w:sz w:val="24"/>
        </w:rPr>
        <w:t>自基金合同生效以来基金每年净值增长率及其与同期业绩比较基准收益率的比较</w:t>
      </w:r>
    </w:p>
    <w:p>
      <w:pPr>
        <w:pStyle w:val="16"/>
        <w:spacing w:before="29" w:line="288" w:lineRule="auto"/>
        <w:ind w:firstLine="0" w:firstLineChars="0"/>
        <w:rPr>
          <w:rFonts w:ascii="Times New Roman" w:hAnsi="Times New Roman"/>
          <w:color w:val="auto"/>
        </w:rPr>
      </w:pPr>
      <w:r>
        <w:rPr>
          <w:rFonts w:hint="eastAsia" w:ascii="Times New Roman" w:hAnsi="Times New Roman"/>
          <w:color w:val="auto"/>
        </w:rPr>
        <w:t>1、</w:t>
      </w:r>
      <w:r>
        <w:rPr>
          <w:rFonts w:ascii="Times New Roman" w:hAnsi="Times New Roman"/>
          <w:color w:val="auto"/>
        </w:rPr>
        <w:t>交银丰晟收益债券A</w:t>
      </w:r>
    </w:p>
    <w:p>
      <w:pPr>
        <w:adjustRightInd w:val="0"/>
        <w:snapToGrid w:val="0"/>
        <w:spacing w:line="360" w:lineRule="auto"/>
        <w:ind w:firstLine="210" w:firstLineChars="10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drawing>
          <wp:inline distT="0" distB="0" distL="0" distR="0">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注：图示日期为2018年5月23日至2020年12月31日。基金合同生效当年的净值增长率按照当年实际存续期计算。</w:t>
      </w:r>
    </w:p>
    <w:p>
      <w:pPr>
        <w:tabs>
          <w:tab w:val="left" w:pos="426"/>
        </w:tabs>
        <w:spacing w:before="29" w:line="288" w:lineRule="auto"/>
        <w:jc w:val="left"/>
        <w:rPr>
          <w:kern w:val="0"/>
          <w:sz w:val="24"/>
        </w:rPr>
      </w:pPr>
    </w:p>
    <w:p>
      <w:pPr>
        <w:pStyle w:val="16"/>
        <w:spacing w:before="29" w:line="288" w:lineRule="auto"/>
        <w:ind w:firstLine="0" w:firstLineChars="0"/>
        <w:rPr>
          <w:rFonts w:asciiTheme="minorEastAsia" w:hAnsiTheme="minorEastAsia" w:eastAsiaTheme="minorEastAsia"/>
          <w:b/>
          <w:szCs w:val="21"/>
        </w:rPr>
      </w:pPr>
      <w:r>
        <w:rPr>
          <w:rFonts w:ascii="Times New Roman" w:hAnsi="Times New Roman"/>
          <w:color w:val="auto"/>
        </w:rPr>
        <w:t>2</w:t>
      </w:r>
      <w:r>
        <w:rPr>
          <w:rFonts w:hint="eastAsia" w:ascii="Times New Roman" w:hAnsi="Times New Roman"/>
          <w:color w:val="auto"/>
        </w:rPr>
        <w:t>、</w:t>
      </w:r>
      <w:r>
        <w:rPr>
          <w:rFonts w:ascii="Times New Roman" w:hAnsi="Times New Roman"/>
          <w:color w:val="auto"/>
        </w:rPr>
        <w:t>交银丰晟收益债券C</w:t>
      </w:r>
    </w:p>
    <w:p>
      <w:pPr>
        <w:adjustRightInd w:val="0"/>
        <w:snapToGrid w:val="0"/>
        <w:spacing w:line="360" w:lineRule="auto"/>
        <w:ind w:firstLine="210" w:firstLineChars="100"/>
        <w:jc w:val="center"/>
        <w:rPr>
          <w:rFonts w:asciiTheme="minorEastAsia" w:hAnsiTheme="minorEastAsia" w:eastAsiaTheme="minorEastAsia"/>
          <w:color w:val="000000"/>
          <w:szCs w:val="21"/>
        </w:rPr>
      </w:pPr>
      <w:r>
        <w:rPr>
          <w:rFonts w:asciiTheme="minorEastAsia" w:hAnsiTheme="minorEastAsia" w:eastAsiaTheme="minorEastAsia"/>
          <w:color w:val="000000"/>
          <w:szCs w:val="21"/>
        </w:rPr>
        <w:drawing>
          <wp:inline distT="0" distB="0" distL="0" distR="0">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bonnieliu\Desktop\走势图柱状图\柱状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注：图示日期为2018年5月23日至2020年12月31日。基金合同生效当年的净值增长率按照当年实际存续期计算。</w:t>
      </w:r>
    </w:p>
    <w:p>
      <w:pPr>
        <w:tabs>
          <w:tab w:val="left" w:pos="426"/>
        </w:tabs>
        <w:spacing w:before="29" w:line="288" w:lineRule="auto"/>
        <w:jc w:val="left"/>
        <w:rPr>
          <w:kern w:val="0"/>
          <w:sz w:val="24"/>
        </w:rPr>
      </w:pPr>
    </w:p>
    <w:p>
      <w:pPr>
        <w:spacing w:line="360" w:lineRule="auto"/>
        <w:ind w:firstLine="42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5" w:name="_Toc361324853"/>
      <w:bookmarkStart w:id="36" w:name="_Toc249760033"/>
      <w:bookmarkStart w:id="37" w:name="_Toc67667891"/>
      <w:r>
        <w:rPr>
          <w:rFonts w:ascii="Times New Roman" w:hAnsi="Times New Roman"/>
          <w:kern w:val="0"/>
          <w:szCs w:val="24"/>
        </w:rPr>
        <w:t>3.3</w:t>
      </w:r>
      <w:r>
        <w:rPr>
          <w:rFonts w:hint="eastAsia" w:ascii="Times New Roman" w:hAnsi="Times New Roman"/>
          <w:kern w:val="0"/>
          <w:szCs w:val="24"/>
        </w:rPr>
        <w:t>过去三年基金的利润分配情况</w:t>
      </w:r>
      <w:bookmarkEnd w:id="35"/>
      <w:bookmarkEnd w:id="36"/>
      <w:bookmarkEnd w:id="37"/>
    </w:p>
    <w:p>
      <w:pPr>
        <w:pStyle w:val="16"/>
        <w:spacing w:before="29" w:line="288" w:lineRule="auto"/>
        <w:ind w:firstLine="0" w:firstLineChars="0"/>
        <w:outlineLvl w:val="1"/>
        <w:rPr>
          <w:rFonts w:ascii="Times New Roman" w:hAnsi="Times New Roman"/>
          <w:color w:val="auto"/>
        </w:rPr>
      </w:pPr>
      <w:bookmarkStart w:id="38" w:name="_Toc67667892"/>
      <w:r>
        <w:rPr>
          <w:rFonts w:hint="eastAsia" w:ascii="Times New Roman" w:hAnsi="Times New Roman"/>
          <w:color w:val="auto"/>
        </w:rPr>
        <w:t>1、</w:t>
      </w:r>
      <w:r>
        <w:rPr>
          <w:rFonts w:ascii="Times New Roman" w:hAnsi="Times New Roman"/>
          <w:color w:val="auto"/>
        </w:rPr>
        <w:t>交银丰晟收益债券A</w:t>
      </w:r>
      <w:r>
        <w:rPr>
          <w:rFonts w:hint="eastAsia" w:ascii="Times New Roman" w:hAnsi="Times New Roman"/>
          <w:color w:val="auto"/>
        </w:rPr>
        <w:t>：</w:t>
      </w:r>
      <w:bookmarkEnd w:id="38"/>
    </w:p>
    <w:p>
      <w:pPr>
        <w:pStyle w:val="4"/>
        <w:spacing w:line="360" w:lineRule="auto"/>
        <w:ind w:firstLine="480"/>
        <w:jc w:val="right"/>
        <w:rPr>
          <w:color w:val="000000"/>
          <w:kern w:val="0"/>
          <w:sz w:val="24"/>
        </w:rPr>
      </w:pPr>
      <w:r>
        <w:rPr>
          <w:rFonts w:hint="eastAsia"/>
          <w:color w:val="000000"/>
          <w:kern w:val="0"/>
          <w:sz w:val="24"/>
        </w:rPr>
        <w:t>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78"/>
        <w:gridCol w:w="1839"/>
        <w:gridCol w:w="1950"/>
        <w:gridCol w:w="189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spacing w:before="29" w:line="288" w:lineRule="auto"/>
              <w:jc w:val="center"/>
              <w:rPr>
                <w:color w:val="000000"/>
                <w:sz w:val="24"/>
              </w:rPr>
            </w:pPr>
            <w:r>
              <w:rPr>
                <w:rFonts w:hint="eastAsia"/>
                <w:color w:val="000000"/>
                <w:sz w:val="24"/>
              </w:rPr>
              <w:t>年度</w:t>
            </w:r>
          </w:p>
        </w:tc>
        <w:tc>
          <w:tcPr>
            <w:tcW w:w="1378" w:type="dxa"/>
            <w:vAlign w:val="center"/>
          </w:tcPr>
          <w:p>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pPr>
              <w:spacing w:before="29" w:line="288" w:lineRule="auto"/>
              <w:jc w:val="center"/>
              <w:rPr>
                <w:color w:val="000000"/>
                <w:sz w:val="24"/>
              </w:rPr>
            </w:pPr>
            <w:r>
              <w:rPr>
                <w:rFonts w:hint="eastAsia"/>
                <w:color w:val="000000"/>
                <w:sz w:val="24"/>
              </w:rPr>
              <w:t>现金形式发放总额</w:t>
            </w:r>
          </w:p>
        </w:tc>
        <w:tc>
          <w:tcPr>
            <w:tcW w:w="1950" w:type="dxa"/>
            <w:vAlign w:val="center"/>
          </w:tcPr>
          <w:p>
            <w:pPr>
              <w:spacing w:before="29" w:line="288" w:lineRule="auto"/>
              <w:jc w:val="center"/>
              <w:rPr>
                <w:color w:val="000000"/>
                <w:sz w:val="24"/>
              </w:rPr>
            </w:pPr>
            <w:r>
              <w:rPr>
                <w:rFonts w:hint="eastAsia"/>
                <w:color w:val="000000"/>
                <w:sz w:val="24"/>
              </w:rPr>
              <w:t>再投资形式发放总额</w:t>
            </w:r>
          </w:p>
        </w:tc>
        <w:tc>
          <w:tcPr>
            <w:tcW w:w="1894" w:type="dxa"/>
            <w:vAlign w:val="center"/>
          </w:tcPr>
          <w:p>
            <w:pPr>
              <w:spacing w:before="29" w:line="288" w:lineRule="auto"/>
              <w:jc w:val="center"/>
              <w:rPr>
                <w:color w:val="000000"/>
                <w:sz w:val="24"/>
              </w:rPr>
            </w:pPr>
            <w:r>
              <w:rPr>
                <w:rFonts w:hint="eastAsia"/>
                <w:color w:val="000000"/>
                <w:sz w:val="24"/>
              </w:rPr>
              <w:t>年度利润分配合计</w:t>
            </w:r>
          </w:p>
        </w:tc>
        <w:tc>
          <w:tcPr>
            <w:tcW w:w="1068" w:type="dxa"/>
            <w:vAlign w:val="center"/>
          </w:tcPr>
          <w:p>
            <w:pPr>
              <w:spacing w:before="29" w:line="288"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2020年</w:t>
            </w:r>
          </w:p>
        </w:tc>
        <w:tc>
          <w:tcPr>
            <w:tcW w:w="1378" w:type="dxa"/>
            <w:vAlign w:val="center"/>
          </w:tcPr>
          <w:p>
            <w:pPr>
              <w:jc w:val="right"/>
            </w:pPr>
            <w:r>
              <w:rPr>
                <w:color w:val="000000"/>
                <w:sz w:val="24"/>
              </w:rPr>
              <w:t>0.560</w:t>
            </w:r>
          </w:p>
        </w:tc>
        <w:tc>
          <w:tcPr>
            <w:tcW w:w="1839" w:type="dxa"/>
            <w:vAlign w:val="center"/>
          </w:tcPr>
          <w:p>
            <w:pPr>
              <w:jc w:val="right"/>
            </w:pPr>
            <w:r>
              <w:rPr>
                <w:color w:val="000000"/>
                <w:sz w:val="24"/>
              </w:rPr>
              <w:t>18,525,540.90</w:t>
            </w:r>
          </w:p>
        </w:tc>
        <w:tc>
          <w:tcPr>
            <w:tcW w:w="1950" w:type="dxa"/>
            <w:vAlign w:val="center"/>
          </w:tcPr>
          <w:p>
            <w:pPr>
              <w:jc w:val="right"/>
            </w:pPr>
            <w:r>
              <w:rPr>
                <w:color w:val="000000"/>
                <w:sz w:val="24"/>
              </w:rPr>
              <w:t>0.00</w:t>
            </w:r>
          </w:p>
        </w:tc>
        <w:tc>
          <w:tcPr>
            <w:tcW w:w="1894" w:type="dxa"/>
            <w:vAlign w:val="center"/>
          </w:tcPr>
          <w:p>
            <w:pPr>
              <w:jc w:val="right"/>
            </w:pPr>
            <w:r>
              <w:rPr>
                <w:color w:val="000000"/>
                <w:sz w:val="24"/>
              </w:rPr>
              <w:t>18,525,540.90</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2019年</w:t>
            </w:r>
          </w:p>
        </w:tc>
        <w:tc>
          <w:tcPr>
            <w:tcW w:w="1378" w:type="dxa"/>
            <w:vAlign w:val="center"/>
          </w:tcPr>
          <w:p>
            <w:pPr>
              <w:jc w:val="right"/>
            </w:pPr>
            <w:r>
              <w:rPr>
                <w:color w:val="000000"/>
                <w:sz w:val="24"/>
              </w:rPr>
              <w:t>0.340</w:t>
            </w:r>
          </w:p>
        </w:tc>
        <w:tc>
          <w:tcPr>
            <w:tcW w:w="1839" w:type="dxa"/>
            <w:vAlign w:val="center"/>
          </w:tcPr>
          <w:p>
            <w:pPr>
              <w:jc w:val="right"/>
            </w:pPr>
            <w:r>
              <w:rPr>
                <w:color w:val="000000"/>
                <w:sz w:val="24"/>
              </w:rPr>
              <w:t>11,247,650.94</w:t>
            </w:r>
          </w:p>
        </w:tc>
        <w:tc>
          <w:tcPr>
            <w:tcW w:w="1950" w:type="dxa"/>
            <w:vAlign w:val="center"/>
          </w:tcPr>
          <w:p>
            <w:pPr>
              <w:jc w:val="right"/>
            </w:pPr>
            <w:r>
              <w:rPr>
                <w:color w:val="000000"/>
                <w:sz w:val="24"/>
              </w:rPr>
              <w:t>0.00</w:t>
            </w:r>
          </w:p>
        </w:tc>
        <w:tc>
          <w:tcPr>
            <w:tcW w:w="1894" w:type="dxa"/>
            <w:vAlign w:val="center"/>
          </w:tcPr>
          <w:p>
            <w:pPr>
              <w:jc w:val="right"/>
            </w:pPr>
            <w:r>
              <w:rPr>
                <w:color w:val="000000"/>
                <w:sz w:val="24"/>
              </w:rPr>
              <w:t>11,247,650.94</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2018年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val="0"/>
              <w:autoSpaceDN w:val="0"/>
              <w:adjustRightInd w:val="0"/>
              <w:spacing w:before="29" w:line="288" w:lineRule="auto"/>
              <w:ind w:left="15"/>
              <w:jc w:val="center"/>
              <w:rPr>
                <w:rFonts w:asciiTheme="minorEastAsia" w:hAnsiTheme="minorEastAsia" w:eastAsiaTheme="minorEastAsia"/>
                <w:color w:val="000000"/>
                <w:szCs w:val="21"/>
              </w:rPr>
            </w:pPr>
            <w:r>
              <w:rPr>
                <w:rFonts w:hint="eastAsia"/>
                <w:color w:val="000000"/>
                <w:sz w:val="24"/>
              </w:rPr>
              <w:t>合计</w:t>
            </w:r>
          </w:p>
        </w:tc>
        <w:tc>
          <w:tcPr>
            <w:tcW w:w="1378" w:type="dxa"/>
            <w:vAlign w:val="center"/>
          </w:tcPr>
          <w:p>
            <w:pPr>
              <w:autoSpaceDE w:val="0"/>
              <w:autoSpaceDN w:val="0"/>
              <w:adjustRightInd w:val="0"/>
              <w:spacing w:before="29" w:line="288" w:lineRule="auto"/>
              <w:ind w:left="15"/>
              <w:jc w:val="right"/>
              <w:rPr>
                <w:color w:val="000000"/>
                <w:kern w:val="0"/>
                <w:sz w:val="24"/>
              </w:rPr>
            </w:pPr>
            <w:r>
              <w:rPr>
                <w:color w:val="000000"/>
                <w:kern w:val="0"/>
                <w:sz w:val="24"/>
              </w:rPr>
              <w:t>0.900</w:t>
            </w:r>
          </w:p>
        </w:tc>
        <w:tc>
          <w:tcPr>
            <w:tcW w:w="1839" w:type="dxa"/>
            <w:vAlign w:val="center"/>
          </w:tcPr>
          <w:p>
            <w:pPr>
              <w:autoSpaceDE w:val="0"/>
              <w:autoSpaceDN w:val="0"/>
              <w:adjustRightInd w:val="0"/>
              <w:spacing w:before="29" w:line="288" w:lineRule="auto"/>
              <w:ind w:left="15"/>
              <w:jc w:val="right"/>
              <w:rPr>
                <w:color w:val="000000"/>
                <w:kern w:val="0"/>
                <w:sz w:val="24"/>
              </w:rPr>
            </w:pPr>
            <w:r>
              <w:rPr>
                <w:color w:val="000000"/>
                <w:kern w:val="0"/>
                <w:sz w:val="24"/>
              </w:rPr>
              <w:t>29,773,191.84</w:t>
            </w:r>
          </w:p>
        </w:tc>
        <w:tc>
          <w:tcPr>
            <w:tcW w:w="1950" w:type="dxa"/>
            <w:vAlign w:val="center"/>
          </w:tcPr>
          <w:p>
            <w:pPr>
              <w:autoSpaceDE w:val="0"/>
              <w:autoSpaceDN w:val="0"/>
              <w:adjustRightInd w:val="0"/>
              <w:spacing w:before="29" w:line="288" w:lineRule="auto"/>
              <w:ind w:left="15"/>
              <w:jc w:val="right"/>
              <w:rPr>
                <w:color w:val="000000"/>
                <w:kern w:val="0"/>
                <w:sz w:val="24"/>
              </w:rPr>
            </w:pPr>
            <w:r>
              <w:rPr>
                <w:color w:val="000000"/>
                <w:kern w:val="0"/>
                <w:sz w:val="24"/>
              </w:rPr>
              <w:t>-</w:t>
            </w:r>
          </w:p>
        </w:tc>
        <w:tc>
          <w:tcPr>
            <w:tcW w:w="1894" w:type="dxa"/>
            <w:vAlign w:val="center"/>
          </w:tcPr>
          <w:p>
            <w:pPr>
              <w:autoSpaceDE w:val="0"/>
              <w:autoSpaceDN w:val="0"/>
              <w:adjustRightInd w:val="0"/>
              <w:spacing w:before="29" w:line="288" w:lineRule="auto"/>
              <w:ind w:left="15"/>
              <w:jc w:val="right"/>
              <w:rPr>
                <w:color w:val="000000"/>
                <w:kern w:val="0"/>
                <w:sz w:val="24"/>
              </w:rPr>
            </w:pPr>
            <w:r>
              <w:rPr>
                <w:color w:val="000000"/>
                <w:kern w:val="0"/>
                <w:sz w:val="24"/>
              </w:rPr>
              <w:t>29,773,191.84</w:t>
            </w:r>
          </w:p>
        </w:tc>
        <w:tc>
          <w:tcPr>
            <w:tcW w:w="1068" w:type="dxa"/>
            <w:vAlign w:val="center"/>
          </w:tcPr>
          <w:p>
            <w:pPr>
              <w:autoSpaceDE w:val="0"/>
              <w:autoSpaceDN w:val="0"/>
              <w:adjustRightInd w:val="0"/>
              <w:spacing w:before="29" w:line="288" w:lineRule="auto"/>
              <w:ind w:left="15"/>
              <w:jc w:val="right"/>
              <w:rPr>
                <w:color w:val="000000"/>
                <w:kern w:val="0"/>
                <w:sz w:val="24"/>
              </w:rPr>
            </w:pPr>
            <w:r>
              <w:rPr>
                <w:color w:val="000000"/>
                <w:kern w:val="0"/>
                <w:sz w:val="24"/>
              </w:rPr>
              <w:t>-</w:t>
            </w:r>
          </w:p>
        </w:tc>
      </w:tr>
    </w:tbl>
    <w:p>
      <w:pPr>
        <w:tabs>
          <w:tab w:val="left" w:pos="426"/>
        </w:tabs>
        <w:spacing w:before="29" w:line="288" w:lineRule="auto"/>
        <w:jc w:val="left"/>
        <w:rPr>
          <w:kern w:val="0"/>
          <w:sz w:val="24"/>
        </w:rPr>
      </w:pPr>
    </w:p>
    <w:p>
      <w:pPr>
        <w:pStyle w:val="16"/>
        <w:spacing w:before="29" w:line="288" w:lineRule="auto"/>
        <w:ind w:firstLine="0" w:firstLineChars="0"/>
        <w:outlineLvl w:val="1"/>
        <w:rPr>
          <w:rFonts w:ascii="Times New Roman" w:hAnsi="Times New Roman"/>
          <w:color w:val="auto"/>
        </w:rPr>
      </w:pPr>
      <w:bookmarkStart w:id="39" w:name="_Toc67667893"/>
      <w:r>
        <w:rPr>
          <w:rFonts w:hint="eastAsia" w:ascii="Times New Roman" w:hAnsi="Times New Roman"/>
          <w:color w:val="auto"/>
        </w:rPr>
        <w:t>2、</w:t>
      </w:r>
      <w:r>
        <w:rPr>
          <w:rFonts w:ascii="Times New Roman" w:hAnsi="Times New Roman"/>
          <w:color w:val="auto"/>
        </w:rPr>
        <w:t>交银丰晟收益债券C</w:t>
      </w:r>
      <w:r>
        <w:rPr>
          <w:rFonts w:hint="eastAsia" w:ascii="Times New Roman" w:hAnsi="Times New Roman"/>
          <w:color w:val="auto"/>
        </w:rPr>
        <w:t>：</w:t>
      </w:r>
      <w:bookmarkEnd w:id="39"/>
    </w:p>
    <w:p>
      <w:pPr>
        <w:pStyle w:val="4"/>
        <w:spacing w:line="360" w:lineRule="auto"/>
        <w:ind w:firstLine="480"/>
        <w:jc w:val="right"/>
        <w:rPr>
          <w:color w:val="000000"/>
          <w:kern w:val="0"/>
          <w:sz w:val="24"/>
        </w:rPr>
      </w:pPr>
      <w:r>
        <w:rPr>
          <w:rFonts w:hint="eastAsia"/>
          <w:color w:val="000000"/>
          <w:kern w:val="0"/>
          <w:sz w:val="24"/>
        </w:rPr>
        <w:t>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78"/>
        <w:gridCol w:w="1839"/>
        <w:gridCol w:w="1950"/>
        <w:gridCol w:w="189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spacing w:before="29" w:line="288" w:lineRule="auto"/>
              <w:jc w:val="center"/>
              <w:rPr>
                <w:color w:val="000000"/>
                <w:sz w:val="24"/>
              </w:rPr>
            </w:pPr>
            <w:r>
              <w:rPr>
                <w:rFonts w:hint="eastAsia"/>
                <w:color w:val="000000"/>
                <w:sz w:val="24"/>
              </w:rPr>
              <w:t>年度</w:t>
            </w:r>
          </w:p>
        </w:tc>
        <w:tc>
          <w:tcPr>
            <w:tcW w:w="1378" w:type="dxa"/>
            <w:vAlign w:val="center"/>
          </w:tcPr>
          <w:p>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pPr>
              <w:spacing w:before="29" w:line="288" w:lineRule="auto"/>
              <w:jc w:val="center"/>
              <w:rPr>
                <w:color w:val="000000"/>
                <w:sz w:val="24"/>
              </w:rPr>
            </w:pPr>
            <w:r>
              <w:rPr>
                <w:rFonts w:hint="eastAsia"/>
                <w:color w:val="000000"/>
                <w:sz w:val="24"/>
              </w:rPr>
              <w:t>现金形式发放总额</w:t>
            </w:r>
          </w:p>
        </w:tc>
        <w:tc>
          <w:tcPr>
            <w:tcW w:w="1950" w:type="dxa"/>
            <w:vAlign w:val="center"/>
          </w:tcPr>
          <w:p>
            <w:pPr>
              <w:spacing w:before="29" w:line="288" w:lineRule="auto"/>
              <w:jc w:val="center"/>
              <w:rPr>
                <w:color w:val="000000"/>
                <w:sz w:val="24"/>
              </w:rPr>
            </w:pPr>
            <w:r>
              <w:rPr>
                <w:rFonts w:hint="eastAsia"/>
                <w:color w:val="000000"/>
                <w:sz w:val="24"/>
              </w:rPr>
              <w:t>再投资形式发放总额</w:t>
            </w:r>
          </w:p>
        </w:tc>
        <w:tc>
          <w:tcPr>
            <w:tcW w:w="1894" w:type="dxa"/>
            <w:vAlign w:val="center"/>
          </w:tcPr>
          <w:p>
            <w:pPr>
              <w:spacing w:before="29" w:line="288" w:lineRule="auto"/>
              <w:jc w:val="center"/>
              <w:rPr>
                <w:color w:val="000000"/>
                <w:sz w:val="24"/>
              </w:rPr>
            </w:pPr>
            <w:r>
              <w:rPr>
                <w:rFonts w:hint="eastAsia"/>
                <w:color w:val="000000"/>
                <w:sz w:val="24"/>
              </w:rPr>
              <w:t>年度利润分配合计</w:t>
            </w:r>
          </w:p>
        </w:tc>
        <w:tc>
          <w:tcPr>
            <w:tcW w:w="1068" w:type="dxa"/>
            <w:vAlign w:val="center"/>
          </w:tcPr>
          <w:p>
            <w:pPr>
              <w:spacing w:before="29" w:line="288"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2020年</w:t>
            </w:r>
          </w:p>
        </w:tc>
        <w:tc>
          <w:tcPr>
            <w:tcW w:w="1378" w:type="dxa"/>
            <w:vAlign w:val="center"/>
          </w:tcPr>
          <w:p>
            <w:pPr>
              <w:jc w:val="right"/>
            </w:pPr>
            <w:r>
              <w:rPr>
                <w:color w:val="000000"/>
                <w:sz w:val="24"/>
              </w:rPr>
              <w:t>0.500</w:t>
            </w:r>
          </w:p>
        </w:tc>
        <w:tc>
          <w:tcPr>
            <w:tcW w:w="1839" w:type="dxa"/>
            <w:vAlign w:val="center"/>
          </w:tcPr>
          <w:p>
            <w:pPr>
              <w:jc w:val="right"/>
            </w:pPr>
            <w:r>
              <w:rPr>
                <w:color w:val="000000"/>
                <w:sz w:val="24"/>
              </w:rPr>
              <w:t>38,833.20</w:t>
            </w:r>
          </w:p>
        </w:tc>
        <w:tc>
          <w:tcPr>
            <w:tcW w:w="1950" w:type="dxa"/>
            <w:vAlign w:val="center"/>
          </w:tcPr>
          <w:p>
            <w:pPr>
              <w:jc w:val="right"/>
            </w:pPr>
            <w:r>
              <w:rPr>
                <w:color w:val="000000"/>
                <w:sz w:val="24"/>
              </w:rPr>
              <w:t>0.00</w:t>
            </w:r>
          </w:p>
        </w:tc>
        <w:tc>
          <w:tcPr>
            <w:tcW w:w="1894" w:type="dxa"/>
            <w:vAlign w:val="center"/>
          </w:tcPr>
          <w:p>
            <w:pPr>
              <w:jc w:val="right"/>
            </w:pPr>
            <w:r>
              <w:rPr>
                <w:color w:val="000000"/>
                <w:sz w:val="24"/>
              </w:rPr>
              <w:t>38,833.20</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2019年</w:t>
            </w:r>
          </w:p>
        </w:tc>
        <w:tc>
          <w:tcPr>
            <w:tcW w:w="1378" w:type="dxa"/>
            <w:vAlign w:val="center"/>
          </w:tcPr>
          <w:p>
            <w:pPr>
              <w:jc w:val="right"/>
            </w:pPr>
            <w:r>
              <w:rPr>
                <w:color w:val="000000"/>
                <w:sz w:val="24"/>
              </w:rPr>
              <w:t>0.300</w:t>
            </w:r>
          </w:p>
        </w:tc>
        <w:tc>
          <w:tcPr>
            <w:tcW w:w="1839" w:type="dxa"/>
            <w:vAlign w:val="center"/>
          </w:tcPr>
          <w:p>
            <w:pPr>
              <w:jc w:val="right"/>
            </w:pPr>
            <w:r>
              <w:rPr>
                <w:color w:val="000000"/>
                <w:sz w:val="24"/>
              </w:rPr>
              <w:t>23,299.92</w:t>
            </w:r>
          </w:p>
        </w:tc>
        <w:tc>
          <w:tcPr>
            <w:tcW w:w="1950" w:type="dxa"/>
            <w:vAlign w:val="center"/>
          </w:tcPr>
          <w:p>
            <w:pPr>
              <w:jc w:val="right"/>
            </w:pPr>
            <w:r>
              <w:rPr>
                <w:color w:val="000000"/>
                <w:sz w:val="24"/>
              </w:rPr>
              <w:t>0.00</w:t>
            </w:r>
          </w:p>
        </w:tc>
        <w:tc>
          <w:tcPr>
            <w:tcW w:w="1894" w:type="dxa"/>
            <w:vAlign w:val="center"/>
          </w:tcPr>
          <w:p>
            <w:pPr>
              <w:jc w:val="right"/>
            </w:pPr>
            <w:r>
              <w:rPr>
                <w:color w:val="000000"/>
                <w:sz w:val="24"/>
              </w:rPr>
              <w:t>23,299.92</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2018年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val="0"/>
              <w:autoSpaceDN w:val="0"/>
              <w:adjustRightInd w:val="0"/>
              <w:spacing w:before="29" w:line="288" w:lineRule="auto"/>
              <w:ind w:left="15"/>
              <w:jc w:val="center"/>
              <w:rPr>
                <w:rFonts w:asciiTheme="minorEastAsia" w:hAnsiTheme="minorEastAsia" w:eastAsiaTheme="minorEastAsia"/>
                <w:color w:val="000000"/>
                <w:szCs w:val="21"/>
              </w:rPr>
            </w:pPr>
            <w:r>
              <w:rPr>
                <w:rFonts w:hint="eastAsia"/>
                <w:color w:val="000000"/>
                <w:sz w:val="24"/>
              </w:rPr>
              <w:t>合计</w:t>
            </w:r>
          </w:p>
        </w:tc>
        <w:tc>
          <w:tcPr>
            <w:tcW w:w="1378" w:type="dxa"/>
            <w:vAlign w:val="center"/>
          </w:tcPr>
          <w:p>
            <w:pPr>
              <w:autoSpaceDE w:val="0"/>
              <w:autoSpaceDN w:val="0"/>
              <w:adjustRightInd w:val="0"/>
              <w:spacing w:before="29" w:line="288" w:lineRule="auto"/>
              <w:ind w:left="15"/>
              <w:jc w:val="right"/>
              <w:rPr>
                <w:color w:val="000000"/>
                <w:kern w:val="0"/>
                <w:sz w:val="24"/>
              </w:rPr>
            </w:pPr>
            <w:r>
              <w:rPr>
                <w:color w:val="000000"/>
                <w:kern w:val="0"/>
                <w:sz w:val="24"/>
              </w:rPr>
              <w:t>0.800</w:t>
            </w:r>
          </w:p>
        </w:tc>
        <w:tc>
          <w:tcPr>
            <w:tcW w:w="1839" w:type="dxa"/>
            <w:vAlign w:val="center"/>
          </w:tcPr>
          <w:p>
            <w:pPr>
              <w:autoSpaceDE w:val="0"/>
              <w:autoSpaceDN w:val="0"/>
              <w:adjustRightInd w:val="0"/>
              <w:spacing w:before="29" w:line="288" w:lineRule="auto"/>
              <w:ind w:left="15"/>
              <w:jc w:val="right"/>
              <w:rPr>
                <w:color w:val="000000"/>
                <w:kern w:val="0"/>
                <w:sz w:val="24"/>
              </w:rPr>
            </w:pPr>
            <w:r>
              <w:rPr>
                <w:color w:val="000000"/>
                <w:kern w:val="0"/>
                <w:sz w:val="24"/>
              </w:rPr>
              <w:t>62,133.12</w:t>
            </w:r>
          </w:p>
        </w:tc>
        <w:tc>
          <w:tcPr>
            <w:tcW w:w="1950" w:type="dxa"/>
            <w:vAlign w:val="center"/>
          </w:tcPr>
          <w:p>
            <w:pPr>
              <w:autoSpaceDE w:val="0"/>
              <w:autoSpaceDN w:val="0"/>
              <w:adjustRightInd w:val="0"/>
              <w:spacing w:before="29" w:line="288" w:lineRule="auto"/>
              <w:ind w:left="15"/>
              <w:jc w:val="right"/>
              <w:rPr>
                <w:color w:val="000000"/>
                <w:kern w:val="0"/>
                <w:sz w:val="24"/>
              </w:rPr>
            </w:pPr>
            <w:r>
              <w:rPr>
                <w:color w:val="000000"/>
                <w:kern w:val="0"/>
                <w:sz w:val="24"/>
              </w:rPr>
              <w:t>-</w:t>
            </w:r>
          </w:p>
        </w:tc>
        <w:tc>
          <w:tcPr>
            <w:tcW w:w="1894" w:type="dxa"/>
            <w:vAlign w:val="center"/>
          </w:tcPr>
          <w:p>
            <w:pPr>
              <w:autoSpaceDE w:val="0"/>
              <w:autoSpaceDN w:val="0"/>
              <w:adjustRightInd w:val="0"/>
              <w:spacing w:before="29" w:line="288" w:lineRule="auto"/>
              <w:ind w:left="15"/>
              <w:jc w:val="right"/>
              <w:rPr>
                <w:color w:val="000000"/>
                <w:kern w:val="0"/>
                <w:sz w:val="24"/>
              </w:rPr>
            </w:pPr>
            <w:r>
              <w:rPr>
                <w:color w:val="000000"/>
                <w:kern w:val="0"/>
                <w:sz w:val="24"/>
              </w:rPr>
              <w:t>62,133.12</w:t>
            </w:r>
          </w:p>
        </w:tc>
        <w:tc>
          <w:tcPr>
            <w:tcW w:w="1068" w:type="dxa"/>
            <w:vAlign w:val="center"/>
          </w:tcPr>
          <w:p>
            <w:pPr>
              <w:autoSpaceDE w:val="0"/>
              <w:autoSpaceDN w:val="0"/>
              <w:adjustRightInd w:val="0"/>
              <w:spacing w:before="29" w:line="288" w:lineRule="auto"/>
              <w:ind w:left="15"/>
              <w:jc w:val="right"/>
              <w:rPr>
                <w:color w:val="000000"/>
                <w:kern w:val="0"/>
                <w:sz w:val="24"/>
              </w:rPr>
            </w:pPr>
            <w:r>
              <w:rPr>
                <w:color w:val="000000"/>
                <w:kern w:val="0"/>
                <w:sz w:val="24"/>
              </w:rPr>
              <w:t>-</w:t>
            </w:r>
          </w:p>
        </w:tc>
      </w:tr>
    </w:tbl>
    <w:p>
      <w:pPr>
        <w:spacing w:line="360" w:lineRule="auto"/>
        <w:jc w:val="left"/>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40" w:name="_Toc67667894"/>
      <w:bookmarkStart w:id="41" w:name="_Toc361324854"/>
      <w:bookmarkStart w:id="42" w:name="_Toc225498254"/>
      <w:r>
        <w:rPr>
          <w:rFonts w:hint="eastAsia"/>
          <w:b/>
          <w:bCs/>
          <w:szCs w:val="24"/>
          <w:lang w:val="en-US"/>
        </w:rPr>
        <w:t>§</w:t>
      </w:r>
      <w:r>
        <w:rPr>
          <w:b/>
          <w:bCs/>
          <w:szCs w:val="24"/>
          <w:lang w:val="en-US"/>
        </w:rPr>
        <w:t xml:space="preserve">4  </w:t>
      </w:r>
      <w:r>
        <w:rPr>
          <w:rFonts w:hint="eastAsia"/>
          <w:b/>
          <w:bCs/>
          <w:szCs w:val="24"/>
          <w:lang w:val="en-US"/>
        </w:rPr>
        <w:t>管理人报告</w:t>
      </w:r>
      <w:bookmarkEnd w:id="40"/>
      <w:bookmarkEnd w:id="41"/>
      <w:bookmarkEnd w:id="42"/>
    </w:p>
    <w:p/>
    <w:p>
      <w:pPr>
        <w:pStyle w:val="3"/>
        <w:spacing w:before="29" w:after="0" w:line="288" w:lineRule="auto"/>
        <w:rPr>
          <w:rFonts w:eastAsiaTheme="minorEastAsia"/>
          <w:b w:val="0"/>
        </w:rPr>
      </w:pPr>
      <w:bookmarkStart w:id="43" w:name="_Toc67667895"/>
      <w:bookmarkStart w:id="44" w:name="_Toc361324855"/>
      <w:r>
        <w:rPr>
          <w:rFonts w:ascii="Times New Roman" w:hAnsi="Times New Roman"/>
          <w:kern w:val="0"/>
          <w:szCs w:val="24"/>
        </w:rPr>
        <w:t xml:space="preserve">4.1 </w:t>
      </w:r>
      <w:r>
        <w:rPr>
          <w:rFonts w:hint="eastAsia" w:ascii="Times New Roman" w:hAnsi="Times New Roman"/>
          <w:kern w:val="0"/>
          <w:szCs w:val="24"/>
        </w:rPr>
        <w:t>基金管理人及基金经理情况</w:t>
      </w:r>
      <w:bookmarkEnd w:id="43"/>
      <w:bookmarkEnd w:id="44"/>
    </w:p>
    <w:p>
      <w:pPr>
        <w:spacing w:before="29" w:line="288" w:lineRule="auto"/>
        <w:outlineLvl w:val="1"/>
        <w:rPr>
          <w:rFonts w:eastAsiaTheme="minorEastAsia"/>
          <w:b/>
          <w:sz w:val="24"/>
        </w:rPr>
      </w:pPr>
      <w:bookmarkStart w:id="45" w:name="_Toc67667896"/>
      <w:r>
        <w:rPr>
          <w:rFonts w:eastAsiaTheme="minorEastAsia"/>
          <w:b/>
          <w:sz w:val="24"/>
        </w:rPr>
        <w:t>4.1.1</w:t>
      </w:r>
      <w:r>
        <w:rPr>
          <w:rFonts w:hint="eastAsia" w:eastAsiaTheme="minorEastAsia"/>
          <w:b/>
          <w:sz w:val="24"/>
        </w:rPr>
        <w:t>基金管理人及其管理基金的经验</w:t>
      </w:r>
      <w:bookmarkEnd w:id="45"/>
    </w:p>
    <w:p>
      <w:pPr>
        <w:spacing w:before="29" w:line="288" w:lineRule="auto"/>
        <w:ind w:firstLine="480" w:firstLineChars="200"/>
        <w:rPr>
          <w:kern w:val="0"/>
          <w:sz w:val="24"/>
        </w:rPr>
      </w:pPr>
      <w:r>
        <w:rPr>
          <w:kern w:val="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pPr>
        <w:spacing w:before="29" w:line="288" w:lineRule="auto"/>
        <w:ind w:firstLine="480" w:firstLineChars="200"/>
        <w:rPr>
          <w:kern w:val="0"/>
          <w:sz w:val="24"/>
        </w:rPr>
      </w:pPr>
      <w:r>
        <w:rPr>
          <w:kern w:val="0"/>
          <w:sz w:val="24"/>
        </w:rPr>
        <w:t>截至报告期末，公司管理了包括货币型、债券型、混合型和股票型在内的94只基金，其中股票型涵盖普通指数型、交易型开放式（ETF）、QDII等不同类型基金。</w:t>
      </w:r>
    </w:p>
    <w:p>
      <w:pPr>
        <w:spacing w:before="29" w:line="288" w:lineRule="auto"/>
        <w:rPr>
          <w:rFonts w:eastAsiaTheme="minorEastAsia"/>
          <w:b/>
          <w:sz w:val="24"/>
        </w:rPr>
      </w:pPr>
    </w:p>
    <w:p>
      <w:pPr>
        <w:spacing w:before="29" w:line="288" w:lineRule="auto"/>
        <w:outlineLvl w:val="1"/>
        <w:rPr>
          <w:rFonts w:eastAsiaTheme="minorEastAsia"/>
          <w:b/>
          <w:sz w:val="24"/>
        </w:rPr>
      </w:pPr>
      <w:bookmarkStart w:id="46" w:name="_Toc67667897"/>
      <w:r>
        <w:rPr>
          <w:rFonts w:eastAsiaTheme="minorEastAsia"/>
          <w:b/>
          <w:sz w:val="24"/>
        </w:rPr>
        <w:t>4.1.2</w:t>
      </w:r>
      <w:r>
        <w:rPr>
          <w:rFonts w:hint="eastAsia" w:eastAsiaTheme="minorEastAsia"/>
          <w:b/>
          <w:sz w:val="24"/>
        </w:rPr>
        <w:t>基金经理（或基金经理小组）及基金经理助理的简介</w:t>
      </w:r>
      <w:bookmarkEnd w:id="46"/>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34"/>
        <w:gridCol w:w="1418"/>
        <w:gridCol w:w="1275"/>
        <w:gridCol w:w="993"/>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spacing w:before="29" w:line="288" w:lineRule="auto"/>
              <w:jc w:val="center"/>
              <w:rPr>
                <w:color w:val="000000"/>
                <w:sz w:val="24"/>
              </w:rPr>
            </w:pPr>
            <w:r>
              <w:rPr>
                <w:rFonts w:hint="eastAsia"/>
                <w:color w:val="000000"/>
                <w:sz w:val="24"/>
              </w:rPr>
              <w:t>姓名</w:t>
            </w:r>
          </w:p>
        </w:tc>
        <w:tc>
          <w:tcPr>
            <w:tcW w:w="1134" w:type="dxa"/>
            <w:vMerge w:val="restart"/>
            <w:vAlign w:val="center"/>
          </w:tcPr>
          <w:p>
            <w:pPr>
              <w:spacing w:before="29" w:line="288" w:lineRule="auto"/>
              <w:jc w:val="center"/>
              <w:rPr>
                <w:color w:val="000000"/>
                <w:sz w:val="24"/>
              </w:rPr>
            </w:pPr>
            <w:r>
              <w:rPr>
                <w:rFonts w:hint="eastAsia"/>
                <w:color w:val="000000"/>
                <w:sz w:val="24"/>
              </w:rPr>
              <w:t>职务</w:t>
            </w:r>
          </w:p>
        </w:tc>
        <w:tc>
          <w:tcPr>
            <w:tcW w:w="2693" w:type="dxa"/>
            <w:gridSpan w:val="2"/>
            <w:vAlign w:val="center"/>
          </w:tcPr>
          <w:p>
            <w:pPr>
              <w:spacing w:before="29" w:line="288" w:lineRule="auto"/>
              <w:jc w:val="center"/>
              <w:rPr>
                <w:color w:val="000000"/>
                <w:sz w:val="24"/>
              </w:rPr>
            </w:pPr>
            <w:r>
              <w:rPr>
                <w:rFonts w:hint="eastAsia"/>
                <w:color w:val="000000"/>
                <w:sz w:val="24"/>
              </w:rPr>
              <w:t>任本基金的基金经理（助理）期限</w:t>
            </w:r>
          </w:p>
        </w:tc>
        <w:tc>
          <w:tcPr>
            <w:tcW w:w="993" w:type="dxa"/>
            <w:vMerge w:val="restart"/>
            <w:vAlign w:val="center"/>
          </w:tcPr>
          <w:p>
            <w:pPr>
              <w:spacing w:before="29" w:line="288" w:lineRule="auto"/>
              <w:jc w:val="center"/>
              <w:rPr>
                <w:color w:val="000000"/>
                <w:sz w:val="24"/>
              </w:rPr>
            </w:pPr>
            <w:r>
              <w:rPr>
                <w:rFonts w:hint="eastAsia"/>
                <w:color w:val="000000"/>
                <w:sz w:val="24"/>
              </w:rPr>
              <w:t>证券从业年限</w:t>
            </w:r>
          </w:p>
        </w:tc>
        <w:tc>
          <w:tcPr>
            <w:tcW w:w="2902" w:type="dxa"/>
            <w:vMerge w:val="restart"/>
            <w:vAlign w:val="center"/>
          </w:tcPr>
          <w:p>
            <w:pPr>
              <w:spacing w:before="29" w:line="288" w:lineRule="auto"/>
              <w:jc w:val="center"/>
              <w:rPr>
                <w:color w:val="000000"/>
                <w:sz w:val="24"/>
              </w:rPr>
            </w:pPr>
            <w:r>
              <w:rPr>
                <w:rFonts w:hint="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134" w:type="dxa"/>
            <w:vMerge w:val="continue"/>
            <w:vAlign w:val="center"/>
          </w:tcPr>
          <w:p>
            <w:pPr>
              <w:spacing w:before="29" w:line="288" w:lineRule="auto"/>
              <w:jc w:val="center"/>
              <w:rPr>
                <w:color w:val="000000"/>
                <w:sz w:val="24"/>
              </w:rPr>
            </w:pPr>
          </w:p>
        </w:tc>
        <w:tc>
          <w:tcPr>
            <w:tcW w:w="1418" w:type="dxa"/>
            <w:vAlign w:val="center"/>
          </w:tcPr>
          <w:p>
            <w:pPr>
              <w:spacing w:before="29" w:line="288" w:lineRule="auto"/>
              <w:jc w:val="center"/>
              <w:rPr>
                <w:color w:val="000000"/>
                <w:sz w:val="24"/>
              </w:rPr>
            </w:pPr>
            <w:r>
              <w:rPr>
                <w:rFonts w:hint="eastAsia"/>
                <w:color w:val="000000"/>
                <w:sz w:val="24"/>
              </w:rPr>
              <w:t>任职日期</w:t>
            </w:r>
          </w:p>
        </w:tc>
        <w:tc>
          <w:tcPr>
            <w:tcW w:w="1275" w:type="dxa"/>
            <w:vAlign w:val="center"/>
          </w:tcPr>
          <w:p>
            <w:pPr>
              <w:spacing w:before="29" w:line="288" w:lineRule="auto"/>
              <w:jc w:val="center"/>
              <w:rPr>
                <w:color w:val="000000"/>
                <w:sz w:val="24"/>
              </w:rPr>
            </w:pPr>
            <w:r>
              <w:rPr>
                <w:rFonts w:hint="eastAsia"/>
                <w:color w:val="000000"/>
                <w:sz w:val="24"/>
              </w:rPr>
              <w:t>离任日期</w:t>
            </w:r>
          </w:p>
        </w:tc>
        <w:tc>
          <w:tcPr>
            <w:tcW w:w="993" w:type="dxa"/>
            <w:vMerge w:val="continue"/>
            <w:vAlign w:val="center"/>
          </w:tcPr>
          <w:p>
            <w:pPr>
              <w:widowControl/>
              <w:spacing w:line="360" w:lineRule="auto"/>
              <w:jc w:val="left"/>
              <w:rPr>
                <w:rFonts w:asciiTheme="minorEastAsia" w:hAnsiTheme="minorEastAsia" w:eastAsiaTheme="minorEastAsia"/>
                <w:color w:val="000000"/>
                <w:szCs w:val="21"/>
              </w:rPr>
            </w:pPr>
          </w:p>
        </w:tc>
        <w:tc>
          <w:tcPr>
            <w:tcW w:w="2902" w:type="dxa"/>
            <w:vMerge w:val="continue"/>
            <w:vAlign w:val="center"/>
          </w:tcPr>
          <w:p>
            <w:pPr>
              <w:widowControl/>
              <w:spacing w:line="360" w:lineRule="auto"/>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jc w:val="center"/>
            </w:pPr>
            <w:r>
              <w:rPr>
                <w:color w:val="000000"/>
                <w:sz w:val="24"/>
              </w:rPr>
              <w:t>于海颖</w:t>
            </w:r>
          </w:p>
        </w:tc>
        <w:tc>
          <w:tcPr>
            <w:tcW w:w="1134" w:type="dxa"/>
            <w:vAlign w:val="center"/>
          </w:tcPr>
          <w:p>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tcW w:w="1418" w:type="dxa"/>
            <w:vAlign w:val="center"/>
          </w:tcPr>
          <w:p>
            <w:pPr>
              <w:jc w:val="center"/>
            </w:pPr>
            <w:r>
              <w:rPr>
                <w:color w:val="000000"/>
                <w:sz w:val="24"/>
              </w:rPr>
              <w:t>2018-05-23</w:t>
            </w:r>
          </w:p>
        </w:tc>
        <w:tc>
          <w:tcPr>
            <w:tcW w:w="1275" w:type="dxa"/>
            <w:vAlign w:val="center"/>
          </w:tcPr>
          <w:p>
            <w:pPr>
              <w:jc w:val="center"/>
            </w:pPr>
            <w:r>
              <w:rPr>
                <w:color w:val="000000"/>
                <w:sz w:val="24"/>
              </w:rPr>
              <w:t>-</w:t>
            </w:r>
          </w:p>
        </w:tc>
        <w:tc>
          <w:tcPr>
            <w:tcW w:w="993" w:type="dxa"/>
            <w:vAlign w:val="center"/>
          </w:tcPr>
          <w:p>
            <w:pPr>
              <w:jc w:val="center"/>
            </w:pPr>
            <w:r>
              <w:rPr>
                <w:color w:val="000000"/>
                <w:sz w:val="24"/>
              </w:rPr>
              <w:t>14年</w:t>
            </w:r>
          </w:p>
        </w:tc>
        <w:tc>
          <w:tcPr>
            <w:tcW w:w="2902" w:type="dxa"/>
            <w:vAlign w:val="center"/>
          </w:tcPr>
          <w:p>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2016年12月29日至2020年8月21日担任交银施罗德丰盈收益债券型证券投资基金的基金经理。2017年6月10日至2020年8月21日担任交银施罗德增利债券证券投资基金的基金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jc w:val="center"/>
            </w:pPr>
            <w:r>
              <w:rPr>
                <w:color w:val="000000"/>
                <w:sz w:val="24"/>
              </w:rPr>
              <w:t>魏玉敏</w:t>
            </w:r>
          </w:p>
        </w:tc>
        <w:tc>
          <w:tcPr>
            <w:tcW w:w="1134" w:type="dxa"/>
            <w:vAlign w:val="center"/>
          </w:tcPr>
          <w:p>
            <w:pPr>
              <w:jc w:val="center"/>
            </w:pPr>
            <w:r>
              <w:rPr>
                <w:color w:val="000000"/>
                <w:sz w:val="24"/>
              </w:rPr>
              <w:t>交银增利债券、交银纯债债券发起、交银丰润收益债券、交银增利增强债券、交银裕如纯债债券、交银中债1-3年农发债指数、交银可转债债券、交银裕泰两年定期开放债券的基金经理</w:t>
            </w:r>
          </w:p>
        </w:tc>
        <w:tc>
          <w:tcPr>
            <w:tcW w:w="1418" w:type="dxa"/>
            <w:vAlign w:val="center"/>
          </w:tcPr>
          <w:p>
            <w:pPr>
              <w:jc w:val="center"/>
            </w:pPr>
            <w:r>
              <w:rPr>
                <w:color w:val="000000"/>
                <w:sz w:val="24"/>
              </w:rPr>
              <w:t>2018-08-29</w:t>
            </w:r>
          </w:p>
        </w:tc>
        <w:tc>
          <w:tcPr>
            <w:tcW w:w="1275" w:type="dxa"/>
            <w:vAlign w:val="center"/>
          </w:tcPr>
          <w:p>
            <w:pPr>
              <w:jc w:val="center"/>
            </w:pPr>
            <w:r>
              <w:rPr>
                <w:color w:val="000000"/>
                <w:sz w:val="24"/>
              </w:rPr>
              <w:t>2020-10-17</w:t>
            </w:r>
          </w:p>
        </w:tc>
        <w:tc>
          <w:tcPr>
            <w:tcW w:w="993" w:type="dxa"/>
            <w:vAlign w:val="center"/>
          </w:tcPr>
          <w:p>
            <w:pPr>
              <w:jc w:val="center"/>
            </w:pPr>
            <w:r>
              <w:rPr>
                <w:color w:val="000000"/>
                <w:sz w:val="24"/>
              </w:rPr>
              <w:t>8年</w:t>
            </w:r>
          </w:p>
        </w:tc>
        <w:tc>
          <w:tcPr>
            <w:tcW w:w="2902" w:type="dxa"/>
            <w:vAlign w:val="center"/>
          </w:tcPr>
          <w:p>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2018年8月29日至2020年10月16日担任交银施罗德丰晟收益债券型证券投资基金的基金经理。</w:t>
            </w:r>
          </w:p>
        </w:tc>
      </w:tr>
    </w:tbl>
    <w:p>
      <w:pPr>
        <w:tabs>
          <w:tab w:val="left" w:pos="426"/>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val="left" w:pos="426"/>
        </w:tabs>
        <w:spacing w:before="29" w:line="288" w:lineRule="auto"/>
        <w:jc w:val="left"/>
        <w:rPr>
          <w:kern w:val="0"/>
          <w:sz w:val="24"/>
        </w:rPr>
      </w:pPr>
      <w:r>
        <w:rPr>
          <w:kern w:val="0"/>
          <w:sz w:val="24"/>
        </w:rPr>
        <w:t>2、本表所列基金经理（助理）证券从业年限中的“证券从业”的含义遵从中国证券业协会《证券业从业人员资格管理办法》的相关规定。</w:t>
      </w:r>
    </w:p>
    <w:p>
      <w:pPr>
        <w:tabs>
          <w:tab w:val="left" w:pos="426"/>
        </w:tabs>
        <w:spacing w:before="29" w:line="288" w:lineRule="auto"/>
        <w:jc w:val="left"/>
        <w:rPr>
          <w:kern w:val="0"/>
          <w:sz w:val="24"/>
        </w:rPr>
      </w:pPr>
      <w:r>
        <w:rPr>
          <w:kern w:val="0"/>
          <w:sz w:val="24"/>
        </w:rPr>
        <w:t>3、基金经理（或基金经理小组）期后变动（如有）敬请关注基金管理人发布的相关公告。</w:t>
      </w:r>
    </w:p>
    <w:p>
      <w:pPr>
        <w:spacing w:before="29" w:line="288" w:lineRule="auto"/>
        <w:rPr>
          <w:rFonts w:eastAsiaTheme="minorEastAsia"/>
          <w:b/>
          <w:sz w:val="24"/>
        </w:rPr>
      </w:pPr>
    </w:p>
    <w:p>
      <w:pPr>
        <w:pStyle w:val="3"/>
        <w:spacing w:before="29" w:after="0" w:line="288" w:lineRule="auto"/>
        <w:rPr>
          <w:rFonts w:ascii="Times New Roman" w:hAnsi="Times New Roman"/>
          <w:kern w:val="0"/>
          <w:szCs w:val="24"/>
        </w:rPr>
      </w:pPr>
      <w:bookmarkStart w:id="47" w:name="_Toc67667898"/>
      <w:bookmarkStart w:id="48" w:name="_Toc361324856"/>
      <w:bookmarkStart w:id="49" w:name="_Toc225498256"/>
      <w:r>
        <w:rPr>
          <w:rFonts w:ascii="Times New Roman" w:hAnsi="Times New Roman"/>
          <w:kern w:val="0"/>
          <w:szCs w:val="24"/>
        </w:rPr>
        <w:t xml:space="preserve">4.2 </w:t>
      </w:r>
      <w:r>
        <w:rPr>
          <w:rFonts w:hint="eastAsia" w:ascii="Times New Roman" w:hAnsi="Times New Roman"/>
          <w:kern w:val="0"/>
          <w:szCs w:val="24"/>
        </w:rPr>
        <w:t>管理人对报告期内本基金运作遵规守信情况的说明</w:t>
      </w:r>
      <w:bookmarkEnd w:id="47"/>
      <w:bookmarkEnd w:id="48"/>
      <w:bookmarkEnd w:id="49"/>
    </w:p>
    <w:p>
      <w:pPr>
        <w:spacing w:before="29" w:line="288" w:lineRule="auto"/>
        <w:ind w:firstLine="480" w:firstLineChars="200"/>
        <w:rPr>
          <w:kern w:val="0"/>
          <w:sz w:val="24"/>
        </w:rPr>
      </w:pPr>
      <w:r>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eastAsiaTheme="minorEastAsia"/>
          <w:b w:val="0"/>
        </w:rPr>
      </w:pPr>
      <w:bookmarkStart w:id="50" w:name="_Toc225498257"/>
      <w:bookmarkStart w:id="51" w:name="_Toc67667899"/>
      <w:bookmarkStart w:id="52" w:name="_Toc361324857"/>
      <w:r>
        <w:rPr>
          <w:rFonts w:ascii="Times New Roman" w:hAnsi="Times New Roman"/>
          <w:kern w:val="0"/>
          <w:szCs w:val="24"/>
        </w:rPr>
        <w:t xml:space="preserve">4.3 </w:t>
      </w:r>
      <w:r>
        <w:rPr>
          <w:rFonts w:hint="eastAsia" w:ascii="Times New Roman" w:hAnsi="Times New Roman"/>
          <w:kern w:val="0"/>
          <w:szCs w:val="24"/>
        </w:rPr>
        <w:t>管理人对报告期内公平交易情况的专项说明</w:t>
      </w:r>
      <w:bookmarkEnd w:id="50"/>
      <w:bookmarkEnd w:id="51"/>
      <w:bookmarkEnd w:id="52"/>
    </w:p>
    <w:p>
      <w:pPr>
        <w:spacing w:before="29" w:line="288" w:lineRule="auto"/>
        <w:outlineLvl w:val="1"/>
        <w:rPr>
          <w:rFonts w:eastAsiaTheme="minorEastAsia"/>
          <w:b/>
          <w:sz w:val="24"/>
        </w:rPr>
      </w:pPr>
      <w:bookmarkStart w:id="53" w:name="_Toc67667900"/>
      <w:r>
        <w:rPr>
          <w:rFonts w:eastAsiaTheme="minorEastAsia"/>
          <w:b/>
          <w:sz w:val="24"/>
        </w:rPr>
        <w:t>4.3.1</w:t>
      </w:r>
      <w:r>
        <w:rPr>
          <w:rFonts w:hint="eastAsia" w:eastAsiaTheme="minorEastAsia"/>
          <w:b/>
          <w:sz w:val="24"/>
        </w:rPr>
        <w:t>公平交易制度和控制方法</w:t>
      </w:r>
      <w:bookmarkEnd w:id="53"/>
    </w:p>
    <w:p>
      <w:pPr>
        <w:spacing w:before="29" w:line="288" w:lineRule="auto"/>
        <w:ind w:firstLine="480" w:firstLineChars="200"/>
        <w:rPr>
          <w:rFonts w:asciiTheme="minorEastAsia" w:hAnsiTheme="minorEastAsia" w:eastAsia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rFonts w:asciiTheme="minorEastAsia" w:hAnsiTheme="minorEastAsia" w:eastAsiaTheme="minorEastAsia"/>
          <w:color w:val="000000"/>
          <w:szCs w:val="21"/>
        </w:rPr>
      </w:pPr>
      <w:r>
        <w:rPr>
          <w:kern w:val="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rFonts w:asciiTheme="minorEastAsia" w:hAnsiTheme="minorEastAsia" w:eastAsiaTheme="minorEastAsia"/>
          <w:color w:val="000000"/>
          <w:szCs w:val="21"/>
        </w:rPr>
      </w:pPr>
      <w:r>
        <w:rPr>
          <w:kern w:val="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rFonts w:asciiTheme="minorEastAsia" w:hAnsiTheme="minorEastAsia" w:eastAsiaTheme="minorEastAsia"/>
          <w:color w:val="000000"/>
          <w:szCs w:val="21"/>
        </w:rPr>
      </w:pPr>
      <w:r>
        <w:rPr>
          <w:kern w:val="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rFonts w:asciiTheme="minorEastAsia" w:hAnsiTheme="minorEastAsia" w:eastAsiaTheme="minorEastAsia"/>
          <w:color w:val="000000"/>
          <w:szCs w:val="21"/>
        </w:rPr>
      </w:pPr>
      <w:r>
        <w:rPr>
          <w:kern w:val="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pPr>
        <w:spacing w:before="29" w:line="288" w:lineRule="auto"/>
        <w:ind w:firstLine="480" w:firstLineChars="200"/>
        <w:rPr>
          <w:rFonts w:asciiTheme="minorEastAsia" w:hAnsiTheme="minorEastAsia" w:eastAsiaTheme="minorEastAsia"/>
          <w:color w:val="000000"/>
          <w:szCs w:val="21"/>
        </w:rPr>
      </w:pPr>
      <w:r>
        <w:rPr>
          <w:kern w:val="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line="360" w:lineRule="auto"/>
        <w:jc w:val="left"/>
        <w:rPr>
          <w:rFonts w:asciiTheme="minorEastAsia" w:hAnsiTheme="minorEastAsia" w:eastAsiaTheme="minorEastAsia"/>
          <w:color w:val="000000"/>
          <w:szCs w:val="21"/>
        </w:rPr>
      </w:pPr>
    </w:p>
    <w:p>
      <w:pPr>
        <w:spacing w:before="29" w:line="288" w:lineRule="auto"/>
        <w:outlineLvl w:val="1"/>
        <w:rPr>
          <w:rFonts w:eastAsiaTheme="minorEastAsia"/>
          <w:b/>
          <w:sz w:val="24"/>
        </w:rPr>
      </w:pPr>
      <w:bookmarkStart w:id="54" w:name="_Toc67667901"/>
      <w:r>
        <w:rPr>
          <w:rFonts w:eastAsiaTheme="minorEastAsia"/>
          <w:b/>
          <w:sz w:val="24"/>
        </w:rPr>
        <w:t>4.3.2</w:t>
      </w:r>
      <w:r>
        <w:rPr>
          <w:rFonts w:hint="eastAsia" w:eastAsiaTheme="minorEastAsia"/>
          <w:b/>
          <w:sz w:val="24"/>
        </w:rPr>
        <w:t>公平交易制度的执行情况</w:t>
      </w:r>
      <w:bookmarkEnd w:id="54"/>
    </w:p>
    <w:p>
      <w:pPr>
        <w:spacing w:before="29" w:line="288" w:lineRule="auto"/>
        <w:ind w:firstLine="480" w:firstLineChars="20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before="29" w:line="288" w:lineRule="auto"/>
        <w:ind w:firstLine="480" w:firstLineChars="200"/>
        <w:rPr>
          <w:kern w:val="0"/>
          <w:sz w:val="24"/>
        </w:rPr>
      </w:pPr>
      <w:r>
        <w:rPr>
          <w:kern w:val="0"/>
          <w:sz w:val="24"/>
        </w:rPr>
        <w:t>报告期内本公司严格执行公平交易制度，公平对待旗下各投资组合，未发现任何违反公平交易的行为。</w:t>
      </w:r>
    </w:p>
    <w:p>
      <w:pPr>
        <w:spacing w:line="360" w:lineRule="auto"/>
        <w:jc w:val="left"/>
        <w:rPr>
          <w:rFonts w:asciiTheme="minorEastAsia" w:hAnsiTheme="minorEastAsia" w:eastAsiaTheme="minorEastAsia"/>
          <w:color w:val="000000"/>
          <w:szCs w:val="21"/>
        </w:rPr>
      </w:pPr>
    </w:p>
    <w:p>
      <w:pPr>
        <w:spacing w:before="29" w:line="288" w:lineRule="auto"/>
        <w:outlineLvl w:val="1"/>
        <w:rPr>
          <w:rFonts w:eastAsiaTheme="minorEastAsia"/>
          <w:b/>
          <w:sz w:val="24"/>
        </w:rPr>
      </w:pPr>
      <w:bookmarkStart w:id="55" w:name="_Toc67667902"/>
      <w:r>
        <w:rPr>
          <w:rFonts w:eastAsiaTheme="minorEastAsia"/>
          <w:b/>
          <w:sz w:val="24"/>
        </w:rPr>
        <w:t>4.3.3</w:t>
      </w:r>
      <w:r>
        <w:rPr>
          <w:rFonts w:hint="eastAsia" w:eastAsiaTheme="minorEastAsia"/>
          <w:b/>
          <w:sz w:val="24"/>
        </w:rPr>
        <w:t>异常交易行为的专项说明</w:t>
      </w:r>
      <w:bookmarkEnd w:id="55"/>
    </w:p>
    <w:p>
      <w:pPr>
        <w:spacing w:before="29" w:line="288" w:lineRule="auto"/>
        <w:ind w:firstLine="480" w:firstLineChars="200"/>
        <w:rPr>
          <w:kern w:val="0"/>
          <w:sz w:val="24"/>
        </w:rPr>
      </w:pPr>
      <w:r>
        <w:rPr>
          <w:kern w:val="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eastAsiaTheme="minorEastAsia"/>
          <w:b w:val="0"/>
        </w:rPr>
      </w:pPr>
      <w:bookmarkStart w:id="56" w:name="_Toc361324858"/>
      <w:bookmarkStart w:id="57" w:name="_Toc67667903"/>
      <w:bookmarkStart w:id="58" w:name="_Toc225498258"/>
      <w:r>
        <w:rPr>
          <w:rFonts w:ascii="Times New Roman" w:hAnsi="Times New Roman"/>
          <w:kern w:val="0"/>
          <w:szCs w:val="24"/>
        </w:rPr>
        <w:t xml:space="preserve">4.4 </w:t>
      </w:r>
      <w:r>
        <w:rPr>
          <w:rFonts w:hint="eastAsia" w:ascii="Times New Roman" w:hAnsi="Times New Roman"/>
          <w:kern w:val="0"/>
          <w:szCs w:val="24"/>
        </w:rPr>
        <w:t>管理人对报告期内基金的投资策略和业绩表现的说明</w:t>
      </w:r>
      <w:bookmarkEnd w:id="56"/>
      <w:bookmarkEnd w:id="57"/>
      <w:bookmarkEnd w:id="58"/>
    </w:p>
    <w:p>
      <w:pPr>
        <w:spacing w:before="29" w:line="288" w:lineRule="auto"/>
        <w:outlineLvl w:val="1"/>
        <w:rPr>
          <w:rFonts w:eastAsiaTheme="minorEastAsia"/>
          <w:b/>
          <w:sz w:val="24"/>
        </w:rPr>
      </w:pPr>
      <w:bookmarkStart w:id="59" w:name="_Toc67667904"/>
      <w:r>
        <w:rPr>
          <w:rFonts w:eastAsiaTheme="minorEastAsia"/>
          <w:b/>
          <w:sz w:val="24"/>
        </w:rPr>
        <w:t>4.4.1</w:t>
      </w:r>
      <w:r>
        <w:rPr>
          <w:rFonts w:hint="eastAsia" w:eastAsiaTheme="minorEastAsia"/>
          <w:b/>
          <w:sz w:val="24"/>
        </w:rPr>
        <w:t>报告期内基金投资策略和运作分析</w:t>
      </w:r>
      <w:bookmarkEnd w:id="59"/>
    </w:p>
    <w:p>
      <w:pPr>
        <w:spacing w:before="29" w:line="288" w:lineRule="auto"/>
        <w:ind w:firstLine="480" w:firstLineChars="200"/>
        <w:rPr>
          <w:kern w:val="0"/>
          <w:sz w:val="24"/>
        </w:rPr>
      </w:pPr>
      <w:r>
        <w:rPr>
          <w:kern w:val="0"/>
          <w:sz w:val="24"/>
        </w:rPr>
        <w:t>回顾2020年债券市场，受到新冠疫情影响市场经历大涨大跌，市场主要分为两个阶段，一至四月受疫情冲击及经济下行的双重影响，国内外货币政策大幅宽松，债券市场快速走出一波牛陡行情。五月以来，国内疫情防控取得重大阶段性成果，经济逐渐好转，央行货币政策转为中性引发债市重定价，收益率明显上行后维持震荡。具体来看，年初表现相对平稳，但在新冠疫情不断发酵和严重的情况下，特别是在春节假期后和海外疫情的发展过程中，债券市场收益率出现了较大幅度的下行，十年国开收益率创下仅次于2002年的历史低位。五月之后在供给压力、宏观经济回暖等因素的影响下，央行超预期收紧货币政策，债券收益率开启震荡上行走势，曲线从牛陡快速转变为熊平，短端收益率上行近150BP。七月中旬之后，经济复苏的斜率边际放缓，但由于货币政策整体维持紧平衡状态，叠加股市高位震荡，收益率整体震荡上行。十月之后央行重提总闸门引发货币政策进一步收紧的预期，存单利率持续上行，叠加部分信用违约风险事件的影响，债券市场尤其是信用债和短久期利率债又经历了大幅下跌。十一月下旬随着央行超预期投放流动性，经济工作会议精神明确不会“急转弯”，债券市场在配置力量带动下，收益率转而下行。全年来看，十年国债和一年国债分别较年初上行1BP和11BP。</w:t>
      </w:r>
    </w:p>
    <w:p>
      <w:pPr>
        <w:spacing w:before="29" w:line="288" w:lineRule="auto"/>
        <w:ind w:firstLine="480" w:firstLineChars="200"/>
        <w:rPr>
          <w:kern w:val="0"/>
          <w:sz w:val="24"/>
        </w:rPr>
      </w:pPr>
      <w:r>
        <w:rPr>
          <w:kern w:val="0"/>
          <w:sz w:val="24"/>
        </w:rPr>
        <w:t>报告期内，本组合在五月的时候面临着封闭转开放，考虑到此前在封闭期内的配置品种基本为期限匹配品种，因此在年初的这波收益率下行中，组合由于久期很短，组合净值表现一般，而在本组合转为开放后，市场又经历了一波收益率上行的行情，因此在这样的市场环境中，本组合在转为开放后，主要调整了仓位配置，增持了部分中短久期且资质较高的信用债品种，在控制利率风险的基础上，获取组合静态收益，杠杆方面，本组合保持了一定的杠杆水平，以提升组合静态收益。</w:t>
      </w:r>
    </w:p>
    <w:p>
      <w:pPr>
        <w:spacing w:line="360" w:lineRule="auto"/>
        <w:ind w:firstLine="420" w:firstLineChars="200"/>
        <w:rPr>
          <w:rFonts w:asciiTheme="minorEastAsia" w:hAnsiTheme="minorEastAsia" w:eastAsiaTheme="minorEastAsia"/>
          <w:kern w:val="0"/>
          <w:szCs w:val="21"/>
        </w:rPr>
      </w:pPr>
    </w:p>
    <w:p>
      <w:pPr>
        <w:spacing w:before="29" w:line="288" w:lineRule="auto"/>
        <w:outlineLvl w:val="1"/>
        <w:rPr>
          <w:rFonts w:eastAsiaTheme="minorEastAsia"/>
          <w:b/>
          <w:sz w:val="24"/>
        </w:rPr>
      </w:pPr>
      <w:bookmarkStart w:id="60" w:name="_Toc67667905"/>
      <w:r>
        <w:rPr>
          <w:rFonts w:eastAsiaTheme="minorEastAsia"/>
          <w:b/>
          <w:sz w:val="24"/>
        </w:rPr>
        <w:t>4.4.2</w:t>
      </w:r>
      <w:r>
        <w:rPr>
          <w:rFonts w:hint="eastAsia" w:eastAsiaTheme="minorEastAsia"/>
          <w:b/>
          <w:sz w:val="24"/>
        </w:rPr>
        <w:t>报告期内基金的业绩表现</w:t>
      </w:r>
      <w:bookmarkEnd w:id="60"/>
    </w:p>
    <w:p>
      <w:pPr>
        <w:spacing w:before="29" w:line="288" w:lineRule="auto"/>
        <w:ind w:firstLine="480" w:firstLineChars="200"/>
        <w:rPr>
          <w:kern w:val="0"/>
          <w:sz w:val="24"/>
        </w:rPr>
      </w:pPr>
      <w:r>
        <w:rPr>
          <w:kern w:val="0"/>
          <w:sz w:val="24"/>
        </w:rPr>
        <w:t>本基金（各类）份额净值及业绩表现请见“3.1主要会计数据和财务指标” 及“3.2.1基金份额净值增长率及其与同期业绩比较基准收益率的比较”部分披露。</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1" w:name="_Toc361324859"/>
      <w:bookmarkStart w:id="62" w:name="_Toc67667906"/>
      <w:bookmarkStart w:id="63" w:name="_Toc225498259"/>
      <w:r>
        <w:rPr>
          <w:rFonts w:ascii="Times New Roman" w:hAnsi="Times New Roman"/>
          <w:kern w:val="0"/>
          <w:szCs w:val="24"/>
        </w:rPr>
        <w:t xml:space="preserve">4.5 </w:t>
      </w:r>
      <w:r>
        <w:rPr>
          <w:rFonts w:hint="eastAsia" w:ascii="Times New Roman" w:hAnsi="Times New Roman"/>
          <w:kern w:val="0"/>
          <w:szCs w:val="24"/>
        </w:rPr>
        <w:t>管理人对宏观经济、证券市场及行业走势的简要展望</w:t>
      </w:r>
      <w:bookmarkEnd w:id="61"/>
      <w:bookmarkEnd w:id="62"/>
      <w:bookmarkEnd w:id="63"/>
    </w:p>
    <w:p>
      <w:pPr>
        <w:spacing w:before="29" w:line="288" w:lineRule="auto"/>
        <w:ind w:firstLine="480" w:firstLineChars="200"/>
        <w:rPr>
          <w:kern w:val="0"/>
          <w:sz w:val="24"/>
        </w:rPr>
      </w:pPr>
      <w:r>
        <w:rPr>
          <w:kern w:val="0"/>
          <w:sz w:val="24"/>
        </w:rPr>
        <w:t>展望2021年，经济增长动能将从疫情后以基建、地产拉动的逆周期因素逐步切换到以消费、制造业拉动的顺周期因素，出口受到疫苗接种和海外复苏影响韧性相对较强。预计经济运行回归正常轨道，同比在基数效应下冲高回落，环比增长先稳后弱，下半年压力大于上半年。在稳定宏观杠杆率定调和政策不“急转弯”下，2021年或呈现信用环境边际收紧、货币条件先紧后松、通胀趋势先上后稳的格局。操作策略方面，我们将关注信用债的票息机会，进一步挖掘信用债投资机会，并维持中等的杠杆水平，同时我们将继续关注中短期限信用品种的静态收益和骑乘收益，以期提升组合整体静态收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4" w:name="_Toc245801806"/>
      <w:bookmarkStart w:id="65" w:name="_Toc247959456"/>
      <w:bookmarkStart w:id="66" w:name="_Toc361324860"/>
      <w:bookmarkStart w:id="67" w:name="_Toc67667907"/>
      <w:r>
        <w:rPr>
          <w:rFonts w:ascii="Times New Roman" w:hAnsi="Times New Roman"/>
          <w:kern w:val="0"/>
          <w:szCs w:val="24"/>
        </w:rPr>
        <w:t xml:space="preserve">4.6 </w:t>
      </w:r>
      <w:r>
        <w:rPr>
          <w:rFonts w:hint="eastAsia" w:ascii="Times New Roman" w:hAnsi="Times New Roman"/>
          <w:kern w:val="0"/>
          <w:szCs w:val="24"/>
        </w:rPr>
        <w:t>管理人内部有关本基金的监察稽核工作情况</w:t>
      </w:r>
      <w:bookmarkEnd w:id="64"/>
      <w:bookmarkEnd w:id="65"/>
      <w:bookmarkEnd w:id="66"/>
      <w:bookmarkEnd w:id="67"/>
    </w:p>
    <w:p>
      <w:pPr>
        <w:spacing w:before="29" w:line="288" w:lineRule="auto"/>
        <w:ind w:firstLine="480" w:firstLineChars="200"/>
        <w:rPr>
          <w:kern w:val="0"/>
          <w:sz w:val="24"/>
        </w:rPr>
      </w:pPr>
      <w:r>
        <w:rPr>
          <w:kern w:val="0"/>
          <w:sz w:val="24"/>
        </w:rPr>
        <w:t>2020年度，根据《证券投资基金法》等法律法规及有关要求，本基金管理人诚实守信、勤勉尽责，依法履行基金管理人职责，落实风险控制，强化合规管理职能，确保基金管理业务运作的安全、规范，保护基金投资人的合法权益。</w:t>
      </w:r>
    </w:p>
    <w:p>
      <w:pPr>
        <w:spacing w:before="29" w:line="288" w:lineRule="auto"/>
        <w:ind w:firstLine="480" w:firstLineChars="200"/>
        <w:rPr>
          <w:kern w:val="0"/>
          <w:sz w:val="24"/>
        </w:rPr>
      </w:pPr>
      <w:r>
        <w:rPr>
          <w:kern w:val="0"/>
          <w:sz w:val="24"/>
        </w:rPr>
        <w:t>本报告期内，本基金管理人为了确保公司业务的规范运作，主要做了以下工作：</w:t>
      </w:r>
    </w:p>
    <w:p>
      <w:pPr>
        <w:spacing w:before="29" w:line="288" w:lineRule="auto"/>
        <w:ind w:firstLine="480" w:firstLineChars="200"/>
        <w:rPr>
          <w:kern w:val="0"/>
          <w:sz w:val="24"/>
        </w:rPr>
      </w:pPr>
      <w:r>
        <w:rPr>
          <w:kern w:val="0"/>
          <w:sz w:val="24"/>
        </w:rPr>
        <w:t>（一）继续深化全面风险管理，提高风险控制有效性。</w:t>
      </w:r>
    </w:p>
    <w:p>
      <w:pPr>
        <w:spacing w:before="29" w:line="288" w:lineRule="auto"/>
        <w:ind w:firstLine="480" w:firstLineChars="20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pPr>
        <w:spacing w:before="29" w:line="288" w:lineRule="auto"/>
        <w:ind w:firstLine="480" w:firstLineChars="200"/>
        <w:rPr>
          <w:kern w:val="0"/>
          <w:sz w:val="24"/>
        </w:rPr>
      </w:pPr>
      <w:r>
        <w:rPr>
          <w:kern w:val="0"/>
          <w:sz w:val="24"/>
        </w:rPr>
        <w:t>（二）全面开展内部监督检查，强化公司内部控制。</w:t>
      </w:r>
    </w:p>
    <w:p>
      <w:pPr>
        <w:spacing w:before="29" w:line="288" w:lineRule="auto"/>
        <w:ind w:firstLine="480" w:firstLineChars="20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pPr>
        <w:spacing w:before="29" w:line="288" w:lineRule="auto"/>
        <w:ind w:firstLine="480" w:firstLineChars="200"/>
        <w:rPr>
          <w:kern w:val="0"/>
          <w:sz w:val="24"/>
        </w:rPr>
      </w:pPr>
      <w:r>
        <w:rPr>
          <w:kern w:val="0"/>
          <w:sz w:val="24"/>
        </w:rPr>
        <w:t>（三）着力打造完备的合规管理体系，促进合规文化建设取得新成果。</w:t>
      </w:r>
    </w:p>
    <w:p>
      <w:pPr>
        <w:spacing w:before="29" w:line="288" w:lineRule="auto"/>
        <w:ind w:firstLine="480" w:firstLineChars="20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pPr>
        <w:spacing w:before="29" w:line="288" w:lineRule="auto"/>
        <w:ind w:firstLine="480" w:firstLineChars="200"/>
        <w:rPr>
          <w:kern w:val="0"/>
          <w:sz w:val="24"/>
        </w:rPr>
      </w:pPr>
      <w:r>
        <w:rPr>
          <w:kern w:val="0"/>
          <w:sz w:val="24"/>
        </w:rPr>
        <w:t>（四）强化培训教育及重点领域合规提示，持续提高全员风险合规意识。</w:t>
      </w:r>
    </w:p>
    <w:p>
      <w:pPr>
        <w:spacing w:before="29" w:line="288" w:lineRule="auto"/>
        <w:ind w:firstLine="480" w:firstLineChars="200"/>
        <w:rPr>
          <w:kern w:val="0"/>
          <w:sz w:val="24"/>
        </w:rPr>
      </w:pPr>
      <w:r>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8" w:name="_Toc225570083"/>
      <w:bookmarkStart w:id="69" w:name="_Toc361324861"/>
      <w:bookmarkStart w:id="70" w:name="_Toc247959457"/>
      <w:bookmarkStart w:id="71" w:name="_Toc67667908"/>
      <w:r>
        <w:rPr>
          <w:rFonts w:ascii="Times New Roman" w:hAnsi="Times New Roman"/>
          <w:kern w:val="0"/>
          <w:szCs w:val="24"/>
        </w:rPr>
        <w:t xml:space="preserve">4.7 </w:t>
      </w:r>
      <w:r>
        <w:rPr>
          <w:rFonts w:hint="eastAsia" w:ascii="Times New Roman" w:hAnsi="Times New Roman"/>
          <w:kern w:val="0"/>
          <w:szCs w:val="24"/>
        </w:rPr>
        <w:t>管理人对报告期内基金估值程序等事项的说明</w:t>
      </w:r>
      <w:bookmarkEnd w:id="68"/>
      <w:bookmarkEnd w:id="69"/>
      <w:bookmarkEnd w:id="70"/>
      <w:bookmarkEnd w:id="71"/>
    </w:p>
    <w:p>
      <w:pPr>
        <w:spacing w:before="29" w:line="288" w:lineRule="auto"/>
        <w:ind w:firstLine="480" w:firstLineChars="20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pPr>
        <w:spacing w:before="29" w:line="288" w:lineRule="auto"/>
        <w:ind w:firstLine="480" w:firstLineChars="20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pPr>
        <w:spacing w:before="29" w:line="288"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72" w:name="_Toc361324862"/>
      <w:bookmarkStart w:id="73" w:name="_Toc67667909"/>
      <w:bookmarkStart w:id="74" w:name="_Toc247959458"/>
      <w:bookmarkStart w:id="75" w:name="_Toc225570084"/>
      <w:r>
        <w:rPr>
          <w:rFonts w:ascii="Times New Roman" w:hAnsi="Times New Roman"/>
          <w:kern w:val="0"/>
          <w:szCs w:val="24"/>
        </w:rPr>
        <w:t>4.</w:t>
      </w:r>
      <w:r>
        <w:rPr>
          <w:rFonts w:hint="eastAsia" w:ascii="Times New Roman" w:hAnsi="Times New Roman"/>
          <w:kern w:val="0"/>
          <w:szCs w:val="24"/>
        </w:rPr>
        <w:t>8</w:t>
      </w:r>
      <w:r>
        <w:rPr>
          <w:rFonts w:ascii="Times New Roman" w:hAnsi="Times New Roman"/>
          <w:kern w:val="0"/>
          <w:szCs w:val="24"/>
        </w:rPr>
        <w:t>管理人对报告期内基金利润分配情况的说明</w:t>
      </w:r>
      <w:bookmarkEnd w:id="72"/>
      <w:bookmarkEnd w:id="73"/>
      <w:bookmarkEnd w:id="74"/>
      <w:bookmarkEnd w:id="75"/>
    </w:p>
    <w:p>
      <w:pPr>
        <w:spacing w:before="29" w:line="288" w:lineRule="auto"/>
        <w:ind w:firstLine="480" w:firstLineChars="200"/>
        <w:rPr>
          <w:kern w:val="0"/>
          <w:sz w:val="24"/>
        </w:rPr>
      </w:pPr>
      <w:r>
        <w:rPr>
          <w:kern w:val="0"/>
          <w:sz w:val="24"/>
        </w:rPr>
        <w:t>根据相关法律法规和基金合同要求，本基金本报告期内对上一年度应分配的可分配利润进行了收益分配，具体情况参见7.4.11利润分配情况。</w:t>
      </w:r>
    </w:p>
    <w:p>
      <w:pPr>
        <w:spacing w:before="29" w:line="288" w:lineRule="auto"/>
        <w:ind w:firstLine="480" w:firstLineChars="200"/>
        <w:rPr>
          <w:kern w:val="0"/>
          <w:sz w:val="24"/>
        </w:rPr>
      </w:pPr>
      <w:r>
        <w:rPr>
          <w:kern w:val="0"/>
          <w:sz w:val="24"/>
        </w:rPr>
        <w:t>本基金未对本报告期内利润进行分配。</w:t>
      </w:r>
    </w:p>
    <w:p>
      <w:pPr>
        <w:spacing w:line="360" w:lineRule="auto"/>
        <w:ind w:firstLine="420" w:firstLineChars="200"/>
        <w:rPr>
          <w:rFonts w:eastAsiaTheme="minorEastAsia"/>
          <w:color w:val="000000"/>
          <w:szCs w:val="21"/>
        </w:rPr>
      </w:pPr>
    </w:p>
    <w:p>
      <w:pPr>
        <w:pStyle w:val="3"/>
        <w:spacing w:before="29" w:after="0" w:line="288" w:lineRule="auto"/>
        <w:rPr>
          <w:rFonts w:ascii="Times New Roman" w:hAnsi="Times New Roman"/>
          <w:kern w:val="0"/>
          <w:szCs w:val="24"/>
        </w:rPr>
      </w:pPr>
      <w:bookmarkStart w:id="76" w:name="_Toc67667910"/>
      <w:r>
        <w:rPr>
          <w:rFonts w:ascii="Times New Roman" w:hAnsi="Times New Roman"/>
          <w:kern w:val="0"/>
          <w:szCs w:val="24"/>
        </w:rPr>
        <w:t>4.9</w:t>
      </w:r>
      <w:r>
        <w:rPr>
          <w:rFonts w:hint="eastAsia" w:ascii="Times New Roman" w:hAnsi="Times New Roman"/>
          <w:kern w:val="0"/>
          <w:szCs w:val="24"/>
        </w:rPr>
        <w:t>报告期内管理人对本基金持有人数或基金资产净值预警情形的说明</w:t>
      </w:r>
      <w:bookmarkEnd w:id="76"/>
    </w:p>
    <w:p>
      <w:pPr>
        <w:spacing w:before="29" w:line="288" w:lineRule="auto"/>
        <w:ind w:firstLine="480" w:firstLineChars="200"/>
        <w:rPr>
          <w:kern w:val="0"/>
          <w:sz w:val="24"/>
        </w:rPr>
      </w:pPr>
      <w:r>
        <w:rPr>
          <w:kern w:val="0"/>
          <w:sz w:val="24"/>
        </w:rPr>
        <w:t xml:space="preserve">本基金本报告期内无需预警说明。 </w:t>
      </w:r>
    </w:p>
    <w:p>
      <w:pPr>
        <w:spacing w:before="29" w:line="288" w:lineRule="auto"/>
        <w:ind w:firstLine="480" w:firstLineChars="200"/>
        <w:rPr>
          <w:kern w:val="0"/>
          <w:sz w:val="24"/>
        </w:rPr>
      </w:pPr>
    </w:p>
    <w:p>
      <w:pPr>
        <w:pStyle w:val="2"/>
        <w:keepNext/>
        <w:keepLines/>
        <w:widowControl w:val="0"/>
        <w:spacing w:before="312" w:beforeLines="100" w:after="312" w:afterLines="100" w:line="288" w:lineRule="auto"/>
        <w:jc w:val="center"/>
        <w:rPr>
          <w:b/>
          <w:bCs/>
          <w:szCs w:val="24"/>
          <w:lang w:val="en-US"/>
        </w:rPr>
      </w:pPr>
      <w:bookmarkStart w:id="77" w:name="_Toc67667911"/>
      <w:bookmarkStart w:id="78" w:name="_Toc361324864"/>
      <w:bookmarkStart w:id="79" w:name="_Toc225498263"/>
      <w:r>
        <w:rPr>
          <w:rFonts w:hint="eastAsia"/>
          <w:b/>
          <w:bCs/>
          <w:szCs w:val="24"/>
          <w:lang w:val="en-US"/>
        </w:rPr>
        <w:t>§</w:t>
      </w:r>
      <w:r>
        <w:rPr>
          <w:b/>
          <w:bCs/>
          <w:szCs w:val="24"/>
          <w:lang w:val="en-US"/>
        </w:rPr>
        <w:t xml:space="preserve">5  </w:t>
      </w:r>
      <w:r>
        <w:rPr>
          <w:rFonts w:hint="eastAsia"/>
          <w:b/>
          <w:bCs/>
          <w:szCs w:val="24"/>
          <w:lang w:val="en-US"/>
        </w:rPr>
        <w:t>托管人报告</w:t>
      </w:r>
      <w:bookmarkEnd w:id="77"/>
      <w:bookmarkEnd w:id="78"/>
      <w:bookmarkEnd w:id="79"/>
    </w:p>
    <w:p/>
    <w:p>
      <w:pPr>
        <w:pStyle w:val="3"/>
        <w:spacing w:before="29" w:after="0" w:line="288" w:lineRule="auto"/>
        <w:rPr>
          <w:rFonts w:ascii="Times New Roman" w:hAnsi="Times New Roman"/>
          <w:kern w:val="0"/>
          <w:szCs w:val="24"/>
        </w:rPr>
      </w:pPr>
      <w:bookmarkStart w:id="80" w:name="_Toc67667912"/>
      <w:bookmarkStart w:id="81" w:name="_Toc361324865"/>
      <w:bookmarkStart w:id="82" w:name="_Toc225498264"/>
      <w:r>
        <w:rPr>
          <w:rFonts w:ascii="Times New Roman" w:hAnsi="Times New Roman"/>
          <w:kern w:val="0"/>
          <w:szCs w:val="24"/>
        </w:rPr>
        <w:t xml:space="preserve">5.1 </w:t>
      </w:r>
      <w:r>
        <w:rPr>
          <w:rFonts w:hint="eastAsia" w:ascii="Times New Roman" w:hAnsi="Times New Roman"/>
          <w:kern w:val="0"/>
          <w:szCs w:val="24"/>
        </w:rPr>
        <w:t>报告期内本基金托管人遵规守信情况声明</w:t>
      </w:r>
      <w:bookmarkEnd w:id="80"/>
      <w:bookmarkEnd w:id="81"/>
      <w:bookmarkEnd w:id="82"/>
    </w:p>
    <w:p>
      <w:pPr>
        <w:spacing w:before="29" w:line="288" w:lineRule="auto"/>
        <w:ind w:firstLine="480" w:firstLineChars="200"/>
        <w:rPr>
          <w:kern w:val="0"/>
          <w:sz w:val="24"/>
        </w:rPr>
      </w:pPr>
      <w:r>
        <w:rPr>
          <w:kern w:val="0"/>
          <w:sz w:val="24"/>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83" w:name="_Toc225498265"/>
      <w:bookmarkStart w:id="84" w:name="_Toc361324866"/>
      <w:bookmarkStart w:id="85" w:name="_Toc67667913"/>
      <w:r>
        <w:rPr>
          <w:rFonts w:ascii="Times New Roman" w:hAnsi="Times New Roman"/>
          <w:kern w:val="0"/>
          <w:szCs w:val="24"/>
        </w:rPr>
        <w:t xml:space="preserve">5.2 </w:t>
      </w:r>
      <w:r>
        <w:rPr>
          <w:rFonts w:hint="eastAsia" w:ascii="Times New Roman" w:hAnsi="Times New Roman"/>
          <w:kern w:val="0"/>
          <w:szCs w:val="24"/>
        </w:rPr>
        <w:t>托管人对报告期内本基金投资运作遵规守信、净值计算、利润分配等情况的</w:t>
      </w:r>
      <w:bookmarkEnd w:id="83"/>
      <w:r>
        <w:rPr>
          <w:rFonts w:hint="eastAsia" w:ascii="Times New Roman" w:hAnsi="Times New Roman"/>
          <w:kern w:val="0"/>
          <w:szCs w:val="24"/>
        </w:rPr>
        <w:t>说明</w:t>
      </w:r>
      <w:bookmarkEnd w:id="84"/>
      <w:bookmarkEnd w:id="85"/>
    </w:p>
    <w:p>
      <w:pPr>
        <w:spacing w:before="29" w:line="288" w:lineRule="auto"/>
        <w:ind w:firstLine="480" w:firstLineChars="200"/>
        <w:rPr>
          <w:kern w:val="0"/>
          <w:sz w:val="24"/>
        </w:rPr>
      </w:pPr>
      <w:r>
        <w:rPr>
          <w:kern w:val="0"/>
          <w:sz w:val="24"/>
        </w:rPr>
        <w:t>招商银行根据法律法规、托管协议约定的投资监督条款，对托管产品的投资行为进行监督，并根据监管要求履行报告义务。</w:t>
      </w:r>
    </w:p>
    <w:p>
      <w:pPr>
        <w:spacing w:before="29" w:line="288" w:lineRule="auto"/>
        <w:ind w:firstLine="480" w:firstLineChars="20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pPr>
        <w:spacing w:before="29" w:line="288" w:lineRule="auto"/>
        <w:ind w:firstLine="480" w:firstLineChars="200"/>
        <w:rPr>
          <w:kern w:val="0"/>
          <w:sz w:val="24"/>
        </w:rPr>
      </w:pPr>
      <w:r>
        <w:rPr>
          <w:kern w:val="0"/>
          <w:sz w:val="24"/>
        </w:rPr>
        <w:t>本年度报告中利润分配情况真实、准确。</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86" w:name="_Toc361324867"/>
      <w:bookmarkStart w:id="87" w:name="_Toc67667914"/>
      <w:bookmarkStart w:id="88" w:name="_Toc225498266"/>
      <w:r>
        <w:rPr>
          <w:rFonts w:ascii="Times New Roman" w:hAnsi="Times New Roman"/>
          <w:kern w:val="0"/>
          <w:szCs w:val="24"/>
        </w:rPr>
        <w:t xml:space="preserve">5.3 </w:t>
      </w:r>
      <w:r>
        <w:rPr>
          <w:rFonts w:hint="eastAsia" w:ascii="Times New Roman" w:hAnsi="Times New Roman"/>
          <w:kern w:val="0"/>
          <w:szCs w:val="24"/>
        </w:rPr>
        <w:t>托管人对本年度报告中财务信息等内容的真实、准确和完整发表意见</w:t>
      </w:r>
      <w:bookmarkEnd w:id="86"/>
      <w:bookmarkEnd w:id="87"/>
      <w:bookmarkEnd w:id="88"/>
    </w:p>
    <w:p>
      <w:pPr>
        <w:spacing w:before="29" w:line="288" w:lineRule="auto"/>
        <w:ind w:firstLine="480" w:firstLineChars="200"/>
        <w:rPr>
          <w:kern w:val="0"/>
          <w:sz w:val="24"/>
        </w:rPr>
      </w:pPr>
      <w:r>
        <w:rPr>
          <w:kern w:val="0"/>
          <w:sz w:val="24"/>
        </w:rPr>
        <w:t>本年度报告中财务指标、净值表现、财务会计报告、投资组合报告内容真实、准确，不存在虚假记载、误导性陈述或者重大遗漏。</w:t>
      </w:r>
    </w:p>
    <w:p>
      <w:pPr>
        <w:spacing w:before="29" w:line="288" w:lineRule="auto"/>
        <w:ind w:firstLine="480" w:firstLineChars="200"/>
        <w:rPr>
          <w:kern w:val="0"/>
          <w:sz w:val="24"/>
        </w:rPr>
      </w:pPr>
    </w:p>
    <w:p>
      <w:pPr>
        <w:pStyle w:val="2"/>
        <w:keepNext/>
        <w:keepLines/>
        <w:widowControl w:val="0"/>
        <w:adjustRightInd w:val="0"/>
        <w:snapToGrid w:val="0"/>
        <w:spacing w:before="312" w:beforeLines="100" w:after="312" w:afterLines="100" w:line="360" w:lineRule="auto"/>
        <w:jc w:val="center"/>
        <w:rPr>
          <w:rFonts w:eastAsiaTheme="minorEastAsia"/>
          <w:b/>
          <w:bCs/>
          <w:szCs w:val="24"/>
          <w:lang w:val="en-US"/>
        </w:rPr>
      </w:pPr>
      <w:bookmarkStart w:id="89" w:name="_Toc362424010"/>
      <w:bookmarkStart w:id="90" w:name="_Toc352256054"/>
      <w:bookmarkStart w:id="91" w:name="_Toc352331232"/>
      <w:bookmarkStart w:id="92" w:name="_Toc352255986"/>
      <w:bookmarkStart w:id="93" w:name="_Toc374459272"/>
      <w:bookmarkStart w:id="94" w:name="_Toc245801814"/>
      <w:bookmarkStart w:id="95" w:name="_Toc67667915"/>
      <w:bookmarkStart w:id="96" w:name="_Toc247959464"/>
      <w:bookmarkStart w:id="97" w:name="_Toc361324872"/>
      <w:r>
        <w:rPr>
          <w:rFonts w:eastAsiaTheme="minorEastAsia"/>
          <w:b/>
          <w:bCs/>
          <w:szCs w:val="24"/>
          <w:lang w:val="en-US"/>
        </w:rPr>
        <w:t>§6  审计报告</w:t>
      </w:r>
      <w:bookmarkEnd w:id="89"/>
      <w:bookmarkEnd w:id="90"/>
      <w:bookmarkEnd w:id="91"/>
      <w:bookmarkEnd w:id="92"/>
      <w:bookmarkEnd w:id="93"/>
      <w:bookmarkEnd w:id="94"/>
      <w:bookmarkEnd w:id="95"/>
      <w:bookmarkEnd w:id="96"/>
    </w:p>
    <w:p>
      <w:pPr>
        <w:widowControl/>
        <w:spacing w:line="288" w:lineRule="auto"/>
        <w:jc w:val="right"/>
        <w:rPr>
          <w:rFonts w:eastAsiaTheme="minorEastAsia"/>
          <w:sz w:val="24"/>
        </w:rPr>
      </w:pPr>
      <w:r>
        <w:rPr>
          <w:rFonts w:eastAsiaTheme="minorEastAsia"/>
          <w:kern w:val="0"/>
          <w:sz w:val="24"/>
        </w:rPr>
        <w:t>普华永道中天审字(2021)第24494号</w:t>
      </w:r>
    </w:p>
    <w:p>
      <w:pPr>
        <w:widowControl/>
        <w:spacing w:line="288" w:lineRule="auto"/>
        <w:jc w:val="left"/>
        <w:rPr>
          <w:rFonts w:eastAsiaTheme="minorEastAsia"/>
          <w:kern w:val="0"/>
          <w:sz w:val="24"/>
        </w:rPr>
      </w:pPr>
      <w:r>
        <w:rPr>
          <w:rFonts w:eastAsiaTheme="minorEastAsia"/>
          <w:kern w:val="0"/>
          <w:sz w:val="24"/>
        </w:rPr>
        <w:t>交银施罗德丰晟收益债券型证券投资基金全体基金份额持有人</w:t>
      </w:r>
      <w:r>
        <w:rPr>
          <w:rFonts w:hint="eastAsia" w:eastAsiaTheme="minorEastAsia"/>
          <w:sz w:val="24"/>
        </w:rPr>
        <w:t>：</w:t>
      </w:r>
    </w:p>
    <w:p>
      <w:pPr>
        <w:pStyle w:val="3"/>
        <w:spacing w:before="29" w:after="0" w:line="288" w:lineRule="auto"/>
        <w:rPr>
          <w:rFonts w:ascii="Times New Roman" w:hAnsi="Times New Roman"/>
          <w:kern w:val="0"/>
          <w:szCs w:val="24"/>
        </w:rPr>
      </w:pPr>
      <w:bookmarkStart w:id="98" w:name="_Toc362424013"/>
      <w:bookmarkStart w:id="99" w:name="_Toc352256057"/>
      <w:bookmarkStart w:id="100" w:name="_Toc374459275"/>
      <w:bookmarkStart w:id="101" w:name="_Toc352331235"/>
      <w:bookmarkStart w:id="102" w:name="_Toc286996149"/>
      <w:bookmarkStart w:id="103" w:name="_Toc67667916"/>
      <w:bookmarkStart w:id="104" w:name="_Toc352255989"/>
      <w:bookmarkStart w:id="105" w:name="_Toc362424011"/>
      <w:bookmarkStart w:id="106" w:name="_Toc286996147"/>
      <w:bookmarkStart w:id="107" w:name="_Toc352256055"/>
      <w:bookmarkStart w:id="108" w:name="_Toc374459273"/>
      <w:bookmarkStart w:id="109" w:name="_Toc352331233"/>
      <w:bookmarkStart w:id="110" w:name="_Toc352255987"/>
      <w:r>
        <w:rPr>
          <w:rFonts w:ascii="Times New Roman" w:hAnsi="Times New Roman"/>
          <w:kern w:val="0"/>
          <w:szCs w:val="24"/>
        </w:rPr>
        <w:t xml:space="preserve">6.1 </w:t>
      </w:r>
      <w:r>
        <w:rPr>
          <w:rFonts w:hint="eastAsia" w:ascii="Times New Roman" w:hAnsi="Times New Roman"/>
          <w:kern w:val="0"/>
          <w:szCs w:val="24"/>
        </w:rPr>
        <w:t>审计意见</w:t>
      </w:r>
      <w:bookmarkEnd w:id="98"/>
      <w:bookmarkEnd w:id="99"/>
      <w:bookmarkEnd w:id="100"/>
      <w:bookmarkEnd w:id="101"/>
      <w:bookmarkEnd w:id="102"/>
      <w:bookmarkEnd w:id="103"/>
      <w:bookmarkEnd w:id="104"/>
    </w:p>
    <w:p>
      <w:pPr>
        <w:widowControl/>
        <w:spacing w:line="288" w:lineRule="auto"/>
        <w:ind w:firstLine="420"/>
        <w:outlineLvl w:val="1"/>
        <w:rPr>
          <w:rFonts w:eastAsiaTheme="minorEastAsia"/>
          <w:kern w:val="0"/>
          <w:sz w:val="24"/>
        </w:rPr>
      </w:pPr>
      <w:bookmarkStart w:id="111" w:name="_Toc67667917"/>
      <w:r>
        <w:rPr>
          <w:rFonts w:eastAsiaTheme="minorEastAsia"/>
          <w:kern w:val="0"/>
          <w:sz w:val="24"/>
        </w:rPr>
        <w:t>(一)我们审计的内容</w:t>
      </w:r>
      <w:bookmarkEnd w:id="111"/>
    </w:p>
    <w:p>
      <w:pPr>
        <w:widowControl/>
        <w:spacing w:line="288" w:lineRule="auto"/>
        <w:ind w:firstLine="420"/>
        <w:rPr>
          <w:rFonts w:eastAsiaTheme="minorEastAsia"/>
          <w:kern w:val="0"/>
          <w:sz w:val="24"/>
        </w:rPr>
      </w:pPr>
      <w:r>
        <w:rPr>
          <w:rFonts w:eastAsiaTheme="minorEastAsia"/>
          <w:kern w:val="0"/>
          <w:sz w:val="24"/>
        </w:rPr>
        <w:t>我们审计了交银施罗德丰晟收益债券型证券投资基金(以下简称“交银丰晟收益债券基金”)的财务报表，包括2020年12月31日的资产负债表，2020年度的利润表和所有者权益(基金净值)变动表以及财务报表附注。</w:t>
      </w:r>
    </w:p>
    <w:p>
      <w:pPr>
        <w:widowControl/>
        <w:spacing w:line="288" w:lineRule="auto"/>
        <w:ind w:firstLine="420"/>
        <w:outlineLvl w:val="1"/>
        <w:rPr>
          <w:rFonts w:eastAsiaTheme="minorEastAsia"/>
          <w:kern w:val="0"/>
          <w:sz w:val="24"/>
        </w:rPr>
      </w:pPr>
      <w:bookmarkStart w:id="112" w:name="_Toc67667918"/>
      <w:r>
        <w:rPr>
          <w:rFonts w:eastAsiaTheme="minorEastAsia"/>
          <w:kern w:val="0"/>
          <w:sz w:val="24"/>
        </w:rPr>
        <w:t>(二)我们的意见</w:t>
      </w:r>
      <w:bookmarkEnd w:id="112"/>
    </w:p>
    <w:p>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以下简称“中国证监会”)、中国证券投资基金业协会(以下简称“中国基金业协会”)发布的有关规定及允许的基金行业实务操作编制，公允反映了交银丰晟收益债券基金2020年12月31日的财务状况以及2020年度的经营成果和基金净值变动情况。</w:t>
      </w:r>
    </w:p>
    <w:p>
      <w:pPr>
        <w:widowControl/>
        <w:spacing w:line="288" w:lineRule="auto"/>
        <w:ind w:firstLine="420"/>
        <w:rPr>
          <w:rFonts w:eastAsiaTheme="minorEastAsia"/>
          <w:kern w:val="0"/>
          <w:sz w:val="24"/>
        </w:rPr>
      </w:pPr>
    </w:p>
    <w:p>
      <w:pPr>
        <w:pStyle w:val="3"/>
        <w:spacing w:before="29" w:after="0" w:line="288" w:lineRule="auto"/>
        <w:rPr>
          <w:rFonts w:ascii="Times New Roman" w:hAnsi="Times New Roman"/>
          <w:kern w:val="0"/>
          <w:szCs w:val="24"/>
        </w:rPr>
      </w:pPr>
      <w:bookmarkStart w:id="113" w:name="_Toc67667919"/>
      <w:r>
        <w:rPr>
          <w:rFonts w:ascii="Times New Roman" w:hAnsi="Times New Roman"/>
          <w:kern w:val="0"/>
          <w:szCs w:val="24"/>
        </w:rPr>
        <w:t xml:space="preserve">6.2 </w:t>
      </w:r>
      <w:r>
        <w:rPr>
          <w:rFonts w:hint="eastAsia" w:ascii="Times New Roman" w:hAnsi="Times New Roman"/>
          <w:kern w:val="0"/>
          <w:szCs w:val="24"/>
        </w:rPr>
        <w:t>形成审计意见的基础</w:t>
      </w:r>
      <w:bookmarkEnd w:id="113"/>
    </w:p>
    <w:p>
      <w:pPr>
        <w:spacing w:line="288" w:lineRule="auto"/>
        <w:ind w:firstLine="480" w:firstLineChars="200"/>
        <w:rPr>
          <w:rFonts w:eastAsiaTheme="minorEastAsia"/>
          <w:sz w:val="24"/>
        </w:rPr>
      </w:pPr>
      <w:r>
        <w:rPr>
          <w:rFonts w:eastAsiaTheme="minor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pPr>
        <w:spacing w:line="288" w:lineRule="auto"/>
        <w:ind w:firstLine="480" w:firstLineChars="200"/>
        <w:rPr>
          <w:rFonts w:eastAsiaTheme="minorEastAsia"/>
          <w:sz w:val="24"/>
        </w:rPr>
      </w:pPr>
      <w:r>
        <w:rPr>
          <w:rFonts w:eastAsiaTheme="minorEastAsia"/>
          <w:sz w:val="24"/>
        </w:rPr>
        <w:t>按照中国注册会计师职业道德守则，我们独立于交银丰晟收益债券基金，并履行了职业道德方面的其他责任。</w:t>
      </w:r>
    </w:p>
    <w:p>
      <w:pPr>
        <w:spacing w:line="288" w:lineRule="auto"/>
        <w:ind w:firstLine="480" w:firstLineChars="200"/>
        <w:rPr>
          <w:rFonts w:eastAsiaTheme="minorEastAsia"/>
          <w:sz w:val="24"/>
        </w:rPr>
      </w:pPr>
    </w:p>
    <w:p>
      <w:pPr>
        <w:pStyle w:val="3"/>
        <w:spacing w:before="29" w:after="0" w:line="288" w:lineRule="auto"/>
        <w:rPr>
          <w:rFonts w:ascii="Times New Roman" w:hAnsi="Times New Roman"/>
          <w:kern w:val="0"/>
          <w:szCs w:val="24"/>
        </w:rPr>
      </w:pPr>
      <w:bookmarkStart w:id="114" w:name="_Toc67667920"/>
      <w:r>
        <w:rPr>
          <w:rFonts w:ascii="Times New Roman" w:hAnsi="Times New Roman"/>
          <w:kern w:val="0"/>
          <w:szCs w:val="24"/>
        </w:rPr>
        <w:t xml:space="preserve">6.3 </w:t>
      </w:r>
      <w:bookmarkEnd w:id="105"/>
      <w:bookmarkEnd w:id="106"/>
      <w:bookmarkEnd w:id="107"/>
      <w:bookmarkEnd w:id="108"/>
      <w:bookmarkEnd w:id="109"/>
      <w:bookmarkEnd w:id="110"/>
      <w:r>
        <w:rPr>
          <w:rFonts w:hint="eastAsia" w:ascii="Times New Roman" w:hAnsi="Times New Roman"/>
          <w:kern w:val="0"/>
          <w:szCs w:val="24"/>
        </w:rPr>
        <w:t>管理层和治理层对财务报表的责任</w:t>
      </w:r>
      <w:bookmarkEnd w:id="114"/>
    </w:p>
    <w:p>
      <w:pPr>
        <w:spacing w:line="288" w:lineRule="auto"/>
        <w:ind w:firstLine="480" w:firstLineChars="200"/>
        <w:rPr>
          <w:rFonts w:eastAsiaTheme="minorEastAsia"/>
          <w:sz w:val="24"/>
        </w:rPr>
      </w:pPr>
      <w:r>
        <w:rPr>
          <w:rFonts w:eastAsiaTheme="minorEastAsia"/>
          <w:sz w:val="24"/>
        </w:rPr>
        <w:t>交银丰晟收益债券基金的基金管理人交银施罗德基金管理有限公司(以下简称“基金管理人”)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pPr>
        <w:spacing w:line="288" w:lineRule="auto"/>
        <w:ind w:firstLine="480" w:firstLineChars="200"/>
        <w:rPr>
          <w:rFonts w:eastAsiaTheme="minorEastAsia"/>
          <w:sz w:val="24"/>
        </w:rPr>
      </w:pPr>
      <w:r>
        <w:rPr>
          <w:rFonts w:eastAsiaTheme="minorEastAsia"/>
          <w:sz w:val="24"/>
        </w:rPr>
        <w:t>在编制财务报表时，基金管理人管理层负责评估交银丰晟收益债券基金的持续经营能力，披露与持续经营相关的事项(如适用)，并运用持续经营假设，除非基金管理人管理层计划清算交银丰晟收益债券基金、终止运营或别无其他现实的选择。</w:t>
      </w:r>
    </w:p>
    <w:p>
      <w:pPr>
        <w:spacing w:line="288" w:lineRule="auto"/>
        <w:ind w:firstLine="480" w:firstLineChars="200"/>
        <w:rPr>
          <w:rFonts w:eastAsiaTheme="minorEastAsia"/>
          <w:sz w:val="24"/>
        </w:rPr>
      </w:pPr>
      <w:r>
        <w:rPr>
          <w:rFonts w:eastAsiaTheme="minorEastAsia"/>
          <w:sz w:val="24"/>
        </w:rPr>
        <w:t>基金管理人治理层负责监督交银丰晟收益债券基金的财务报告过程。</w:t>
      </w:r>
    </w:p>
    <w:p>
      <w:pPr>
        <w:spacing w:line="288" w:lineRule="auto"/>
        <w:ind w:firstLine="480" w:firstLineChars="200"/>
        <w:rPr>
          <w:rFonts w:eastAsiaTheme="minorEastAsia"/>
          <w:sz w:val="24"/>
        </w:rPr>
      </w:pPr>
    </w:p>
    <w:p>
      <w:pPr>
        <w:pStyle w:val="3"/>
        <w:spacing w:before="29" w:after="0" w:line="288" w:lineRule="auto"/>
        <w:rPr>
          <w:rFonts w:ascii="Times New Roman" w:hAnsi="Times New Roman"/>
          <w:kern w:val="0"/>
          <w:szCs w:val="24"/>
        </w:rPr>
      </w:pPr>
      <w:bookmarkStart w:id="115" w:name="_Toc374459274"/>
      <w:bookmarkStart w:id="116" w:name="_Toc362424012"/>
      <w:bookmarkStart w:id="117" w:name="_Toc352255988"/>
      <w:bookmarkStart w:id="118" w:name="_Toc352331234"/>
      <w:bookmarkStart w:id="119" w:name="_Toc352256056"/>
      <w:bookmarkStart w:id="120" w:name="_Toc286996148"/>
      <w:bookmarkStart w:id="121" w:name="_Toc67667921"/>
      <w:r>
        <w:rPr>
          <w:rFonts w:ascii="Times New Roman" w:hAnsi="Times New Roman"/>
          <w:kern w:val="0"/>
          <w:szCs w:val="24"/>
        </w:rPr>
        <w:t xml:space="preserve">6.4 </w:t>
      </w:r>
      <w:bookmarkEnd w:id="115"/>
      <w:bookmarkEnd w:id="116"/>
      <w:bookmarkEnd w:id="117"/>
      <w:bookmarkEnd w:id="118"/>
      <w:bookmarkEnd w:id="119"/>
      <w:bookmarkEnd w:id="120"/>
      <w:r>
        <w:rPr>
          <w:rFonts w:hint="eastAsia" w:ascii="Times New Roman" w:hAnsi="Times New Roman"/>
          <w:kern w:val="0"/>
          <w:szCs w:val="24"/>
        </w:rPr>
        <w:t>注册会计师对财务报表审计的责任</w:t>
      </w:r>
      <w:bookmarkEnd w:id="121"/>
    </w:p>
    <w:p>
      <w:pPr>
        <w:spacing w:line="288" w:lineRule="auto"/>
        <w:ind w:firstLine="480" w:firstLineChars="20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line="288" w:lineRule="auto"/>
        <w:ind w:firstLine="480" w:firstLineChars="200"/>
        <w:rPr>
          <w:rFonts w:eastAsiaTheme="minorEastAsia"/>
          <w:sz w:val="24"/>
        </w:rPr>
      </w:pPr>
      <w:r>
        <w:rPr>
          <w:rFonts w:eastAsiaTheme="minorEastAsia"/>
          <w:sz w:val="24"/>
        </w:rPr>
        <w:t>在按照审计准则执行审计工作的过程中，我们运用职业判断，并保持职业怀疑。同时，我们也执行以下工作：</w:t>
      </w:r>
    </w:p>
    <w:p>
      <w:pPr>
        <w:spacing w:line="288" w:lineRule="auto"/>
        <w:ind w:firstLine="480" w:firstLineChars="200"/>
        <w:rPr>
          <w:rFonts w:eastAsiaTheme="minorEastAsia"/>
          <w:sz w:val="24"/>
        </w:rPr>
      </w:pPr>
      <w:r>
        <w:rPr>
          <w:rFonts w:eastAsiaTheme="minorEastAsia"/>
          <w:sz w:val="24"/>
        </w:rPr>
        <w:t>(一)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288" w:lineRule="auto"/>
        <w:ind w:firstLine="480" w:firstLineChars="200"/>
        <w:rPr>
          <w:rFonts w:eastAsiaTheme="minorEastAsia"/>
          <w:sz w:val="24"/>
        </w:rPr>
      </w:pPr>
      <w:r>
        <w:rPr>
          <w:rFonts w:eastAsiaTheme="minorEastAsia"/>
          <w:sz w:val="24"/>
        </w:rPr>
        <w:t>(二) 了解与审计相关的内部控制，以设计恰当的审计程序，但目的并非对内部控制的有效性发表意见。</w:t>
      </w:r>
    </w:p>
    <w:p>
      <w:pPr>
        <w:spacing w:line="288" w:lineRule="auto"/>
        <w:ind w:firstLine="480" w:firstLineChars="200"/>
        <w:rPr>
          <w:rFonts w:eastAsiaTheme="minorEastAsia"/>
          <w:sz w:val="24"/>
        </w:rPr>
      </w:pPr>
      <w:r>
        <w:rPr>
          <w:rFonts w:eastAsiaTheme="minorEastAsia"/>
          <w:sz w:val="24"/>
        </w:rPr>
        <w:t>(三) 评价基金管理人管理层选用会计政策的恰当性和作出会计估计及相关披露的合理性。</w:t>
      </w:r>
    </w:p>
    <w:p>
      <w:pPr>
        <w:spacing w:line="288" w:lineRule="auto"/>
        <w:ind w:firstLine="480" w:firstLineChars="200"/>
        <w:rPr>
          <w:rFonts w:eastAsiaTheme="minorEastAsia"/>
          <w:sz w:val="24"/>
        </w:rPr>
      </w:pPr>
      <w:r>
        <w:rPr>
          <w:rFonts w:eastAsiaTheme="minorEastAsia"/>
          <w:sz w:val="24"/>
        </w:rPr>
        <w:t>(四) 对基金管理人管理层使用持续经营假设的恰当性得出结论。同时，根据获取的审计证据，就可能导致对交银丰晟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丰晟收益债券基金不能持续经营。</w:t>
      </w:r>
    </w:p>
    <w:p>
      <w:pPr>
        <w:spacing w:line="288" w:lineRule="auto"/>
        <w:ind w:firstLine="480" w:firstLineChars="200"/>
        <w:rPr>
          <w:rFonts w:eastAsiaTheme="minorEastAsia"/>
          <w:sz w:val="24"/>
        </w:rPr>
      </w:pPr>
      <w:r>
        <w:rPr>
          <w:rFonts w:eastAsiaTheme="minorEastAsia"/>
          <w:sz w:val="24"/>
        </w:rPr>
        <w:t>(五) 评价财务报表的总体列报(包括披露)、结构和内容，并评价财务报表是否公允反映相关交易和事项。</w:t>
      </w:r>
    </w:p>
    <w:p>
      <w:pPr>
        <w:spacing w:line="288" w:lineRule="auto"/>
        <w:ind w:firstLine="480" w:firstLineChars="20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gridCol w:w="2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spacing w:line="360" w:lineRule="auto"/>
              <w:jc w:val="left"/>
              <w:rPr>
                <w:sz w:val="24"/>
              </w:rPr>
            </w:pPr>
            <w:r>
              <w:rPr>
                <w:sz w:val="24"/>
              </w:rPr>
              <w:t>普华永道中天会计师事务所（特殊普通合伙）</w:t>
            </w:r>
          </w:p>
        </w:tc>
        <w:tc>
          <w:tcPr>
            <w:tcW w:w="2657" w:type="dxa"/>
          </w:tcPr>
          <w:p>
            <w:pPr>
              <w:spacing w:line="360" w:lineRule="auto"/>
              <w:jc w:val="right"/>
              <w:rPr>
                <w:sz w:val="24"/>
              </w:rPr>
            </w:pPr>
            <w:r>
              <w:rPr>
                <w:rFonts w:hint="eastAsia"/>
                <w:sz w:val="24"/>
              </w:rPr>
              <w:t>中国注册会计师</w:t>
            </w:r>
          </w:p>
        </w:tc>
      </w:tr>
    </w:tbl>
    <w:p>
      <w:pPr>
        <w:spacing w:line="288" w:lineRule="auto"/>
        <w:jc w:val="right"/>
        <w:rPr>
          <w:rFonts w:eastAsiaTheme="minorEastAsia"/>
          <w:kern w:val="0"/>
          <w:sz w:val="24"/>
        </w:rPr>
      </w:pPr>
      <w:r>
        <w:rPr>
          <w:rFonts w:eastAsiaTheme="minorEastAsia"/>
          <w:kern w:val="0"/>
          <w:sz w:val="24"/>
        </w:rPr>
        <w:t xml:space="preserve">  童咏静  金诗涛</w:t>
      </w:r>
    </w:p>
    <w:p>
      <w:pPr>
        <w:widowControl/>
        <w:spacing w:line="288" w:lineRule="auto"/>
        <w:jc w:val="right"/>
        <w:rPr>
          <w:rFonts w:eastAsiaTheme="minorEastAsia"/>
          <w:sz w:val="24"/>
        </w:rPr>
      </w:pPr>
      <w:r>
        <w:rPr>
          <w:rFonts w:eastAsiaTheme="minorEastAsia"/>
          <w:kern w:val="0"/>
          <w:sz w:val="24"/>
        </w:rPr>
        <w:t>上海市湖滨路202号普华永道中心11楼</w:t>
      </w:r>
    </w:p>
    <w:p>
      <w:pPr>
        <w:widowControl/>
        <w:spacing w:line="288" w:lineRule="auto"/>
        <w:jc w:val="right"/>
        <w:rPr>
          <w:rFonts w:eastAsiaTheme="minorEastAsia"/>
          <w:sz w:val="24"/>
        </w:rPr>
      </w:pPr>
      <w:r>
        <w:rPr>
          <w:rFonts w:eastAsiaTheme="minorEastAsia"/>
          <w:kern w:val="0"/>
          <w:sz w:val="24"/>
        </w:rPr>
        <w:t>2021年3月26日</w:t>
      </w:r>
    </w:p>
    <w:p>
      <w:pPr>
        <w:widowControl/>
        <w:spacing w:line="288" w:lineRule="auto"/>
        <w:jc w:val="right"/>
        <w:rPr>
          <w:rFonts w:eastAsiaTheme="minorEastAsia"/>
          <w:sz w:val="24"/>
        </w:rPr>
      </w:pPr>
    </w:p>
    <w:p>
      <w:pPr>
        <w:pStyle w:val="2"/>
        <w:keepNext/>
        <w:keepLines/>
        <w:widowControl w:val="0"/>
        <w:spacing w:before="312" w:beforeLines="100" w:after="312" w:afterLines="100" w:line="288" w:lineRule="auto"/>
        <w:jc w:val="center"/>
        <w:rPr>
          <w:b/>
          <w:bCs/>
          <w:szCs w:val="24"/>
          <w:lang w:val="en-US"/>
        </w:rPr>
      </w:pPr>
      <w:bookmarkStart w:id="122" w:name="_Toc67667922"/>
      <w:r>
        <w:rPr>
          <w:rFonts w:hint="eastAsia"/>
          <w:b/>
          <w:bCs/>
          <w:szCs w:val="24"/>
          <w:lang w:val="en-US"/>
        </w:rPr>
        <w:t>§</w:t>
      </w:r>
      <w:r>
        <w:rPr>
          <w:b/>
          <w:bCs/>
          <w:szCs w:val="24"/>
          <w:lang w:val="en-US"/>
        </w:rPr>
        <w:t>7</w:t>
      </w:r>
      <w:r>
        <w:rPr>
          <w:rFonts w:hint="eastAsia"/>
          <w:b/>
          <w:bCs/>
          <w:szCs w:val="24"/>
          <w:lang w:val="en-US"/>
        </w:rPr>
        <w:t>年度财务报表</w:t>
      </w:r>
      <w:bookmarkEnd w:id="97"/>
      <w:bookmarkEnd w:id="122"/>
    </w:p>
    <w:p/>
    <w:p>
      <w:pPr>
        <w:pStyle w:val="3"/>
        <w:spacing w:before="29" w:after="0" w:line="288" w:lineRule="auto"/>
        <w:rPr>
          <w:rFonts w:ascii="Times New Roman" w:hAnsi="Times New Roman"/>
          <w:kern w:val="0"/>
          <w:szCs w:val="24"/>
        </w:rPr>
      </w:pPr>
      <w:bookmarkStart w:id="123" w:name="_Toc361324873"/>
      <w:bookmarkStart w:id="124" w:name="_Toc225498268"/>
      <w:bookmarkStart w:id="125" w:name="_Toc67667923"/>
      <w:r>
        <w:rPr>
          <w:rFonts w:ascii="Times New Roman" w:hAnsi="Times New Roman"/>
          <w:kern w:val="0"/>
          <w:szCs w:val="24"/>
        </w:rPr>
        <w:t xml:space="preserve">7.1 </w:t>
      </w:r>
      <w:r>
        <w:rPr>
          <w:rFonts w:hint="eastAsia" w:ascii="Times New Roman" w:hAnsi="Times New Roman"/>
          <w:kern w:val="0"/>
          <w:szCs w:val="24"/>
        </w:rPr>
        <w:t>资产负债表</w:t>
      </w:r>
      <w:bookmarkEnd w:id="123"/>
      <w:bookmarkEnd w:id="124"/>
      <w:bookmarkEnd w:id="125"/>
    </w:p>
    <w:p>
      <w:pPr>
        <w:spacing w:before="29" w:line="288" w:lineRule="auto"/>
        <w:rPr>
          <w:color w:val="000000"/>
          <w:sz w:val="24"/>
        </w:rPr>
      </w:pPr>
      <w:r>
        <w:rPr>
          <w:rFonts w:hint="eastAsia"/>
          <w:color w:val="000000"/>
          <w:sz w:val="24"/>
        </w:rPr>
        <w:t>会计主体：</w:t>
      </w:r>
      <w:r>
        <w:rPr>
          <w:color w:val="000000"/>
          <w:sz w:val="24"/>
        </w:rPr>
        <w:t>交银施罗德丰晟收益债券型证券投资基金</w:t>
      </w:r>
    </w:p>
    <w:p>
      <w:pPr>
        <w:spacing w:before="29" w:line="288" w:lineRule="auto"/>
        <w:rPr>
          <w:color w:val="000000"/>
          <w:sz w:val="24"/>
        </w:rPr>
      </w:pPr>
      <w:r>
        <w:rPr>
          <w:rFonts w:hint="eastAsia"/>
          <w:color w:val="000000"/>
          <w:sz w:val="24"/>
        </w:rPr>
        <w:t>报告截止日：</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0"/>
        <w:gridCol w:w="1080"/>
        <w:gridCol w:w="252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资产</w:t>
            </w:r>
          </w:p>
        </w:tc>
        <w:tc>
          <w:tcPr>
            <w:tcW w:w="10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资产：</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银行存款</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pPr>
              <w:spacing w:before="29" w:line="288" w:lineRule="auto"/>
              <w:jc w:val="right"/>
              <w:rPr>
                <w:color w:val="000000"/>
                <w:sz w:val="24"/>
              </w:rPr>
            </w:pPr>
            <w:r>
              <w:rPr>
                <w:color w:val="000000"/>
                <w:sz w:val="24"/>
              </w:rPr>
              <w:t>2,325,312.01</w:t>
            </w:r>
          </w:p>
        </w:tc>
        <w:tc>
          <w:tcPr>
            <w:tcW w:w="2520" w:type="dxa"/>
            <w:vAlign w:val="center"/>
          </w:tcPr>
          <w:p>
            <w:pPr>
              <w:spacing w:before="29" w:line="288" w:lineRule="auto"/>
              <w:jc w:val="right"/>
              <w:rPr>
                <w:color w:val="000000"/>
                <w:sz w:val="24"/>
              </w:rPr>
            </w:pPr>
            <w:r>
              <w:rPr>
                <w:color w:val="000000"/>
                <w:sz w:val="24"/>
              </w:rPr>
              <w:t>626,921.67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结算备付金</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92,997.42</w:t>
            </w:r>
          </w:p>
        </w:tc>
        <w:tc>
          <w:tcPr>
            <w:tcW w:w="2520" w:type="dxa"/>
            <w:vAlign w:val="center"/>
          </w:tcPr>
          <w:p>
            <w:pPr>
              <w:spacing w:before="29" w:line="288" w:lineRule="auto"/>
              <w:jc w:val="right"/>
              <w:rPr>
                <w:color w:val="000000"/>
                <w:sz w:val="24"/>
              </w:rPr>
            </w:pPr>
            <w:r>
              <w:rPr>
                <w:color w:val="000000"/>
                <w:sz w:val="24"/>
              </w:rPr>
              <w:t>20,333,676.00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存出保证金</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2,458.65</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交易性金融资产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pPr>
              <w:spacing w:before="29" w:line="288" w:lineRule="auto"/>
              <w:jc w:val="right"/>
              <w:rPr>
                <w:color w:val="000000"/>
                <w:sz w:val="24"/>
              </w:rPr>
            </w:pPr>
            <w:r>
              <w:rPr>
                <w:color w:val="000000"/>
                <w:sz w:val="24"/>
              </w:rPr>
              <w:t>364,863,500.00</w:t>
            </w:r>
          </w:p>
        </w:tc>
        <w:tc>
          <w:tcPr>
            <w:tcW w:w="2520" w:type="dxa"/>
            <w:vAlign w:val="center"/>
          </w:tcPr>
          <w:p>
            <w:pPr>
              <w:spacing w:before="29" w:line="288" w:lineRule="auto"/>
              <w:jc w:val="right"/>
              <w:rPr>
                <w:color w:val="000000"/>
                <w:sz w:val="24"/>
              </w:rPr>
            </w:pPr>
            <w:r>
              <w:rPr>
                <w:color w:val="000000"/>
                <w:sz w:val="24"/>
              </w:rPr>
              <w:t>672,165,200.00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其中：股票投资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8"/>
              <w:spacing w:before="29" w:beforeAutospacing="0" w:line="288" w:lineRule="auto"/>
              <w:ind w:firstLine="720" w:firstLineChars="300"/>
              <w:jc w:val="both"/>
              <w:rPr>
                <w:rFonts w:ascii="Times New Roman" w:hAnsi="Times New Roman"/>
                <w:color w:val="000000"/>
              </w:rPr>
            </w:pPr>
            <w:r>
              <w:rPr>
                <w:rFonts w:hint="eastAsia" w:ascii="Times New Roman" w:hAnsi="Times New Roman"/>
                <w:color w:val="000000"/>
              </w:rPr>
              <w:t>基金投资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8"/>
              <w:spacing w:before="29" w:beforeAutospacing="0" w:line="288" w:lineRule="auto"/>
              <w:ind w:firstLine="720" w:firstLineChars="300"/>
              <w:jc w:val="both"/>
              <w:rPr>
                <w:rFonts w:ascii="Times New Roman" w:hAnsi="Times New Roman"/>
                <w:color w:val="000000"/>
              </w:rPr>
            </w:pPr>
            <w:r>
              <w:rPr>
                <w:rFonts w:hint="eastAsia" w:ascii="Times New Roman" w:hAnsi="Times New Roman"/>
                <w:color w:val="000000"/>
              </w:rPr>
              <w:t>债券投资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364,863,500.00</w:t>
            </w:r>
          </w:p>
        </w:tc>
        <w:tc>
          <w:tcPr>
            <w:tcW w:w="2520" w:type="dxa"/>
            <w:vAlign w:val="center"/>
          </w:tcPr>
          <w:p>
            <w:pPr>
              <w:spacing w:before="29" w:line="288" w:lineRule="auto"/>
              <w:jc w:val="right"/>
              <w:rPr>
                <w:color w:val="000000"/>
                <w:sz w:val="24"/>
              </w:rPr>
            </w:pPr>
            <w:r>
              <w:rPr>
                <w:color w:val="000000"/>
                <w:sz w:val="24"/>
              </w:rPr>
              <w:t>672,165,200.00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8"/>
              <w:spacing w:before="29" w:beforeAutospacing="0" w:line="288" w:lineRule="auto"/>
              <w:ind w:firstLine="720" w:firstLineChars="300"/>
              <w:jc w:val="both"/>
              <w:rPr>
                <w:rFonts w:ascii="Times New Roman" w:hAnsi="Times New Roman"/>
                <w:color w:val="000000"/>
              </w:rPr>
            </w:pPr>
            <w:r>
              <w:rPr>
                <w:rFonts w:hint="eastAsia" w:ascii="Times New Roman" w:hAnsi="Times New Roman"/>
                <w:color w:val="000000"/>
              </w:rPr>
              <w:t>资产支持证券投资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8"/>
              <w:spacing w:before="29" w:beforeAutospacing="0" w:line="288" w:lineRule="auto"/>
              <w:ind w:firstLine="720" w:firstLineChars="300"/>
              <w:jc w:val="both"/>
              <w:rPr>
                <w:rFonts w:ascii="Times New Roman" w:hAnsi="Times New Roman"/>
                <w:color w:val="000000"/>
              </w:rPr>
            </w:pPr>
            <w:r>
              <w:rPr>
                <w:rFonts w:hint="eastAsia" w:ascii="Times New Roman" w:hAnsi="Times New Roman"/>
                <w:color w:val="000000"/>
              </w:rPr>
              <w:t>贵金属投资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rFonts w:hint="eastAsia"/>
                <w:color w:val="000000"/>
                <w:sz w:val="24"/>
              </w:rPr>
              <w:t>-</w:t>
            </w:r>
          </w:p>
        </w:tc>
        <w:tc>
          <w:tcPr>
            <w:tcW w:w="252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衍生金融资产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买入返售金融资产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应收证券清算款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应收利息</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pPr>
              <w:spacing w:before="29" w:line="288" w:lineRule="auto"/>
              <w:jc w:val="right"/>
              <w:rPr>
                <w:color w:val="000000"/>
                <w:sz w:val="24"/>
              </w:rPr>
            </w:pPr>
            <w:r>
              <w:rPr>
                <w:color w:val="000000"/>
                <w:sz w:val="24"/>
              </w:rPr>
              <w:t>8,295,282.84</w:t>
            </w:r>
          </w:p>
        </w:tc>
        <w:tc>
          <w:tcPr>
            <w:tcW w:w="2520" w:type="dxa"/>
            <w:vAlign w:val="center"/>
          </w:tcPr>
          <w:p>
            <w:pPr>
              <w:spacing w:before="29" w:line="288" w:lineRule="auto"/>
              <w:jc w:val="right"/>
              <w:rPr>
                <w:color w:val="000000"/>
                <w:sz w:val="24"/>
              </w:rPr>
            </w:pPr>
            <w:r>
              <w:rPr>
                <w:color w:val="000000"/>
                <w:sz w:val="24"/>
              </w:rPr>
              <w:t>12,445,356.45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应收股利</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应收申购款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476,142.85</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递延所得税资产</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rFonts w:asciiTheme="minorEastAsia" w:hAnsiTheme="minorEastAsia" w:eastAsiaTheme="minorEastAsia"/>
                <w:color w:val="000000"/>
                <w:szCs w:val="21"/>
              </w:rPr>
            </w:pPr>
            <w:r>
              <w:rPr>
                <w:rFonts w:hint="eastAsia"/>
                <w:color w:val="000000"/>
                <w:sz w:val="24"/>
              </w:rPr>
              <w:t>资产总计</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376,055,693.77</w:t>
            </w:r>
          </w:p>
        </w:tc>
        <w:tc>
          <w:tcPr>
            <w:tcW w:w="2520" w:type="dxa"/>
            <w:vAlign w:val="center"/>
          </w:tcPr>
          <w:p>
            <w:pPr>
              <w:spacing w:before="29" w:line="288" w:lineRule="auto"/>
              <w:jc w:val="right"/>
              <w:rPr>
                <w:color w:val="000000"/>
                <w:sz w:val="24"/>
              </w:rPr>
            </w:pPr>
            <w:r>
              <w:rPr>
                <w:color w:val="000000"/>
                <w:sz w:val="24"/>
              </w:rPr>
              <w:t>705,571,154.12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负债和所有者权益</w:t>
            </w:r>
          </w:p>
        </w:tc>
        <w:tc>
          <w:tcPr>
            <w:tcW w:w="10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短期借款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交易性金融负债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衍生金融负债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卖出回购金融资产款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80,549,679.17</w:t>
            </w:r>
          </w:p>
        </w:tc>
        <w:tc>
          <w:tcPr>
            <w:tcW w:w="2520" w:type="dxa"/>
            <w:vAlign w:val="center"/>
          </w:tcPr>
          <w:p>
            <w:pPr>
              <w:spacing w:before="29" w:line="288" w:lineRule="auto"/>
              <w:jc w:val="right"/>
              <w:rPr>
                <w:color w:val="000000"/>
                <w:sz w:val="24"/>
              </w:rPr>
            </w:pPr>
            <w:r>
              <w:rPr>
                <w:color w:val="000000"/>
                <w:sz w:val="24"/>
              </w:rPr>
              <w:t>343,169,946.07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应付证券清算款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34,397.26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应付赎回款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169,705.05</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应付管理人报酬</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73,910.75</w:t>
            </w:r>
          </w:p>
        </w:tc>
        <w:tc>
          <w:tcPr>
            <w:tcW w:w="2520" w:type="dxa"/>
            <w:vAlign w:val="center"/>
          </w:tcPr>
          <w:p>
            <w:pPr>
              <w:spacing w:before="29" w:line="288" w:lineRule="auto"/>
              <w:jc w:val="right"/>
              <w:rPr>
                <w:color w:val="000000"/>
                <w:sz w:val="24"/>
              </w:rPr>
            </w:pPr>
            <w:r>
              <w:rPr>
                <w:color w:val="000000"/>
                <w:sz w:val="24"/>
              </w:rPr>
              <w:t>245,453.45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应付托管费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24,636.93</w:t>
            </w:r>
          </w:p>
        </w:tc>
        <w:tc>
          <w:tcPr>
            <w:tcW w:w="2520" w:type="dxa"/>
            <w:vAlign w:val="center"/>
          </w:tcPr>
          <w:p>
            <w:pPr>
              <w:spacing w:before="29" w:line="288" w:lineRule="auto"/>
              <w:jc w:val="right"/>
              <w:rPr>
                <w:color w:val="000000"/>
                <w:sz w:val="24"/>
              </w:rPr>
            </w:pPr>
            <w:r>
              <w:rPr>
                <w:color w:val="000000"/>
                <w:sz w:val="24"/>
              </w:rPr>
              <w:t>46,022.54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应付销售服务费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63.21</w:t>
            </w:r>
          </w:p>
        </w:tc>
        <w:tc>
          <w:tcPr>
            <w:tcW w:w="2520" w:type="dxa"/>
            <w:vAlign w:val="center"/>
          </w:tcPr>
          <w:p>
            <w:pPr>
              <w:spacing w:before="29" w:line="288" w:lineRule="auto"/>
              <w:jc w:val="right"/>
              <w:rPr>
                <w:color w:val="000000"/>
                <w:sz w:val="24"/>
              </w:rPr>
            </w:pPr>
            <w:r>
              <w:rPr>
                <w:color w:val="000000"/>
                <w:sz w:val="24"/>
              </w:rPr>
              <w:t>428.74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pPr>
              <w:spacing w:before="29" w:line="288" w:lineRule="auto"/>
              <w:jc w:val="right"/>
              <w:rPr>
                <w:color w:val="000000"/>
                <w:sz w:val="24"/>
              </w:rPr>
            </w:pPr>
            <w:r>
              <w:rPr>
                <w:color w:val="000000"/>
                <w:sz w:val="24"/>
              </w:rPr>
              <w:t>16,176.56</w:t>
            </w:r>
          </w:p>
        </w:tc>
        <w:tc>
          <w:tcPr>
            <w:tcW w:w="2520" w:type="dxa"/>
            <w:vAlign w:val="center"/>
          </w:tcPr>
          <w:p>
            <w:pPr>
              <w:spacing w:before="29" w:line="288" w:lineRule="auto"/>
              <w:jc w:val="right"/>
              <w:rPr>
                <w:color w:val="000000"/>
                <w:sz w:val="24"/>
              </w:rPr>
            </w:pPr>
            <w:r>
              <w:rPr>
                <w:color w:val="000000"/>
                <w:sz w:val="24"/>
              </w:rPr>
              <w:t>9,826.93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应交税费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35,293.14</w:t>
            </w:r>
          </w:p>
        </w:tc>
        <w:tc>
          <w:tcPr>
            <w:tcW w:w="2520" w:type="dxa"/>
            <w:vAlign w:val="center"/>
          </w:tcPr>
          <w:p>
            <w:pPr>
              <w:spacing w:before="29" w:line="288" w:lineRule="auto"/>
              <w:jc w:val="right"/>
              <w:rPr>
                <w:color w:val="000000"/>
                <w:sz w:val="24"/>
              </w:rPr>
            </w:pPr>
            <w:r>
              <w:rPr>
                <w:color w:val="000000"/>
                <w:sz w:val="24"/>
              </w:rPr>
              <w:t>75,187.25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应付利息</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24,367.00</w:t>
            </w:r>
          </w:p>
        </w:tc>
        <w:tc>
          <w:tcPr>
            <w:tcW w:w="2520" w:type="dxa"/>
            <w:vAlign w:val="center"/>
          </w:tcPr>
          <w:p>
            <w:pPr>
              <w:spacing w:before="29" w:line="288" w:lineRule="auto"/>
              <w:jc w:val="right"/>
              <w:rPr>
                <w:color w:val="000000"/>
                <w:sz w:val="24"/>
              </w:rPr>
            </w:pPr>
            <w:r>
              <w:rPr>
                <w:color w:val="000000"/>
                <w:sz w:val="24"/>
              </w:rPr>
              <w:t>33,926.36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应付利润</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递延所得税负债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pPr>
              <w:spacing w:before="29" w:line="288" w:lineRule="auto"/>
              <w:jc w:val="right"/>
              <w:rPr>
                <w:color w:val="000000"/>
                <w:sz w:val="24"/>
              </w:rPr>
            </w:pPr>
            <w:r>
              <w:rPr>
                <w:color w:val="000000"/>
                <w:sz w:val="24"/>
              </w:rPr>
              <w:t>179,316.79</w:t>
            </w:r>
          </w:p>
        </w:tc>
        <w:tc>
          <w:tcPr>
            <w:tcW w:w="2520" w:type="dxa"/>
            <w:vAlign w:val="center"/>
          </w:tcPr>
          <w:p>
            <w:pPr>
              <w:spacing w:before="29" w:line="288" w:lineRule="auto"/>
              <w:jc w:val="right"/>
              <w:rPr>
                <w:color w:val="000000"/>
                <w:sz w:val="24"/>
              </w:rPr>
            </w:pPr>
            <w:r>
              <w:rPr>
                <w:color w:val="000000"/>
                <w:sz w:val="24"/>
              </w:rPr>
              <w:t>189,300.00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负债合计</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81,073,148.60</w:t>
            </w:r>
          </w:p>
        </w:tc>
        <w:tc>
          <w:tcPr>
            <w:tcW w:w="2520" w:type="dxa"/>
            <w:vAlign w:val="center"/>
          </w:tcPr>
          <w:p>
            <w:pPr>
              <w:spacing w:before="29" w:line="288" w:lineRule="auto"/>
              <w:jc w:val="right"/>
              <w:rPr>
                <w:color w:val="000000"/>
                <w:sz w:val="24"/>
              </w:rPr>
            </w:pPr>
            <w:r>
              <w:rPr>
                <w:color w:val="000000"/>
                <w:sz w:val="24"/>
              </w:rPr>
              <w:t>343,804,488.60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所有者权益：</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实收基金</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pPr>
              <w:spacing w:before="29" w:line="288" w:lineRule="auto"/>
              <w:jc w:val="right"/>
              <w:rPr>
                <w:color w:val="000000"/>
                <w:sz w:val="24"/>
              </w:rPr>
            </w:pPr>
            <w:r>
              <w:rPr>
                <w:color w:val="000000"/>
                <w:sz w:val="24"/>
              </w:rPr>
              <w:t>277,179,543.00</w:t>
            </w:r>
          </w:p>
        </w:tc>
        <w:tc>
          <w:tcPr>
            <w:tcW w:w="2520" w:type="dxa"/>
            <w:vAlign w:val="center"/>
          </w:tcPr>
          <w:p>
            <w:pPr>
              <w:spacing w:before="29" w:line="288" w:lineRule="auto"/>
              <w:jc w:val="right"/>
              <w:rPr>
                <w:color w:val="000000"/>
                <w:sz w:val="24"/>
              </w:rPr>
            </w:pPr>
            <w:r>
              <w:rPr>
                <w:color w:val="000000"/>
                <w:sz w:val="24"/>
              </w:rPr>
              <w:t>331,589,908.23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未分配利润</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pPr>
              <w:spacing w:before="29" w:line="288" w:lineRule="auto"/>
              <w:jc w:val="right"/>
              <w:rPr>
                <w:color w:val="000000"/>
                <w:sz w:val="24"/>
              </w:rPr>
            </w:pPr>
            <w:r>
              <w:rPr>
                <w:color w:val="000000"/>
                <w:sz w:val="24"/>
              </w:rPr>
              <w:t>17,803,002.17</w:t>
            </w:r>
          </w:p>
        </w:tc>
        <w:tc>
          <w:tcPr>
            <w:tcW w:w="2520" w:type="dxa"/>
            <w:vAlign w:val="center"/>
          </w:tcPr>
          <w:p>
            <w:pPr>
              <w:spacing w:before="29" w:line="288" w:lineRule="auto"/>
              <w:jc w:val="right"/>
              <w:rPr>
                <w:color w:val="000000"/>
                <w:sz w:val="24"/>
              </w:rPr>
            </w:pPr>
            <w:r>
              <w:rPr>
                <w:color w:val="000000"/>
                <w:sz w:val="24"/>
              </w:rPr>
              <w:t>30,176,757.29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所有者权益合计</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294,982,545.17</w:t>
            </w:r>
          </w:p>
        </w:tc>
        <w:tc>
          <w:tcPr>
            <w:tcW w:w="2520" w:type="dxa"/>
            <w:vAlign w:val="center"/>
          </w:tcPr>
          <w:p>
            <w:pPr>
              <w:spacing w:before="29" w:line="288" w:lineRule="auto"/>
              <w:jc w:val="right"/>
              <w:rPr>
                <w:color w:val="000000"/>
                <w:sz w:val="24"/>
              </w:rPr>
            </w:pPr>
            <w:r>
              <w:rPr>
                <w:color w:val="000000"/>
                <w:sz w:val="24"/>
              </w:rPr>
              <w:t>361,766,665.52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负债和所有者权益总计</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376,055,693.77</w:t>
            </w:r>
          </w:p>
        </w:tc>
        <w:tc>
          <w:tcPr>
            <w:tcW w:w="2520" w:type="dxa"/>
            <w:vAlign w:val="center"/>
          </w:tcPr>
          <w:p>
            <w:pPr>
              <w:spacing w:before="29" w:line="288" w:lineRule="auto"/>
              <w:jc w:val="right"/>
              <w:rPr>
                <w:color w:val="000000"/>
                <w:sz w:val="24"/>
              </w:rPr>
            </w:pPr>
            <w:r>
              <w:rPr>
                <w:color w:val="000000"/>
                <w:sz w:val="24"/>
              </w:rPr>
              <w:t>705,571,154.12</w:t>
            </w:r>
          </w:p>
        </w:tc>
      </w:tr>
    </w:tbl>
    <w:p>
      <w:pPr>
        <w:tabs>
          <w:tab w:val="left" w:pos="426"/>
        </w:tabs>
        <w:spacing w:before="29" w:line="288" w:lineRule="auto"/>
        <w:jc w:val="left"/>
        <w:rPr>
          <w:kern w:val="0"/>
          <w:sz w:val="24"/>
        </w:rPr>
      </w:pPr>
      <w:r>
        <w:rPr>
          <w:kern w:val="0"/>
          <w:sz w:val="24"/>
        </w:rPr>
        <w:t>注：报告截止日2020年12月31日，A类基金份额净值1.0642元，C类基金份额净值1.0574元；基金份额总额277,179,543.00份，其中A类基金份额277,061,205.72份，C类基金份额118,337.28份。</w:t>
      </w:r>
    </w:p>
    <w:p>
      <w:pPr>
        <w:spacing w:line="360" w:lineRule="auto"/>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126" w:name="_Toc361324874"/>
      <w:bookmarkStart w:id="127" w:name="_Toc67667924"/>
      <w:bookmarkStart w:id="128" w:name="_Toc225498269"/>
      <w:r>
        <w:rPr>
          <w:rFonts w:ascii="Times New Roman" w:hAnsi="Times New Roman"/>
          <w:kern w:val="0"/>
          <w:szCs w:val="24"/>
        </w:rPr>
        <w:t xml:space="preserve">7.2 </w:t>
      </w:r>
      <w:r>
        <w:rPr>
          <w:rFonts w:hint="eastAsia" w:ascii="Times New Roman" w:hAnsi="Times New Roman"/>
          <w:kern w:val="0"/>
          <w:szCs w:val="24"/>
        </w:rPr>
        <w:t>利润表</w:t>
      </w:r>
      <w:bookmarkEnd w:id="126"/>
      <w:bookmarkEnd w:id="127"/>
      <w:bookmarkEnd w:id="128"/>
    </w:p>
    <w:p>
      <w:pPr>
        <w:spacing w:before="29" w:line="288" w:lineRule="auto"/>
        <w:rPr>
          <w:color w:val="000000"/>
          <w:sz w:val="24"/>
        </w:rPr>
      </w:pPr>
      <w:r>
        <w:rPr>
          <w:rFonts w:hint="eastAsia"/>
          <w:color w:val="000000"/>
          <w:sz w:val="24"/>
        </w:rPr>
        <w:t>会计主体：</w:t>
      </w:r>
      <w:r>
        <w:rPr>
          <w:color w:val="000000"/>
          <w:sz w:val="24"/>
        </w:rPr>
        <w:t>交银施罗德丰晟收益债券型证券投资基金</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20"/>
        <w:gridCol w:w="1080"/>
        <w:gridCol w:w="2250"/>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项目</w:t>
            </w:r>
          </w:p>
        </w:tc>
        <w:tc>
          <w:tcPr>
            <w:tcW w:w="108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25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w:t>
            </w:r>
          </w:p>
          <w:p>
            <w:pPr>
              <w:pStyle w:val="28"/>
              <w:spacing w:before="29" w:beforeAutospacing="0" w:after="0" w:afterAutospacing="0" w:line="288" w:lineRule="auto"/>
              <w:jc w:val="center"/>
              <w:rPr>
                <w:rFonts w:ascii="Times New Roman" w:hAnsi="Times New Roman"/>
                <w:color w:val="000000"/>
              </w:rPr>
            </w:pPr>
            <w:r>
              <w:rPr>
                <w:rFonts w:ascii="Times New Roman" w:hAnsi="Times New Roman"/>
                <w:color w:val="000000"/>
              </w:rPr>
              <w:t>2020年1月1日</w:t>
            </w:r>
            <w:r>
              <w:rPr>
                <w:rFonts w:hint="eastAsia" w:ascii="Times New Roman" w:hAnsi="Times New Roman"/>
                <w:color w:val="000000"/>
              </w:rPr>
              <w:t>至</w:t>
            </w:r>
            <w:r>
              <w:rPr>
                <w:rFonts w:ascii="Times New Roman" w:hAnsi="Times New Roman"/>
                <w:color w:val="000000"/>
              </w:rPr>
              <w:t>2020年12月31日</w:t>
            </w:r>
          </w:p>
        </w:tc>
        <w:tc>
          <w:tcPr>
            <w:tcW w:w="225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上年度可比期间</w:t>
            </w:r>
          </w:p>
          <w:p>
            <w:pPr>
              <w:pStyle w:val="28"/>
              <w:spacing w:before="29" w:beforeAutospacing="0" w:after="0" w:afterAutospacing="0" w:line="288" w:lineRule="auto"/>
              <w:jc w:val="center"/>
              <w:rPr>
                <w:rFonts w:ascii="Times New Roman" w:hAnsi="Times New Roman"/>
                <w:color w:val="000000"/>
              </w:rPr>
            </w:pPr>
            <w:r>
              <w:rPr>
                <w:rFonts w:ascii="Times New Roman" w:hAnsi="Times New Roman"/>
                <w:color w:val="000000"/>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b/>
                <w:color w:val="000000"/>
                <w:sz w:val="24"/>
              </w:rPr>
            </w:pPr>
            <w:r>
              <w:rPr>
                <w:rFonts w:hint="eastAsia"/>
                <w:b/>
                <w:color w:val="000000"/>
                <w:sz w:val="24"/>
              </w:rPr>
              <w:t>一、收入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12,959,165.24</w:t>
            </w:r>
          </w:p>
        </w:tc>
        <w:tc>
          <w:tcPr>
            <w:tcW w:w="2250" w:type="dxa"/>
            <w:vAlign w:val="center"/>
          </w:tcPr>
          <w:p>
            <w:pPr>
              <w:spacing w:before="29" w:line="288" w:lineRule="auto"/>
              <w:jc w:val="right"/>
              <w:rPr>
                <w:b/>
                <w:color w:val="000000"/>
                <w:sz w:val="24"/>
              </w:rPr>
            </w:pPr>
            <w:r>
              <w:rPr>
                <w:b/>
                <w:color w:val="000000"/>
                <w:sz w:val="24"/>
              </w:rPr>
              <w:t>31,817,284.21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11,876,145.18</w:t>
            </w:r>
          </w:p>
        </w:tc>
        <w:tc>
          <w:tcPr>
            <w:tcW w:w="2250" w:type="dxa"/>
            <w:vAlign w:val="center"/>
          </w:tcPr>
          <w:p>
            <w:pPr>
              <w:spacing w:before="29" w:line="288" w:lineRule="auto"/>
              <w:jc w:val="right"/>
              <w:rPr>
                <w:color w:val="000000"/>
                <w:sz w:val="24"/>
              </w:rPr>
            </w:pPr>
            <w:r>
              <w:rPr>
                <w:color w:val="000000"/>
                <w:sz w:val="24"/>
              </w:rPr>
              <w:t>32,001,310.79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其中：存款利息收入</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pPr>
              <w:spacing w:before="29" w:line="288" w:lineRule="auto"/>
              <w:jc w:val="right"/>
              <w:rPr>
                <w:color w:val="000000"/>
                <w:sz w:val="24"/>
              </w:rPr>
            </w:pPr>
            <w:r>
              <w:rPr>
                <w:color w:val="000000"/>
                <w:sz w:val="24"/>
              </w:rPr>
              <w:t>126,474.93</w:t>
            </w:r>
          </w:p>
        </w:tc>
        <w:tc>
          <w:tcPr>
            <w:tcW w:w="2250" w:type="dxa"/>
            <w:vAlign w:val="center"/>
          </w:tcPr>
          <w:p>
            <w:pPr>
              <w:spacing w:before="29" w:line="288" w:lineRule="auto"/>
              <w:jc w:val="right"/>
              <w:rPr>
                <w:color w:val="000000"/>
                <w:sz w:val="24"/>
              </w:rPr>
            </w:pPr>
            <w:r>
              <w:rPr>
                <w:color w:val="000000"/>
                <w:sz w:val="24"/>
              </w:rPr>
              <w:t>320,196.51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ind w:firstLine="720" w:firstLineChars="300"/>
              <w:rPr>
                <w:color w:val="000000"/>
                <w:sz w:val="24"/>
              </w:rPr>
            </w:pPr>
            <w:r>
              <w:rPr>
                <w:rFonts w:hint="eastAsia"/>
                <w:color w:val="000000"/>
                <w:sz w:val="24"/>
              </w:rPr>
              <w:t>债券利息收入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11,387,647.70</w:t>
            </w:r>
          </w:p>
        </w:tc>
        <w:tc>
          <w:tcPr>
            <w:tcW w:w="2250" w:type="dxa"/>
            <w:vAlign w:val="center"/>
          </w:tcPr>
          <w:p>
            <w:pPr>
              <w:spacing w:before="29" w:line="288" w:lineRule="auto"/>
              <w:jc w:val="right"/>
              <w:rPr>
                <w:color w:val="000000"/>
                <w:sz w:val="24"/>
              </w:rPr>
            </w:pPr>
            <w:r>
              <w:rPr>
                <w:color w:val="000000"/>
                <w:sz w:val="24"/>
              </w:rPr>
              <w:t>31,681,114.28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ind w:firstLine="720" w:firstLineChars="300"/>
              <w:rPr>
                <w:color w:val="000000"/>
                <w:sz w:val="24"/>
              </w:rPr>
            </w:pPr>
            <w:r>
              <w:rPr>
                <w:rFonts w:hint="eastAsia"/>
                <w:color w:val="000000"/>
                <w:sz w:val="24"/>
              </w:rPr>
              <w:t>资产支持证券利息收入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ind w:firstLine="720" w:firstLineChars="300"/>
              <w:rPr>
                <w:color w:val="000000"/>
                <w:sz w:val="24"/>
              </w:rPr>
            </w:pPr>
            <w:r>
              <w:rPr>
                <w:rFonts w:hint="eastAsia"/>
                <w:color w:val="000000"/>
                <w:sz w:val="24"/>
              </w:rPr>
              <w:t>买入返售金融资产收入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362,022.55</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ind w:firstLine="720" w:firstLineChars="300"/>
              <w:rPr>
                <w:color w:val="000000"/>
                <w:sz w:val="24"/>
              </w:rPr>
            </w:pPr>
            <w:r>
              <w:rPr>
                <w:rFonts w:hint="eastAsia"/>
                <w:color w:val="000000"/>
                <w:sz w:val="24"/>
              </w:rPr>
              <w:t>其他利息收入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11,698,741.98</w:t>
            </w:r>
          </w:p>
        </w:tc>
        <w:tc>
          <w:tcPr>
            <w:tcW w:w="2250" w:type="dxa"/>
            <w:vAlign w:val="center"/>
          </w:tcPr>
          <w:p>
            <w:pPr>
              <w:spacing w:before="29" w:line="288" w:lineRule="auto"/>
              <w:jc w:val="right"/>
              <w:rPr>
                <w:color w:val="000000"/>
                <w:sz w:val="24"/>
              </w:rPr>
            </w:pPr>
            <w:r>
              <w:rPr>
                <w:color w:val="000000"/>
                <w:sz w:val="24"/>
              </w:rPr>
              <w:t>465,453.39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其中：股票投资收益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ind w:firstLine="720" w:firstLineChars="300"/>
              <w:rPr>
                <w:color w:val="000000"/>
                <w:sz w:val="24"/>
              </w:rPr>
            </w:pPr>
            <w:r>
              <w:rPr>
                <w:rFonts w:hint="eastAsia"/>
                <w:color w:val="000000"/>
                <w:sz w:val="24"/>
              </w:rPr>
              <w:t>基金投资收益</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ind w:firstLine="720" w:firstLineChars="300"/>
              <w:rPr>
                <w:color w:val="000000"/>
                <w:sz w:val="24"/>
              </w:rPr>
            </w:pPr>
            <w:r>
              <w:rPr>
                <w:rFonts w:hint="eastAsia"/>
                <w:color w:val="000000"/>
                <w:sz w:val="24"/>
              </w:rPr>
              <w:t>债券投资收益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pPr>
              <w:spacing w:before="29" w:line="288" w:lineRule="auto"/>
              <w:jc w:val="right"/>
              <w:rPr>
                <w:color w:val="000000"/>
                <w:sz w:val="24"/>
              </w:rPr>
            </w:pPr>
            <w:r>
              <w:rPr>
                <w:color w:val="000000"/>
                <w:sz w:val="24"/>
              </w:rPr>
              <w:t>11,698,741.98</w:t>
            </w:r>
          </w:p>
        </w:tc>
        <w:tc>
          <w:tcPr>
            <w:tcW w:w="2250" w:type="dxa"/>
            <w:vAlign w:val="center"/>
          </w:tcPr>
          <w:p>
            <w:pPr>
              <w:spacing w:before="29" w:line="288" w:lineRule="auto"/>
              <w:jc w:val="right"/>
              <w:rPr>
                <w:color w:val="000000"/>
                <w:sz w:val="24"/>
              </w:rPr>
            </w:pPr>
            <w:r>
              <w:rPr>
                <w:color w:val="000000"/>
                <w:sz w:val="24"/>
              </w:rPr>
              <w:t>465,453.39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ind w:firstLine="720" w:firstLineChars="300"/>
              <w:rPr>
                <w:color w:val="000000"/>
                <w:sz w:val="24"/>
              </w:rPr>
            </w:pPr>
            <w:r>
              <w:rPr>
                <w:rFonts w:hint="eastAsia"/>
                <w:color w:val="000000"/>
                <w:sz w:val="24"/>
              </w:rPr>
              <w:t>资产支持证券投资收益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ind w:firstLine="720" w:firstLineChars="300"/>
              <w:rPr>
                <w:color w:val="000000"/>
                <w:sz w:val="24"/>
              </w:rPr>
            </w:pPr>
            <w:r>
              <w:rPr>
                <w:rFonts w:hint="eastAsia"/>
                <w:color w:val="000000"/>
                <w:sz w:val="24"/>
              </w:rPr>
              <w:t>贵金属投资收益</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rFonts w:hint="eastAsia"/>
                <w:color w:val="000000"/>
                <w:sz w:val="24"/>
              </w:rPr>
              <w:t>-</w:t>
            </w:r>
          </w:p>
        </w:tc>
        <w:tc>
          <w:tcPr>
            <w:tcW w:w="225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ind w:firstLine="720" w:firstLineChars="300"/>
              <w:rPr>
                <w:color w:val="000000"/>
                <w:sz w:val="24"/>
              </w:rPr>
            </w:pPr>
            <w:r>
              <w:rPr>
                <w:rFonts w:hint="eastAsia"/>
                <w:color w:val="000000"/>
                <w:sz w:val="24"/>
              </w:rPr>
              <w:t>衍生工具收益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ind w:firstLine="720" w:firstLineChars="300"/>
              <w:rPr>
                <w:color w:val="000000"/>
                <w:sz w:val="24"/>
              </w:rPr>
            </w:pPr>
            <w:r>
              <w:rPr>
                <w:rFonts w:hint="eastAsia"/>
                <w:color w:val="000000"/>
                <w:sz w:val="24"/>
              </w:rPr>
              <w:t>股利收益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color w:val="000000"/>
                <w:szCs w:val="21"/>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pPr>
              <w:spacing w:before="29" w:line="288" w:lineRule="auto"/>
              <w:jc w:val="right"/>
              <w:rPr>
                <w:color w:val="000000"/>
                <w:sz w:val="24"/>
              </w:rPr>
            </w:pPr>
            <w:r>
              <w:rPr>
                <w:color w:val="000000"/>
                <w:sz w:val="24"/>
              </w:rPr>
              <w:t>-10,618,823.90</w:t>
            </w:r>
          </w:p>
        </w:tc>
        <w:tc>
          <w:tcPr>
            <w:tcW w:w="2250" w:type="dxa"/>
            <w:vAlign w:val="center"/>
          </w:tcPr>
          <w:p>
            <w:pPr>
              <w:spacing w:before="29" w:line="288" w:lineRule="auto"/>
              <w:jc w:val="right"/>
              <w:rPr>
                <w:color w:val="000000"/>
                <w:sz w:val="24"/>
              </w:rPr>
            </w:pPr>
            <w:r>
              <w:rPr>
                <w:color w:val="000000"/>
                <w:sz w:val="24"/>
              </w:rPr>
              <w:t>-649,479.97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pPr>
              <w:spacing w:before="29" w:line="288" w:lineRule="auto"/>
              <w:jc w:val="right"/>
              <w:rPr>
                <w:color w:val="000000"/>
                <w:sz w:val="24"/>
              </w:rPr>
            </w:pPr>
            <w:r>
              <w:rPr>
                <w:color w:val="000000"/>
                <w:sz w:val="24"/>
              </w:rPr>
              <w:t>3,101.98</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b/>
                <w:color w:val="000000"/>
                <w:sz w:val="24"/>
              </w:rPr>
            </w:pPr>
            <w:r>
              <w:rPr>
                <w:rFonts w:hint="eastAsia"/>
                <w:b/>
                <w:color w:val="000000"/>
                <w:sz w:val="24"/>
              </w:rPr>
              <w:t>减：二、费用</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3,964,875.75</w:t>
            </w:r>
          </w:p>
        </w:tc>
        <w:tc>
          <w:tcPr>
            <w:tcW w:w="2250" w:type="dxa"/>
            <w:vAlign w:val="center"/>
          </w:tcPr>
          <w:p>
            <w:pPr>
              <w:spacing w:before="29" w:line="288" w:lineRule="auto"/>
              <w:jc w:val="right"/>
              <w:rPr>
                <w:b/>
                <w:color w:val="000000"/>
                <w:sz w:val="24"/>
              </w:rPr>
            </w:pPr>
            <w:r>
              <w:rPr>
                <w:b/>
                <w:color w:val="000000"/>
                <w:sz w:val="24"/>
              </w:rPr>
              <w:t>12,886,294.79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1,498,982.97</w:t>
            </w:r>
          </w:p>
        </w:tc>
        <w:tc>
          <w:tcPr>
            <w:tcW w:w="2250" w:type="dxa"/>
            <w:vAlign w:val="center"/>
          </w:tcPr>
          <w:p>
            <w:pPr>
              <w:spacing w:before="29" w:line="288" w:lineRule="auto"/>
              <w:jc w:val="right"/>
              <w:rPr>
                <w:color w:val="000000"/>
                <w:sz w:val="24"/>
              </w:rPr>
            </w:pPr>
            <w:r>
              <w:rPr>
                <w:color w:val="000000"/>
                <w:sz w:val="24"/>
              </w:rPr>
              <w:t>2,841,284.29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321,494.10</w:t>
            </w:r>
          </w:p>
        </w:tc>
        <w:tc>
          <w:tcPr>
            <w:tcW w:w="2250" w:type="dxa"/>
            <w:vAlign w:val="center"/>
          </w:tcPr>
          <w:p>
            <w:pPr>
              <w:spacing w:before="29" w:line="288" w:lineRule="auto"/>
              <w:jc w:val="right"/>
              <w:rPr>
                <w:color w:val="000000"/>
                <w:sz w:val="24"/>
              </w:rPr>
            </w:pPr>
            <w:r>
              <w:rPr>
                <w:color w:val="000000"/>
                <w:sz w:val="24"/>
              </w:rPr>
              <w:t>532,740.79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2,856.42</w:t>
            </w:r>
          </w:p>
        </w:tc>
        <w:tc>
          <w:tcPr>
            <w:tcW w:w="2250" w:type="dxa"/>
            <w:vAlign w:val="center"/>
          </w:tcPr>
          <w:p>
            <w:pPr>
              <w:spacing w:before="29" w:line="288" w:lineRule="auto"/>
              <w:jc w:val="right"/>
              <w:rPr>
                <w:color w:val="000000"/>
                <w:sz w:val="24"/>
              </w:rPr>
            </w:pPr>
            <w:r>
              <w:rPr>
                <w:color w:val="000000"/>
                <w:sz w:val="24"/>
              </w:rPr>
              <w:t>4,975.83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pPr>
              <w:spacing w:before="29" w:line="288" w:lineRule="auto"/>
              <w:jc w:val="right"/>
              <w:rPr>
                <w:color w:val="000000"/>
                <w:sz w:val="24"/>
              </w:rPr>
            </w:pPr>
            <w:r>
              <w:rPr>
                <w:color w:val="000000"/>
                <w:sz w:val="24"/>
              </w:rPr>
              <w:t>16,902.55</w:t>
            </w:r>
          </w:p>
        </w:tc>
        <w:tc>
          <w:tcPr>
            <w:tcW w:w="2250" w:type="dxa"/>
            <w:vAlign w:val="center"/>
          </w:tcPr>
          <w:p>
            <w:pPr>
              <w:spacing w:before="29" w:line="288" w:lineRule="auto"/>
              <w:jc w:val="right"/>
              <w:rPr>
                <w:color w:val="000000"/>
                <w:sz w:val="24"/>
              </w:rPr>
            </w:pPr>
            <w:r>
              <w:rPr>
                <w:color w:val="000000"/>
                <w:sz w:val="24"/>
              </w:rPr>
              <w:t>370.62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1,866,689.89</w:t>
            </w:r>
          </w:p>
        </w:tc>
        <w:tc>
          <w:tcPr>
            <w:tcW w:w="2250" w:type="dxa"/>
            <w:vAlign w:val="center"/>
          </w:tcPr>
          <w:p>
            <w:pPr>
              <w:spacing w:before="29" w:line="288" w:lineRule="auto"/>
              <w:jc w:val="right"/>
              <w:rPr>
                <w:color w:val="000000"/>
                <w:sz w:val="24"/>
              </w:rPr>
            </w:pPr>
            <w:r>
              <w:rPr>
                <w:color w:val="000000"/>
                <w:sz w:val="24"/>
              </w:rPr>
              <w:t>9,180,460.35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其中：卖出回购金融资产支出</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1,866,689.89</w:t>
            </w:r>
          </w:p>
        </w:tc>
        <w:tc>
          <w:tcPr>
            <w:tcW w:w="2250" w:type="dxa"/>
            <w:vAlign w:val="center"/>
          </w:tcPr>
          <w:p>
            <w:pPr>
              <w:spacing w:before="29" w:line="288" w:lineRule="auto"/>
              <w:jc w:val="right"/>
              <w:rPr>
                <w:color w:val="000000"/>
                <w:sz w:val="24"/>
              </w:rPr>
            </w:pPr>
            <w:r>
              <w:rPr>
                <w:color w:val="000000"/>
                <w:sz w:val="24"/>
              </w:rPr>
              <w:t>9,180,460.35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rPr>
                <w:rFonts w:eastAsiaTheme="minorEastAsia"/>
                <w:color w:val="000000"/>
                <w:sz w:val="24"/>
              </w:rPr>
            </w:pPr>
            <w:r>
              <w:rPr>
                <w:rFonts w:hint="eastAsia" w:eastAsiaTheme="minorEastAsia"/>
                <w:color w:val="000000"/>
                <w:sz w:val="24"/>
              </w:rPr>
              <w:t>6</w:t>
            </w:r>
            <w:r>
              <w:rPr>
                <w:rFonts w:eastAsiaTheme="minorEastAsia"/>
                <w:color w:val="000000"/>
                <w:sz w:val="24"/>
              </w:rPr>
              <w:t>．</w:t>
            </w:r>
            <w:r>
              <w:rPr>
                <w:rFonts w:hint="eastAsia" w:eastAsiaTheme="minorEastAsia"/>
                <w:color w:val="000000"/>
                <w:sz w:val="24"/>
              </w:rPr>
              <w:t>税金及附加</w:t>
            </w:r>
          </w:p>
        </w:tc>
        <w:tc>
          <w:tcPr>
            <w:tcW w:w="1080" w:type="dxa"/>
            <w:vAlign w:val="center"/>
          </w:tcPr>
          <w:p>
            <w:pPr>
              <w:pStyle w:val="28"/>
              <w:jc w:val="center"/>
              <w:rPr>
                <w:rFonts w:ascii="Times New Roman" w:hAnsi="Times New Roman" w:eastAsiaTheme="minorEastAsia"/>
                <w:color w:val="000000"/>
              </w:rPr>
            </w:pPr>
          </w:p>
        </w:tc>
        <w:tc>
          <w:tcPr>
            <w:tcW w:w="2250" w:type="dxa"/>
            <w:vAlign w:val="bottom"/>
          </w:tcPr>
          <w:p>
            <w:pPr>
              <w:jc w:val="right"/>
              <w:rPr>
                <w:rFonts w:eastAsiaTheme="minorEastAsia"/>
                <w:color w:val="000000"/>
                <w:sz w:val="24"/>
              </w:rPr>
            </w:pPr>
            <w:r>
              <w:rPr>
                <w:rFonts w:eastAsiaTheme="minorEastAsia"/>
                <w:color w:val="000000"/>
                <w:sz w:val="24"/>
              </w:rPr>
              <w:t>41,076.00</w:t>
            </w:r>
          </w:p>
        </w:tc>
        <w:tc>
          <w:tcPr>
            <w:tcW w:w="2250" w:type="dxa"/>
            <w:vAlign w:val="bottom"/>
          </w:tcPr>
          <w:p>
            <w:pPr>
              <w:jc w:val="right"/>
              <w:rPr>
                <w:rFonts w:eastAsiaTheme="minorEastAsia"/>
                <w:color w:val="000000"/>
                <w:sz w:val="24"/>
              </w:rPr>
            </w:pPr>
            <w:r>
              <w:rPr>
                <w:rFonts w:eastAsiaTheme="minorEastAsia"/>
                <w:color w:val="000000"/>
                <w:sz w:val="24"/>
              </w:rPr>
              <w:t>106,316.45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7．其他费用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pPr>
              <w:spacing w:before="29" w:line="288" w:lineRule="auto"/>
              <w:jc w:val="right"/>
              <w:rPr>
                <w:color w:val="000000"/>
                <w:sz w:val="24"/>
              </w:rPr>
            </w:pPr>
            <w:r>
              <w:rPr>
                <w:color w:val="000000"/>
                <w:sz w:val="24"/>
              </w:rPr>
              <w:t>216,873.82</w:t>
            </w:r>
          </w:p>
        </w:tc>
        <w:tc>
          <w:tcPr>
            <w:tcW w:w="2250" w:type="dxa"/>
            <w:vAlign w:val="center"/>
          </w:tcPr>
          <w:p>
            <w:pPr>
              <w:spacing w:before="29" w:line="288" w:lineRule="auto"/>
              <w:jc w:val="right"/>
              <w:rPr>
                <w:color w:val="000000"/>
                <w:sz w:val="24"/>
              </w:rPr>
            </w:pPr>
            <w:r>
              <w:rPr>
                <w:color w:val="000000"/>
                <w:sz w:val="24"/>
              </w:rPr>
              <w:t>220,146.46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8,994,289.49</w:t>
            </w:r>
          </w:p>
        </w:tc>
        <w:tc>
          <w:tcPr>
            <w:tcW w:w="2250" w:type="dxa"/>
            <w:vAlign w:val="center"/>
          </w:tcPr>
          <w:p>
            <w:pPr>
              <w:spacing w:before="29" w:line="288" w:lineRule="auto"/>
              <w:jc w:val="right"/>
              <w:rPr>
                <w:b/>
                <w:color w:val="000000"/>
                <w:sz w:val="24"/>
              </w:rPr>
            </w:pPr>
            <w:r>
              <w:rPr>
                <w:b/>
                <w:color w:val="000000"/>
                <w:sz w:val="24"/>
              </w:rPr>
              <w:t>18,930,989.42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color w:val="000000"/>
                <w:sz w:val="24"/>
              </w:rPr>
              <w:t>减：所得税费用</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8,994,289.49</w:t>
            </w:r>
          </w:p>
        </w:tc>
        <w:tc>
          <w:tcPr>
            <w:tcW w:w="2250" w:type="dxa"/>
            <w:vAlign w:val="center"/>
          </w:tcPr>
          <w:p>
            <w:pPr>
              <w:spacing w:before="29" w:line="288" w:lineRule="auto"/>
              <w:jc w:val="right"/>
              <w:rPr>
                <w:b/>
                <w:color w:val="000000"/>
                <w:sz w:val="24"/>
              </w:rPr>
            </w:pPr>
            <w:r>
              <w:rPr>
                <w:b/>
                <w:color w:val="000000"/>
                <w:sz w:val="24"/>
              </w:rPr>
              <w:t>18,930,989.42</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29" w:name="_Toc361324875"/>
      <w:bookmarkStart w:id="130" w:name="_Toc67667925"/>
      <w:bookmarkStart w:id="131" w:name="_Toc225498270"/>
      <w:r>
        <w:rPr>
          <w:rFonts w:ascii="Times New Roman" w:hAnsi="Times New Roman"/>
          <w:kern w:val="0"/>
          <w:szCs w:val="24"/>
        </w:rPr>
        <w:t xml:space="preserve">7.3 </w:t>
      </w:r>
      <w:r>
        <w:rPr>
          <w:rFonts w:hint="eastAsia" w:ascii="Times New Roman" w:hAnsi="Times New Roman"/>
          <w:kern w:val="0"/>
          <w:szCs w:val="24"/>
        </w:rPr>
        <w:t>所有者权益（基金净值）变动表</w:t>
      </w:r>
      <w:bookmarkEnd w:id="129"/>
      <w:bookmarkEnd w:id="130"/>
      <w:bookmarkEnd w:id="131"/>
    </w:p>
    <w:p>
      <w:pPr>
        <w:spacing w:before="29" w:line="288" w:lineRule="auto"/>
        <w:rPr>
          <w:color w:val="000000"/>
          <w:sz w:val="24"/>
        </w:rPr>
      </w:pPr>
      <w:r>
        <w:rPr>
          <w:rFonts w:hint="eastAsia"/>
          <w:color w:val="000000"/>
          <w:sz w:val="24"/>
        </w:rPr>
        <w:t>会计主体：</w:t>
      </w:r>
      <w:r>
        <w:rPr>
          <w:color w:val="000000"/>
          <w:sz w:val="24"/>
        </w:rPr>
        <w:t>交银施罗德丰晟收益债券型证券投资基金</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196"/>
        <w:gridCol w:w="2197"/>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本期</w:t>
            </w:r>
          </w:p>
          <w:p>
            <w:pPr>
              <w:pStyle w:val="28"/>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2020年1月1日</w:t>
            </w:r>
            <w:r>
              <w:rPr>
                <w:rFonts w:hint="eastAsia" w:ascii="Times New Roman" w:hAnsi="Times New Roman"/>
                <w:b/>
                <w:color w:val="000000"/>
                <w:kern w:val="2"/>
              </w:rPr>
              <w:t>至</w:t>
            </w:r>
            <w:r>
              <w:rPr>
                <w:rFonts w:ascii="Times New Roman" w:hAnsi="Times New Roman"/>
                <w:b/>
                <w:color w:val="000000"/>
                <w:kern w:val="2"/>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vAlign w:val="center"/>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331,589,908.23</w:t>
            </w:r>
          </w:p>
        </w:tc>
        <w:tc>
          <w:tcPr>
            <w:tcW w:w="2197" w:type="dxa"/>
            <w:vAlign w:val="center"/>
          </w:tcPr>
          <w:p>
            <w:pPr>
              <w:spacing w:before="29" w:line="288" w:lineRule="auto"/>
              <w:jc w:val="right"/>
              <w:rPr>
                <w:color w:val="000000"/>
                <w:sz w:val="24"/>
              </w:rPr>
            </w:pPr>
            <w:r>
              <w:rPr>
                <w:color w:val="000000"/>
                <w:sz w:val="24"/>
              </w:rPr>
              <w:t>30,176,757.29</w:t>
            </w:r>
          </w:p>
        </w:tc>
        <w:tc>
          <w:tcPr>
            <w:tcW w:w="2197" w:type="dxa"/>
            <w:vAlign w:val="center"/>
          </w:tcPr>
          <w:p>
            <w:pPr>
              <w:spacing w:before="29" w:line="288" w:lineRule="auto"/>
              <w:jc w:val="right"/>
              <w:rPr>
                <w:color w:val="000000"/>
                <w:sz w:val="24"/>
              </w:rPr>
            </w:pPr>
            <w:r>
              <w:rPr>
                <w:color w:val="000000"/>
                <w:sz w:val="24"/>
              </w:rPr>
              <w:t>361,766,665.52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8,994,289.49</w:t>
            </w:r>
          </w:p>
        </w:tc>
        <w:tc>
          <w:tcPr>
            <w:tcW w:w="2197" w:type="dxa"/>
            <w:vAlign w:val="center"/>
          </w:tcPr>
          <w:p>
            <w:pPr>
              <w:spacing w:before="29" w:line="288" w:lineRule="auto"/>
              <w:jc w:val="right"/>
              <w:rPr>
                <w:color w:val="000000"/>
                <w:sz w:val="24"/>
              </w:rPr>
            </w:pPr>
            <w:r>
              <w:rPr>
                <w:color w:val="000000"/>
                <w:sz w:val="24"/>
              </w:rPr>
              <w:t>8,994,289.49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-54,410,365.23</w:t>
            </w:r>
          </w:p>
        </w:tc>
        <w:tc>
          <w:tcPr>
            <w:tcW w:w="2197" w:type="dxa"/>
            <w:vAlign w:val="center"/>
          </w:tcPr>
          <w:p>
            <w:pPr>
              <w:spacing w:before="29" w:line="288" w:lineRule="auto"/>
              <w:jc w:val="right"/>
              <w:rPr>
                <w:color w:val="000000"/>
                <w:sz w:val="24"/>
              </w:rPr>
            </w:pPr>
            <w:r>
              <w:rPr>
                <w:color w:val="000000"/>
                <w:sz w:val="24"/>
              </w:rPr>
              <w:t>-2,803,670.51</w:t>
            </w:r>
          </w:p>
        </w:tc>
        <w:tc>
          <w:tcPr>
            <w:tcW w:w="2197" w:type="dxa"/>
            <w:vAlign w:val="center"/>
          </w:tcPr>
          <w:p>
            <w:pPr>
              <w:spacing w:before="29" w:line="288" w:lineRule="auto"/>
              <w:jc w:val="right"/>
              <w:rPr>
                <w:color w:val="000000"/>
                <w:sz w:val="24"/>
              </w:rPr>
            </w:pPr>
            <w:r>
              <w:rPr>
                <w:color w:val="000000"/>
                <w:sz w:val="24"/>
              </w:rPr>
              <w:t>-57,214,035.74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241,250,516.25</w:t>
            </w:r>
          </w:p>
        </w:tc>
        <w:tc>
          <w:tcPr>
            <w:tcW w:w="2197" w:type="dxa"/>
            <w:vAlign w:val="center"/>
          </w:tcPr>
          <w:p>
            <w:pPr>
              <w:spacing w:before="29" w:line="288" w:lineRule="auto"/>
              <w:jc w:val="right"/>
              <w:rPr>
                <w:color w:val="000000"/>
                <w:sz w:val="24"/>
              </w:rPr>
            </w:pPr>
            <w:r>
              <w:rPr>
                <w:color w:val="000000"/>
                <w:sz w:val="24"/>
              </w:rPr>
              <w:t>13,877,651.24</w:t>
            </w:r>
          </w:p>
        </w:tc>
        <w:tc>
          <w:tcPr>
            <w:tcW w:w="2197" w:type="dxa"/>
            <w:vAlign w:val="center"/>
          </w:tcPr>
          <w:p>
            <w:pPr>
              <w:spacing w:before="29" w:line="288" w:lineRule="auto"/>
              <w:jc w:val="right"/>
              <w:rPr>
                <w:color w:val="000000"/>
                <w:sz w:val="24"/>
              </w:rPr>
            </w:pPr>
            <w:r>
              <w:rPr>
                <w:color w:val="000000"/>
                <w:sz w:val="24"/>
              </w:rPr>
              <w:t>255,128,167.49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ind w:firstLine="720" w:firstLineChars="300"/>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-295,660,881.48</w:t>
            </w:r>
          </w:p>
        </w:tc>
        <w:tc>
          <w:tcPr>
            <w:tcW w:w="2197" w:type="dxa"/>
            <w:vAlign w:val="center"/>
          </w:tcPr>
          <w:p>
            <w:pPr>
              <w:spacing w:before="29" w:line="288" w:lineRule="auto"/>
              <w:jc w:val="right"/>
              <w:rPr>
                <w:color w:val="000000"/>
                <w:sz w:val="24"/>
              </w:rPr>
            </w:pPr>
            <w:r>
              <w:rPr>
                <w:color w:val="000000"/>
                <w:sz w:val="24"/>
              </w:rPr>
              <w:t>-16,681,321.75</w:t>
            </w:r>
          </w:p>
        </w:tc>
        <w:tc>
          <w:tcPr>
            <w:tcW w:w="2197" w:type="dxa"/>
            <w:vAlign w:val="center"/>
          </w:tcPr>
          <w:p>
            <w:pPr>
              <w:spacing w:before="29" w:line="288" w:lineRule="auto"/>
              <w:jc w:val="right"/>
              <w:rPr>
                <w:color w:val="000000"/>
                <w:sz w:val="24"/>
              </w:rPr>
            </w:pPr>
            <w:r>
              <w:rPr>
                <w:color w:val="000000"/>
                <w:sz w:val="24"/>
              </w:rPr>
              <w:t>-312,342,203.23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-18,564,374.10</w:t>
            </w:r>
          </w:p>
        </w:tc>
        <w:tc>
          <w:tcPr>
            <w:tcW w:w="2197" w:type="dxa"/>
            <w:vAlign w:val="center"/>
          </w:tcPr>
          <w:p>
            <w:pPr>
              <w:spacing w:before="29" w:line="288" w:lineRule="auto"/>
              <w:jc w:val="right"/>
              <w:rPr>
                <w:color w:val="000000"/>
                <w:sz w:val="24"/>
              </w:rPr>
            </w:pPr>
            <w:r>
              <w:rPr>
                <w:color w:val="000000"/>
                <w:sz w:val="24"/>
              </w:rPr>
              <w:t>-18,564,374.10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277,179,543.00</w:t>
            </w:r>
          </w:p>
        </w:tc>
        <w:tc>
          <w:tcPr>
            <w:tcW w:w="2197" w:type="dxa"/>
            <w:vAlign w:val="center"/>
          </w:tcPr>
          <w:p>
            <w:pPr>
              <w:spacing w:before="29" w:line="288" w:lineRule="auto"/>
              <w:jc w:val="right"/>
              <w:rPr>
                <w:color w:val="000000"/>
                <w:sz w:val="24"/>
              </w:rPr>
            </w:pPr>
            <w:r>
              <w:rPr>
                <w:color w:val="000000"/>
                <w:sz w:val="24"/>
              </w:rPr>
              <w:t>17,803,002.17</w:t>
            </w:r>
          </w:p>
        </w:tc>
        <w:tc>
          <w:tcPr>
            <w:tcW w:w="2197" w:type="dxa"/>
            <w:vAlign w:val="center"/>
          </w:tcPr>
          <w:p>
            <w:pPr>
              <w:spacing w:before="29" w:line="288" w:lineRule="auto"/>
              <w:jc w:val="right"/>
              <w:rPr>
                <w:color w:val="000000"/>
                <w:sz w:val="24"/>
              </w:rPr>
            </w:pPr>
            <w:r>
              <w:rPr>
                <w:color w:val="000000"/>
                <w:sz w:val="24"/>
              </w:rPr>
              <w:t>294,982,545.17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上年度可比期间</w:t>
            </w:r>
          </w:p>
          <w:p>
            <w:pPr>
              <w:pStyle w:val="28"/>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331,589,908.23</w:t>
            </w:r>
          </w:p>
        </w:tc>
        <w:tc>
          <w:tcPr>
            <w:tcW w:w="2197" w:type="dxa"/>
            <w:vAlign w:val="center"/>
          </w:tcPr>
          <w:p>
            <w:pPr>
              <w:spacing w:before="29" w:line="288" w:lineRule="auto"/>
              <w:jc w:val="right"/>
              <w:rPr>
                <w:color w:val="000000"/>
                <w:sz w:val="24"/>
              </w:rPr>
            </w:pPr>
            <w:r>
              <w:rPr>
                <w:color w:val="000000"/>
                <w:sz w:val="24"/>
              </w:rPr>
              <w:t>22,516,718.73</w:t>
            </w:r>
          </w:p>
        </w:tc>
        <w:tc>
          <w:tcPr>
            <w:tcW w:w="2197" w:type="dxa"/>
            <w:vAlign w:val="center"/>
          </w:tcPr>
          <w:p>
            <w:pPr>
              <w:spacing w:before="29" w:line="288" w:lineRule="auto"/>
              <w:jc w:val="right"/>
              <w:rPr>
                <w:color w:val="000000"/>
                <w:sz w:val="24"/>
              </w:rPr>
            </w:pPr>
            <w:r>
              <w:rPr>
                <w:color w:val="000000"/>
                <w:sz w:val="24"/>
              </w:rPr>
              <w:t>354,106,626.96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18,930,989.42</w:t>
            </w:r>
          </w:p>
        </w:tc>
        <w:tc>
          <w:tcPr>
            <w:tcW w:w="2197" w:type="dxa"/>
            <w:vAlign w:val="center"/>
          </w:tcPr>
          <w:p>
            <w:pPr>
              <w:spacing w:before="29" w:line="288" w:lineRule="auto"/>
              <w:jc w:val="right"/>
              <w:rPr>
                <w:color w:val="000000"/>
                <w:sz w:val="24"/>
              </w:rPr>
            </w:pPr>
            <w:r>
              <w:rPr>
                <w:color w:val="000000"/>
                <w:sz w:val="24"/>
              </w:rPr>
              <w:t>18,930,989.42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ind w:firstLine="720" w:firstLineChars="300"/>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-11,270,950.86</w:t>
            </w:r>
          </w:p>
        </w:tc>
        <w:tc>
          <w:tcPr>
            <w:tcW w:w="2197" w:type="dxa"/>
            <w:vAlign w:val="center"/>
          </w:tcPr>
          <w:p>
            <w:pPr>
              <w:spacing w:before="29" w:line="288" w:lineRule="auto"/>
              <w:jc w:val="right"/>
              <w:rPr>
                <w:color w:val="000000"/>
                <w:sz w:val="24"/>
              </w:rPr>
            </w:pPr>
            <w:r>
              <w:rPr>
                <w:color w:val="000000"/>
                <w:sz w:val="24"/>
              </w:rPr>
              <w:t>-11,270,950.86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331,589,908.23</w:t>
            </w:r>
          </w:p>
        </w:tc>
        <w:tc>
          <w:tcPr>
            <w:tcW w:w="2197" w:type="dxa"/>
            <w:vAlign w:val="center"/>
          </w:tcPr>
          <w:p>
            <w:pPr>
              <w:spacing w:before="29" w:line="288" w:lineRule="auto"/>
              <w:jc w:val="right"/>
              <w:rPr>
                <w:color w:val="000000"/>
                <w:sz w:val="24"/>
              </w:rPr>
            </w:pPr>
            <w:r>
              <w:rPr>
                <w:color w:val="000000"/>
                <w:sz w:val="24"/>
              </w:rPr>
              <w:t>30,176,757.29</w:t>
            </w:r>
          </w:p>
        </w:tc>
        <w:tc>
          <w:tcPr>
            <w:tcW w:w="2197" w:type="dxa"/>
            <w:vAlign w:val="center"/>
          </w:tcPr>
          <w:p>
            <w:pPr>
              <w:spacing w:before="29" w:line="288" w:lineRule="auto"/>
              <w:jc w:val="right"/>
              <w:rPr>
                <w:color w:val="000000"/>
                <w:sz w:val="24"/>
              </w:rPr>
            </w:pPr>
            <w:r>
              <w:rPr>
                <w:color w:val="000000"/>
                <w:sz w:val="24"/>
              </w:rPr>
              <w:t>361,766,665.52</w:t>
            </w:r>
          </w:p>
        </w:tc>
      </w:tr>
    </w:tbl>
    <w:p>
      <w:pPr>
        <w:spacing w:before="29" w:line="288" w:lineRule="auto"/>
        <w:rPr>
          <w:sz w:val="24"/>
        </w:rPr>
      </w:pPr>
      <w:r>
        <w:rPr>
          <w:rFonts w:hint="eastAsia"/>
          <w:sz w:val="24"/>
        </w:rPr>
        <w:t>报表附注为财务报表的组成部分。</w:t>
      </w:r>
    </w:p>
    <w:p>
      <w:pPr>
        <w:spacing w:before="29" w:line="288" w:lineRule="auto"/>
        <w:rPr>
          <w:sz w:val="24"/>
        </w:rPr>
      </w:pPr>
      <w:r>
        <w:rPr>
          <w:rFonts w:hint="eastAsia"/>
          <w:sz w:val="24"/>
        </w:rPr>
        <w:t>本报告页码（序号）从7.1至7.4，财务报表由下列负责人签署：</w:t>
      </w:r>
    </w:p>
    <w:p>
      <w:pPr>
        <w:spacing w:before="29" w:line="288" w:lineRule="auto"/>
        <w:rPr>
          <w:sz w:val="24"/>
        </w:rPr>
      </w:pPr>
      <w:r>
        <w:rPr>
          <w:rFonts w:hint="eastAsia"/>
          <w:sz w:val="24"/>
        </w:rPr>
        <w:t>基金管理人负责人：谢卫，主管会计工作负责人：夏华龙，会计机构负责人：单江</w:t>
      </w:r>
    </w:p>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32" w:name="_Toc361324876"/>
      <w:bookmarkStart w:id="133" w:name="_Toc67667926"/>
      <w:bookmarkStart w:id="134" w:name="_Toc225498271"/>
      <w:r>
        <w:rPr>
          <w:rFonts w:ascii="Times New Roman" w:hAnsi="Times New Roman"/>
          <w:kern w:val="0"/>
          <w:szCs w:val="24"/>
        </w:rPr>
        <w:t xml:space="preserve">7.4 </w:t>
      </w:r>
      <w:r>
        <w:rPr>
          <w:rFonts w:hint="eastAsia" w:ascii="Times New Roman" w:hAnsi="Times New Roman"/>
          <w:kern w:val="0"/>
          <w:szCs w:val="24"/>
        </w:rPr>
        <w:t>报表附注</w:t>
      </w:r>
      <w:bookmarkEnd w:id="132"/>
      <w:bookmarkEnd w:id="133"/>
      <w:bookmarkEnd w:id="134"/>
    </w:p>
    <w:p>
      <w:pPr>
        <w:spacing w:before="29" w:line="288" w:lineRule="auto"/>
        <w:outlineLvl w:val="1"/>
        <w:rPr>
          <w:rFonts w:eastAsiaTheme="minorEastAsia"/>
          <w:b/>
          <w:sz w:val="24"/>
        </w:rPr>
      </w:pPr>
      <w:bookmarkStart w:id="135" w:name="_Toc67667927"/>
      <w:r>
        <w:rPr>
          <w:rFonts w:eastAsiaTheme="minorEastAsia"/>
          <w:b/>
          <w:sz w:val="24"/>
        </w:rPr>
        <w:t>7.4.1</w:t>
      </w:r>
      <w:r>
        <w:rPr>
          <w:rFonts w:hint="eastAsia" w:eastAsiaTheme="minorEastAsia"/>
          <w:b/>
          <w:sz w:val="24"/>
        </w:rPr>
        <w:t>基金基本情况</w:t>
      </w:r>
      <w:bookmarkEnd w:id="135"/>
    </w:p>
    <w:p>
      <w:pPr>
        <w:spacing w:before="29" w:line="288" w:lineRule="auto"/>
        <w:ind w:firstLine="480" w:firstLineChars="200"/>
        <w:rPr>
          <w:kern w:val="0"/>
          <w:sz w:val="24"/>
        </w:rPr>
      </w:pPr>
      <w:r>
        <w:rPr>
          <w:kern w:val="0"/>
          <w:sz w:val="24"/>
        </w:rPr>
        <w:t>交银施罗德丰晟收益债券型证券投资基金(以下简称“本基金”)经中国证券监督管理委员会(以下简称“中国证监会”)证监许可[2017]2396号《关于准予交银施罗德丰晟收益债券型证券投资基金注册的批复》核准，由交银施罗德基金管理有限公司依照《中华人民共和国证券投资基金法》和《交银施罗德丰晟收益债券型证券投资基金基金合同》负责公开募集。本基金为契约型基金，存续期限不定。本基金在基金合同生效之日起两年(含两年)的期间内封闭式运作，封闭期结束后转为开放式运作。本基金首次设立募集不包括认购资金利息共募集人民币331,456,146.51元，业经普华永道中天会计师事务所(特殊普通合伙)普华永道中天验字(2018)第0349号验资报告予以验证。经向中国证监会备案，《交银施罗德丰晟收益债券型证券投资基金基金合同》于2018年5月23日正式生效，基金合同生效日的基金份额总额为331,589,908.23份基金份额，其中认购资金利息折合133,761.72份基金份额。本基金的基金管理人为交银施罗德基金管理有限公司，基金托管人为招商银行股份有限公司。</w:t>
      </w:r>
    </w:p>
    <w:p>
      <w:pPr>
        <w:spacing w:before="29" w:line="288" w:lineRule="auto"/>
        <w:ind w:firstLine="480" w:firstLineChars="200"/>
        <w:rPr>
          <w:kern w:val="0"/>
          <w:sz w:val="24"/>
        </w:rPr>
      </w:pPr>
      <w:r>
        <w:rPr>
          <w:kern w:val="0"/>
          <w:sz w:val="24"/>
        </w:rPr>
        <w:t>根据《交银施罗德丰晟收益债券型证券投资基金基金合同》和《交银施罗德丰晟收益债券型证券投资基金招募说明书》，本基金根据认购/申购费用、赎回费用、销售服务费收取方式的不同，将基金份额分为不同的类别。在投资人认购/申购时收取认购/申购费用、赎回时收取赎回费用的，称为A类基金份额；在投资人认购/申购时不收取认购/申购费用，赎回时收取赎回费的，同时从本类别基金资产中计提销售服务费的，称为C类基金份额。本基金募集期内开通A类基金份额和C类基金份额。本基金A类、C类两种收费模式并存，各类基金份额分别计算基金份额净值。投资人可自由选择申购某一类别的基金份额，但各类别基金份额之间不能相互转换。</w:t>
      </w:r>
    </w:p>
    <w:p>
      <w:pPr>
        <w:spacing w:before="29" w:line="288" w:lineRule="auto"/>
        <w:ind w:firstLine="480" w:firstLineChars="200"/>
        <w:rPr>
          <w:kern w:val="0"/>
          <w:sz w:val="24"/>
        </w:rPr>
      </w:pPr>
      <w:r>
        <w:rPr>
          <w:kern w:val="0"/>
          <w:sz w:val="24"/>
        </w:rPr>
        <w:t>根据《中华人民共和国证券投资基金法》和《交银施罗德丰晟收益债券型证券投资基金基金合同》的有关规定，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本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其中现金不包括结算备付金、存出保证金、应收申购款等。本基金的业绩比较基准为中债综合全价指数收益率。</w:t>
      </w:r>
    </w:p>
    <w:p>
      <w:pPr>
        <w:spacing w:before="29" w:line="288" w:lineRule="auto"/>
        <w:ind w:firstLine="480" w:firstLineChars="200"/>
        <w:rPr>
          <w:kern w:val="0"/>
          <w:sz w:val="24"/>
        </w:rPr>
      </w:pPr>
      <w:r>
        <w:rPr>
          <w:kern w:val="0"/>
          <w:sz w:val="24"/>
        </w:rPr>
        <w:t>本财务报表由本基金的基金管理人交银施罗德基金管理有限公司于2021年3月26日批准报出。</w:t>
      </w:r>
    </w:p>
    <w:p>
      <w:pPr>
        <w:tabs>
          <w:tab w:val="left" w:pos="2265"/>
        </w:tabs>
        <w:spacing w:line="360" w:lineRule="auto"/>
        <w:ind w:firstLine="420" w:firstLineChars="200"/>
        <w:rPr>
          <w:rFonts w:asciiTheme="minorEastAsia" w:hAnsiTheme="minorEastAsia" w:eastAsiaTheme="minorEastAsia"/>
          <w:color w:val="000000"/>
          <w:szCs w:val="21"/>
        </w:rPr>
      </w:pPr>
    </w:p>
    <w:p>
      <w:pPr>
        <w:spacing w:before="29" w:line="288" w:lineRule="auto"/>
        <w:outlineLvl w:val="1"/>
        <w:rPr>
          <w:rFonts w:eastAsiaTheme="minorEastAsia"/>
          <w:b/>
          <w:sz w:val="24"/>
        </w:rPr>
      </w:pPr>
      <w:bookmarkStart w:id="136" w:name="_Toc67667928"/>
      <w:r>
        <w:rPr>
          <w:rFonts w:eastAsiaTheme="minorEastAsia"/>
          <w:b/>
          <w:sz w:val="24"/>
        </w:rPr>
        <w:t>7.4.2</w:t>
      </w:r>
      <w:r>
        <w:rPr>
          <w:rFonts w:hint="eastAsia" w:eastAsiaTheme="minorEastAsia"/>
          <w:b/>
          <w:sz w:val="24"/>
        </w:rPr>
        <w:t>会计报表的编制基础</w:t>
      </w:r>
      <w:bookmarkEnd w:id="136"/>
    </w:p>
    <w:p>
      <w:pPr>
        <w:spacing w:before="29" w:line="288" w:lineRule="auto"/>
        <w:ind w:firstLine="480" w:firstLineChars="200"/>
        <w:rPr>
          <w:kern w:val="0"/>
          <w:sz w:val="24"/>
        </w:rPr>
      </w:pPr>
      <w:r>
        <w:rPr>
          <w:kern w:val="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中期报告&gt;》、中国证券投资基金业协会(以下简称“中国基金业协会”)颁布的《证券投资基金会计核算业务指引》、《交银施罗德丰晟收益债券型证券投资基金基金合同》和在财务报表附注7.4.4所列示的中国证监会、中国基金业协会发布的有关规定及允许的基金行业实务操作编制。</w:t>
      </w:r>
    </w:p>
    <w:p>
      <w:pPr>
        <w:spacing w:before="29" w:line="288" w:lineRule="auto"/>
        <w:ind w:firstLine="480" w:firstLineChars="200"/>
        <w:rPr>
          <w:kern w:val="0"/>
          <w:sz w:val="24"/>
        </w:rPr>
      </w:pPr>
      <w:r>
        <w:rPr>
          <w:kern w:val="0"/>
          <w:sz w:val="24"/>
        </w:rPr>
        <w:t>本财务报表以持续经营为基础编制。</w:t>
      </w:r>
    </w:p>
    <w:p>
      <w:pPr>
        <w:spacing w:line="360" w:lineRule="auto"/>
        <w:ind w:firstLine="422" w:firstLineChars="200"/>
        <w:rPr>
          <w:rFonts w:asciiTheme="minorEastAsia" w:hAnsiTheme="minorEastAsia" w:eastAsiaTheme="minorEastAsia"/>
          <w:b/>
          <w:color w:val="000000"/>
          <w:szCs w:val="21"/>
        </w:rPr>
      </w:pPr>
    </w:p>
    <w:p>
      <w:pPr>
        <w:spacing w:before="29" w:line="288" w:lineRule="auto"/>
        <w:outlineLvl w:val="1"/>
        <w:rPr>
          <w:rFonts w:eastAsiaTheme="minorEastAsia"/>
          <w:b/>
          <w:sz w:val="24"/>
        </w:rPr>
      </w:pPr>
      <w:bookmarkStart w:id="137" w:name="_Toc67667929"/>
      <w:r>
        <w:rPr>
          <w:rFonts w:eastAsiaTheme="minorEastAsia"/>
          <w:b/>
          <w:sz w:val="24"/>
        </w:rPr>
        <w:t>7.4.3</w:t>
      </w:r>
      <w:r>
        <w:rPr>
          <w:rFonts w:hint="eastAsia" w:eastAsiaTheme="minorEastAsia"/>
          <w:b/>
          <w:sz w:val="24"/>
        </w:rPr>
        <w:t>遵循企业会计准则及其他有关规定的声明</w:t>
      </w:r>
      <w:bookmarkEnd w:id="137"/>
    </w:p>
    <w:p>
      <w:pPr>
        <w:spacing w:before="29" w:line="288" w:lineRule="auto"/>
        <w:ind w:firstLine="480" w:firstLineChars="200"/>
        <w:rPr>
          <w:kern w:val="0"/>
          <w:sz w:val="24"/>
        </w:rPr>
      </w:pPr>
      <w:r>
        <w:rPr>
          <w:kern w:val="0"/>
          <w:sz w:val="24"/>
        </w:rPr>
        <w:t>本基金2020年度财务报表符合企业会计准则的要求，真实、完整地反映了本基金2020年12月31日的财务状况以及2020年度的经营成果和基金净值变动情况等有关信息。</w:t>
      </w:r>
    </w:p>
    <w:p>
      <w:pPr>
        <w:spacing w:line="360" w:lineRule="auto"/>
        <w:ind w:firstLine="422" w:firstLineChars="200"/>
        <w:rPr>
          <w:rFonts w:asciiTheme="minorEastAsia" w:hAnsiTheme="minorEastAsia" w:eastAsiaTheme="minorEastAsia"/>
          <w:b/>
          <w:color w:val="000000"/>
          <w:szCs w:val="21"/>
        </w:rPr>
      </w:pPr>
    </w:p>
    <w:p>
      <w:pPr>
        <w:spacing w:before="29" w:line="288" w:lineRule="auto"/>
        <w:outlineLvl w:val="1"/>
        <w:rPr>
          <w:rFonts w:eastAsiaTheme="minorEastAsia"/>
          <w:b/>
          <w:sz w:val="24"/>
        </w:rPr>
      </w:pPr>
      <w:bookmarkStart w:id="138" w:name="_Toc67667930"/>
      <w:r>
        <w:rPr>
          <w:rFonts w:eastAsiaTheme="minorEastAsia"/>
          <w:b/>
          <w:sz w:val="24"/>
        </w:rPr>
        <w:t>7.4.4</w:t>
      </w:r>
      <w:r>
        <w:rPr>
          <w:rFonts w:hint="eastAsia" w:eastAsiaTheme="minorEastAsia"/>
          <w:b/>
          <w:sz w:val="24"/>
        </w:rPr>
        <w:t>重要会计政策和会计估计</w:t>
      </w:r>
      <w:bookmarkEnd w:id="138"/>
    </w:p>
    <w:p>
      <w:pPr>
        <w:spacing w:before="29" w:line="288" w:lineRule="auto"/>
        <w:outlineLvl w:val="2"/>
        <w:rPr>
          <w:rFonts w:eastAsiaTheme="minorEastAsia"/>
          <w:b/>
          <w:sz w:val="24"/>
        </w:rPr>
      </w:pPr>
      <w:bookmarkStart w:id="139" w:name="_Toc67667931"/>
      <w:r>
        <w:rPr>
          <w:rFonts w:eastAsiaTheme="minorEastAsia"/>
          <w:b/>
          <w:sz w:val="24"/>
        </w:rPr>
        <w:t>7.4.4.1</w:t>
      </w:r>
      <w:r>
        <w:rPr>
          <w:rFonts w:hint="eastAsia" w:eastAsiaTheme="minorEastAsia"/>
          <w:b/>
          <w:sz w:val="24"/>
        </w:rPr>
        <w:t>会计年度</w:t>
      </w:r>
      <w:bookmarkEnd w:id="139"/>
    </w:p>
    <w:p>
      <w:pPr>
        <w:spacing w:before="29" w:line="288" w:lineRule="auto"/>
        <w:ind w:firstLine="480" w:firstLineChars="200"/>
        <w:rPr>
          <w:kern w:val="0"/>
          <w:sz w:val="24"/>
        </w:rPr>
      </w:pPr>
      <w:r>
        <w:rPr>
          <w:kern w:val="0"/>
          <w:sz w:val="24"/>
        </w:rPr>
        <w:t>本基金会计年度为公历1月1日起至12月31日止。</w:t>
      </w:r>
    </w:p>
    <w:p>
      <w:pPr>
        <w:spacing w:line="360" w:lineRule="auto"/>
        <w:ind w:firstLine="422" w:firstLineChars="200"/>
        <w:rPr>
          <w:rFonts w:asciiTheme="minorEastAsia" w:hAnsiTheme="minorEastAsia" w:eastAsiaTheme="minorEastAsia"/>
          <w:b/>
          <w:color w:val="000000"/>
          <w:szCs w:val="21"/>
        </w:rPr>
      </w:pPr>
    </w:p>
    <w:p>
      <w:pPr>
        <w:spacing w:before="29" w:line="288" w:lineRule="auto"/>
        <w:outlineLvl w:val="2"/>
        <w:rPr>
          <w:rFonts w:eastAsiaTheme="minorEastAsia"/>
          <w:b/>
          <w:sz w:val="24"/>
        </w:rPr>
      </w:pPr>
      <w:bookmarkStart w:id="140" w:name="_Toc67667932"/>
      <w:r>
        <w:rPr>
          <w:rFonts w:eastAsiaTheme="minorEastAsia"/>
          <w:b/>
          <w:sz w:val="24"/>
        </w:rPr>
        <w:t xml:space="preserve">7.4.4.2 </w:t>
      </w:r>
      <w:r>
        <w:rPr>
          <w:rFonts w:hint="eastAsia" w:eastAsiaTheme="minorEastAsia"/>
          <w:b/>
          <w:sz w:val="24"/>
        </w:rPr>
        <w:t>记账本位币</w:t>
      </w:r>
      <w:bookmarkEnd w:id="140"/>
    </w:p>
    <w:p>
      <w:pPr>
        <w:spacing w:before="29" w:line="288" w:lineRule="auto"/>
        <w:ind w:firstLine="480" w:firstLineChars="200"/>
        <w:rPr>
          <w:kern w:val="0"/>
          <w:sz w:val="24"/>
        </w:rPr>
      </w:pPr>
      <w:r>
        <w:rPr>
          <w:kern w:val="0"/>
          <w:sz w:val="24"/>
        </w:rPr>
        <w:t>本基金的记账本位币为人民币。</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2"/>
        <w:rPr>
          <w:rFonts w:eastAsiaTheme="minorEastAsia"/>
          <w:b/>
          <w:sz w:val="24"/>
        </w:rPr>
      </w:pPr>
      <w:bookmarkStart w:id="141" w:name="_Toc67667933"/>
      <w:r>
        <w:rPr>
          <w:rFonts w:eastAsiaTheme="minorEastAsia"/>
          <w:b/>
          <w:sz w:val="24"/>
        </w:rPr>
        <w:t xml:space="preserve">7.4.4.3 </w:t>
      </w:r>
      <w:r>
        <w:rPr>
          <w:rFonts w:hint="eastAsia" w:eastAsiaTheme="minorEastAsia"/>
          <w:b/>
          <w:sz w:val="24"/>
        </w:rPr>
        <w:t>金融资产和金融负债的分类</w:t>
      </w:r>
      <w:bookmarkEnd w:id="141"/>
    </w:p>
    <w:p>
      <w:pPr>
        <w:spacing w:before="29" w:line="288" w:lineRule="auto"/>
        <w:ind w:firstLine="480" w:firstLineChars="200"/>
        <w:rPr>
          <w:kern w:val="0"/>
          <w:sz w:val="24"/>
        </w:rPr>
      </w:pPr>
      <w:r>
        <w:rPr>
          <w:kern w:val="0"/>
          <w:sz w:val="24"/>
        </w:rPr>
        <w:t>(1) 金融资产的分类</w:t>
      </w:r>
    </w:p>
    <w:p>
      <w:pPr>
        <w:spacing w:before="29" w:line="288" w:lineRule="auto"/>
        <w:ind w:firstLine="480" w:firstLineChars="20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pPr>
        <w:spacing w:before="29" w:line="288" w:lineRule="auto"/>
        <w:ind w:firstLine="480" w:firstLineChars="20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pPr>
        <w:spacing w:before="29" w:line="288" w:lineRule="auto"/>
        <w:ind w:firstLine="480" w:firstLineChars="20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pPr>
        <w:spacing w:before="29" w:line="288" w:lineRule="auto"/>
        <w:ind w:firstLine="480" w:firstLineChars="200"/>
        <w:rPr>
          <w:kern w:val="0"/>
          <w:sz w:val="24"/>
        </w:rPr>
      </w:pPr>
      <w:r>
        <w:rPr>
          <w:kern w:val="0"/>
          <w:sz w:val="24"/>
        </w:rPr>
        <w:t>(2) 金融负债的分类</w:t>
      </w:r>
    </w:p>
    <w:p>
      <w:pPr>
        <w:spacing w:before="29" w:line="288" w:lineRule="auto"/>
        <w:ind w:firstLine="480" w:firstLineChars="200"/>
        <w:rPr>
          <w:kern w:val="0"/>
          <w:sz w:val="24"/>
        </w:rPr>
      </w:pPr>
      <w:r>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2"/>
        <w:rPr>
          <w:rFonts w:asciiTheme="minorEastAsia" w:hAnsiTheme="minorEastAsia" w:eastAsiaTheme="minorEastAsia"/>
          <w:b/>
          <w:color w:val="000000"/>
          <w:kern w:val="0"/>
          <w:szCs w:val="21"/>
        </w:rPr>
      </w:pPr>
      <w:bookmarkStart w:id="142" w:name="_Toc67667934"/>
      <w:r>
        <w:rPr>
          <w:rFonts w:eastAsiaTheme="minorEastAsia"/>
          <w:b/>
          <w:sz w:val="24"/>
        </w:rPr>
        <w:t xml:space="preserve">7.4.4.4 </w:t>
      </w:r>
      <w:r>
        <w:rPr>
          <w:rFonts w:hint="eastAsia" w:eastAsiaTheme="minorEastAsia"/>
          <w:b/>
          <w:sz w:val="24"/>
        </w:rPr>
        <w:t>金融资产和金融负债的初始确认、后续计量和终止确认</w:t>
      </w:r>
      <w:bookmarkEnd w:id="142"/>
    </w:p>
    <w:p>
      <w:pPr>
        <w:spacing w:before="29" w:line="288" w:lineRule="auto"/>
        <w:ind w:firstLine="480" w:firstLineChars="20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pPr>
        <w:spacing w:before="29" w:line="288" w:lineRule="auto"/>
        <w:ind w:firstLine="480" w:firstLineChars="20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pPr>
        <w:spacing w:before="29" w:line="288" w:lineRule="auto"/>
        <w:ind w:firstLine="480" w:firstLineChars="200"/>
        <w:rPr>
          <w:kern w:val="0"/>
          <w:sz w:val="24"/>
        </w:rPr>
      </w:pPr>
      <w:r>
        <w:rPr>
          <w:kern w:val="0"/>
          <w:sz w:val="24"/>
        </w:rPr>
        <w:t>金融资产满足下列条件之一的，予以终止确认：(1) 收取该金融资产现金流量的合同权利终止；(2) 该金融资产已转移，且本基金将金融资产所有权上几乎所有的风险和报酬转移给转入方；或者(3) 该金融资产已转移，虽然本基金既没有转移也没有保留金融资产所有权上几乎所有的风险和报酬，但是放弃了对该金融资产控制。</w:t>
      </w:r>
    </w:p>
    <w:p>
      <w:pPr>
        <w:spacing w:before="29" w:line="288" w:lineRule="auto"/>
        <w:ind w:firstLine="480" w:firstLineChars="200"/>
        <w:rPr>
          <w:kern w:val="0"/>
          <w:sz w:val="24"/>
        </w:rPr>
      </w:pPr>
      <w:r>
        <w:rPr>
          <w:kern w:val="0"/>
          <w:sz w:val="24"/>
        </w:rPr>
        <w:t>金融资产终止确认时，其账面价值与收到的对价的差额，计入当期损益。</w:t>
      </w:r>
    </w:p>
    <w:p>
      <w:pPr>
        <w:spacing w:before="29" w:line="288" w:lineRule="auto"/>
        <w:ind w:firstLine="480" w:firstLineChars="200"/>
        <w:rPr>
          <w:kern w:val="0"/>
          <w:sz w:val="24"/>
        </w:rPr>
      </w:pPr>
      <w:r>
        <w:rPr>
          <w:kern w:val="0"/>
          <w:sz w:val="24"/>
        </w:rPr>
        <w:t>当金融负债的现时义务全部或部分已经解除时，终止确认该金融负债或义务已解除的部分。终止确认部分的账面价值与支付的对价之间的差额，计入当期损益。</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2"/>
        <w:rPr>
          <w:rFonts w:eastAsiaTheme="minorEastAsia"/>
          <w:b/>
          <w:sz w:val="24"/>
        </w:rPr>
      </w:pPr>
      <w:bookmarkStart w:id="143" w:name="_Toc67667935"/>
      <w:r>
        <w:rPr>
          <w:rFonts w:eastAsiaTheme="minorEastAsia"/>
          <w:b/>
          <w:sz w:val="24"/>
        </w:rPr>
        <w:t xml:space="preserve">7.4.4.5 </w:t>
      </w:r>
      <w:r>
        <w:rPr>
          <w:rFonts w:hint="eastAsia" w:eastAsiaTheme="minorEastAsia"/>
          <w:b/>
          <w:sz w:val="24"/>
        </w:rPr>
        <w:t>金融资产和金融负债的估值原则</w:t>
      </w:r>
      <w:bookmarkEnd w:id="143"/>
    </w:p>
    <w:p>
      <w:pPr>
        <w:spacing w:before="29" w:line="288" w:lineRule="auto"/>
        <w:ind w:firstLine="480" w:firstLineChars="200"/>
        <w:rPr>
          <w:kern w:val="0"/>
          <w:sz w:val="24"/>
        </w:rPr>
      </w:pPr>
      <w:r>
        <w:rPr>
          <w:kern w:val="0"/>
          <w:sz w:val="24"/>
        </w:rPr>
        <w:t>本基金持有的债券投资和资产支持证券投资按如下原则确定公允价值并进行估值：</w:t>
      </w:r>
    </w:p>
    <w:p>
      <w:pPr>
        <w:spacing w:before="29" w:line="288" w:lineRule="auto"/>
        <w:ind w:firstLine="480" w:firstLineChars="200"/>
        <w:rPr>
          <w:kern w:val="0"/>
          <w:sz w:val="24"/>
        </w:rPr>
      </w:pPr>
      <w:r>
        <w:rPr>
          <w:kern w:val="0"/>
          <w:sz w:val="24"/>
        </w:rPr>
        <w:t>(1) 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pPr>
        <w:spacing w:before="29" w:line="288" w:lineRule="auto"/>
        <w:ind w:firstLine="480" w:firstLineChars="200"/>
        <w:rPr>
          <w:kern w:val="0"/>
          <w:sz w:val="24"/>
        </w:rPr>
      </w:pPr>
      <w:r>
        <w:rPr>
          <w:kern w:val="0"/>
          <w:sz w:val="24"/>
        </w:rPr>
        <w:t>(2) 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pPr>
        <w:spacing w:before="29" w:line="288" w:lineRule="auto"/>
        <w:ind w:firstLine="480" w:firstLineChars="200"/>
        <w:rPr>
          <w:kern w:val="0"/>
          <w:sz w:val="24"/>
        </w:rPr>
      </w:pPr>
      <w:r>
        <w:rPr>
          <w:kern w:val="0"/>
          <w:sz w:val="24"/>
        </w:rPr>
        <w:t>(3) 如经济环境发生重大变化或证券发行人发生影响金融工具价格的重大事件，应对估值进行调整并确定公允价值。</w:t>
      </w:r>
    </w:p>
    <w:p>
      <w:pPr>
        <w:autoSpaceDE w:val="0"/>
        <w:autoSpaceDN w:val="0"/>
        <w:adjustRightInd w:val="0"/>
        <w:spacing w:line="360" w:lineRule="auto"/>
        <w:jc w:val="left"/>
        <w:rPr>
          <w:rFonts w:asciiTheme="minorEastAsia" w:hAnsiTheme="minorEastAsia" w:eastAsiaTheme="minorEastAsia"/>
          <w:b/>
          <w:color w:val="000000"/>
          <w:kern w:val="0"/>
          <w:szCs w:val="21"/>
        </w:rPr>
      </w:pPr>
    </w:p>
    <w:p>
      <w:pPr>
        <w:spacing w:before="29" w:line="288" w:lineRule="auto"/>
        <w:outlineLvl w:val="2"/>
        <w:rPr>
          <w:rFonts w:eastAsiaTheme="minorEastAsia"/>
          <w:b/>
          <w:sz w:val="24"/>
        </w:rPr>
      </w:pPr>
      <w:bookmarkStart w:id="144" w:name="_Toc67667936"/>
      <w:r>
        <w:rPr>
          <w:rFonts w:eastAsiaTheme="minorEastAsia"/>
          <w:b/>
          <w:sz w:val="24"/>
        </w:rPr>
        <w:t xml:space="preserve">7.4.4.6 </w:t>
      </w:r>
      <w:r>
        <w:rPr>
          <w:rFonts w:hint="eastAsia" w:eastAsiaTheme="minorEastAsia"/>
          <w:b/>
          <w:sz w:val="24"/>
        </w:rPr>
        <w:t>金融资产和金融负债的抵销</w:t>
      </w:r>
      <w:bookmarkEnd w:id="144"/>
    </w:p>
    <w:p>
      <w:pPr>
        <w:spacing w:before="29" w:line="288" w:lineRule="auto"/>
        <w:ind w:firstLine="480" w:firstLineChars="200"/>
        <w:rPr>
          <w:kern w:val="0"/>
          <w:sz w:val="24"/>
        </w:rPr>
      </w:pPr>
      <w:r>
        <w:rPr>
          <w:kern w:val="0"/>
          <w:sz w:val="24"/>
        </w:rPr>
        <w:t>本基金持有的资产和承担的负债基本为金融资产和金融负债。当本基金1) 具有抵销已确认金额的法定权利且该种法定权利现在是可执行的；且2) 交易双方准备按净额结算时，金融资产与金融负债按抵销后的净额在资产负债表中列示。</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2"/>
        <w:rPr>
          <w:rFonts w:eastAsiaTheme="minorEastAsia"/>
          <w:b/>
          <w:sz w:val="24"/>
        </w:rPr>
      </w:pPr>
      <w:bookmarkStart w:id="145" w:name="_Toc67667937"/>
      <w:r>
        <w:rPr>
          <w:rFonts w:eastAsiaTheme="minorEastAsia"/>
          <w:b/>
          <w:sz w:val="24"/>
        </w:rPr>
        <w:t xml:space="preserve">7.4.4.7 </w:t>
      </w:r>
      <w:r>
        <w:rPr>
          <w:rFonts w:hint="eastAsia" w:eastAsiaTheme="minorEastAsia"/>
          <w:b/>
          <w:sz w:val="24"/>
        </w:rPr>
        <w:t>实收基金</w:t>
      </w:r>
      <w:bookmarkEnd w:id="145"/>
    </w:p>
    <w:p>
      <w:pPr>
        <w:spacing w:before="29" w:line="288" w:lineRule="auto"/>
        <w:ind w:firstLine="480" w:firstLineChars="20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2"/>
        <w:rPr>
          <w:rFonts w:eastAsiaTheme="minorEastAsia"/>
          <w:b/>
          <w:sz w:val="24"/>
        </w:rPr>
      </w:pPr>
      <w:bookmarkStart w:id="146" w:name="_Toc67667938"/>
      <w:r>
        <w:rPr>
          <w:rFonts w:eastAsiaTheme="minorEastAsia"/>
          <w:b/>
          <w:sz w:val="24"/>
        </w:rPr>
        <w:t xml:space="preserve">7.4.4.8 </w:t>
      </w:r>
      <w:r>
        <w:rPr>
          <w:rFonts w:hint="eastAsia" w:eastAsiaTheme="minorEastAsia"/>
          <w:b/>
          <w:sz w:val="24"/>
        </w:rPr>
        <w:t>损益平准金</w:t>
      </w:r>
      <w:bookmarkEnd w:id="146"/>
    </w:p>
    <w:p>
      <w:pPr>
        <w:spacing w:before="29" w:line="288" w:lineRule="auto"/>
        <w:ind w:firstLine="480" w:firstLineChars="200"/>
        <w:rPr>
          <w:kern w:val="0"/>
          <w:sz w:val="24"/>
        </w:rPr>
      </w:pPr>
      <w:r>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累计亏损)。</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2"/>
        <w:rPr>
          <w:rFonts w:eastAsiaTheme="minorEastAsia"/>
          <w:b/>
          <w:sz w:val="24"/>
        </w:rPr>
      </w:pPr>
      <w:bookmarkStart w:id="147" w:name="_Toc67667939"/>
      <w:r>
        <w:rPr>
          <w:rFonts w:eastAsiaTheme="minorEastAsia"/>
          <w:b/>
          <w:sz w:val="24"/>
        </w:rPr>
        <w:t xml:space="preserve">7.4.4.9 </w:t>
      </w:r>
      <w:r>
        <w:rPr>
          <w:rFonts w:hint="eastAsia" w:eastAsiaTheme="minorEastAsia"/>
          <w:b/>
          <w:sz w:val="24"/>
        </w:rPr>
        <w:t>收入</w:t>
      </w:r>
      <w:r>
        <w:rPr>
          <w:rFonts w:eastAsiaTheme="minorEastAsia"/>
          <w:b/>
          <w:sz w:val="24"/>
        </w:rPr>
        <w:t>/(</w:t>
      </w:r>
      <w:r>
        <w:rPr>
          <w:rFonts w:hint="eastAsia" w:eastAsiaTheme="minorEastAsia"/>
          <w:b/>
          <w:sz w:val="24"/>
        </w:rPr>
        <w:t>损失</w:t>
      </w:r>
      <w:r>
        <w:rPr>
          <w:rFonts w:eastAsiaTheme="minorEastAsia"/>
          <w:b/>
          <w:sz w:val="24"/>
        </w:rPr>
        <w:t>)</w:t>
      </w:r>
      <w:r>
        <w:rPr>
          <w:rFonts w:hint="eastAsia" w:eastAsiaTheme="minorEastAsia"/>
          <w:b/>
          <w:sz w:val="24"/>
        </w:rPr>
        <w:t>的确认和计量</w:t>
      </w:r>
      <w:bookmarkEnd w:id="147"/>
    </w:p>
    <w:p>
      <w:pPr>
        <w:spacing w:before="29" w:line="288" w:lineRule="auto"/>
        <w:ind w:firstLine="480" w:firstLineChars="200"/>
        <w:rPr>
          <w:kern w:val="0"/>
          <w:sz w:val="24"/>
        </w:rPr>
      </w:pPr>
      <w:r>
        <w:rPr>
          <w:rFonts w:hint="eastAsia"/>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pPr>
        <w:spacing w:before="29" w:line="288" w:lineRule="auto"/>
        <w:ind w:firstLine="480" w:firstLineChars="20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pPr>
        <w:spacing w:before="29" w:line="288" w:lineRule="auto"/>
        <w:ind w:firstLine="480" w:firstLineChars="200"/>
        <w:rPr>
          <w:kern w:val="0"/>
          <w:sz w:val="24"/>
        </w:rPr>
      </w:pPr>
      <w:r>
        <w:rPr>
          <w:kern w:val="0"/>
          <w:sz w:val="24"/>
        </w:rPr>
        <w:t>应收款项在持有期间确认的利息收入按实际利率法计算，实际利率法与直线法差异较小的则按直线法计算。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2"/>
        <w:rPr>
          <w:rFonts w:eastAsiaTheme="minorEastAsia"/>
          <w:b/>
          <w:sz w:val="24"/>
        </w:rPr>
      </w:pPr>
      <w:bookmarkStart w:id="148" w:name="_Toc67667940"/>
      <w:r>
        <w:rPr>
          <w:rFonts w:eastAsiaTheme="minorEastAsia"/>
          <w:b/>
          <w:sz w:val="24"/>
        </w:rPr>
        <w:t xml:space="preserve">7.4.4.10 </w:t>
      </w:r>
      <w:r>
        <w:rPr>
          <w:rFonts w:hint="eastAsia" w:eastAsiaTheme="minorEastAsia"/>
          <w:b/>
          <w:sz w:val="24"/>
        </w:rPr>
        <w:t>费用的确认和计量</w:t>
      </w:r>
      <w:bookmarkEnd w:id="148"/>
    </w:p>
    <w:p>
      <w:pPr>
        <w:spacing w:before="29" w:line="288" w:lineRule="auto"/>
        <w:ind w:firstLine="480" w:firstLineChars="200"/>
        <w:rPr>
          <w:kern w:val="0"/>
          <w:sz w:val="24"/>
        </w:rPr>
      </w:pPr>
      <w:r>
        <w:rPr>
          <w:kern w:val="0"/>
          <w:sz w:val="24"/>
        </w:rPr>
        <w:t>本基金的管理人报酬、托管费和销售服务费在费用涵盖期间按基金合同约定的费率和计算方法逐日确认。</w:t>
      </w:r>
    </w:p>
    <w:p>
      <w:pPr>
        <w:spacing w:before="29" w:line="288" w:lineRule="auto"/>
        <w:ind w:firstLine="480" w:firstLineChars="200"/>
        <w:rPr>
          <w:kern w:val="0"/>
          <w:sz w:val="24"/>
        </w:rPr>
      </w:pPr>
      <w:r>
        <w:rPr>
          <w:kern w:val="0"/>
          <w:sz w:val="24"/>
        </w:rPr>
        <w:t>其他金融负债在持有期间确认的利息支出按实际利率法计算，实际利率法与直线法差异较小的则按直线法计算。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2"/>
        <w:rPr>
          <w:rFonts w:eastAsiaTheme="minorEastAsia"/>
          <w:b/>
          <w:sz w:val="24"/>
        </w:rPr>
      </w:pPr>
      <w:bookmarkStart w:id="149" w:name="_Toc67667941"/>
      <w:r>
        <w:rPr>
          <w:rFonts w:eastAsiaTheme="minorEastAsia"/>
          <w:b/>
          <w:sz w:val="24"/>
        </w:rPr>
        <w:t xml:space="preserve">7.4.4.11 </w:t>
      </w:r>
      <w:r>
        <w:rPr>
          <w:rFonts w:hint="eastAsia" w:eastAsiaTheme="minorEastAsia"/>
          <w:b/>
          <w:sz w:val="24"/>
        </w:rPr>
        <w:t>基金的收益分配政策</w:t>
      </w:r>
      <w:bookmarkEnd w:id="149"/>
    </w:p>
    <w:p>
      <w:pPr>
        <w:spacing w:before="29" w:line="288" w:lineRule="auto"/>
        <w:ind w:firstLine="480" w:firstLineChars="20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pPr>
        <w:spacing w:before="29" w:line="288" w:lineRule="auto"/>
        <w:ind w:firstLine="480" w:firstLineChars="200"/>
        <w:rPr>
          <w:kern w:val="0"/>
          <w:sz w:val="24"/>
        </w:rPr>
      </w:pPr>
      <w:r>
        <w:rPr>
          <w:kern w:val="0"/>
          <w:sz w:val="24"/>
        </w:rPr>
        <w:t>经宣告的拟分配基金收益于分红除权日从所有者权益转出。</w:t>
      </w:r>
    </w:p>
    <w:p>
      <w:pPr>
        <w:spacing w:before="29" w:line="288" w:lineRule="auto"/>
        <w:ind w:firstLine="420" w:firstLineChars="200"/>
        <w:rPr>
          <w:rFonts w:asciiTheme="minorEastAsia" w:hAnsiTheme="minorEastAsia" w:eastAsiaTheme="minorEastAsia"/>
          <w:bCs/>
          <w:color w:val="000000"/>
          <w:szCs w:val="21"/>
        </w:rPr>
      </w:pPr>
    </w:p>
    <w:p>
      <w:pPr>
        <w:spacing w:before="29" w:line="288" w:lineRule="auto"/>
        <w:outlineLvl w:val="2"/>
        <w:rPr>
          <w:rFonts w:eastAsiaTheme="minorEastAsia"/>
          <w:b/>
          <w:sz w:val="24"/>
        </w:rPr>
      </w:pPr>
      <w:bookmarkStart w:id="150" w:name="_Toc67667942"/>
      <w:r>
        <w:rPr>
          <w:rFonts w:eastAsiaTheme="minorEastAsia"/>
          <w:b/>
          <w:sz w:val="24"/>
        </w:rPr>
        <w:t xml:space="preserve">7.4.4.12 </w:t>
      </w:r>
      <w:r>
        <w:rPr>
          <w:rFonts w:hint="eastAsia" w:eastAsiaTheme="minorEastAsia"/>
          <w:b/>
          <w:sz w:val="24"/>
        </w:rPr>
        <w:t>分部报告</w:t>
      </w:r>
      <w:bookmarkEnd w:id="150"/>
    </w:p>
    <w:p>
      <w:pPr>
        <w:spacing w:before="29" w:line="288" w:lineRule="auto"/>
        <w:ind w:firstLine="480" w:firstLineChars="20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本基金以内部组织结构、管理要求、内部报告制度为依据确定经营分部，以经营分部为基础确定报告分部并披露分部信息。经营分部是指本基金内同时满足下列条件的组成部分：(1) 该组成部分能够在日常活动中产生收入、发生费用；(2) 本基金的基金管理人能够定期评价该组成部分的经营成果，以决定向其配置资源、评价其业绩；(3) 本基金能够取得该组成部分的财务状况、经营成果和现金流量等有关会计信息。如果两个或多个经营分部具有相似的经济特征，并且满足一定条件的，则合并为一个经营分部。</w:t>
      </w:r>
    </w:p>
    <w:p>
      <w:pPr>
        <w:spacing w:before="29" w:line="288" w:lineRule="auto"/>
        <w:ind w:firstLine="480" w:firstLineChars="200"/>
        <w:rPr>
          <w:kern w:val="0"/>
          <w:sz w:val="24"/>
        </w:rPr>
      </w:pPr>
      <w:r>
        <w:rPr>
          <w:kern w:val="0"/>
          <w:sz w:val="24"/>
        </w:rPr>
        <w:t>本基金目前以一个单一的经营分部运作，不需要披露分部信息。</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2"/>
        <w:rPr>
          <w:rFonts w:eastAsiaTheme="minorEastAsia"/>
          <w:b/>
          <w:sz w:val="24"/>
        </w:rPr>
      </w:pPr>
      <w:bookmarkStart w:id="151" w:name="_Toc67667943"/>
      <w:r>
        <w:rPr>
          <w:rFonts w:eastAsiaTheme="minorEastAsia"/>
          <w:b/>
          <w:sz w:val="24"/>
        </w:rPr>
        <w:t xml:space="preserve">7.4.4.13 </w:t>
      </w:r>
      <w:r>
        <w:rPr>
          <w:rFonts w:hint="eastAsia" w:eastAsiaTheme="minorEastAsia"/>
          <w:b/>
          <w:sz w:val="24"/>
        </w:rPr>
        <w:t>其他重要的会计政策和会计估计</w:t>
      </w:r>
      <w:bookmarkEnd w:id="151"/>
    </w:p>
    <w:p>
      <w:pPr>
        <w:spacing w:before="29" w:line="288" w:lineRule="auto"/>
        <w:ind w:firstLine="480" w:firstLineChars="20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pPr>
        <w:spacing w:before="29" w:line="288" w:lineRule="auto"/>
        <w:ind w:firstLine="480" w:firstLineChars="200"/>
        <w:rPr>
          <w:kern w:val="0"/>
          <w:sz w:val="24"/>
        </w:rPr>
      </w:pPr>
      <w:r>
        <w:rPr>
          <w:kern w:val="0"/>
          <w:sz w:val="24"/>
        </w:rPr>
        <w:t>(1) 对于证券交易所上市的债券，若出现重大事项停牌或交易不活跃(包括涨跌停时的交易不活跃)等情况，本基金根据中国证监会公告[2017]13号《中国证监会关于证券投资基金估值业务的指导意见》，根据具体情况采用现金流量折现法估值技术进行估值。</w:t>
      </w:r>
    </w:p>
    <w:p>
      <w:pPr>
        <w:spacing w:before="29" w:line="288" w:lineRule="auto"/>
        <w:ind w:firstLine="480" w:firstLineChars="200"/>
        <w:rPr>
          <w:kern w:val="0"/>
          <w:sz w:val="24"/>
        </w:rPr>
      </w:pPr>
      <w:r>
        <w:rPr>
          <w:kern w:val="0"/>
          <w:sz w:val="24"/>
        </w:rPr>
        <w:t>(2) 对于在证券交易所上市或挂牌转让的固定收益品种(可转换债券和私募债券除外)及在银行间同业市场交易的固定收益品种，根据中国证监会公告[2017]13号《中国证监会关于证券投资基金估值业务的指导意见》及《中国证券投资基金业协会估值核算工作小组关于2015年1季度固定收益品种的估值处理标准》采用估值技术确定公允价值。本基金持有的证券交易所上市或挂牌转让的固定收益品种(可转换债券和私募债券除外)，按照中证指数有限公司所独立提供的估值结果确定公允价值。本基金持有的银行间同业市场固定收益品种按照中债金融估值中心有限公司所独立提供的估值结果确定公允价值。</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1"/>
        <w:rPr>
          <w:rFonts w:eastAsiaTheme="minorEastAsia"/>
          <w:b/>
          <w:sz w:val="24"/>
        </w:rPr>
      </w:pPr>
      <w:bookmarkStart w:id="152" w:name="_Toc67667944"/>
      <w:r>
        <w:rPr>
          <w:rFonts w:eastAsiaTheme="minorEastAsia"/>
          <w:b/>
          <w:sz w:val="24"/>
        </w:rPr>
        <w:t>7.4.5</w:t>
      </w:r>
      <w:r>
        <w:rPr>
          <w:rFonts w:hint="eastAsia" w:eastAsiaTheme="minorEastAsia"/>
          <w:b/>
          <w:sz w:val="24"/>
        </w:rPr>
        <w:t>会计政策和会计估计变更以及差错更正的说明</w:t>
      </w:r>
      <w:bookmarkEnd w:id="152"/>
    </w:p>
    <w:p>
      <w:pPr>
        <w:spacing w:before="29" w:line="288" w:lineRule="auto"/>
        <w:outlineLvl w:val="2"/>
        <w:rPr>
          <w:rFonts w:eastAsiaTheme="minorEastAsia"/>
          <w:b/>
          <w:sz w:val="24"/>
        </w:rPr>
      </w:pPr>
      <w:bookmarkStart w:id="153" w:name="_Toc67667945"/>
      <w:r>
        <w:rPr>
          <w:rFonts w:eastAsiaTheme="minorEastAsia"/>
          <w:b/>
          <w:sz w:val="24"/>
        </w:rPr>
        <w:t xml:space="preserve">7.4.5.1 </w:t>
      </w:r>
      <w:r>
        <w:rPr>
          <w:rFonts w:hint="eastAsia" w:eastAsiaTheme="minorEastAsia"/>
          <w:b/>
          <w:sz w:val="24"/>
        </w:rPr>
        <w:t>会计政策变更的说明</w:t>
      </w:r>
      <w:bookmarkEnd w:id="153"/>
    </w:p>
    <w:p>
      <w:pPr>
        <w:spacing w:before="29" w:line="288" w:lineRule="auto"/>
        <w:ind w:firstLine="480" w:firstLineChars="200"/>
        <w:rPr>
          <w:kern w:val="0"/>
          <w:sz w:val="24"/>
        </w:rPr>
      </w:pPr>
      <w:r>
        <w:rPr>
          <w:kern w:val="0"/>
          <w:sz w:val="24"/>
        </w:rPr>
        <w:t>本基金本报告期未发生会计政策变更。</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2"/>
        <w:rPr>
          <w:rFonts w:eastAsiaTheme="minorEastAsia"/>
          <w:b/>
          <w:sz w:val="24"/>
        </w:rPr>
      </w:pPr>
      <w:bookmarkStart w:id="154" w:name="_Toc67667946"/>
      <w:r>
        <w:rPr>
          <w:rFonts w:eastAsiaTheme="minorEastAsia"/>
          <w:b/>
          <w:sz w:val="24"/>
        </w:rPr>
        <w:t xml:space="preserve">7.4.5.2 </w:t>
      </w:r>
      <w:r>
        <w:rPr>
          <w:rFonts w:hint="eastAsia" w:eastAsiaTheme="minorEastAsia"/>
          <w:b/>
          <w:sz w:val="24"/>
        </w:rPr>
        <w:t>会计估计变更的说明</w:t>
      </w:r>
      <w:bookmarkEnd w:id="154"/>
    </w:p>
    <w:p>
      <w:pPr>
        <w:spacing w:before="29" w:line="288" w:lineRule="auto"/>
        <w:ind w:firstLine="480" w:firstLineChars="200"/>
        <w:rPr>
          <w:kern w:val="0"/>
          <w:sz w:val="24"/>
        </w:rPr>
      </w:pPr>
      <w:r>
        <w:rPr>
          <w:kern w:val="0"/>
          <w:sz w:val="24"/>
        </w:rPr>
        <w:t>本基金本报告期未发生会计估计变更。</w:t>
      </w:r>
    </w:p>
    <w:p>
      <w:pPr>
        <w:spacing w:before="29" w:line="288" w:lineRule="auto"/>
        <w:ind w:firstLine="420" w:firstLineChars="200"/>
        <w:rPr>
          <w:rFonts w:asciiTheme="minorEastAsia" w:hAnsiTheme="minorEastAsia" w:eastAsiaTheme="minorEastAsia"/>
          <w:bCs/>
          <w:color w:val="000000"/>
          <w:szCs w:val="21"/>
        </w:rPr>
      </w:pPr>
    </w:p>
    <w:p>
      <w:pPr>
        <w:spacing w:before="29" w:line="288" w:lineRule="auto"/>
        <w:outlineLvl w:val="2"/>
        <w:rPr>
          <w:rFonts w:eastAsiaTheme="minorEastAsia"/>
          <w:b/>
          <w:sz w:val="24"/>
        </w:rPr>
      </w:pPr>
      <w:bookmarkStart w:id="155" w:name="_Toc67667947"/>
      <w:r>
        <w:rPr>
          <w:rFonts w:eastAsiaTheme="minorEastAsia"/>
          <w:b/>
          <w:sz w:val="24"/>
        </w:rPr>
        <w:t xml:space="preserve">7.4.5.3 </w:t>
      </w:r>
      <w:r>
        <w:rPr>
          <w:rFonts w:hint="eastAsia" w:eastAsiaTheme="minorEastAsia"/>
          <w:b/>
          <w:sz w:val="24"/>
        </w:rPr>
        <w:t>差错更正的说明</w:t>
      </w:r>
      <w:bookmarkEnd w:id="155"/>
    </w:p>
    <w:p>
      <w:pPr>
        <w:spacing w:before="29" w:line="288" w:lineRule="auto"/>
        <w:ind w:firstLine="480" w:firstLineChars="200"/>
        <w:rPr>
          <w:kern w:val="0"/>
          <w:sz w:val="24"/>
        </w:rPr>
      </w:pPr>
      <w:r>
        <w:rPr>
          <w:kern w:val="0"/>
          <w:sz w:val="24"/>
        </w:rPr>
        <w:t>本基金在本报告期间无须说明的会计差错更正。</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1"/>
        <w:rPr>
          <w:rFonts w:eastAsiaTheme="minorEastAsia"/>
          <w:b/>
          <w:sz w:val="24"/>
        </w:rPr>
      </w:pPr>
      <w:bookmarkStart w:id="156" w:name="_Toc67667948"/>
      <w:r>
        <w:rPr>
          <w:rFonts w:eastAsiaTheme="minorEastAsia"/>
          <w:b/>
          <w:sz w:val="24"/>
        </w:rPr>
        <w:t>7.4.6</w:t>
      </w:r>
      <w:r>
        <w:rPr>
          <w:rFonts w:hint="eastAsia" w:eastAsiaTheme="minorEastAsia"/>
          <w:b/>
          <w:sz w:val="24"/>
        </w:rPr>
        <w:t>税项</w:t>
      </w:r>
      <w:bookmarkEnd w:id="156"/>
    </w:p>
    <w:p>
      <w:pPr>
        <w:spacing w:before="29" w:line="288" w:lineRule="auto"/>
        <w:ind w:firstLine="480" w:firstLineChars="200"/>
        <w:rPr>
          <w:kern w:val="0"/>
          <w:sz w:val="24"/>
        </w:rPr>
      </w:pPr>
      <w:r>
        <w:rPr>
          <w:kern w:val="0"/>
          <w:sz w:val="24"/>
        </w:rPr>
        <w:t>根据财政部、国家税务总局财税[1998]55号《关于证券投资基金税收问题的通知》、财税[2008]1号《关于企业所得税若干优惠政策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kern w:val="0"/>
          <w:sz w:val="24"/>
        </w:rPr>
      </w:pPr>
      <w:r>
        <w:rPr>
          <w:kern w:val="0"/>
          <w:sz w:val="24"/>
        </w:rPr>
        <w:t>(1) 资管产品运营过程中发生的增值税应税行为，以资管产品管理人为增值税纳税人。资管产品管理人运营资管产品过程中发生的增值税应税行为，暂适用简易计税方法，按照3%的征收率缴纳增值税。</w:t>
      </w:r>
    </w:p>
    <w:p>
      <w:pPr>
        <w:spacing w:before="29" w:line="288" w:lineRule="auto"/>
        <w:ind w:firstLine="480" w:firstLineChars="20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pPr>
        <w:spacing w:before="29" w:line="288" w:lineRule="auto"/>
        <w:ind w:firstLine="480" w:firstLineChars="200"/>
        <w:rPr>
          <w:kern w:val="0"/>
          <w:sz w:val="24"/>
        </w:rPr>
      </w:pPr>
      <w:r>
        <w:rPr>
          <w:kern w:val="0"/>
          <w:sz w:val="24"/>
        </w:rPr>
        <w:t>(2) 对基金从证券市场中取得的收入，包括买卖债券的差价收入，债券的利息收入及其他收入，暂不征收企业所得税。</w:t>
      </w:r>
    </w:p>
    <w:p>
      <w:pPr>
        <w:spacing w:before="29" w:line="288" w:lineRule="auto"/>
        <w:ind w:firstLine="480" w:firstLineChars="200"/>
        <w:rPr>
          <w:kern w:val="0"/>
          <w:sz w:val="24"/>
        </w:rPr>
      </w:pPr>
      <w:r>
        <w:rPr>
          <w:kern w:val="0"/>
          <w:sz w:val="24"/>
        </w:rPr>
        <w:t>(3) 对基金取得的企业债券利息收入，应由发行债券的企业在向基金支付利息时代扣代缴20%的个人所得税。</w:t>
      </w:r>
    </w:p>
    <w:p>
      <w:pPr>
        <w:spacing w:before="29" w:line="288" w:lineRule="auto"/>
        <w:ind w:firstLine="480" w:firstLineChars="200"/>
        <w:rPr>
          <w:kern w:val="0"/>
          <w:sz w:val="24"/>
        </w:rPr>
      </w:pPr>
      <w:r>
        <w:rPr>
          <w:kern w:val="0"/>
          <w:sz w:val="24"/>
        </w:rPr>
        <w:t>(4)本基金的城市维护建设税、教育费附加和地方教育附加等税费按照实际缴纳增值税额的适用比例计算缴纳。</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1"/>
        <w:rPr>
          <w:rFonts w:eastAsiaTheme="minorEastAsia"/>
          <w:b/>
          <w:sz w:val="24"/>
        </w:rPr>
      </w:pPr>
      <w:bookmarkStart w:id="157" w:name="_Toc67667949"/>
      <w:r>
        <w:rPr>
          <w:rFonts w:eastAsiaTheme="minorEastAsia"/>
          <w:b/>
          <w:sz w:val="24"/>
        </w:rPr>
        <w:t>7.4.7</w:t>
      </w:r>
      <w:r>
        <w:rPr>
          <w:rFonts w:hint="eastAsia" w:eastAsiaTheme="minorEastAsia"/>
          <w:b/>
          <w:sz w:val="24"/>
        </w:rPr>
        <w:t>重要财务报表项目的说明</w:t>
      </w:r>
      <w:bookmarkEnd w:id="157"/>
    </w:p>
    <w:p>
      <w:pPr>
        <w:spacing w:before="29" w:line="288" w:lineRule="auto"/>
        <w:outlineLvl w:val="2"/>
        <w:rPr>
          <w:rFonts w:eastAsiaTheme="minorEastAsia"/>
          <w:b/>
          <w:sz w:val="24"/>
        </w:rPr>
      </w:pPr>
      <w:bookmarkStart w:id="158" w:name="_Toc67667950"/>
      <w:r>
        <w:rPr>
          <w:rFonts w:eastAsiaTheme="minorEastAsia"/>
          <w:b/>
          <w:sz w:val="24"/>
        </w:rPr>
        <w:t>7.4.7.1</w:t>
      </w:r>
      <w:r>
        <w:rPr>
          <w:rFonts w:hint="eastAsia" w:eastAsiaTheme="minorEastAsia"/>
          <w:b/>
          <w:sz w:val="24"/>
        </w:rPr>
        <w:t>银行存款</w:t>
      </w:r>
      <w:bookmarkEnd w:id="158"/>
    </w:p>
    <w:p>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4"/>
        <w:gridCol w:w="3157"/>
        <w:gridCol w:w="3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2634" w:type="dxa"/>
            <w:tcMar>
              <w:top w:w="15" w:type="dxa"/>
              <w:left w:w="15" w:type="dxa"/>
              <w:bottom w:w="0" w:type="dxa"/>
              <w:right w:w="15" w:type="dxa"/>
            </w:tcMar>
            <w:vAlign w:val="center"/>
          </w:tcPr>
          <w:p>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158"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kern w:val="0"/>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2,325,312.01</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626,921.67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rPr>
                <w:rFonts w:ascii="宋体" w:hAnsi="宋体"/>
                <w:color w:val="000000" w:themeColor="text1"/>
                <w:kern w:val="0"/>
                <w:sz w:val="24"/>
              </w:rPr>
            </w:pPr>
            <w:r>
              <w:rPr>
                <w:rFonts w:hint="eastAsia" w:ascii="宋体" w:hAnsi="宋体"/>
                <w:color w:val="000000" w:themeColor="text1"/>
                <w:kern w:val="0"/>
                <w:sz w:val="24"/>
              </w:rPr>
              <w:t>其中：存款期限1个月以内</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存款期限1-3个月</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存款期限3个月以上</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2,325,312.01</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626,921.67</w:t>
            </w:r>
          </w:p>
        </w:tc>
      </w:tr>
    </w:tbl>
    <w:p>
      <w:pPr>
        <w:tabs>
          <w:tab w:val="left" w:pos="426"/>
        </w:tabs>
        <w:spacing w:before="29" w:line="288" w:lineRule="auto"/>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spacing w:before="29" w:line="288" w:lineRule="auto"/>
        <w:outlineLvl w:val="2"/>
        <w:rPr>
          <w:rFonts w:eastAsiaTheme="minorEastAsia"/>
          <w:b/>
          <w:sz w:val="24"/>
        </w:rPr>
      </w:pPr>
      <w:bookmarkStart w:id="159" w:name="_Toc67667951"/>
      <w:r>
        <w:rPr>
          <w:rFonts w:eastAsiaTheme="minorEastAsia"/>
          <w:b/>
          <w:sz w:val="24"/>
        </w:rPr>
        <w:t>7.4.7.2</w:t>
      </w:r>
      <w:r>
        <w:rPr>
          <w:rFonts w:hint="eastAsia" w:eastAsiaTheme="minorEastAsia"/>
          <w:b/>
          <w:sz w:val="24"/>
        </w:rPr>
        <w:t>交易性金融资产</w:t>
      </w:r>
      <w:bookmarkEnd w:id="159"/>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440"/>
        <w:gridCol w:w="2339"/>
        <w:gridCol w:w="2339"/>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color w:val="000000"/>
                <w:kern w:val="0"/>
                <w:sz w:val="24"/>
              </w:rPr>
            </w:pPr>
            <w:r>
              <w:rPr>
                <w:color w:val="000000"/>
                <w:kern w:val="0"/>
                <w:sz w:val="24"/>
              </w:rPr>
              <w:t>-</w:t>
            </w:r>
          </w:p>
        </w:tc>
        <w:tc>
          <w:tcPr>
            <w:tcW w:w="2339" w:type="dxa"/>
            <w:vAlign w:val="center"/>
          </w:tcPr>
          <w:p>
            <w:pPr>
              <w:spacing w:before="29" w:line="288" w:lineRule="auto"/>
              <w:jc w:val="right"/>
              <w:rPr>
                <w:color w:val="000000"/>
                <w:kern w:val="0"/>
                <w:sz w:val="24"/>
              </w:rPr>
            </w:pPr>
            <w:r>
              <w:rPr>
                <w:color w:val="000000"/>
                <w:kern w:val="0"/>
                <w:sz w:val="24"/>
              </w:rPr>
              <w:t>-</w:t>
            </w:r>
          </w:p>
        </w:tc>
        <w:tc>
          <w:tcPr>
            <w:tcW w:w="234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color w:val="000000"/>
                <w:kern w:val="0"/>
                <w:sz w:val="24"/>
              </w:rPr>
            </w:pPr>
            <w:r>
              <w:rPr>
                <w:rFonts w:hint="eastAsia"/>
                <w:color w:val="000000"/>
                <w:kern w:val="0"/>
                <w:sz w:val="24"/>
              </w:rPr>
              <w:t>-</w:t>
            </w:r>
          </w:p>
        </w:tc>
        <w:tc>
          <w:tcPr>
            <w:tcW w:w="2339" w:type="dxa"/>
            <w:vAlign w:val="center"/>
          </w:tcPr>
          <w:p>
            <w:pPr>
              <w:spacing w:before="29" w:line="288" w:lineRule="auto"/>
              <w:jc w:val="right"/>
              <w:rPr>
                <w:color w:val="000000"/>
                <w:kern w:val="0"/>
                <w:sz w:val="24"/>
              </w:rPr>
            </w:pPr>
            <w:r>
              <w:rPr>
                <w:rFonts w:hint="eastAsia"/>
                <w:color w:val="000000"/>
                <w:kern w:val="0"/>
                <w:sz w:val="24"/>
              </w:rPr>
              <w:t>-</w:t>
            </w:r>
          </w:p>
        </w:tc>
        <w:tc>
          <w:tcPr>
            <w:tcW w:w="2340" w:type="dxa"/>
            <w:vAlign w:val="center"/>
          </w:tcPr>
          <w:p>
            <w:pPr>
              <w:spacing w:before="29" w:line="288" w:lineRule="auto"/>
              <w:jc w:val="right"/>
              <w:rPr>
                <w:color w:val="000000"/>
                <w:kern w:val="0"/>
                <w:sz w:val="24"/>
              </w:rPr>
            </w:pPr>
            <w:r>
              <w:rPr>
                <w:rFonts w:hint="eastAsia"/>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rPr>
                <w:color w:val="000000"/>
                <w:kern w:val="0"/>
                <w:sz w:val="24"/>
              </w:rPr>
            </w:pPr>
            <w:r>
              <w:rPr>
                <w:rFonts w:hint="eastAsia"/>
                <w:color w:val="000000"/>
                <w:kern w:val="0"/>
                <w:sz w:val="24"/>
              </w:rPr>
              <w:t>交易所市场</w:t>
            </w:r>
          </w:p>
        </w:tc>
        <w:tc>
          <w:tcPr>
            <w:tcW w:w="2339" w:type="dxa"/>
            <w:vAlign w:val="center"/>
          </w:tcPr>
          <w:p>
            <w:pPr>
              <w:spacing w:before="29" w:line="288" w:lineRule="auto"/>
              <w:jc w:val="right"/>
              <w:rPr>
                <w:color w:val="000000"/>
                <w:kern w:val="0"/>
                <w:sz w:val="24"/>
              </w:rPr>
            </w:pPr>
            <w:r>
              <w:rPr>
                <w:color w:val="000000"/>
                <w:kern w:val="0"/>
                <w:sz w:val="24"/>
              </w:rPr>
              <w:t>14,955,334.12</w:t>
            </w:r>
          </w:p>
        </w:tc>
        <w:tc>
          <w:tcPr>
            <w:tcW w:w="2339" w:type="dxa"/>
            <w:vAlign w:val="center"/>
          </w:tcPr>
          <w:p>
            <w:pPr>
              <w:spacing w:before="29" w:line="288" w:lineRule="auto"/>
              <w:jc w:val="right"/>
              <w:rPr>
                <w:color w:val="000000"/>
                <w:kern w:val="0"/>
                <w:sz w:val="24"/>
              </w:rPr>
            </w:pPr>
            <w:r>
              <w:rPr>
                <w:color w:val="000000"/>
                <w:kern w:val="0"/>
                <w:sz w:val="24"/>
              </w:rPr>
              <w:t>14,986,500.00</w:t>
            </w:r>
          </w:p>
        </w:tc>
        <w:tc>
          <w:tcPr>
            <w:tcW w:w="2340" w:type="dxa"/>
            <w:vAlign w:val="center"/>
          </w:tcPr>
          <w:p>
            <w:pPr>
              <w:spacing w:before="29" w:line="288" w:lineRule="auto"/>
              <w:jc w:val="right"/>
              <w:rPr>
                <w:color w:val="000000"/>
                <w:kern w:val="0"/>
                <w:sz w:val="24"/>
              </w:rPr>
            </w:pPr>
            <w:r>
              <w:rPr>
                <w:color w:val="000000"/>
                <w:kern w:val="0"/>
                <w:sz w:val="24"/>
              </w:rPr>
              <w:t>31,165.88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rPr>
                <w:color w:val="000000"/>
                <w:kern w:val="0"/>
                <w:sz w:val="24"/>
              </w:rPr>
            </w:pPr>
            <w:r>
              <w:rPr>
                <w:rFonts w:hint="eastAsia"/>
                <w:color w:val="000000"/>
                <w:kern w:val="0"/>
                <w:sz w:val="24"/>
              </w:rPr>
              <w:t>银行间市场</w:t>
            </w:r>
          </w:p>
        </w:tc>
        <w:tc>
          <w:tcPr>
            <w:tcW w:w="2339" w:type="dxa"/>
            <w:vAlign w:val="center"/>
          </w:tcPr>
          <w:p>
            <w:pPr>
              <w:spacing w:before="29" w:line="288" w:lineRule="auto"/>
              <w:jc w:val="right"/>
              <w:rPr>
                <w:color w:val="000000"/>
                <w:kern w:val="0"/>
                <w:sz w:val="24"/>
              </w:rPr>
            </w:pPr>
            <w:r>
              <w:rPr>
                <w:color w:val="000000"/>
                <w:kern w:val="0"/>
                <w:sz w:val="24"/>
              </w:rPr>
              <w:t>350,853,300.38</w:t>
            </w:r>
          </w:p>
        </w:tc>
        <w:tc>
          <w:tcPr>
            <w:tcW w:w="2339" w:type="dxa"/>
            <w:vAlign w:val="center"/>
          </w:tcPr>
          <w:p>
            <w:pPr>
              <w:spacing w:before="29" w:line="288" w:lineRule="auto"/>
              <w:jc w:val="right"/>
              <w:rPr>
                <w:color w:val="000000"/>
                <w:kern w:val="0"/>
                <w:sz w:val="24"/>
              </w:rPr>
            </w:pPr>
            <w:r>
              <w:rPr>
                <w:color w:val="000000"/>
                <w:kern w:val="0"/>
                <w:sz w:val="24"/>
              </w:rPr>
              <w:t>349,877,000.00</w:t>
            </w:r>
          </w:p>
        </w:tc>
        <w:tc>
          <w:tcPr>
            <w:tcW w:w="2340" w:type="dxa"/>
            <w:vAlign w:val="center"/>
          </w:tcPr>
          <w:p>
            <w:pPr>
              <w:spacing w:before="29" w:line="288" w:lineRule="auto"/>
              <w:jc w:val="right"/>
              <w:rPr>
                <w:color w:val="000000"/>
                <w:kern w:val="0"/>
                <w:sz w:val="24"/>
              </w:rPr>
            </w:pPr>
            <w:r>
              <w:rPr>
                <w:color w:val="000000"/>
                <w:kern w:val="0"/>
                <w:sz w:val="24"/>
              </w:rPr>
              <w:t>-976,300.38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color w:val="000000"/>
                <w:kern w:val="0"/>
                <w:sz w:val="24"/>
              </w:rPr>
            </w:pPr>
            <w:r>
              <w:rPr>
                <w:color w:val="000000"/>
                <w:kern w:val="0"/>
                <w:sz w:val="24"/>
              </w:rPr>
              <w:t>365,808,634.50</w:t>
            </w:r>
          </w:p>
        </w:tc>
        <w:tc>
          <w:tcPr>
            <w:tcW w:w="2339" w:type="dxa"/>
            <w:vAlign w:val="center"/>
          </w:tcPr>
          <w:p>
            <w:pPr>
              <w:spacing w:before="29" w:line="288" w:lineRule="auto"/>
              <w:jc w:val="right"/>
              <w:rPr>
                <w:color w:val="000000"/>
                <w:kern w:val="0"/>
                <w:sz w:val="24"/>
              </w:rPr>
            </w:pPr>
            <w:r>
              <w:rPr>
                <w:color w:val="000000"/>
                <w:kern w:val="0"/>
                <w:sz w:val="24"/>
              </w:rPr>
              <w:t>364,863,500.00</w:t>
            </w:r>
          </w:p>
        </w:tc>
        <w:tc>
          <w:tcPr>
            <w:tcW w:w="2340" w:type="dxa"/>
            <w:vAlign w:val="center"/>
          </w:tcPr>
          <w:p>
            <w:pPr>
              <w:spacing w:before="29" w:line="288" w:lineRule="auto"/>
              <w:jc w:val="right"/>
              <w:rPr>
                <w:color w:val="000000"/>
                <w:kern w:val="0"/>
                <w:sz w:val="24"/>
              </w:rPr>
            </w:pPr>
            <w:r>
              <w:rPr>
                <w:color w:val="000000"/>
                <w:kern w:val="0"/>
                <w:sz w:val="24"/>
              </w:rPr>
              <w:t>-945,134.50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pPr>
              <w:spacing w:before="29" w:line="288" w:lineRule="auto"/>
              <w:jc w:val="right"/>
              <w:rPr>
                <w:color w:val="000000"/>
                <w:kern w:val="0"/>
                <w:sz w:val="24"/>
              </w:rPr>
            </w:pPr>
            <w:r>
              <w:rPr>
                <w:color w:val="000000"/>
                <w:kern w:val="0"/>
                <w:sz w:val="24"/>
              </w:rPr>
              <w:t>-</w:t>
            </w:r>
          </w:p>
        </w:tc>
        <w:tc>
          <w:tcPr>
            <w:tcW w:w="2339" w:type="dxa"/>
            <w:vAlign w:val="center"/>
          </w:tcPr>
          <w:p>
            <w:pPr>
              <w:spacing w:before="29" w:line="288" w:lineRule="auto"/>
              <w:jc w:val="right"/>
              <w:rPr>
                <w:color w:val="000000"/>
                <w:kern w:val="0"/>
                <w:sz w:val="24"/>
              </w:rPr>
            </w:pPr>
            <w:r>
              <w:rPr>
                <w:color w:val="000000"/>
                <w:kern w:val="0"/>
                <w:sz w:val="24"/>
              </w:rPr>
              <w:t>-</w:t>
            </w:r>
          </w:p>
        </w:tc>
        <w:tc>
          <w:tcPr>
            <w:tcW w:w="234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center"/>
          </w:tcPr>
          <w:p>
            <w:pPr>
              <w:spacing w:before="29" w:line="288" w:lineRule="auto"/>
              <w:jc w:val="right"/>
              <w:rPr>
                <w:color w:val="000000"/>
                <w:kern w:val="0"/>
                <w:sz w:val="24"/>
              </w:rPr>
            </w:pPr>
            <w:r>
              <w:rPr>
                <w:color w:val="000000"/>
                <w:kern w:val="0"/>
                <w:sz w:val="24"/>
              </w:rPr>
              <w:t>-</w:t>
            </w:r>
          </w:p>
        </w:tc>
        <w:tc>
          <w:tcPr>
            <w:tcW w:w="2339" w:type="dxa"/>
            <w:vAlign w:val="center"/>
          </w:tcPr>
          <w:p>
            <w:pPr>
              <w:spacing w:before="29" w:line="288" w:lineRule="auto"/>
              <w:jc w:val="right"/>
              <w:rPr>
                <w:color w:val="000000"/>
                <w:kern w:val="0"/>
                <w:sz w:val="24"/>
              </w:rPr>
            </w:pPr>
            <w:r>
              <w:rPr>
                <w:color w:val="000000"/>
                <w:kern w:val="0"/>
                <w:sz w:val="24"/>
              </w:rPr>
              <w:t>-</w:t>
            </w:r>
          </w:p>
        </w:tc>
        <w:tc>
          <w:tcPr>
            <w:tcW w:w="234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center"/>
          </w:tcPr>
          <w:p>
            <w:pPr>
              <w:spacing w:before="29" w:line="288" w:lineRule="auto"/>
              <w:jc w:val="right"/>
              <w:rPr>
                <w:color w:val="000000"/>
                <w:kern w:val="0"/>
                <w:sz w:val="24"/>
              </w:rPr>
            </w:pPr>
            <w:r>
              <w:rPr>
                <w:color w:val="000000"/>
                <w:kern w:val="0"/>
                <w:sz w:val="24"/>
              </w:rPr>
              <w:t>-</w:t>
            </w:r>
          </w:p>
        </w:tc>
        <w:tc>
          <w:tcPr>
            <w:tcW w:w="2339" w:type="dxa"/>
            <w:vAlign w:val="center"/>
          </w:tcPr>
          <w:p>
            <w:pPr>
              <w:spacing w:before="29" w:line="288" w:lineRule="auto"/>
              <w:jc w:val="right"/>
              <w:rPr>
                <w:color w:val="000000"/>
                <w:kern w:val="0"/>
                <w:sz w:val="24"/>
              </w:rPr>
            </w:pPr>
            <w:r>
              <w:rPr>
                <w:color w:val="000000"/>
                <w:kern w:val="0"/>
                <w:sz w:val="24"/>
              </w:rPr>
              <w:t>-</w:t>
            </w:r>
          </w:p>
        </w:tc>
        <w:tc>
          <w:tcPr>
            <w:tcW w:w="234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color w:val="000000"/>
                <w:kern w:val="0"/>
                <w:sz w:val="24"/>
              </w:rPr>
            </w:pPr>
            <w:r>
              <w:rPr>
                <w:color w:val="000000"/>
                <w:kern w:val="0"/>
                <w:sz w:val="24"/>
              </w:rPr>
              <w:t>365,808,634.50</w:t>
            </w:r>
          </w:p>
        </w:tc>
        <w:tc>
          <w:tcPr>
            <w:tcW w:w="2339" w:type="dxa"/>
            <w:vAlign w:val="center"/>
          </w:tcPr>
          <w:p>
            <w:pPr>
              <w:spacing w:before="29" w:line="288" w:lineRule="auto"/>
              <w:jc w:val="right"/>
              <w:rPr>
                <w:color w:val="000000"/>
                <w:kern w:val="0"/>
                <w:sz w:val="24"/>
              </w:rPr>
            </w:pPr>
            <w:r>
              <w:rPr>
                <w:color w:val="000000"/>
                <w:kern w:val="0"/>
                <w:sz w:val="24"/>
              </w:rPr>
              <w:t>364,863,500.00</w:t>
            </w:r>
          </w:p>
        </w:tc>
        <w:tc>
          <w:tcPr>
            <w:tcW w:w="2340" w:type="dxa"/>
            <w:vAlign w:val="center"/>
          </w:tcPr>
          <w:p>
            <w:pPr>
              <w:spacing w:before="29" w:line="288" w:lineRule="auto"/>
              <w:jc w:val="right"/>
              <w:rPr>
                <w:color w:val="000000"/>
                <w:kern w:val="0"/>
                <w:sz w:val="24"/>
              </w:rPr>
            </w:pPr>
            <w:r>
              <w:rPr>
                <w:color w:val="000000"/>
                <w:kern w:val="0"/>
                <w:sz w:val="24"/>
              </w:rPr>
              <w:t>-945,134.50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kern w:val="0"/>
                <w:sz w:val="24"/>
              </w:rPr>
            </w:pPr>
            <w:r>
              <w:rPr>
                <w:rFonts w:hint="eastAsia"/>
                <w:kern w:val="0"/>
                <w:sz w:val="24"/>
              </w:rPr>
              <w:t>股票</w:t>
            </w:r>
          </w:p>
        </w:tc>
        <w:tc>
          <w:tcPr>
            <w:tcW w:w="2339" w:type="dxa"/>
            <w:vAlign w:val="center"/>
          </w:tcPr>
          <w:p>
            <w:pPr>
              <w:spacing w:before="29" w:line="288" w:lineRule="auto"/>
              <w:jc w:val="right"/>
              <w:rPr>
                <w:color w:val="000000"/>
                <w:kern w:val="0"/>
                <w:sz w:val="24"/>
              </w:rPr>
            </w:pPr>
            <w:r>
              <w:rPr>
                <w:color w:val="000000"/>
                <w:kern w:val="0"/>
                <w:sz w:val="24"/>
              </w:rPr>
              <w:t>-</w:t>
            </w:r>
          </w:p>
        </w:tc>
        <w:tc>
          <w:tcPr>
            <w:tcW w:w="2339" w:type="dxa"/>
            <w:vAlign w:val="center"/>
          </w:tcPr>
          <w:p>
            <w:pPr>
              <w:spacing w:line="360" w:lineRule="auto"/>
              <w:jc w:val="right"/>
              <w:rPr>
                <w:color w:val="000000"/>
                <w:kern w:val="0"/>
                <w:sz w:val="24"/>
              </w:rPr>
            </w:pPr>
            <w:r>
              <w:rPr>
                <w:color w:val="000000"/>
                <w:kern w:val="0"/>
                <w:sz w:val="24"/>
              </w:rPr>
              <w:t>-</w:t>
            </w:r>
          </w:p>
        </w:tc>
        <w:tc>
          <w:tcPr>
            <w:tcW w:w="2340" w:type="dxa"/>
            <w:vAlign w:val="center"/>
          </w:tcPr>
          <w:p>
            <w:pPr>
              <w:spacing w:line="360"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kern w:val="0"/>
                <w:sz w:val="24"/>
              </w:rPr>
            </w:pPr>
            <w:r>
              <w:rPr>
                <w:rFonts w:hint="eastAsia"/>
                <w:kern w:val="0"/>
                <w:sz w:val="24"/>
              </w:rPr>
              <w:t>贵金属投资-金交所黄金合约</w:t>
            </w:r>
          </w:p>
        </w:tc>
        <w:tc>
          <w:tcPr>
            <w:tcW w:w="2339" w:type="dxa"/>
            <w:vAlign w:val="center"/>
          </w:tcPr>
          <w:p>
            <w:pPr>
              <w:spacing w:before="29" w:line="288" w:lineRule="auto"/>
              <w:jc w:val="right"/>
              <w:rPr>
                <w:color w:val="000000"/>
                <w:kern w:val="0"/>
                <w:sz w:val="24"/>
              </w:rPr>
            </w:pPr>
            <w:r>
              <w:rPr>
                <w:rFonts w:hint="eastAsia"/>
                <w:color w:val="000000"/>
                <w:kern w:val="0"/>
                <w:sz w:val="24"/>
              </w:rPr>
              <w:t>-</w:t>
            </w:r>
          </w:p>
        </w:tc>
        <w:tc>
          <w:tcPr>
            <w:tcW w:w="2339" w:type="dxa"/>
            <w:vAlign w:val="center"/>
          </w:tcPr>
          <w:p>
            <w:pPr>
              <w:spacing w:before="29" w:line="288" w:lineRule="auto"/>
              <w:jc w:val="right"/>
              <w:rPr>
                <w:color w:val="000000"/>
                <w:kern w:val="0"/>
                <w:sz w:val="24"/>
              </w:rPr>
            </w:pPr>
            <w:r>
              <w:rPr>
                <w:rFonts w:hint="eastAsia"/>
                <w:color w:val="000000"/>
                <w:kern w:val="0"/>
                <w:sz w:val="24"/>
              </w:rPr>
              <w:t>-</w:t>
            </w:r>
          </w:p>
        </w:tc>
        <w:tc>
          <w:tcPr>
            <w:tcW w:w="2340" w:type="dxa"/>
            <w:vAlign w:val="center"/>
          </w:tcPr>
          <w:p>
            <w:pPr>
              <w:spacing w:before="29" w:line="288" w:lineRule="auto"/>
              <w:jc w:val="right"/>
              <w:rPr>
                <w:color w:val="000000"/>
                <w:kern w:val="0"/>
                <w:sz w:val="24"/>
              </w:rPr>
            </w:pPr>
            <w:r>
              <w:rPr>
                <w:rFonts w:hint="eastAsia"/>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kern w:val="0"/>
                <w:sz w:val="24"/>
              </w:rPr>
            </w:pPr>
            <w:r>
              <w:rPr>
                <w:rFonts w:hint="eastAsia"/>
                <w:kern w:val="0"/>
                <w:sz w:val="24"/>
              </w:rPr>
              <w:t>债券</w:t>
            </w:r>
          </w:p>
        </w:tc>
        <w:tc>
          <w:tcPr>
            <w:tcW w:w="1440" w:type="dxa"/>
            <w:vAlign w:val="center"/>
          </w:tcPr>
          <w:p>
            <w:pPr>
              <w:widowControl/>
              <w:spacing w:before="29" w:line="288" w:lineRule="auto"/>
              <w:rPr>
                <w:kern w:val="0"/>
                <w:sz w:val="24"/>
              </w:rPr>
            </w:pPr>
            <w:r>
              <w:rPr>
                <w:rFonts w:hint="eastAsia"/>
                <w:kern w:val="0"/>
                <w:sz w:val="24"/>
              </w:rPr>
              <w:t>交易所市场</w:t>
            </w:r>
          </w:p>
        </w:tc>
        <w:tc>
          <w:tcPr>
            <w:tcW w:w="2339" w:type="dxa"/>
            <w:vAlign w:val="center"/>
          </w:tcPr>
          <w:p>
            <w:pPr>
              <w:spacing w:before="29" w:line="288" w:lineRule="auto"/>
              <w:jc w:val="right"/>
              <w:rPr>
                <w:color w:val="000000"/>
                <w:kern w:val="0"/>
                <w:sz w:val="24"/>
              </w:rPr>
            </w:pPr>
            <w:r>
              <w:rPr>
                <w:color w:val="000000"/>
                <w:kern w:val="0"/>
                <w:sz w:val="24"/>
              </w:rPr>
              <w:t>320,603,293.75</w:t>
            </w:r>
          </w:p>
        </w:tc>
        <w:tc>
          <w:tcPr>
            <w:tcW w:w="2339" w:type="dxa"/>
            <w:vAlign w:val="center"/>
          </w:tcPr>
          <w:p>
            <w:pPr>
              <w:spacing w:before="29" w:line="288" w:lineRule="auto"/>
              <w:jc w:val="right"/>
              <w:rPr>
                <w:color w:val="000000"/>
                <w:kern w:val="0"/>
                <w:sz w:val="24"/>
              </w:rPr>
            </w:pPr>
            <w:r>
              <w:rPr>
                <w:color w:val="000000"/>
                <w:kern w:val="0"/>
                <w:sz w:val="24"/>
              </w:rPr>
              <w:t>323,880,800.00</w:t>
            </w:r>
          </w:p>
        </w:tc>
        <w:tc>
          <w:tcPr>
            <w:tcW w:w="2340" w:type="dxa"/>
            <w:vAlign w:val="center"/>
          </w:tcPr>
          <w:p>
            <w:pPr>
              <w:spacing w:before="29" w:line="288" w:lineRule="auto"/>
              <w:jc w:val="right"/>
              <w:rPr>
                <w:color w:val="000000"/>
                <w:kern w:val="0"/>
                <w:sz w:val="24"/>
              </w:rPr>
            </w:pPr>
            <w:r>
              <w:rPr>
                <w:color w:val="000000"/>
                <w:kern w:val="0"/>
                <w:sz w:val="24"/>
              </w:rPr>
              <w:t>3,277,506.25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kern w:val="0"/>
                <w:sz w:val="24"/>
              </w:rPr>
            </w:pPr>
          </w:p>
        </w:tc>
        <w:tc>
          <w:tcPr>
            <w:tcW w:w="1440" w:type="dxa"/>
            <w:vAlign w:val="center"/>
          </w:tcPr>
          <w:p>
            <w:pPr>
              <w:widowControl/>
              <w:spacing w:before="29" w:line="288" w:lineRule="auto"/>
              <w:rPr>
                <w:kern w:val="0"/>
                <w:sz w:val="24"/>
              </w:rPr>
            </w:pPr>
            <w:r>
              <w:rPr>
                <w:rFonts w:hint="eastAsia"/>
                <w:kern w:val="0"/>
                <w:sz w:val="24"/>
              </w:rPr>
              <w:t>银行间市场</w:t>
            </w:r>
          </w:p>
        </w:tc>
        <w:tc>
          <w:tcPr>
            <w:tcW w:w="2339" w:type="dxa"/>
            <w:vAlign w:val="center"/>
          </w:tcPr>
          <w:p>
            <w:pPr>
              <w:spacing w:before="29" w:line="288" w:lineRule="auto"/>
              <w:jc w:val="right"/>
              <w:rPr>
                <w:color w:val="000000"/>
                <w:kern w:val="0"/>
                <w:sz w:val="24"/>
              </w:rPr>
            </w:pPr>
            <w:r>
              <w:rPr>
                <w:color w:val="000000"/>
                <w:kern w:val="0"/>
                <w:sz w:val="24"/>
              </w:rPr>
              <w:t>341,888,216.85</w:t>
            </w:r>
          </w:p>
        </w:tc>
        <w:tc>
          <w:tcPr>
            <w:tcW w:w="2339" w:type="dxa"/>
            <w:vAlign w:val="center"/>
          </w:tcPr>
          <w:p>
            <w:pPr>
              <w:spacing w:before="29" w:line="288" w:lineRule="auto"/>
              <w:jc w:val="right"/>
              <w:rPr>
                <w:color w:val="000000"/>
                <w:kern w:val="0"/>
                <w:sz w:val="24"/>
              </w:rPr>
            </w:pPr>
            <w:r>
              <w:rPr>
                <w:color w:val="000000"/>
                <w:kern w:val="0"/>
                <w:sz w:val="24"/>
              </w:rPr>
              <w:t>348,284,400.00</w:t>
            </w:r>
          </w:p>
        </w:tc>
        <w:tc>
          <w:tcPr>
            <w:tcW w:w="2340" w:type="dxa"/>
            <w:vAlign w:val="center"/>
          </w:tcPr>
          <w:p>
            <w:pPr>
              <w:spacing w:before="29" w:line="288" w:lineRule="auto"/>
              <w:jc w:val="right"/>
              <w:rPr>
                <w:color w:val="000000"/>
                <w:kern w:val="0"/>
                <w:sz w:val="24"/>
              </w:rPr>
            </w:pPr>
            <w:r>
              <w:rPr>
                <w:color w:val="000000"/>
                <w:kern w:val="0"/>
                <w:sz w:val="24"/>
              </w:rPr>
              <w:t>6,396,183.15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kern w:val="0"/>
                <w:sz w:val="24"/>
              </w:rPr>
            </w:pPr>
          </w:p>
        </w:tc>
        <w:tc>
          <w:tcPr>
            <w:tcW w:w="1440" w:type="dxa"/>
            <w:vAlign w:val="center"/>
          </w:tcPr>
          <w:p>
            <w:pPr>
              <w:widowControl/>
              <w:spacing w:before="29" w:line="288" w:lineRule="auto"/>
              <w:rPr>
                <w:kern w:val="0"/>
                <w:sz w:val="24"/>
              </w:rPr>
            </w:pPr>
            <w:r>
              <w:rPr>
                <w:rFonts w:hint="eastAsia"/>
                <w:kern w:val="0"/>
                <w:sz w:val="24"/>
              </w:rPr>
              <w:t>合计</w:t>
            </w:r>
          </w:p>
        </w:tc>
        <w:tc>
          <w:tcPr>
            <w:tcW w:w="2339" w:type="dxa"/>
            <w:vAlign w:val="center"/>
          </w:tcPr>
          <w:p>
            <w:pPr>
              <w:spacing w:before="29" w:line="288" w:lineRule="auto"/>
              <w:jc w:val="right"/>
              <w:rPr>
                <w:color w:val="000000"/>
                <w:kern w:val="0"/>
                <w:sz w:val="24"/>
              </w:rPr>
            </w:pPr>
            <w:r>
              <w:rPr>
                <w:color w:val="000000"/>
                <w:kern w:val="0"/>
                <w:sz w:val="24"/>
              </w:rPr>
              <w:t>662,491,510.60</w:t>
            </w:r>
          </w:p>
        </w:tc>
        <w:tc>
          <w:tcPr>
            <w:tcW w:w="2339" w:type="dxa"/>
            <w:vAlign w:val="center"/>
          </w:tcPr>
          <w:p>
            <w:pPr>
              <w:spacing w:before="29" w:line="288" w:lineRule="auto"/>
              <w:jc w:val="right"/>
              <w:rPr>
                <w:color w:val="000000"/>
                <w:kern w:val="0"/>
                <w:sz w:val="24"/>
              </w:rPr>
            </w:pPr>
            <w:r>
              <w:rPr>
                <w:color w:val="000000"/>
                <w:kern w:val="0"/>
                <w:sz w:val="24"/>
              </w:rPr>
              <w:t>672,165,200.00</w:t>
            </w:r>
          </w:p>
        </w:tc>
        <w:tc>
          <w:tcPr>
            <w:tcW w:w="2340" w:type="dxa"/>
            <w:vAlign w:val="center"/>
          </w:tcPr>
          <w:p>
            <w:pPr>
              <w:spacing w:before="29" w:line="288" w:lineRule="auto"/>
              <w:jc w:val="right"/>
              <w:rPr>
                <w:color w:val="000000"/>
                <w:kern w:val="0"/>
                <w:sz w:val="24"/>
              </w:rPr>
            </w:pPr>
            <w:r>
              <w:rPr>
                <w:color w:val="000000"/>
                <w:kern w:val="0"/>
                <w:sz w:val="24"/>
              </w:rPr>
              <w:t>9,673,689.40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kern w:val="0"/>
                <w:sz w:val="24"/>
              </w:rPr>
            </w:pPr>
            <w:r>
              <w:rPr>
                <w:rFonts w:hint="eastAsia"/>
                <w:kern w:val="0"/>
                <w:sz w:val="24"/>
              </w:rPr>
              <w:t>资产支持证券</w:t>
            </w:r>
          </w:p>
        </w:tc>
        <w:tc>
          <w:tcPr>
            <w:tcW w:w="2339" w:type="dxa"/>
            <w:vAlign w:val="center"/>
          </w:tcPr>
          <w:p>
            <w:pPr>
              <w:spacing w:before="29" w:line="288" w:lineRule="auto"/>
              <w:jc w:val="right"/>
              <w:rPr>
                <w:color w:val="000000"/>
                <w:kern w:val="0"/>
                <w:sz w:val="24"/>
              </w:rPr>
            </w:pPr>
            <w:r>
              <w:rPr>
                <w:color w:val="000000"/>
                <w:kern w:val="0"/>
                <w:sz w:val="24"/>
              </w:rPr>
              <w:t>-</w:t>
            </w:r>
          </w:p>
        </w:tc>
        <w:tc>
          <w:tcPr>
            <w:tcW w:w="2339" w:type="dxa"/>
            <w:vAlign w:val="center"/>
          </w:tcPr>
          <w:p>
            <w:pPr>
              <w:spacing w:before="29" w:line="288" w:lineRule="auto"/>
              <w:jc w:val="right"/>
              <w:rPr>
                <w:color w:val="000000"/>
                <w:kern w:val="0"/>
                <w:sz w:val="24"/>
              </w:rPr>
            </w:pPr>
            <w:r>
              <w:rPr>
                <w:color w:val="000000"/>
                <w:kern w:val="0"/>
                <w:sz w:val="24"/>
              </w:rPr>
              <w:t>-</w:t>
            </w:r>
          </w:p>
        </w:tc>
        <w:tc>
          <w:tcPr>
            <w:tcW w:w="234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kern w:val="0"/>
                <w:sz w:val="24"/>
              </w:rPr>
            </w:pPr>
            <w:r>
              <w:rPr>
                <w:rFonts w:hint="eastAsia"/>
                <w:kern w:val="0"/>
                <w:sz w:val="24"/>
              </w:rPr>
              <w:t>基金</w:t>
            </w:r>
          </w:p>
        </w:tc>
        <w:tc>
          <w:tcPr>
            <w:tcW w:w="2339" w:type="dxa"/>
            <w:vAlign w:val="center"/>
          </w:tcPr>
          <w:p>
            <w:pPr>
              <w:spacing w:before="29" w:line="288" w:lineRule="auto"/>
              <w:jc w:val="right"/>
              <w:rPr>
                <w:color w:val="000000"/>
                <w:kern w:val="0"/>
                <w:sz w:val="24"/>
              </w:rPr>
            </w:pPr>
            <w:r>
              <w:rPr>
                <w:color w:val="000000"/>
                <w:kern w:val="0"/>
                <w:sz w:val="24"/>
              </w:rPr>
              <w:t>-</w:t>
            </w:r>
          </w:p>
        </w:tc>
        <w:tc>
          <w:tcPr>
            <w:tcW w:w="2339" w:type="dxa"/>
            <w:vAlign w:val="center"/>
          </w:tcPr>
          <w:p>
            <w:pPr>
              <w:spacing w:before="29" w:line="288" w:lineRule="auto"/>
              <w:jc w:val="right"/>
              <w:rPr>
                <w:color w:val="000000"/>
                <w:kern w:val="0"/>
                <w:sz w:val="24"/>
              </w:rPr>
            </w:pPr>
            <w:r>
              <w:rPr>
                <w:color w:val="000000"/>
                <w:kern w:val="0"/>
                <w:sz w:val="24"/>
              </w:rPr>
              <w:t>-</w:t>
            </w:r>
          </w:p>
        </w:tc>
        <w:tc>
          <w:tcPr>
            <w:tcW w:w="234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kern w:val="0"/>
                <w:sz w:val="24"/>
              </w:rPr>
            </w:pPr>
            <w:r>
              <w:rPr>
                <w:rFonts w:hint="eastAsia"/>
                <w:kern w:val="0"/>
                <w:sz w:val="24"/>
              </w:rPr>
              <w:t>其他</w:t>
            </w:r>
          </w:p>
        </w:tc>
        <w:tc>
          <w:tcPr>
            <w:tcW w:w="2339" w:type="dxa"/>
            <w:vAlign w:val="center"/>
          </w:tcPr>
          <w:p>
            <w:pPr>
              <w:spacing w:before="29" w:line="288" w:lineRule="auto"/>
              <w:jc w:val="right"/>
              <w:rPr>
                <w:color w:val="000000"/>
                <w:kern w:val="0"/>
                <w:sz w:val="24"/>
              </w:rPr>
            </w:pPr>
            <w:r>
              <w:rPr>
                <w:color w:val="000000"/>
                <w:kern w:val="0"/>
                <w:sz w:val="24"/>
              </w:rPr>
              <w:t>-</w:t>
            </w:r>
          </w:p>
        </w:tc>
        <w:tc>
          <w:tcPr>
            <w:tcW w:w="2339" w:type="dxa"/>
            <w:vAlign w:val="center"/>
          </w:tcPr>
          <w:p>
            <w:pPr>
              <w:spacing w:before="29" w:line="288" w:lineRule="auto"/>
              <w:jc w:val="right"/>
              <w:rPr>
                <w:color w:val="000000"/>
                <w:kern w:val="0"/>
                <w:sz w:val="24"/>
              </w:rPr>
            </w:pPr>
            <w:r>
              <w:rPr>
                <w:color w:val="000000"/>
                <w:kern w:val="0"/>
                <w:sz w:val="24"/>
              </w:rPr>
              <w:t>-</w:t>
            </w:r>
          </w:p>
        </w:tc>
        <w:tc>
          <w:tcPr>
            <w:tcW w:w="234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jc w:val="center"/>
              <w:rPr>
                <w:kern w:val="0"/>
                <w:sz w:val="24"/>
              </w:rPr>
            </w:pPr>
            <w:r>
              <w:rPr>
                <w:rFonts w:hint="eastAsia"/>
                <w:kern w:val="0"/>
                <w:sz w:val="24"/>
              </w:rPr>
              <w:t>合计</w:t>
            </w:r>
          </w:p>
        </w:tc>
        <w:tc>
          <w:tcPr>
            <w:tcW w:w="2339" w:type="dxa"/>
            <w:vAlign w:val="center"/>
          </w:tcPr>
          <w:p>
            <w:pPr>
              <w:spacing w:before="29" w:line="288" w:lineRule="auto"/>
              <w:jc w:val="right"/>
              <w:rPr>
                <w:color w:val="000000"/>
                <w:kern w:val="0"/>
                <w:sz w:val="24"/>
              </w:rPr>
            </w:pPr>
            <w:r>
              <w:rPr>
                <w:color w:val="000000"/>
                <w:kern w:val="0"/>
                <w:sz w:val="24"/>
              </w:rPr>
              <w:t>662,491,510.60</w:t>
            </w:r>
          </w:p>
        </w:tc>
        <w:tc>
          <w:tcPr>
            <w:tcW w:w="2339" w:type="dxa"/>
            <w:vAlign w:val="center"/>
          </w:tcPr>
          <w:p>
            <w:pPr>
              <w:spacing w:before="29" w:line="288" w:lineRule="auto"/>
              <w:jc w:val="right"/>
              <w:rPr>
                <w:color w:val="000000"/>
                <w:kern w:val="0"/>
                <w:sz w:val="24"/>
              </w:rPr>
            </w:pPr>
            <w:r>
              <w:rPr>
                <w:color w:val="000000"/>
                <w:kern w:val="0"/>
                <w:sz w:val="24"/>
              </w:rPr>
              <w:t>672,165,200.00</w:t>
            </w:r>
          </w:p>
        </w:tc>
        <w:tc>
          <w:tcPr>
            <w:tcW w:w="2340" w:type="dxa"/>
            <w:vAlign w:val="center"/>
          </w:tcPr>
          <w:p>
            <w:pPr>
              <w:spacing w:before="29" w:line="288" w:lineRule="auto"/>
              <w:jc w:val="right"/>
              <w:rPr>
                <w:color w:val="000000"/>
                <w:kern w:val="0"/>
                <w:sz w:val="24"/>
              </w:rPr>
            </w:pPr>
            <w:r>
              <w:rPr>
                <w:color w:val="000000"/>
                <w:kern w:val="0"/>
                <w:sz w:val="24"/>
              </w:rPr>
              <w:t>9,673,689.40</w:t>
            </w:r>
          </w:p>
        </w:tc>
      </w:tr>
    </w:tbl>
    <w:p>
      <w:pPr>
        <w:adjustRightInd w:val="0"/>
        <w:snapToGrid w:val="0"/>
        <w:spacing w:line="360" w:lineRule="auto"/>
        <w:jc w:val="left"/>
        <w:rPr>
          <w:rFonts w:asciiTheme="minorEastAsia" w:hAnsiTheme="minorEastAsia" w:eastAsiaTheme="minorEastAsia"/>
          <w:bCs/>
          <w:color w:val="000000"/>
          <w:szCs w:val="21"/>
        </w:rPr>
      </w:pPr>
    </w:p>
    <w:p>
      <w:pPr>
        <w:spacing w:before="29" w:line="288" w:lineRule="auto"/>
        <w:outlineLvl w:val="2"/>
        <w:rPr>
          <w:rFonts w:asciiTheme="minorEastAsia" w:hAnsiTheme="minorEastAsia" w:eastAsiaTheme="minorEastAsia"/>
          <w:b/>
          <w:color w:val="000000"/>
          <w:szCs w:val="21"/>
        </w:rPr>
      </w:pPr>
      <w:bookmarkStart w:id="160" w:name="_Toc67667952"/>
      <w:r>
        <w:rPr>
          <w:rFonts w:eastAsiaTheme="minorEastAsia"/>
          <w:b/>
          <w:sz w:val="24"/>
        </w:rPr>
        <w:t>7.4.7.3</w:t>
      </w:r>
      <w:r>
        <w:rPr>
          <w:rFonts w:hint="eastAsia" w:eastAsiaTheme="minorEastAsia"/>
          <w:b/>
          <w:sz w:val="24"/>
        </w:rPr>
        <w:t>衍生金融资产</w:t>
      </w:r>
      <w:r>
        <w:rPr>
          <w:rFonts w:eastAsiaTheme="minorEastAsia"/>
          <w:b/>
          <w:sz w:val="24"/>
        </w:rPr>
        <w:t>/</w:t>
      </w:r>
      <w:r>
        <w:rPr>
          <w:rFonts w:hint="eastAsia" w:eastAsiaTheme="minorEastAsia"/>
          <w:b/>
          <w:sz w:val="24"/>
        </w:rPr>
        <w:t>负债</w:t>
      </w:r>
      <w:bookmarkEnd w:id="160"/>
    </w:p>
    <w:p>
      <w:pPr>
        <w:tabs>
          <w:tab w:val="left" w:pos="426"/>
        </w:tabs>
        <w:spacing w:before="29" w:line="288" w:lineRule="auto"/>
        <w:jc w:val="left"/>
        <w:rPr>
          <w:kern w:val="0"/>
          <w:sz w:val="24"/>
        </w:rPr>
      </w:pPr>
      <w:r>
        <w:rPr>
          <w:kern w:val="0"/>
          <w:sz w:val="24"/>
        </w:rPr>
        <w:t>本基金本报告期末及上年度末未持有衍生金融工具。</w:t>
      </w:r>
    </w:p>
    <w:p>
      <w:pPr>
        <w:spacing w:line="360" w:lineRule="auto"/>
        <w:rPr>
          <w:rFonts w:asciiTheme="minorEastAsia" w:hAnsiTheme="minorEastAsia" w:eastAsiaTheme="minorEastAsia"/>
          <w:color w:val="000000"/>
          <w:szCs w:val="21"/>
        </w:rPr>
      </w:pPr>
    </w:p>
    <w:p>
      <w:pPr>
        <w:spacing w:before="29" w:line="288" w:lineRule="auto"/>
        <w:outlineLvl w:val="2"/>
        <w:rPr>
          <w:rFonts w:eastAsiaTheme="minorEastAsia"/>
          <w:b/>
          <w:sz w:val="24"/>
        </w:rPr>
      </w:pPr>
      <w:bookmarkStart w:id="161" w:name="_Toc67667953"/>
      <w:r>
        <w:rPr>
          <w:rFonts w:eastAsiaTheme="minorEastAsia"/>
          <w:b/>
          <w:sz w:val="24"/>
        </w:rPr>
        <w:t>7.4.7.4</w:t>
      </w:r>
      <w:r>
        <w:rPr>
          <w:rFonts w:hint="eastAsia" w:eastAsiaTheme="minorEastAsia"/>
          <w:b/>
          <w:sz w:val="24"/>
        </w:rPr>
        <w:t>买入返售金融资产</w:t>
      </w:r>
      <w:bookmarkEnd w:id="161"/>
    </w:p>
    <w:p>
      <w:pPr>
        <w:tabs>
          <w:tab w:val="left" w:pos="426"/>
        </w:tabs>
        <w:spacing w:before="29" w:line="288" w:lineRule="auto"/>
        <w:jc w:val="left"/>
        <w:rPr>
          <w:kern w:val="0"/>
          <w:sz w:val="24"/>
        </w:rPr>
      </w:pPr>
      <w:r>
        <w:rPr>
          <w:kern w:val="0"/>
          <w:sz w:val="24"/>
        </w:rPr>
        <w:t>本基金本报告期末及上年度末未持有买入返售金融资产。</w:t>
      </w:r>
    </w:p>
    <w:p>
      <w:pPr>
        <w:spacing w:line="360" w:lineRule="auto"/>
        <w:rPr>
          <w:rFonts w:asciiTheme="minorEastAsia" w:hAnsiTheme="minorEastAsia" w:eastAsiaTheme="minorEastAsia"/>
          <w:color w:val="000000"/>
          <w:szCs w:val="21"/>
        </w:rPr>
      </w:pPr>
    </w:p>
    <w:p>
      <w:pPr>
        <w:spacing w:before="29" w:line="288" w:lineRule="auto"/>
        <w:outlineLvl w:val="2"/>
        <w:rPr>
          <w:rFonts w:eastAsiaTheme="minorEastAsia"/>
          <w:b/>
          <w:sz w:val="24"/>
        </w:rPr>
      </w:pPr>
      <w:bookmarkStart w:id="162" w:name="_Toc67667954"/>
      <w:r>
        <w:rPr>
          <w:rFonts w:eastAsiaTheme="minorEastAsia"/>
          <w:b/>
          <w:sz w:val="24"/>
        </w:rPr>
        <w:t>7.4.7.5</w:t>
      </w:r>
      <w:r>
        <w:rPr>
          <w:rFonts w:hint="eastAsia" w:eastAsiaTheme="minorEastAsia"/>
          <w:b/>
          <w:sz w:val="24"/>
        </w:rPr>
        <w:t>应收利息</w:t>
      </w:r>
      <w:bookmarkEnd w:id="162"/>
    </w:p>
    <w:p>
      <w:pPr>
        <w:spacing w:line="360" w:lineRule="auto"/>
        <w:jc w:val="right"/>
        <w:rPr>
          <w:rFonts w:eastAsiaTheme="minorEastAsia"/>
          <w:color w:val="000000"/>
          <w:sz w:val="24"/>
        </w:rPr>
      </w:pPr>
      <w:r>
        <w:rPr>
          <w:rFonts w:eastAsiaTheme="minorEastAsia"/>
          <w:color w:val="000000"/>
          <w:sz w:val="24"/>
        </w:rPr>
        <w:t>单位：人民币元</w:t>
      </w:r>
    </w:p>
    <w:tbl>
      <w:tblPr>
        <w:tblStyle w:val="31"/>
        <w:tblW w:w="901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1"/>
        <w:gridCol w:w="3258"/>
        <w:gridCol w:w="3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项目</w:t>
            </w:r>
          </w:p>
        </w:tc>
        <w:tc>
          <w:tcPr>
            <w:tcW w:w="3258" w:type="dxa"/>
            <w:vAlign w:val="bottom"/>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406" w:type="dxa"/>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2351" w:type="dxa"/>
            <w:vAlign w:val="center"/>
          </w:tcPr>
          <w:p>
            <w:pPr>
              <w:spacing w:line="360" w:lineRule="auto"/>
              <w:rPr>
                <w:rFonts w:eastAsiaTheme="minorEastAsia"/>
                <w:sz w:val="24"/>
              </w:rPr>
            </w:pPr>
            <w:r>
              <w:rPr>
                <w:rFonts w:eastAsiaTheme="minorEastAsia"/>
                <w:sz w:val="24"/>
              </w:rPr>
              <w:t>应收活期存款利息</w:t>
            </w:r>
          </w:p>
        </w:tc>
        <w:tc>
          <w:tcPr>
            <w:tcW w:w="3258" w:type="dxa"/>
            <w:vAlign w:val="center"/>
          </w:tcPr>
          <w:p>
            <w:pPr>
              <w:spacing w:line="360" w:lineRule="auto"/>
              <w:jc w:val="right"/>
              <w:rPr>
                <w:rFonts w:eastAsiaTheme="minorEastAsia"/>
                <w:sz w:val="24"/>
              </w:rPr>
            </w:pPr>
            <w:r>
              <w:rPr>
                <w:rFonts w:eastAsiaTheme="minorEastAsia"/>
                <w:sz w:val="24"/>
              </w:rPr>
              <w:t>171.60</w:t>
            </w:r>
          </w:p>
        </w:tc>
        <w:tc>
          <w:tcPr>
            <w:tcW w:w="3406" w:type="dxa"/>
            <w:noWrap/>
            <w:vAlign w:val="center"/>
          </w:tcPr>
          <w:p>
            <w:pPr>
              <w:spacing w:line="360" w:lineRule="auto"/>
              <w:jc w:val="right"/>
              <w:rPr>
                <w:rFonts w:eastAsiaTheme="minorEastAsia"/>
                <w:sz w:val="24"/>
              </w:rPr>
            </w:pPr>
            <w:r>
              <w:rPr>
                <w:rFonts w:eastAsiaTheme="minorEastAsia"/>
                <w:sz w:val="24"/>
              </w:rPr>
              <w:t>151.08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应收定期存款利息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应收其他存款利息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应收结算备付金利息</w:t>
            </w:r>
          </w:p>
        </w:tc>
        <w:tc>
          <w:tcPr>
            <w:tcW w:w="3258" w:type="dxa"/>
            <w:vAlign w:val="center"/>
          </w:tcPr>
          <w:p>
            <w:pPr>
              <w:spacing w:line="360" w:lineRule="auto"/>
              <w:jc w:val="right"/>
              <w:rPr>
                <w:rFonts w:eastAsiaTheme="minorEastAsia"/>
                <w:sz w:val="24"/>
              </w:rPr>
            </w:pPr>
            <w:r>
              <w:rPr>
                <w:rFonts w:eastAsiaTheme="minorEastAsia"/>
                <w:sz w:val="24"/>
              </w:rPr>
              <w:t>45.98</w:t>
            </w:r>
          </w:p>
        </w:tc>
        <w:tc>
          <w:tcPr>
            <w:tcW w:w="3406" w:type="dxa"/>
            <w:noWrap/>
            <w:vAlign w:val="center"/>
          </w:tcPr>
          <w:p>
            <w:pPr>
              <w:spacing w:line="360" w:lineRule="auto"/>
              <w:jc w:val="right"/>
              <w:rPr>
                <w:rFonts w:eastAsiaTheme="minorEastAsia"/>
                <w:sz w:val="24"/>
              </w:rPr>
            </w:pPr>
            <w:r>
              <w:rPr>
                <w:rFonts w:eastAsiaTheme="minorEastAsia"/>
                <w:sz w:val="24"/>
              </w:rPr>
              <w:t>10,065.22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351" w:type="dxa"/>
            <w:vAlign w:val="center"/>
          </w:tcPr>
          <w:p>
            <w:pPr>
              <w:spacing w:line="360" w:lineRule="auto"/>
              <w:rPr>
                <w:rFonts w:eastAsiaTheme="minorEastAsia"/>
                <w:sz w:val="24"/>
              </w:rPr>
            </w:pPr>
            <w:r>
              <w:rPr>
                <w:rFonts w:eastAsiaTheme="minorEastAsia"/>
                <w:sz w:val="24"/>
              </w:rPr>
              <w:t>应收债券利息</w:t>
            </w:r>
          </w:p>
        </w:tc>
        <w:tc>
          <w:tcPr>
            <w:tcW w:w="3258" w:type="dxa"/>
            <w:vAlign w:val="center"/>
          </w:tcPr>
          <w:p>
            <w:pPr>
              <w:spacing w:line="360" w:lineRule="auto"/>
              <w:jc w:val="right"/>
              <w:rPr>
                <w:rFonts w:eastAsiaTheme="minorEastAsia"/>
                <w:sz w:val="24"/>
              </w:rPr>
            </w:pPr>
            <w:r>
              <w:rPr>
                <w:rFonts w:eastAsiaTheme="minorEastAsia"/>
                <w:sz w:val="24"/>
              </w:rPr>
              <w:t>8,295,063.06</w:t>
            </w:r>
          </w:p>
        </w:tc>
        <w:tc>
          <w:tcPr>
            <w:tcW w:w="3406" w:type="dxa"/>
            <w:noWrap/>
            <w:vAlign w:val="center"/>
          </w:tcPr>
          <w:p>
            <w:pPr>
              <w:spacing w:line="360" w:lineRule="auto"/>
              <w:jc w:val="right"/>
              <w:rPr>
                <w:rFonts w:eastAsiaTheme="minorEastAsia"/>
                <w:sz w:val="24"/>
              </w:rPr>
            </w:pPr>
            <w:r>
              <w:rPr>
                <w:rFonts w:eastAsiaTheme="minorEastAsia"/>
                <w:sz w:val="24"/>
              </w:rPr>
              <w:t>12,435,140.15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bottom"/>
          </w:tcPr>
          <w:p>
            <w:pPr>
              <w:spacing w:line="360" w:lineRule="auto"/>
              <w:rPr>
                <w:rFonts w:eastAsiaTheme="minorEastAsia"/>
                <w:sz w:val="24"/>
              </w:rPr>
            </w:pPr>
            <w:r>
              <w:rPr>
                <w:rFonts w:hint="eastAsia" w:eastAsiaTheme="minorEastAsia"/>
                <w:sz w:val="24"/>
              </w:rPr>
              <w:t>应收资产支持证券利息</w:t>
            </w:r>
          </w:p>
        </w:tc>
        <w:tc>
          <w:tcPr>
            <w:tcW w:w="3258" w:type="dxa"/>
          </w:tcPr>
          <w:p>
            <w:pPr>
              <w:spacing w:line="360" w:lineRule="auto"/>
              <w:jc w:val="right"/>
              <w:rPr>
                <w:rFonts w:eastAsiaTheme="minorEastAsia"/>
                <w:sz w:val="24"/>
              </w:rPr>
            </w:pPr>
            <w:r>
              <w:rPr>
                <w:rFonts w:eastAsiaTheme="minorEastAsia"/>
                <w:sz w:val="24"/>
              </w:rPr>
              <w:t>-</w:t>
            </w:r>
          </w:p>
        </w:tc>
        <w:tc>
          <w:tcPr>
            <w:tcW w:w="3406" w:type="dxa"/>
            <w:noWrap/>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center"/>
          </w:tcPr>
          <w:p>
            <w:pPr>
              <w:spacing w:line="360" w:lineRule="auto"/>
              <w:rPr>
                <w:rFonts w:eastAsiaTheme="minorEastAsia"/>
                <w:sz w:val="24"/>
              </w:rPr>
            </w:pPr>
            <w:r>
              <w:rPr>
                <w:rFonts w:eastAsiaTheme="minorEastAsia"/>
                <w:sz w:val="24"/>
              </w:rPr>
              <w:t>应收买入返售证券利息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应收申购款利息</w:t>
            </w:r>
          </w:p>
        </w:tc>
        <w:tc>
          <w:tcPr>
            <w:tcW w:w="3258" w:type="dxa"/>
            <w:vAlign w:val="center"/>
          </w:tcPr>
          <w:p>
            <w:pPr>
              <w:spacing w:line="360" w:lineRule="auto"/>
              <w:jc w:val="right"/>
              <w:rPr>
                <w:rFonts w:eastAsiaTheme="minorEastAsia"/>
                <w:sz w:val="24"/>
              </w:rPr>
            </w:pPr>
            <w:r>
              <w:rPr>
                <w:rFonts w:eastAsiaTheme="minorEastAsia"/>
                <w:sz w:val="24"/>
              </w:rPr>
              <w:t>0.99</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应收黄金合约拆借孳息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其他</w:t>
            </w:r>
          </w:p>
        </w:tc>
        <w:tc>
          <w:tcPr>
            <w:tcW w:w="3258" w:type="dxa"/>
            <w:vAlign w:val="center"/>
          </w:tcPr>
          <w:p>
            <w:pPr>
              <w:spacing w:line="360" w:lineRule="auto"/>
              <w:jc w:val="right"/>
              <w:rPr>
                <w:rFonts w:eastAsiaTheme="minorEastAsia"/>
                <w:sz w:val="24"/>
              </w:rPr>
            </w:pPr>
            <w:r>
              <w:rPr>
                <w:rFonts w:eastAsiaTheme="minorEastAsia"/>
                <w:sz w:val="24"/>
              </w:rPr>
              <w:t>1.21</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合计</w:t>
            </w:r>
          </w:p>
        </w:tc>
        <w:tc>
          <w:tcPr>
            <w:tcW w:w="3258" w:type="dxa"/>
            <w:vAlign w:val="center"/>
          </w:tcPr>
          <w:p>
            <w:pPr>
              <w:spacing w:line="360" w:lineRule="auto"/>
              <w:jc w:val="right"/>
              <w:rPr>
                <w:rFonts w:eastAsiaTheme="minorEastAsia"/>
                <w:sz w:val="24"/>
              </w:rPr>
            </w:pPr>
            <w:r>
              <w:rPr>
                <w:rFonts w:eastAsiaTheme="minorEastAsia"/>
                <w:sz w:val="24"/>
              </w:rPr>
              <w:t>8,295,282.84</w:t>
            </w:r>
          </w:p>
        </w:tc>
        <w:tc>
          <w:tcPr>
            <w:tcW w:w="3406" w:type="dxa"/>
            <w:noWrap/>
            <w:vAlign w:val="center"/>
          </w:tcPr>
          <w:p>
            <w:pPr>
              <w:spacing w:line="360" w:lineRule="auto"/>
              <w:jc w:val="right"/>
              <w:rPr>
                <w:rFonts w:eastAsiaTheme="minorEastAsia"/>
                <w:sz w:val="24"/>
              </w:rPr>
            </w:pPr>
            <w:r>
              <w:rPr>
                <w:rFonts w:eastAsiaTheme="minorEastAsia"/>
                <w:sz w:val="24"/>
              </w:rPr>
              <w:t>12,445,356.45</w:t>
            </w:r>
          </w:p>
        </w:tc>
      </w:tr>
    </w:tbl>
    <w:p>
      <w:pPr>
        <w:spacing w:line="360" w:lineRule="auto"/>
        <w:rPr>
          <w:rFonts w:asciiTheme="minorEastAsia" w:hAnsiTheme="minorEastAsia" w:eastAsiaTheme="minorEastAsia"/>
          <w:color w:val="000000"/>
          <w:szCs w:val="21"/>
        </w:rPr>
      </w:pPr>
    </w:p>
    <w:p>
      <w:pPr>
        <w:spacing w:before="312" w:beforeLines="100" w:line="360" w:lineRule="auto"/>
        <w:outlineLvl w:val="2"/>
        <w:rPr>
          <w:rFonts w:eastAsiaTheme="minorEastAsia"/>
          <w:b/>
          <w:color w:val="000000" w:themeColor="text1"/>
          <w:sz w:val="24"/>
        </w:rPr>
      </w:pPr>
      <w:bookmarkStart w:id="163" w:name="_Toc67667955"/>
      <w:r>
        <w:rPr>
          <w:rFonts w:eastAsiaTheme="minorEastAsia"/>
          <w:b/>
          <w:bCs/>
          <w:color w:val="000000" w:themeColor="text1"/>
          <w:kern w:val="0"/>
          <w:sz w:val="24"/>
        </w:rPr>
        <w:t xml:space="preserve">7.4.7.6 </w:t>
      </w:r>
      <w:r>
        <w:rPr>
          <w:rFonts w:eastAsiaTheme="minorEastAsia"/>
          <w:b/>
          <w:color w:val="000000" w:themeColor="text1"/>
          <w:sz w:val="24"/>
        </w:rPr>
        <w:t>其他资产</w:t>
      </w:r>
      <w:bookmarkEnd w:id="163"/>
    </w:p>
    <w:p>
      <w:pPr>
        <w:spacing w:before="29" w:line="288" w:lineRule="auto"/>
        <w:outlineLvl w:val="2"/>
        <w:rPr>
          <w:rFonts w:eastAsiaTheme="minorEastAsia"/>
          <w:color w:val="000000" w:themeColor="text1"/>
          <w:kern w:val="0"/>
          <w:sz w:val="24"/>
        </w:rPr>
      </w:pPr>
      <w:bookmarkStart w:id="164" w:name="_Toc67667956"/>
      <w:r>
        <w:rPr>
          <w:rFonts w:hint="eastAsia" w:eastAsiaTheme="minorEastAsia"/>
          <w:color w:val="000000" w:themeColor="text1"/>
          <w:kern w:val="0"/>
          <w:sz w:val="24"/>
        </w:rPr>
        <w:t>本基金本报告期末及上年度末未持有其他资产。</w:t>
      </w:r>
      <w:bookmarkEnd w:id="164"/>
    </w:p>
    <w:p>
      <w:pPr>
        <w:spacing w:before="29" w:line="288" w:lineRule="auto"/>
        <w:outlineLvl w:val="2"/>
        <w:rPr>
          <w:rFonts w:eastAsiaTheme="minorEastAsia"/>
          <w:b/>
          <w:sz w:val="24"/>
        </w:rPr>
      </w:pPr>
      <w:bookmarkStart w:id="165" w:name="_Toc67667957"/>
      <w:r>
        <w:rPr>
          <w:rFonts w:eastAsiaTheme="minorEastAsia"/>
          <w:b/>
          <w:sz w:val="24"/>
        </w:rPr>
        <w:t>7.4.7.7</w:t>
      </w:r>
      <w:r>
        <w:rPr>
          <w:rFonts w:hint="eastAsia" w:eastAsiaTheme="minorEastAsia"/>
          <w:b/>
          <w:sz w:val="24"/>
        </w:rPr>
        <w:t>应付交易费用</w:t>
      </w:r>
      <w:bookmarkEnd w:id="165"/>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0" w:type="auto"/>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spacing w:before="29" w:line="288" w:lineRule="auto"/>
              <w:jc w:val="center"/>
              <w:rPr>
                <w:sz w:val="24"/>
              </w:rPr>
            </w:pPr>
            <w:r>
              <w:rPr>
                <w:rFonts w:hint="eastAsia"/>
                <w:sz w:val="24"/>
              </w:rPr>
              <w:t>项目</w:t>
            </w:r>
          </w:p>
        </w:tc>
        <w:tc>
          <w:tcPr>
            <w:tcW w:w="3150" w:type="dxa"/>
            <w:vAlign w:val="bottom"/>
          </w:tcPr>
          <w:p>
            <w:pPr>
              <w:spacing w:before="29" w:line="288" w:lineRule="auto"/>
              <w:jc w:val="center"/>
              <w:rPr>
                <w:sz w:val="24"/>
              </w:rPr>
            </w:pPr>
            <w:r>
              <w:rPr>
                <w:rFonts w:hint="eastAsia"/>
                <w:sz w:val="24"/>
              </w:rPr>
              <w:t>本期末</w:t>
            </w:r>
          </w:p>
          <w:p>
            <w:pPr>
              <w:spacing w:before="29" w:line="288" w:lineRule="auto"/>
              <w:jc w:val="center"/>
              <w:rPr>
                <w:sz w:val="24"/>
              </w:rPr>
            </w:pPr>
            <w:r>
              <w:rPr>
                <w:sz w:val="24"/>
              </w:rPr>
              <w:t>2020年12月31日</w:t>
            </w:r>
          </w:p>
        </w:tc>
        <w:tc>
          <w:tcPr>
            <w:tcW w:w="3150" w:type="dxa"/>
          </w:tcPr>
          <w:p>
            <w:pPr>
              <w:spacing w:before="29" w:line="288" w:lineRule="auto"/>
              <w:jc w:val="center"/>
              <w:rPr>
                <w:sz w:val="24"/>
              </w:rPr>
            </w:pPr>
            <w:r>
              <w:rPr>
                <w:rFonts w:hint="eastAsia"/>
                <w:sz w:val="24"/>
              </w:rPr>
              <w:t>上年度末</w:t>
            </w:r>
          </w:p>
          <w:p>
            <w:pPr>
              <w:spacing w:before="29" w:line="288" w:lineRule="auto"/>
              <w:jc w:val="center"/>
              <w:rPr>
                <w:sz w:val="24"/>
              </w:rPr>
            </w:pPr>
            <w:r>
              <w:rPr>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2765" w:type="dxa"/>
            <w:vAlign w:val="center"/>
          </w:tcPr>
          <w:p>
            <w:pPr>
              <w:spacing w:before="29" w:line="288" w:lineRule="auto"/>
              <w:rPr>
                <w:sz w:val="24"/>
              </w:rPr>
            </w:pPr>
            <w:r>
              <w:rPr>
                <w:rFonts w:hint="eastAsia"/>
                <w:sz w:val="24"/>
              </w:rPr>
              <w:t>交易所市场应付交易费用</w:t>
            </w:r>
          </w:p>
        </w:tc>
        <w:tc>
          <w:tcPr>
            <w:tcW w:w="3150" w:type="dxa"/>
            <w:vAlign w:val="center"/>
          </w:tcPr>
          <w:p>
            <w:pPr>
              <w:spacing w:before="29" w:line="288" w:lineRule="auto"/>
              <w:jc w:val="right"/>
              <w:rPr>
                <w:color w:val="000000"/>
                <w:kern w:val="0"/>
                <w:sz w:val="24"/>
              </w:rPr>
            </w:pPr>
            <w:r>
              <w:rPr>
                <w:color w:val="000000"/>
                <w:kern w:val="0"/>
                <w:sz w:val="24"/>
              </w:rPr>
              <w:t>-</w:t>
            </w:r>
          </w:p>
        </w:tc>
        <w:tc>
          <w:tcPr>
            <w:tcW w:w="315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765" w:type="dxa"/>
            <w:vAlign w:val="center"/>
          </w:tcPr>
          <w:p>
            <w:pPr>
              <w:spacing w:before="29" w:line="288" w:lineRule="auto"/>
              <w:rPr>
                <w:sz w:val="24"/>
              </w:rPr>
            </w:pPr>
            <w:r>
              <w:rPr>
                <w:rFonts w:hint="eastAsia"/>
                <w:sz w:val="24"/>
              </w:rPr>
              <w:t>银行间市场应付交易费用</w:t>
            </w:r>
          </w:p>
        </w:tc>
        <w:tc>
          <w:tcPr>
            <w:tcW w:w="3150" w:type="dxa"/>
            <w:vAlign w:val="center"/>
          </w:tcPr>
          <w:p>
            <w:pPr>
              <w:spacing w:before="29" w:line="288" w:lineRule="auto"/>
              <w:jc w:val="right"/>
              <w:rPr>
                <w:color w:val="000000"/>
                <w:kern w:val="0"/>
                <w:sz w:val="24"/>
              </w:rPr>
            </w:pPr>
            <w:r>
              <w:rPr>
                <w:color w:val="000000"/>
                <w:kern w:val="0"/>
                <w:sz w:val="24"/>
              </w:rPr>
              <w:t>16,176.56</w:t>
            </w:r>
          </w:p>
        </w:tc>
        <w:tc>
          <w:tcPr>
            <w:tcW w:w="3150" w:type="dxa"/>
            <w:vAlign w:val="center"/>
          </w:tcPr>
          <w:p>
            <w:pPr>
              <w:spacing w:before="29" w:line="288" w:lineRule="auto"/>
              <w:jc w:val="right"/>
              <w:rPr>
                <w:color w:val="000000"/>
                <w:kern w:val="0"/>
                <w:sz w:val="24"/>
              </w:rPr>
            </w:pPr>
            <w:r>
              <w:rPr>
                <w:color w:val="000000"/>
                <w:kern w:val="0"/>
                <w:sz w:val="24"/>
              </w:rPr>
              <w:t>9,826.93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spacing w:before="29" w:line="288" w:lineRule="auto"/>
              <w:jc w:val="center"/>
              <w:rPr>
                <w:rFonts w:asciiTheme="minorEastAsia" w:hAnsiTheme="minorEastAsia" w:eastAsiaTheme="minorEastAsia"/>
                <w:szCs w:val="21"/>
              </w:rPr>
            </w:pPr>
            <w:r>
              <w:rPr>
                <w:rFonts w:hint="eastAsia"/>
                <w:sz w:val="24"/>
              </w:rPr>
              <w:t>合计</w:t>
            </w:r>
          </w:p>
        </w:tc>
        <w:tc>
          <w:tcPr>
            <w:tcW w:w="3150" w:type="dxa"/>
            <w:vAlign w:val="center"/>
          </w:tcPr>
          <w:p>
            <w:pPr>
              <w:spacing w:before="29" w:line="288" w:lineRule="auto"/>
              <w:jc w:val="right"/>
              <w:rPr>
                <w:color w:val="000000"/>
                <w:kern w:val="0"/>
                <w:sz w:val="24"/>
              </w:rPr>
            </w:pPr>
            <w:r>
              <w:rPr>
                <w:color w:val="000000"/>
                <w:kern w:val="0"/>
                <w:sz w:val="24"/>
              </w:rPr>
              <w:t>16,176.56</w:t>
            </w:r>
          </w:p>
        </w:tc>
        <w:tc>
          <w:tcPr>
            <w:tcW w:w="3150" w:type="dxa"/>
            <w:vAlign w:val="center"/>
          </w:tcPr>
          <w:p>
            <w:pPr>
              <w:spacing w:before="29" w:line="288" w:lineRule="auto"/>
              <w:jc w:val="right"/>
              <w:rPr>
                <w:color w:val="000000"/>
                <w:kern w:val="0"/>
                <w:sz w:val="24"/>
              </w:rPr>
            </w:pPr>
            <w:r>
              <w:rPr>
                <w:color w:val="000000"/>
                <w:kern w:val="0"/>
                <w:sz w:val="24"/>
              </w:rPr>
              <w:t>9,826.93</w:t>
            </w:r>
          </w:p>
        </w:tc>
      </w:tr>
    </w:tbl>
    <w:p>
      <w:pPr>
        <w:spacing w:line="360" w:lineRule="auto"/>
        <w:rPr>
          <w:rFonts w:asciiTheme="minorEastAsia" w:hAnsiTheme="minorEastAsia" w:eastAsiaTheme="minorEastAsia"/>
          <w:b/>
          <w:bCs/>
          <w:color w:val="000000"/>
          <w:szCs w:val="21"/>
        </w:rPr>
      </w:pPr>
    </w:p>
    <w:p>
      <w:pPr>
        <w:spacing w:before="29" w:line="288" w:lineRule="auto"/>
        <w:outlineLvl w:val="2"/>
        <w:rPr>
          <w:rFonts w:eastAsiaTheme="minorEastAsia"/>
          <w:b/>
          <w:sz w:val="24"/>
        </w:rPr>
      </w:pPr>
      <w:bookmarkStart w:id="166" w:name="_Toc67667958"/>
      <w:r>
        <w:rPr>
          <w:rFonts w:eastAsiaTheme="minorEastAsia"/>
          <w:b/>
          <w:sz w:val="24"/>
        </w:rPr>
        <w:t>7.4.7.8</w:t>
      </w:r>
      <w:r>
        <w:rPr>
          <w:rFonts w:hint="eastAsia" w:eastAsiaTheme="minorEastAsia"/>
          <w:b/>
          <w:sz w:val="24"/>
        </w:rPr>
        <w:t>其他负债</w:t>
      </w:r>
      <w:bookmarkEnd w:id="166"/>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715" w:type="dxa"/>
            <w:vAlign w:val="center"/>
          </w:tcPr>
          <w:p>
            <w:pPr>
              <w:spacing w:before="29" w:line="288" w:lineRule="auto"/>
              <w:jc w:val="center"/>
              <w:rPr>
                <w:sz w:val="24"/>
              </w:rPr>
            </w:pPr>
            <w:r>
              <w:rPr>
                <w:rFonts w:hint="eastAsia"/>
                <w:sz w:val="24"/>
              </w:rPr>
              <w:t>项目</w:t>
            </w:r>
          </w:p>
        </w:tc>
        <w:tc>
          <w:tcPr>
            <w:tcW w:w="3150" w:type="dxa"/>
            <w:vAlign w:val="center"/>
          </w:tcPr>
          <w:p>
            <w:pPr>
              <w:spacing w:before="29" w:line="288" w:lineRule="auto"/>
              <w:jc w:val="center"/>
              <w:rPr>
                <w:sz w:val="24"/>
              </w:rPr>
            </w:pPr>
            <w:r>
              <w:rPr>
                <w:rFonts w:hint="eastAsia"/>
                <w:sz w:val="24"/>
              </w:rPr>
              <w:t>本期末</w:t>
            </w:r>
          </w:p>
          <w:p>
            <w:pPr>
              <w:spacing w:before="29" w:line="288" w:lineRule="auto"/>
              <w:jc w:val="center"/>
              <w:rPr>
                <w:sz w:val="24"/>
              </w:rPr>
            </w:pPr>
            <w:r>
              <w:rPr>
                <w:sz w:val="24"/>
              </w:rPr>
              <w:t>2020年12月31日</w:t>
            </w:r>
          </w:p>
        </w:tc>
        <w:tc>
          <w:tcPr>
            <w:tcW w:w="3150" w:type="dxa"/>
            <w:vAlign w:val="center"/>
          </w:tcPr>
          <w:p>
            <w:pPr>
              <w:spacing w:before="29" w:line="288" w:lineRule="auto"/>
              <w:jc w:val="center"/>
              <w:rPr>
                <w:sz w:val="24"/>
              </w:rPr>
            </w:pPr>
            <w:r>
              <w:rPr>
                <w:rFonts w:hint="eastAsia"/>
                <w:sz w:val="24"/>
              </w:rPr>
              <w:t>上年度末</w:t>
            </w:r>
          </w:p>
          <w:p>
            <w:pPr>
              <w:spacing w:before="29" w:line="288" w:lineRule="auto"/>
              <w:jc w:val="center"/>
              <w:rPr>
                <w:sz w:val="24"/>
              </w:rPr>
            </w:pPr>
            <w:r>
              <w:rPr>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spacing w:before="29" w:line="288" w:lineRule="auto"/>
              <w:rPr>
                <w:sz w:val="24"/>
              </w:rPr>
            </w:pPr>
            <w:r>
              <w:rPr>
                <w:rFonts w:hint="eastAsia"/>
                <w:sz w:val="24"/>
              </w:rPr>
              <w:t>应付券商交易单元保证金</w:t>
            </w:r>
          </w:p>
        </w:tc>
        <w:tc>
          <w:tcPr>
            <w:tcW w:w="3150" w:type="dxa"/>
            <w:vAlign w:val="center"/>
          </w:tcPr>
          <w:p>
            <w:pPr>
              <w:spacing w:before="29" w:line="288" w:lineRule="auto"/>
              <w:jc w:val="right"/>
              <w:rPr>
                <w:color w:val="000000"/>
                <w:kern w:val="0"/>
                <w:sz w:val="24"/>
              </w:rPr>
            </w:pPr>
            <w:r>
              <w:rPr>
                <w:color w:val="000000"/>
                <w:kern w:val="0"/>
                <w:sz w:val="24"/>
              </w:rPr>
              <w:t>-</w:t>
            </w:r>
          </w:p>
        </w:tc>
        <w:tc>
          <w:tcPr>
            <w:tcW w:w="315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spacing w:before="29" w:line="288" w:lineRule="auto"/>
              <w:rPr>
                <w:sz w:val="24"/>
              </w:rPr>
            </w:pPr>
            <w:r>
              <w:rPr>
                <w:rFonts w:hint="eastAsia"/>
                <w:sz w:val="24"/>
              </w:rPr>
              <w:t>应付赎回费</w:t>
            </w:r>
          </w:p>
        </w:tc>
        <w:tc>
          <w:tcPr>
            <w:tcW w:w="3150" w:type="dxa"/>
            <w:vAlign w:val="center"/>
          </w:tcPr>
          <w:p>
            <w:pPr>
              <w:spacing w:before="29" w:line="288" w:lineRule="auto"/>
              <w:jc w:val="right"/>
              <w:rPr>
                <w:color w:val="000000"/>
                <w:kern w:val="0"/>
                <w:sz w:val="24"/>
              </w:rPr>
            </w:pPr>
            <w:r>
              <w:rPr>
                <w:color w:val="000000"/>
                <w:kern w:val="0"/>
                <w:sz w:val="24"/>
              </w:rPr>
              <w:t>16.79</w:t>
            </w:r>
          </w:p>
        </w:tc>
        <w:tc>
          <w:tcPr>
            <w:tcW w:w="315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sz w:val="24"/>
              </w:rPr>
              <w:t>预提信息披露费</w:t>
            </w:r>
          </w:p>
        </w:tc>
        <w:tc>
          <w:tcPr>
            <w:tcW w:w="3150" w:type="dxa"/>
            <w:vAlign w:val="center"/>
          </w:tcPr>
          <w:p>
            <w:pPr>
              <w:jc w:val="right"/>
            </w:pPr>
            <w:r>
              <w:rPr>
                <w:sz w:val="24"/>
              </w:rPr>
              <w:t>120,000.00</w:t>
            </w:r>
          </w:p>
        </w:tc>
        <w:tc>
          <w:tcPr>
            <w:tcW w:w="3150" w:type="dxa"/>
            <w:vAlign w:val="center"/>
          </w:tcPr>
          <w:p>
            <w:pPr>
              <w:jc w:val="right"/>
            </w:pPr>
            <w:r>
              <w:rPr>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sz w:val="24"/>
              </w:rPr>
              <w:t>预提审计费</w:t>
            </w:r>
          </w:p>
        </w:tc>
        <w:tc>
          <w:tcPr>
            <w:tcW w:w="3150" w:type="dxa"/>
            <w:vAlign w:val="center"/>
          </w:tcPr>
          <w:p>
            <w:pPr>
              <w:jc w:val="right"/>
            </w:pPr>
            <w:r>
              <w:rPr>
                <w:sz w:val="24"/>
              </w:rPr>
              <w:t>50,000.00</w:t>
            </w:r>
          </w:p>
        </w:tc>
        <w:tc>
          <w:tcPr>
            <w:tcW w:w="3150" w:type="dxa"/>
            <w:vAlign w:val="center"/>
          </w:tcPr>
          <w:p>
            <w:pPr>
              <w:jc w:val="right"/>
            </w:pPr>
            <w:r>
              <w:rPr>
                <w:sz w:val="24"/>
              </w:rPr>
              <w:t>60,000.00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sz w:val="24"/>
              </w:rPr>
              <w:t>预提账户维护费</w:t>
            </w:r>
          </w:p>
        </w:tc>
        <w:tc>
          <w:tcPr>
            <w:tcW w:w="3150" w:type="dxa"/>
            <w:vAlign w:val="center"/>
          </w:tcPr>
          <w:p>
            <w:pPr>
              <w:jc w:val="right"/>
            </w:pPr>
            <w:r>
              <w:rPr>
                <w:sz w:val="24"/>
              </w:rPr>
              <w:t>9,300.00</w:t>
            </w:r>
          </w:p>
        </w:tc>
        <w:tc>
          <w:tcPr>
            <w:tcW w:w="3150" w:type="dxa"/>
            <w:vAlign w:val="center"/>
          </w:tcPr>
          <w:p>
            <w:pPr>
              <w:jc w:val="right"/>
            </w:pPr>
            <w:r>
              <w:rPr>
                <w:sz w:val="24"/>
              </w:rPr>
              <w:t>9,300.00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spacing w:before="29" w:line="288" w:lineRule="auto"/>
              <w:jc w:val="center"/>
              <w:rPr>
                <w:rFonts w:asciiTheme="minorEastAsia" w:hAnsiTheme="minorEastAsia" w:eastAsiaTheme="minorEastAsia"/>
                <w:szCs w:val="21"/>
              </w:rPr>
            </w:pPr>
            <w:r>
              <w:rPr>
                <w:rFonts w:hint="eastAsia"/>
                <w:sz w:val="24"/>
              </w:rPr>
              <w:t>合计</w:t>
            </w:r>
          </w:p>
        </w:tc>
        <w:tc>
          <w:tcPr>
            <w:tcW w:w="3150" w:type="dxa"/>
            <w:vAlign w:val="center"/>
          </w:tcPr>
          <w:p>
            <w:pPr>
              <w:spacing w:before="29" w:line="288" w:lineRule="auto"/>
              <w:jc w:val="right"/>
              <w:rPr>
                <w:color w:val="000000"/>
                <w:kern w:val="0"/>
                <w:sz w:val="24"/>
              </w:rPr>
            </w:pPr>
            <w:r>
              <w:rPr>
                <w:color w:val="000000"/>
                <w:kern w:val="0"/>
                <w:sz w:val="24"/>
              </w:rPr>
              <w:t>179,316.79</w:t>
            </w:r>
          </w:p>
        </w:tc>
        <w:tc>
          <w:tcPr>
            <w:tcW w:w="3150" w:type="dxa"/>
            <w:vAlign w:val="center"/>
          </w:tcPr>
          <w:p>
            <w:pPr>
              <w:spacing w:before="29" w:line="288" w:lineRule="auto"/>
              <w:jc w:val="right"/>
              <w:rPr>
                <w:color w:val="000000"/>
                <w:kern w:val="0"/>
                <w:sz w:val="24"/>
              </w:rPr>
            </w:pPr>
            <w:r>
              <w:rPr>
                <w:color w:val="000000"/>
                <w:kern w:val="0"/>
                <w:sz w:val="24"/>
              </w:rPr>
              <w:t>189,300.00</w:t>
            </w:r>
          </w:p>
        </w:tc>
      </w:tr>
    </w:tbl>
    <w:p>
      <w:pPr>
        <w:spacing w:before="29" w:line="288" w:lineRule="auto"/>
        <w:rPr>
          <w:rFonts w:eastAsiaTheme="minorEastAsia"/>
          <w:b/>
          <w:sz w:val="24"/>
        </w:rPr>
      </w:pPr>
    </w:p>
    <w:p>
      <w:pPr>
        <w:spacing w:before="29" w:line="288" w:lineRule="auto"/>
        <w:outlineLvl w:val="2"/>
        <w:rPr>
          <w:rFonts w:eastAsiaTheme="minorEastAsia"/>
          <w:b/>
          <w:sz w:val="24"/>
        </w:rPr>
      </w:pPr>
      <w:bookmarkStart w:id="167" w:name="_Toc67667959"/>
      <w:r>
        <w:rPr>
          <w:rFonts w:eastAsiaTheme="minorEastAsia"/>
          <w:b/>
          <w:sz w:val="24"/>
        </w:rPr>
        <w:t>7.4.7.9</w:t>
      </w:r>
      <w:r>
        <w:rPr>
          <w:rFonts w:hint="eastAsia" w:eastAsiaTheme="minorEastAsia"/>
          <w:b/>
          <w:sz w:val="24"/>
        </w:rPr>
        <w:t>实收基金</w:t>
      </w:r>
      <w:bookmarkEnd w:id="167"/>
    </w:p>
    <w:p>
      <w:pPr>
        <w:adjustRightInd w:val="0"/>
        <w:snapToGrid w:val="0"/>
        <w:spacing w:before="29" w:line="288" w:lineRule="auto"/>
        <w:rPr>
          <w:b/>
          <w:sz w:val="24"/>
        </w:rPr>
      </w:pPr>
      <w:r>
        <w:rPr>
          <w:b/>
          <w:sz w:val="24"/>
        </w:rPr>
        <w:t>交银丰晟收益债券A</w:t>
      </w:r>
    </w:p>
    <w:p>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Style w:val="31"/>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20"/>
        <w:gridCol w:w="3120"/>
        <w:gridCol w:w="3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20" w:type="dxa"/>
            <w:vMerge w:val="restart"/>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6240" w:type="dxa"/>
            <w:gridSpan w:val="2"/>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20" w:type="dxa"/>
            <w:vMerge w:val="continue"/>
            <w:vAlign w:val="center"/>
          </w:tcPr>
          <w:p>
            <w:pPr>
              <w:widowControl/>
              <w:autoSpaceDE w:val="0"/>
              <w:autoSpaceDN w:val="0"/>
              <w:spacing w:before="29" w:line="288" w:lineRule="auto"/>
              <w:ind w:right="-15"/>
              <w:jc w:val="center"/>
              <w:textAlignment w:val="bottom"/>
              <w:rPr>
                <w:color w:val="000000"/>
                <w:sz w:val="24"/>
              </w:rPr>
            </w:pPr>
          </w:p>
        </w:tc>
        <w:tc>
          <w:tcPr>
            <w:tcW w:w="312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20" w:type="dxa"/>
            <w:vAlign w:val="center"/>
          </w:tcPr>
          <w:p>
            <w:pPr>
              <w:spacing w:before="29" w:line="288" w:lineRule="auto"/>
              <w:rPr>
                <w:sz w:val="24"/>
              </w:rPr>
            </w:pPr>
            <w:r>
              <w:rPr>
                <w:sz w:val="24"/>
              </w:rPr>
              <w:t>上年度末</w:t>
            </w:r>
          </w:p>
        </w:tc>
        <w:tc>
          <w:tcPr>
            <w:tcW w:w="3120" w:type="dxa"/>
            <w:vAlign w:val="center"/>
          </w:tcPr>
          <w:p>
            <w:pPr>
              <w:spacing w:before="29" w:line="288" w:lineRule="auto"/>
              <w:jc w:val="right"/>
              <w:rPr>
                <w:color w:val="000000"/>
                <w:kern w:val="0"/>
                <w:sz w:val="24"/>
              </w:rPr>
            </w:pPr>
            <w:r>
              <w:rPr>
                <w:color w:val="000000"/>
                <w:kern w:val="0"/>
                <w:sz w:val="24"/>
              </w:rPr>
              <w:t>330,813,244.80</w:t>
            </w:r>
          </w:p>
        </w:tc>
        <w:tc>
          <w:tcPr>
            <w:tcW w:w="3120" w:type="dxa"/>
            <w:vAlign w:val="center"/>
          </w:tcPr>
          <w:p>
            <w:pPr>
              <w:spacing w:before="29" w:line="288" w:lineRule="auto"/>
              <w:jc w:val="right"/>
              <w:rPr>
                <w:color w:val="000000"/>
                <w:kern w:val="0"/>
                <w:sz w:val="24"/>
              </w:rPr>
            </w:pPr>
            <w:r>
              <w:rPr>
                <w:color w:val="000000"/>
                <w:kern w:val="0"/>
                <w:sz w:val="24"/>
              </w:rPr>
              <w:t>330,813,244.80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20" w:type="dxa"/>
            <w:vAlign w:val="center"/>
          </w:tcPr>
          <w:p>
            <w:pPr>
              <w:spacing w:before="29" w:line="288" w:lineRule="auto"/>
              <w:rPr>
                <w:sz w:val="24"/>
              </w:rPr>
            </w:pPr>
            <w:r>
              <w:rPr>
                <w:rFonts w:hint="eastAsia"/>
                <w:sz w:val="24"/>
              </w:rPr>
              <w:t>本期申购</w:t>
            </w:r>
          </w:p>
        </w:tc>
        <w:tc>
          <w:tcPr>
            <w:tcW w:w="3120" w:type="dxa"/>
            <w:vAlign w:val="center"/>
          </w:tcPr>
          <w:p>
            <w:pPr>
              <w:spacing w:before="29" w:line="288" w:lineRule="auto"/>
              <w:jc w:val="right"/>
              <w:rPr>
                <w:color w:val="000000"/>
                <w:kern w:val="0"/>
                <w:sz w:val="24"/>
              </w:rPr>
            </w:pPr>
            <w:r>
              <w:rPr>
                <w:color w:val="000000"/>
                <w:kern w:val="0"/>
                <w:sz w:val="24"/>
              </w:rPr>
              <w:t>241,176,992.27</w:t>
            </w:r>
          </w:p>
        </w:tc>
        <w:tc>
          <w:tcPr>
            <w:tcW w:w="3120" w:type="dxa"/>
            <w:vAlign w:val="center"/>
          </w:tcPr>
          <w:p>
            <w:pPr>
              <w:spacing w:before="29" w:line="288" w:lineRule="auto"/>
              <w:jc w:val="right"/>
              <w:rPr>
                <w:color w:val="000000"/>
                <w:kern w:val="0"/>
                <w:sz w:val="24"/>
              </w:rPr>
            </w:pPr>
            <w:r>
              <w:rPr>
                <w:color w:val="000000"/>
                <w:kern w:val="0"/>
                <w:sz w:val="24"/>
              </w:rPr>
              <w:t>241,176,992.27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20" w:type="dxa"/>
            <w:vAlign w:val="center"/>
          </w:tcPr>
          <w:p>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pPr>
              <w:spacing w:before="29" w:line="288" w:lineRule="auto"/>
              <w:jc w:val="right"/>
              <w:rPr>
                <w:color w:val="000000"/>
                <w:kern w:val="0"/>
                <w:sz w:val="24"/>
              </w:rPr>
            </w:pPr>
            <w:r>
              <w:rPr>
                <w:color w:val="000000"/>
                <w:kern w:val="0"/>
                <w:sz w:val="24"/>
              </w:rPr>
              <w:t>-294,929,031.35</w:t>
            </w:r>
          </w:p>
        </w:tc>
        <w:tc>
          <w:tcPr>
            <w:tcW w:w="3120" w:type="dxa"/>
            <w:vAlign w:val="center"/>
          </w:tcPr>
          <w:p>
            <w:pPr>
              <w:spacing w:before="29" w:line="288" w:lineRule="auto"/>
              <w:jc w:val="right"/>
              <w:rPr>
                <w:color w:val="000000"/>
                <w:kern w:val="0"/>
                <w:sz w:val="24"/>
              </w:rPr>
            </w:pPr>
            <w:r>
              <w:rPr>
                <w:color w:val="000000"/>
                <w:kern w:val="0"/>
                <w:sz w:val="24"/>
              </w:rPr>
              <w:t>-294,929,031.35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20" w:type="dxa"/>
            <w:vAlign w:val="center"/>
          </w:tcPr>
          <w:p>
            <w:pPr>
              <w:spacing w:before="29" w:line="288" w:lineRule="auto"/>
              <w:rPr>
                <w:rFonts w:asciiTheme="minorEastAsia" w:hAnsiTheme="minorEastAsia" w:eastAsiaTheme="minorEastAsia"/>
                <w:color w:val="000000"/>
                <w:szCs w:val="21"/>
              </w:rPr>
            </w:pPr>
            <w:r>
              <w:rPr>
                <w:rFonts w:hint="eastAsia"/>
                <w:sz w:val="24"/>
              </w:rPr>
              <w:t>本期末</w:t>
            </w:r>
          </w:p>
        </w:tc>
        <w:tc>
          <w:tcPr>
            <w:tcW w:w="3120" w:type="dxa"/>
            <w:vAlign w:val="center"/>
          </w:tcPr>
          <w:p>
            <w:pPr>
              <w:spacing w:before="29" w:line="288" w:lineRule="auto"/>
              <w:jc w:val="right"/>
              <w:rPr>
                <w:color w:val="000000"/>
                <w:kern w:val="0"/>
                <w:sz w:val="24"/>
              </w:rPr>
            </w:pPr>
            <w:r>
              <w:rPr>
                <w:color w:val="000000"/>
                <w:kern w:val="0"/>
                <w:sz w:val="24"/>
              </w:rPr>
              <w:t>277,061,205.72</w:t>
            </w:r>
          </w:p>
        </w:tc>
        <w:tc>
          <w:tcPr>
            <w:tcW w:w="3120" w:type="dxa"/>
            <w:vAlign w:val="center"/>
          </w:tcPr>
          <w:p>
            <w:pPr>
              <w:spacing w:before="29" w:line="288" w:lineRule="auto"/>
              <w:jc w:val="right"/>
              <w:rPr>
                <w:color w:val="000000"/>
                <w:kern w:val="0"/>
                <w:sz w:val="24"/>
              </w:rPr>
            </w:pPr>
            <w:r>
              <w:rPr>
                <w:color w:val="000000"/>
                <w:kern w:val="0"/>
                <w:sz w:val="24"/>
              </w:rPr>
              <w:t>277,061,205.72</w:t>
            </w:r>
          </w:p>
        </w:tc>
      </w:tr>
    </w:tbl>
    <w:p>
      <w:pPr>
        <w:tabs>
          <w:tab w:val="left" w:pos="426"/>
        </w:tabs>
        <w:spacing w:before="29" w:line="288" w:lineRule="auto"/>
        <w:jc w:val="left"/>
        <w:rPr>
          <w:kern w:val="0"/>
          <w:sz w:val="24"/>
        </w:rPr>
      </w:pPr>
    </w:p>
    <w:p>
      <w:pPr>
        <w:adjustRightInd w:val="0"/>
        <w:snapToGrid w:val="0"/>
        <w:spacing w:before="29" w:line="288" w:lineRule="auto"/>
        <w:rPr>
          <w:b/>
          <w:sz w:val="24"/>
        </w:rPr>
      </w:pPr>
      <w:r>
        <w:rPr>
          <w:b/>
          <w:sz w:val="24"/>
        </w:rPr>
        <w:t>交银丰晟收益债券C</w:t>
      </w:r>
    </w:p>
    <w:p>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Style w:val="31"/>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20"/>
        <w:gridCol w:w="3120"/>
        <w:gridCol w:w="3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20" w:type="dxa"/>
            <w:vMerge w:val="restart"/>
            <w:vAlign w:val="center"/>
          </w:tcPr>
          <w:p>
            <w:pPr>
              <w:spacing w:before="29" w:line="288" w:lineRule="auto"/>
              <w:rPr>
                <w:sz w:val="24"/>
              </w:rPr>
            </w:pPr>
            <w:r>
              <w:rPr>
                <w:rFonts w:hint="eastAsia"/>
                <w:sz w:val="24"/>
              </w:rPr>
              <w:t>项目</w:t>
            </w:r>
          </w:p>
        </w:tc>
        <w:tc>
          <w:tcPr>
            <w:tcW w:w="6240" w:type="dxa"/>
            <w:gridSpan w:val="2"/>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20" w:type="dxa"/>
            <w:vMerge w:val="continue"/>
            <w:vAlign w:val="center"/>
          </w:tcPr>
          <w:p>
            <w:pPr>
              <w:spacing w:before="29" w:line="288" w:lineRule="auto"/>
              <w:rPr>
                <w:sz w:val="24"/>
              </w:rPr>
            </w:pPr>
          </w:p>
        </w:tc>
        <w:tc>
          <w:tcPr>
            <w:tcW w:w="312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20" w:type="dxa"/>
            <w:vAlign w:val="center"/>
          </w:tcPr>
          <w:p>
            <w:pPr>
              <w:spacing w:before="29" w:line="288" w:lineRule="auto"/>
              <w:rPr>
                <w:sz w:val="24"/>
              </w:rPr>
            </w:pPr>
            <w:r>
              <w:rPr>
                <w:sz w:val="24"/>
              </w:rPr>
              <w:t>上年度末</w:t>
            </w:r>
          </w:p>
        </w:tc>
        <w:tc>
          <w:tcPr>
            <w:tcW w:w="3120" w:type="dxa"/>
            <w:vAlign w:val="center"/>
          </w:tcPr>
          <w:p>
            <w:pPr>
              <w:spacing w:before="29" w:line="288" w:lineRule="auto"/>
              <w:jc w:val="right"/>
              <w:rPr>
                <w:color w:val="000000"/>
                <w:kern w:val="0"/>
                <w:sz w:val="24"/>
              </w:rPr>
            </w:pPr>
            <w:r>
              <w:rPr>
                <w:color w:val="000000"/>
                <w:kern w:val="0"/>
                <w:sz w:val="24"/>
              </w:rPr>
              <w:t>776,663.43</w:t>
            </w:r>
          </w:p>
        </w:tc>
        <w:tc>
          <w:tcPr>
            <w:tcW w:w="3120" w:type="dxa"/>
            <w:vAlign w:val="center"/>
          </w:tcPr>
          <w:p>
            <w:pPr>
              <w:spacing w:before="29" w:line="288" w:lineRule="auto"/>
              <w:jc w:val="right"/>
              <w:rPr>
                <w:color w:val="000000"/>
                <w:kern w:val="0"/>
                <w:sz w:val="24"/>
              </w:rPr>
            </w:pPr>
            <w:r>
              <w:rPr>
                <w:color w:val="000000"/>
                <w:kern w:val="0"/>
                <w:sz w:val="24"/>
              </w:rPr>
              <w:t>776,663.43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20" w:type="dxa"/>
            <w:vAlign w:val="center"/>
          </w:tcPr>
          <w:p>
            <w:pPr>
              <w:spacing w:before="29" w:line="288" w:lineRule="auto"/>
              <w:rPr>
                <w:sz w:val="24"/>
              </w:rPr>
            </w:pPr>
            <w:r>
              <w:rPr>
                <w:rFonts w:hint="eastAsia"/>
                <w:sz w:val="24"/>
              </w:rPr>
              <w:t>本期申购</w:t>
            </w:r>
          </w:p>
        </w:tc>
        <w:tc>
          <w:tcPr>
            <w:tcW w:w="3120" w:type="dxa"/>
            <w:vAlign w:val="center"/>
          </w:tcPr>
          <w:p>
            <w:pPr>
              <w:spacing w:before="29" w:line="288" w:lineRule="auto"/>
              <w:jc w:val="right"/>
              <w:rPr>
                <w:color w:val="000000"/>
                <w:kern w:val="0"/>
                <w:sz w:val="24"/>
              </w:rPr>
            </w:pPr>
            <w:r>
              <w:rPr>
                <w:color w:val="000000"/>
                <w:kern w:val="0"/>
                <w:sz w:val="24"/>
              </w:rPr>
              <w:t>73,523.98</w:t>
            </w:r>
          </w:p>
        </w:tc>
        <w:tc>
          <w:tcPr>
            <w:tcW w:w="3120" w:type="dxa"/>
            <w:vAlign w:val="center"/>
          </w:tcPr>
          <w:p>
            <w:pPr>
              <w:spacing w:before="29" w:line="288" w:lineRule="auto"/>
              <w:jc w:val="right"/>
              <w:rPr>
                <w:color w:val="000000"/>
                <w:kern w:val="0"/>
                <w:sz w:val="24"/>
              </w:rPr>
            </w:pPr>
            <w:r>
              <w:rPr>
                <w:color w:val="000000"/>
                <w:kern w:val="0"/>
                <w:sz w:val="24"/>
              </w:rPr>
              <w:t>73,523.98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20" w:type="dxa"/>
            <w:vAlign w:val="center"/>
          </w:tcPr>
          <w:p>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pPr>
              <w:spacing w:before="29" w:line="288" w:lineRule="auto"/>
              <w:jc w:val="right"/>
              <w:rPr>
                <w:color w:val="000000"/>
                <w:kern w:val="0"/>
                <w:sz w:val="24"/>
              </w:rPr>
            </w:pPr>
            <w:r>
              <w:rPr>
                <w:color w:val="000000"/>
                <w:kern w:val="0"/>
                <w:sz w:val="24"/>
              </w:rPr>
              <w:t>-731,850.13</w:t>
            </w:r>
          </w:p>
        </w:tc>
        <w:tc>
          <w:tcPr>
            <w:tcW w:w="3120" w:type="dxa"/>
            <w:vAlign w:val="center"/>
          </w:tcPr>
          <w:p>
            <w:pPr>
              <w:spacing w:before="29" w:line="288" w:lineRule="auto"/>
              <w:jc w:val="right"/>
              <w:rPr>
                <w:color w:val="000000"/>
                <w:kern w:val="0"/>
                <w:sz w:val="24"/>
              </w:rPr>
            </w:pPr>
            <w:r>
              <w:rPr>
                <w:color w:val="000000"/>
                <w:kern w:val="0"/>
                <w:sz w:val="24"/>
              </w:rPr>
              <w:t>-731,850.13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120" w:type="dxa"/>
            <w:vAlign w:val="center"/>
          </w:tcPr>
          <w:p>
            <w:pPr>
              <w:spacing w:before="29" w:line="288" w:lineRule="auto"/>
              <w:rPr>
                <w:rFonts w:asciiTheme="minorEastAsia" w:hAnsiTheme="minorEastAsia" w:eastAsiaTheme="minorEastAsia"/>
                <w:color w:val="000000"/>
                <w:szCs w:val="21"/>
              </w:rPr>
            </w:pPr>
            <w:r>
              <w:rPr>
                <w:rFonts w:hint="eastAsia"/>
                <w:sz w:val="24"/>
              </w:rPr>
              <w:t>本期末</w:t>
            </w:r>
          </w:p>
        </w:tc>
        <w:tc>
          <w:tcPr>
            <w:tcW w:w="3120" w:type="dxa"/>
            <w:vAlign w:val="center"/>
          </w:tcPr>
          <w:p>
            <w:pPr>
              <w:spacing w:before="29" w:line="288" w:lineRule="auto"/>
              <w:jc w:val="right"/>
              <w:rPr>
                <w:color w:val="000000"/>
                <w:kern w:val="0"/>
                <w:sz w:val="24"/>
              </w:rPr>
            </w:pPr>
            <w:r>
              <w:rPr>
                <w:color w:val="000000"/>
                <w:kern w:val="0"/>
                <w:sz w:val="24"/>
              </w:rPr>
              <w:t>118,337.28</w:t>
            </w:r>
          </w:p>
        </w:tc>
        <w:tc>
          <w:tcPr>
            <w:tcW w:w="3120" w:type="dxa"/>
            <w:vAlign w:val="center"/>
          </w:tcPr>
          <w:p>
            <w:pPr>
              <w:spacing w:before="29" w:line="288" w:lineRule="auto"/>
              <w:jc w:val="right"/>
              <w:rPr>
                <w:color w:val="000000"/>
                <w:kern w:val="0"/>
                <w:sz w:val="24"/>
              </w:rPr>
            </w:pPr>
            <w:r>
              <w:rPr>
                <w:color w:val="000000"/>
                <w:kern w:val="0"/>
                <w:sz w:val="24"/>
              </w:rPr>
              <w:t>118,337.28</w:t>
            </w:r>
          </w:p>
        </w:tc>
      </w:tr>
    </w:tbl>
    <w:p>
      <w:pPr>
        <w:tabs>
          <w:tab w:val="left" w:pos="426"/>
        </w:tabs>
        <w:spacing w:before="29" w:line="288" w:lineRule="auto"/>
        <w:jc w:val="left"/>
        <w:rPr>
          <w:rFonts w:eastAsiaTheme="minorEastAsia"/>
          <w:b/>
          <w:sz w:val="24"/>
        </w:rPr>
      </w:pPr>
      <w:r>
        <w:rPr>
          <w:kern w:val="0"/>
          <w:sz w:val="24"/>
        </w:rPr>
        <w:t>注：1、如果本报告期间发生红利再投、转换入业务，则总申购份额中包含该业务；</w:t>
      </w:r>
    </w:p>
    <w:p>
      <w:pPr>
        <w:tabs>
          <w:tab w:val="left" w:pos="426"/>
        </w:tabs>
        <w:spacing w:before="29" w:line="288" w:lineRule="auto"/>
        <w:jc w:val="left"/>
        <w:rPr>
          <w:rFonts w:eastAsiaTheme="minorEastAsia"/>
          <w:b/>
          <w:sz w:val="24"/>
        </w:rPr>
      </w:pPr>
      <w:r>
        <w:rPr>
          <w:kern w:val="0"/>
          <w:sz w:val="24"/>
        </w:rPr>
        <w:t>2、如果本报告期间发生转换出业务，则总赎回份额中包含该业务。</w:t>
      </w:r>
      <w:r>
        <w:rPr>
          <w:rFonts w:hint="eastAsia"/>
          <w:kern w:val="0"/>
          <w:sz w:val="24"/>
        </w:rPr>
        <w:br w:type="textWrapping"/>
      </w:r>
    </w:p>
    <w:p>
      <w:pPr>
        <w:spacing w:before="29" w:line="288" w:lineRule="auto"/>
        <w:outlineLvl w:val="2"/>
        <w:rPr>
          <w:rFonts w:eastAsiaTheme="minorEastAsia"/>
          <w:b/>
          <w:sz w:val="24"/>
        </w:rPr>
      </w:pPr>
      <w:bookmarkStart w:id="168" w:name="_Toc67667960"/>
      <w:r>
        <w:rPr>
          <w:rFonts w:eastAsiaTheme="minorEastAsia"/>
          <w:b/>
          <w:sz w:val="24"/>
        </w:rPr>
        <w:t>7.4.7.10</w:t>
      </w:r>
      <w:r>
        <w:rPr>
          <w:rFonts w:hint="eastAsia" w:eastAsiaTheme="minorEastAsia"/>
          <w:b/>
          <w:sz w:val="24"/>
        </w:rPr>
        <w:t>未分配利润</w:t>
      </w:r>
      <w:bookmarkEnd w:id="168"/>
    </w:p>
    <w:p>
      <w:pPr>
        <w:spacing w:before="29" w:line="288" w:lineRule="auto"/>
        <w:rPr>
          <w:rFonts w:asciiTheme="minorEastAsia" w:hAnsiTheme="minorEastAsia" w:eastAsiaTheme="minorEastAsia"/>
          <w:b/>
          <w:color w:val="000000"/>
          <w:szCs w:val="21"/>
        </w:rPr>
      </w:pPr>
      <w:r>
        <w:rPr>
          <w:b/>
          <w:bCs/>
          <w:color w:val="000000"/>
          <w:kern w:val="0"/>
          <w:sz w:val="24"/>
        </w:rPr>
        <w:t>交银丰晟收益债券A</w:t>
      </w:r>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6"/>
        <w:gridCol w:w="2236"/>
        <w:gridCol w:w="2236"/>
        <w:gridCol w:w="2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tcPr>
          <w:p>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color w:val="000000"/>
                <w:sz w:val="24"/>
              </w:rPr>
              <w:t>上年度末</w:t>
            </w:r>
          </w:p>
        </w:tc>
        <w:tc>
          <w:tcPr>
            <w:tcW w:w="2236" w:type="dxa"/>
            <w:vAlign w:val="center"/>
          </w:tcPr>
          <w:p>
            <w:pPr>
              <w:spacing w:before="29" w:line="288" w:lineRule="auto"/>
              <w:jc w:val="right"/>
              <w:rPr>
                <w:color w:val="000000"/>
                <w:kern w:val="0"/>
                <w:sz w:val="24"/>
              </w:rPr>
            </w:pPr>
            <w:r>
              <w:rPr>
                <w:color w:val="000000"/>
                <w:kern w:val="0"/>
                <w:sz w:val="24"/>
              </w:rPr>
              <w:t>20,460,022.39</w:t>
            </w:r>
          </w:p>
        </w:tc>
        <w:tc>
          <w:tcPr>
            <w:tcW w:w="2236" w:type="dxa"/>
            <w:vAlign w:val="center"/>
          </w:tcPr>
          <w:p>
            <w:pPr>
              <w:spacing w:before="29" w:line="288" w:lineRule="auto"/>
              <w:jc w:val="right"/>
              <w:rPr>
                <w:color w:val="000000"/>
                <w:kern w:val="0"/>
                <w:sz w:val="24"/>
              </w:rPr>
            </w:pPr>
            <w:r>
              <w:rPr>
                <w:color w:val="000000"/>
                <w:kern w:val="0"/>
                <w:sz w:val="24"/>
              </w:rPr>
              <w:t>9,651,070.37</w:t>
            </w:r>
          </w:p>
        </w:tc>
        <w:tc>
          <w:tcPr>
            <w:tcW w:w="2237" w:type="dxa"/>
            <w:vAlign w:val="center"/>
          </w:tcPr>
          <w:p>
            <w:pPr>
              <w:spacing w:before="29" w:line="288" w:lineRule="auto"/>
              <w:jc w:val="right"/>
              <w:rPr>
                <w:color w:val="000000"/>
                <w:kern w:val="0"/>
                <w:sz w:val="24"/>
              </w:rPr>
            </w:pPr>
            <w:r>
              <w:rPr>
                <w:color w:val="000000"/>
                <w:kern w:val="0"/>
                <w:sz w:val="24"/>
              </w:rPr>
              <w:t>30,111,092.76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rFonts w:hint="eastAsia"/>
                <w:color w:val="000000"/>
                <w:sz w:val="24"/>
              </w:rPr>
              <w:t>本期利润</w:t>
            </w:r>
          </w:p>
        </w:tc>
        <w:tc>
          <w:tcPr>
            <w:tcW w:w="2236" w:type="dxa"/>
            <w:vAlign w:val="center"/>
          </w:tcPr>
          <w:p>
            <w:pPr>
              <w:spacing w:before="29" w:line="288" w:lineRule="auto"/>
              <w:jc w:val="right"/>
              <w:rPr>
                <w:color w:val="000000"/>
                <w:kern w:val="0"/>
                <w:sz w:val="24"/>
              </w:rPr>
            </w:pPr>
            <w:r>
              <w:rPr>
                <w:color w:val="000000"/>
                <w:kern w:val="0"/>
                <w:sz w:val="24"/>
              </w:rPr>
              <w:t>19,573,255.15</w:t>
            </w:r>
          </w:p>
        </w:tc>
        <w:tc>
          <w:tcPr>
            <w:tcW w:w="2236" w:type="dxa"/>
            <w:vAlign w:val="center"/>
          </w:tcPr>
          <w:p>
            <w:pPr>
              <w:spacing w:before="29" w:line="288" w:lineRule="auto"/>
              <w:jc w:val="right"/>
              <w:rPr>
                <w:color w:val="000000"/>
                <w:kern w:val="0"/>
                <w:sz w:val="24"/>
              </w:rPr>
            </w:pPr>
            <w:r>
              <w:rPr>
                <w:color w:val="000000"/>
                <w:kern w:val="0"/>
                <w:sz w:val="24"/>
              </w:rPr>
              <w:t>-10,594,359.78</w:t>
            </w:r>
          </w:p>
        </w:tc>
        <w:tc>
          <w:tcPr>
            <w:tcW w:w="2237" w:type="dxa"/>
            <w:vAlign w:val="center"/>
          </w:tcPr>
          <w:p>
            <w:pPr>
              <w:spacing w:before="29" w:line="288" w:lineRule="auto"/>
              <w:jc w:val="right"/>
              <w:rPr>
                <w:color w:val="000000"/>
                <w:kern w:val="0"/>
                <w:sz w:val="24"/>
              </w:rPr>
            </w:pPr>
            <w:r>
              <w:rPr>
                <w:color w:val="000000"/>
                <w:kern w:val="0"/>
                <w:sz w:val="24"/>
              </w:rPr>
              <w:t>8,978,895.37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rFonts w:hint="eastAsia"/>
                <w:color w:val="000000"/>
                <w:sz w:val="24"/>
              </w:rPr>
              <w:t>本期基金份额交易产生的变动数</w:t>
            </w:r>
          </w:p>
        </w:tc>
        <w:tc>
          <w:tcPr>
            <w:tcW w:w="2236" w:type="dxa"/>
            <w:vAlign w:val="center"/>
          </w:tcPr>
          <w:p>
            <w:pPr>
              <w:spacing w:before="29" w:line="288" w:lineRule="auto"/>
              <w:jc w:val="right"/>
              <w:rPr>
                <w:color w:val="000000"/>
                <w:kern w:val="0"/>
                <w:sz w:val="24"/>
              </w:rPr>
            </w:pPr>
            <w:r>
              <w:rPr>
                <w:color w:val="000000"/>
                <w:kern w:val="0"/>
                <w:sz w:val="24"/>
              </w:rPr>
              <w:t>-1,391,617.12</w:t>
            </w:r>
          </w:p>
        </w:tc>
        <w:tc>
          <w:tcPr>
            <w:tcW w:w="2236" w:type="dxa"/>
            <w:vAlign w:val="center"/>
          </w:tcPr>
          <w:p>
            <w:pPr>
              <w:spacing w:before="29" w:line="288" w:lineRule="auto"/>
              <w:jc w:val="right"/>
              <w:rPr>
                <w:color w:val="000000"/>
                <w:kern w:val="0"/>
                <w:sz w:val="24"/>
              </w:rPr>
            </w:pPr>
            <w:r>
              <w:rPr>
                <w:color w:val="000000"/>
                <w:kern w:val="0"/>
                <w:sz w:val="24"/>
              </w:rPr>
              <w:t>-1,376,620.88</w:t>
            </w:r>
          </w:p>
        </w:tc>
        <w:tc>
          <w:tcPr>
            <w:tcW w:w="2237" w:type="dxa"/>
            <w:vAlign w:val="center"/>
          </w:tcPr>
          <w:p>
            <w:pPr>
              <w:spacing w:before="29" w:line="288" w:lineRule="auto"/>
              <w:jc w:val="right"/>
              <w:rPr>
                <w:color w:val="000000"/>
                <w:kern w:val="0"/>
                <w:sz w:val="24"/>
              </w:rPr>
            </w:pPr>
            <w:r>
              <w:rPr>
                <w:color w:val="000000"/>
                <w:kern w:val="0"/>
                <w:sz w:val="24"/>
              </w:rPr>
              <w:t>-2,768,238.00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rFonts w:hint="eastAsia"/>
                <w:color w:val="000000"/>
                <w:sz w:val="24"/>
              </w:rPr>
              <w:t>其中：基金申购款</w:t>
            </w:r>
          </w:p>
        </w:tc>
        <w:tc>
          <w:tcPr>
            <w:tcW w:w="2236" w:type="dxa"/>
            <w:vAlign w:val="center"/>
          </w:tcPr>
          <w:p>
            <w:pPr>
              <w:spacing w:before="29" w:line="288" w:lineRule="auto"/>
              <w:jc w:val="right"/>
              <w:rPr>
                <w:color w:val="000000"/>
                <w:kern w:val="0"/>
                <w:sz w:val="24"/>
              </w:rPr>
            </w:pPr>
            <w:r>
              <w:rPr>
                <w:color w:val="000000"/>
                <w:kern w:val="0"/>
                <w:sz w:val="24"/>
              </w:rPr>
              <w:t>15,504,117.26</w:t>
            </w:r>
          </w:p>
        </w:tc>
        <w:tc>
          <w:tcPr>
            <w:tcW w:w="2236" w:type="dxa"/>
            <w:vAlign w:val="center"/>
          </w:tcPr>
          <w:p>
            <w:pPr>
              <w:spacing w:before="29" w:line="288" w:lineRule="auto"/>
              <w:jc w:val="right"/>
              <w:rPr>
                <w:color w:val="000000"/>
                <w:kern w:val="0"/>
                <w:sz w:val="24"/>
              </w:rPr>
            </w:pPr>
            <w:r>
              <w:rPr>
                <w:color w:val="000000"/>
                <w:kern w:val="0"/>
                <w:sz w:val="24"/>
              </w:rPr>
              <w:t>-1,630,254.08</w:t>
            </w:r>
          </w:p>
        </w:tc>
        <w:tc>
          <w:tcPr>
            <w:tcW w:w="2237" w:type="dxa"/>
            <w:vAlign w:val="center"/>
          </w:tcPr>
          <w:p>
            <w:pPr>
              <w:spacing w:before="29" w:line="288" w:lineRule="auto"/>
              <w:jc w:val="right"/>
              <w:rPr>
                <w:color w:val="000000"/>
                <w:kern w:val="0"/>
                <w:sz w:val="24"/>
              </w:rPr>
            </w:pPr>
            <w:r>
              <w:rPr>
                <w:color w:val="000000"/>
                <w:kern w:val="0"/>
                <w:sz w:val="24"/>
              </w:rPr>
              <w:t>13,873,863.18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rFonts w:hint="eastAsia"/>
                <w:color w:val="000000"/>
                <w:sz w:val="24"/>
              </w:rPr>
              <w:t>基金赎回款</w:t>
            </w:r>
          </w:p>
        </w:tc>
        <w:tc>
          <w:tcPr>
            <w:tcW w:w="2236" w:type="dxa"/>
            <w:vAlign w:val="center"/>
          </w:tcPr>
          <w:p>
            <w:pPr>
              <w:spacing w:before="29" w:line="288" w:lineRule="auto"/>
              <w:jc w:val="right"/>
              <w:rPr>
                <w:color w:val="000000"/>
                <w:kern w:val="0"/>
                <w:sz w:val="24"/>
              </w:rPr>
            </w:pPr>
            <w:r>
              <w:rPr>
                <w:color w:val="000000"/>
                <w:kern w:val="0"/>
                <w:sz w:val="24"/>
              </w:rPr>
              <w:t>-16,895,734.38</w:t>
            </w:r>
          </w:p>
        </w:tc>
        <w:tc>
          <w:tcPr>
            <w:tcW w:w="2236" w:type="dxa"/>
            <w:vAlign w:val="center"/>
          </w:tcPr>
          <w:p>
            <w:pPr>
              <w:spacing w:before="29" w:line="288" w:lineRule="auto"/>
              <w:jc w:val="right"/>
              <w:rPr>
                <w:color w:val="000000"/>
                <w:kern w:val="0"/>
                <w:sz w:val="24"/>
              </w:rPr>
            </w:pPr>
            <w:r>
              <w:rPr>
                <w:color w:val="000000"/>
                <w:kern w:val="0"/>
                <w:sz w:val="24"/>
              </w:rPr>
              <w:t>253,633.20</w:t>
            </w:r>
          </w:p>
        </w:tc>
        <w:tc>
          <w:tcPr>
            <w:tcW w:w="2237" w:type="dxa"/>
            <w:vAlign w:val="center"/>
          </w:tcPr>
          <w:p>
            <w:pPr>
              <w:spacing w:before="29" w:line="288" w:lineRule="auto"/>
              <w:jc w:val="right"/>
              <w:rPr>
                <w:color w:val="000000"/>
                <w:kern w:val="0"/>
                <w:sz w:val="24"/>
              </w:rPr>
            </w:pPr>
            <w:r>
              <w:rPr>
                <w:color w:val="000000"/>
                <w:kern w:val="0"/>
                <w:sz w:val="24"/>
              </w:rPr>
              <w:t>-16,642,101.18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rFonts w:hint="eastAsia"/>
                <w:color w:val="000000"/>
                <w:sz w:val="24"/>
              </w:rPr>
              <w:t>本期已分配利润</w:t>
            </w:r>
          </w:p>
        </w:tc>
        <w:tc>
          <w:tcPr>
            <w:tcW w:w="2236" w:type="dxa"/>
            <w:vAlign w:val="center"/>
          </w:tcPr>
          <w:p>
            <w:pPr>
              <w:spacing w:before="29" w:line="288" w:lineRule="auto"/>
              <w:jc w:val="right"/>
              <w:rPr>
                <w:color w:val="000000"/>
                <w:kern w:val="0"/>
                <w:sz w:val="24"/>
              </w:rPr>
            </w:pPr>
            <w:r>
              <w:rPr>
                <w:color w:val="000000"/>
                <w:kern w:val="0"/>
                <w:sz w:val="24"/>
              </w:rPr>
              <w:t>-18,525,540.90</w:t>
            </w:r>
          </w:p>
        </w:tc>
        <w:tc>
          <w:tcPr>
            <w:tcW w:w="2236" w:type="dxa"/>
            <w:vAlign w:val="center"/>
          </w:tcPr>
          <w:p>
            <w:pPr>
              <w:spacing w:before="29" w:line="288" w:lineRule="auto"/>
              <w:jc w:val="right"/>
              <w:rPr>
                <w:color w:val="000000"/>
                <w:kern w:val="0"/>
                <w:sz w:val="24"/>
              </w:rPr>
            </w:pPr>
            <w:r>
              <w:rPr>
                <w:color w:val="000000"/>
                <w:kern w:val="0"/>
                <w:sz w:val="24"/>
              </w:rPr>
              <w:t>-</w:t>
            </w:r>
          </w:p>
        </w:tc>
        <w:tc>
          <w:tcPr>
            <w:tcW w:w="2237" w:type="dxa"/>
            <w:vAlign w:val="center"/>
          </w:tcPr>
          <w:p>
            <w:pPr>
              <w:spacing w:before="29" w:line="288" w:lineRule="auto"/>
              <w:jc w:val="right"/>
              <w:rPr>
                <w:color w:val="000000"/>
                <w:kern w:val="0"/>
                <w:sz w:val="24"/>
              </w:rPr>
            </w:pPr>
            <w:r>
              <w:rPr>
                <w:color w:val="000000"/>
                <w:kern w:val="0"/>
                <w:sz w:val="24"/>
              </w:rPr>
              <w:t>-18,525,540.90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rFonts w:hint="eastAsia"/>
                <w:color w:val="000000"/>
                <w:sz w:val="24"/>
              </w:rPr>
              <w:t>本期末</w:t>
            </w:r>
          </w:p>
        </w:tc>
        <w:tc>
          <w:tcPr>
            <w:tcW w:w="2236" w:type="dxa"/>
            <w:vAlign w:val="center"/>
          </w:tcPr>
          <w:p>
            <w:pPr>
              <w:spacing w:before="29" w:line="288" w:lineRule="auto"/>
              <w:jc w:val="right"/>
              <w:rPr>
                <w:color w:val="000000"/>
                <w:kern w:val="0"/>
                <w:sz w:val="24"/>
              </w:rPr>
            </w:pPr>
            <w:r>
              <w:rPr>
                <w:color w:val="000000"/>
                <w:kern w:val="0"/>
                <w:sz w:val="24"/>
              </w:rPr>
              <w:t>20,116,119.52</w:t>
            </w:r>
          </w:p>
        </w:tc>
        <w:tc>
          <w:tcPr>
            <w:tcW w:w="2236" w:type="dxa"/>
            <w:vAlign w:val="center"/>
          </w:tcPr>
          <w:p>
            <w:pPr>
              <w:spacing w:before="29" w:line="288" w:lineRule="auto"/>
              <w:jc w:val="right"/>
              <w:rPr>
                <w:color w:val="000000"/>
                <w:kern w:val="0"/>
                <w:sz w:val="24"/>
              </w:rPr>
            </w:pPr>
            <w:r>
              <w:rPr>
                <w:color w:val="000000"/>
                <w:kern w:val="0"/>
                <w:sz w:val="24"/>
              </w:rPr>
              <w:t>-2,319,910.29</w:t>
            </w:r>
          </w:p>
        </w:tc>
        <w:tc>
          <w:tcPr>
            <w:tcW w:w="2237" w:type="dxa"/>
            <w:vAlign w:val="center"/>
          </w:tcPr>
          <w:p>
            <w:pPr>
              <w:spacing w:before="29" w:line="288" w:lineRule="auto"/>
              <w:jc w:val="right"/>
              <w:rPr>
                <w:color w:val="000000"/>
                <w:kern w:val="0"/>
                <w:sz w:val="24"/>
              </w:rPr>
            </w:pPr>
            <w:r>
              <w:rPr>
                <w:color w:val="000000"/>
                <w:kern w:val="0"/>
                <w:sz w:val="24"/>
              </w:rPr>
              <w:t>17,796,209.23</w:t>
            </w:r>
          </w:p>
        </w:tc>
      </w:tr>
    </w:tbl>
    <w:p>
      <w:pPr>
        <w:adjustRightInd w:val="0"/>
        <w:snapToGrid w:val="0"/>
        <w:spacing w:line="360" w:lineRule="auto"/>
        <w:jc w:val="left"/>
        <w:rPr>
          <w:rFonts w:asciiTheme="minorEastAsia" w:hAnsiTheme="minorEastAsia" w:eastAsiaTheme="minorEastAsia"/>
          <w:bCs/>
          <w:color w:val="000000"/>
          <w:szCs w:val="21"/>
        </w:rPr>
      </w:pPr>
    </w:p>
    <w:p>
      <w:pPr>
        <w:spacing w:before="29" w:line="288" w:lineRule="auto"/>
        <w:rPr>
          <w:b/>
          <w:bCs/>
          <w:color w:val="000000"/>
          <w:kern w:val="0"/>
          <w:sz w:val="24"/>
        </w:rPr>
      </w:pPr>
      <w:r>
        <w:rPr>
          <w:b/>
          <w:bCs/>
          <w:color w:val="000000"/>
          <w:kern w:val="0"/>
          <w:sz w:val="24"/>
        </w:rPr>
        <w:t>交银丰晟收益债券C</w:t>
      </w:r>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6"/>
        <w:gridCol w:w="2236"/>
        <w:gridCol w:w="2236"/>
        <w:gridCol w:w="2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tcPr>
          <w:p>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color w:val="000000"/>
                <w:sz w:val="24"/>
              </w:rPr>
              <w:t>上年度末</w:t>
            </w:r>
          </w:p>
        </w:tc>
        <w:tc>
          <w:tcPr>
            <w:tcW w:w="2236" w:type="dxa"/>
            <w:vAlign w:val="center"/>
          </w:tcPr>
          <w:p>
            <w:pPr>
              <w:spacing w:before="29" w:line="288" w:lineRule="auto"/>
              <w:jc w:val="right"/>
              <w:rPr>
                <w:color w:val="000000"/>
                <w:kern w:val="0"/>
                <w:sz w:val="24"/>
              </w:rPr>
            </w:pPr>
            <w:r>
              <w:rPr>
                <w:color w:val="000000"/>
                <w:kern w:val="0"/>
                <w:sz w:val="24"/>
              </w:rPr>
              <w:t>43,045.50</w:t>
            </w:r>
          </w:p>
        </w:tc>
        <w:tc>
          <w:tcPr>
            <w:tcW w:w="2236" w:type="dxa"/>
            <w:vAlign w:val="center"/>
          </w:tcPr>
          <w:p>
            <w:pPr>
              <w:spacing w:before="29" w:line="288" w:lineRule="auto"/>
              <w:jc w:val="right"/>
              <w:rPr>
                <w:color w:val="000000"/>
                <w:kern w:val="0"/>
                <w:sz w:val="24"/>
              </w:rPr>
            </w:pPr>
            <w:r>
              <w:rPr>
                <w:color w:val="000000"/>
                <w:kern w:val="0"/>
                <w:sz w:val="24"/>
              </w:rPr>
              <w:t>22,619.03</w:t>
            </w:r>
          </w:p>
        </w:tc>
        <w:tc>
          <w:tcPr>
            <w:tcW w:w="2237" w:type="dxa"/>
            <w:vAlign w:val="center"/>
          </w:tcPr>
          <w:p>
            <w:pPr>
              <w:spacing w:before="29" w:line="288" w:lineRule="auto"/>
              <w:jc w:val="right"/>
              <w:rPr>
                <w:color w:val="000000"/>
                <w:kern w:val="0"/>
                <w:sz w:val="24"/>
              </w:rPr>
            </w:pPr>
            <w:r>
              <w:rPr>
                <w:color w:val="000000"/>
                <w:kern w:val="0"/>
                <w:sz w:val="24"/>
              </w:rPr>
              <w:t>65,664.53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rFonts w:hint="eastAsia"/>
                <w:color w:val="000000"/>
                <w:sz w:val="24"/>
              </w:rPr>
              <w:t>本期利润</w:t>
            </w:r>
          </w:p>
        </w:tc>
        <w:tc>
          <w:tcPr>
            <w:tcW w:w="2236" w:type="dxa"/>
            <w:vAlign w:val="center"/>
          </w:tcPr>
          <w:p>
            <w:pPr>
              <w:spacing w:before="29" w:line="288" w:lineRule="auto"/>
              <w:jc w:val="right"/>
              <w:rPr>
                <w:color w:val="000000"/>
                <w:kern w:val="0"/>
                <w:sz w:val="24"/>
              </w:rPr>
            </w:pPr>
            <w:r>
              <w:rPr>
                <w:color w:val="000000"/>
                <w:kern w:val="0"/>
                <w:sz w:val="24"/>
              </w:rPr>
              <w:t>39,858.24</w:t>
            </w:r>
          </w:p>
        </w:tc>
        <w:tc>
          <w:tcPr>
            <w:tcW w:w="2236" w:type="dxa"/>
            <w:vAlign w:val="center"/>
          </w:tcPr>
          <w:p>
            <w:pPr>
              <w:spacing w:before="29" w:line="288" w:lineRule="auto"/>
              <w:jc w:val="right"/>
              <w:rPr>
                <w:color w:val="000000"/>
                <w:kern w:val="0"/>
                <w:sz w:val="24"/>
              </w:rPr>
            </w:pPr>
            <w:r>
              <w:rPr>
                <w:color w:val="000000"/>
                <w:kern w:val="0"/>
                <w:sz w:val="24"/>
              </w:rPr>
              <w:t>-24,464.12</w:t>
            </w:r>
          </w:p>
        </w:tc>
        <w:tc>
          <w:tcPr>
            <w:tcW w:w="2237" w:type="dxa"/>
            <w:vAlign w:val="center"/>
          </w:tcPr>
          <w:p>
            <w:pPr>
              <w:spacing w:before="29" w:line="288" w:lineRule="auto"/>
              <w:jc w:val="right"/>
              <w:rPr>
                <w:color w:val="000000"/>
                <w:kern w:val="0"/>
                <w:sz w:val="24"/>
              </w:rPr>
            </w:pPr>
            <w:r>
              <w:rPr>
                <w:color w:val="000000"/>
                <w:kern w:val="0"/>
                <w:sz w:val="24"/>
              </w:rPr>
              <w:t>15,394.12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rFonts w:hint="eastAsia"/>
                <w:color w:val="000000"/>
                <w:sz w:val="24"/>
              </w:rPr>
              <w:t>本期基金份额交易产生的变动数</w:t>
            </w:r>
          </w:p>
        </w:tc>
        <w:tc>
          <w:tcPr>
            <w:tcW w:w="2236" w:type="dxa"/>
            <w:vAlign w:val="center"/>
          </w:tcPr>
          <w:p>
            <w:pPr>
              <w:spacing w:before="29" w:line="288" w:lineRule="auto"/>
              <w:jc w:val="right"/>
              <w:rPr>
                <w:color w:val="000000"/>
                <w:kern w:val="0"/>
                <w:sz w:val="24"/>
              </w:rPr>
            </w:pPr>
            <w:r>
              <w:rPr>
                <w:color w:val="000000"/>
                <w:kern w:val="0"/>
                <w:sz w:val="24"/>
              </w:rPr>
              <w:t>-36,291.08</w:t>
            </w:r>
          </w:p>
        </w:tc>
        <w:tc>
          <w:tcPr>
            <w:tcW w:w="2236" w:type="dxa"/>
            <w:vAlign w:val="center"/>
          </w:tcPr>
          <w:p>
            <w:pPr>
              <w:spacing w:before="29" w:line="288" w:lineRule="auto"/>
              <w:jc w:val="right"/>
              <w:rPr>
                <w:color w:val="000000"/>
                <w:kern w:val="0"/>
                <w:sz w:val="24"/>
              </w:rPr>
            </w:pPr>
            <w:r>
              <w:rPr>
                <w:color w:val="000000"/>
                <w:kern w:val="0"/>
                <w:sz w:val="24"/>
              </w:rPr>
              <w:t>858.57</w:t>
            </w:r>
          </w:p>
        </w:tc>
        <w:tc>
          <w:tcPr>
            <w:tcW w:w="2237" w:type="dxa"/>
            <w:vAlign w:val="center"/>
          </w:tcPr>
          <w:p>
            <w:pPr>
              <w:spacing w:before="29" w:line="288" w:lineRule="auto"/>
              <w:jc w:val="right"/>
              <w:rPr>
                <w:color w:val="000000"/>
                <w:kern w:val="0"/>
                <w:sz w:val="24"/>
              </w:rPr>
            </w:pPr>
            <w:r>
              <w:rPr>
                <w:color w:val="000000"/>
                <w:kern w:val="0"/>
                <w:sz w:val="24"/>
              </w:rPr>
              <w:t>-35,432.51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rFonts w:hint="eastAsia"/>
                <w:color w:val="000000"/>
                <w:sz w:val="24"/>
              </w:rPr>
              <w:t>其中：基金申购款</w:t>
            </w:r>
          </w:p>
        </w:tc>
        <w:tc>
          <w:tcPr>
            <w:tcW w:w="2236" w:type="dxa"/>
            <w:vAlign w:val="center"/>
          </w:tcPr>
          <w:p>
            <w:pPr>
              <w:spacing w:before="29" w:line="288" w:lineRule="auto"/>
              <w:jc w:val="right"/>
              <w:rPr>
                <w:color w:val="000000"/>
                <w:kern w:val="0"/>
                <w:sz w:val="24"/>
              </w:rPr>
            </w:pPr>
            <w:r>
              <w:rPr>
                <w:color w:val="000000"/>
                <w:kern w:val="0"/>
                <w:sz w:val="24"/>
              </w:rPr>
              <w:t>3,984.77</w:t>
            </w:r>
          </w:p>
        </w:tc>
        <w:tc>
          <w:tcPr>
            <w:tcW w:w="2236" w:type="dxa"/>
            <w:vAlign w:val="center"/>
          </w:tcPr>
          <w:p>
            <w:pPr>
              <w:spacing w:before="29" w:line="288" w:lineRule="auto"/>
              <w:jc w:val="right"/>
              <w:rPr>
                <w:color w:val="000000"/>
                <w:kern w:val="0"/>
                <w:sz w:val="24"/>
              </w:rPr>
            </w:pPr>
            <w:r>
              <w:rPr>
                <w:color w:val="000000"/>
                <w:kern w:val="0"/>
                <w:sz w:val="24"/>
              </w:rPr>
              <w:t>-196.71</w:t>
            </w:r>
          </w:p>
        </w:tc>
        <w:tc>
          <w:tcPr>
            <w:tcW w:w="2237" w:type="dxa"/>
            <w:vAlign w:val="center"/>
          </w:tcPr>
          <w:p>
            <w:pPr>
              <w:spacing w:before="29" w:line="288" w:lineRule="auto"/>
              <w:jc w:val="right"/>
              <w:rPr>
                <w:color w:val="000000"/>
                <w:kern w:val="0"/>
                <w:sz w:val="24"/>
              </w:rPr>
            </w:pPr>
            <w:r>
              <w:rPr>
                <w:color w:val="000000"/>
                <w:kern w:val="0"/>
                <w:sz w:val="24"/>
              </w:rPr>
              <w:t>3,788.06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rFonts w:hint="eastAsia"/>
                <w:color w:val="000000"/>
                <w:sz w:val="24"/>
              </w:rPr>
              <w:t>基金赎回款</w:t>
            </w:r>
          </w:p>
        </w:tc>
        <w:tc>
          <w:tcPr>
            <w:tcW w:w="2236" w:type="dxa"/>
            <w:vAlign w:val="center"/>
          </w:tcPr>
          <w:p>
            <w:pPr>
              <w:spacing w:before="29" w:line="288" w:lineRule="auto"/>
              <w:jc w:val="right"/>
              <w:rPr>
                <w:color w:val="000000"/>
                <w:kern w:val="0"/>
                <w:sz w:val="24"/>
              </w:rPr>
            </w:pPr>
            <w:r>
              <w:rPr>
                <w:color w:val="000000"/>
                <w:kern w:val="0"/>
                <w:sz w:val="24"/>
              </w:rPr>
              <w:t>-40,275.85</w:t>
            </w:r>
          </w:p>
        </w:tc>
        <w:tc>
          <w:tcPr>
            <w:tcW w:w="2236" w:type="dxa"/>
            <w:vAlign w:val="center"/>
          </w:tcPr>
          <w:p>
            <w:pPr>
              <w:spacing w:before="29" w:line="288" w:lineRule="auto"/>
              <w:jc w:val="right"/>
              <w:rPr>
                <w:color w:val="000000"/>
                <w:kern w:val="0"/>
                <w:sz w:val="24"/>
              </w:rPr>
            </w:pPr>
            <w:r>
              <w:rPr>
                <w:color w:val="000000"/>
                <w:kern w:val="0"/>
                <w:sz w:val="24"/>
              </w:rPr>
              <w:t>1,055.28</w:t>
            </w:r>
          </w:p>
        </w:tc>
        <w:tc>
          <w:tcPr>
            <w:tcW w:w="2237" w:type="dxa"/>
            <w:vAlign w:val="center"/>
          </w:tcPr>
          <w:p>
            <w:pPr>
              <w:spacing w:before="29" w:line="288" w:lineRule="auto"/>
              <w:jc w:val="right"/>
              <w:rPr>
                <w:color w:val="000000"/>
                <w:kern w:val="0"/>
                <w:sz w:val="24"/>
              </w:rPr>
            </w:pPr>
            <w:r>
              <w:rPr>
                <w:color w:val="000000"/>
                <w:kern w:val="0"/>
                <w:sz w:val="24"/>
              </w:rPr>
              <w:t>-39,220.57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rFonts w:hint="eastAsia"/>
                <w:color w:val="000000"/>
                <w:sz w:val="24"/>
              </w:rPr>
              <w:t>本期已分配利润</w:t>
            </w:r>
          </w:p>
        </w:tc>
        <w:tc>
          <w:tcPr>
            <w:tcW w:w="2236" w:type="dxa"/>
            <w:vAlign w:val="center"/>
          </w:tcPr>
          <w:p>
            <w:pPr>
              <w:spacing w:before="29" w:line="288" w:lineRule="auto"/>
              <w:jc w:val="right"/>
              <w:rPr>
                <w:color w:val="000000"/>
                <w:kern w:val="0"/>
                <w:sz w:val="24"/>
              </w:rPr>
            </w:pPr>
            <w:r>
              <w:rPr>
                <w:color w:val="000000"/>
                <w:kern w:val="0"/>
                <w:sz w:val="24"/>
              </w:rPr>
              <w:t>-38,833.20</w:t>
            </w:r>
          </w:p>
        </w:tc>
        <w:tc>
          <w:tcPr>
            <w:tcW w:w="2236" w:type="dxa"/>
            <w:vAlign w:val="center"/>
          </w:tcPr>
          <w:p>
            <w:pPr>
              <w:spacing w:before="29" w:line="288" w:lineRule="auto"/>
              <w:jc w:val="right"/>
              <w:rPr>
                <w:color w:val="000000"/>
                <w:kern w:val="0"/>
                <w:sz w:val="24"/>
              </w:rPr>
            </w:pPr>
            <w:r>
              <w:rPr>
                <w:color w:val="000000"/>
                <w:kern w:val="0"/>
                <w:sz w:val="24"/>
              </w:rPr>
              <w:t>-</w:t>
            </w:r>
          </w:p>
        </w:tc>
        <w:tc>
          <w:tcPr>
            <w:tcW w:w="2237" w:type="dxa"/>
            <w:vAlign w:val="center"/>
          </w:tcPr>
          <w:p>
            <w:pPr>
              <w:spacing w:before="29" w:line="288" w:lineRule="auto"/>
              <w:jc w:val="right"/>
              <w:rPr>
                <w:color w:val="000000"/>
                <w:kern w:val="0"/>
                <w:sz w:val="24"/>
              </w:rPr>
            </w:pPr>
            <w:r>
              <w:rPr>
                <w:color w:val="000000"/>
                <w:kern w:val="0"/>
                <w:sz w:val="24"/>
              </w:rPr>
              <w:t>-38,833.20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06" w:type="dxa"/>
            <w:vAlign w:val="center"/>
          </w:tcPr>
          <w:p>
            <w:pPr>
              <w:spacing w:before="29" w:line="288" w:lineRule="auto"/>
              <w:rPr>
                <w:color w:val="000000"/>
                <w:sz w:val="24"/>
              </w:rPr>
            </w:pPr>
            <w:r>
              <w:rPr>
                <w:rFonts w:hint="eastAsia"/>
                <w:color w:val="000000"/>
                <w:sz w:val="24"/>
              </w:rPr>
              <w:t>本期末</w:t>
            </w:r>
          </w:p>
        </w:tc>
        <w:tc>
          <w:tcPr>
            <w:tcW w:w="2236" w:type="dxa"/>
            <w:vAlign w:val="center"/>
          </w:tcPr>
          <w:p>
            <w:pPr>
              <w:spacing w:before="29" w:line="288" w:lineRule="auto"/>
              <w:jc w:val="right"/>
              <w:rPr>
                <w:color w:val="000000"/>
                <w:kern w:val="0"/>
                <w:sz w:val="24"/>
              </w:rPr>
            </w:pPr>
            <w:r>
              <w:rPr>
                <w:color w:val="000000"/>
                <w:kern w:val="0"/>
                <w:sz w:val="24"/>
              </w:rPr>
              <w:t>7,779.46</w:t>
            </w:r>
          </w:p>
        </w:tc>
        <w:tc>
          <w:tcPr>
            <w:tcW w:w="2236" w:type="dxa"/>
            <w:vAlign w:val="center"/>
          </w:tcPr>
          <w:p>
            <w:pPr>
              <w:spacing w:before="29" w:line="288" w:lineRule="auto"/>
              <w:jc w:val="right"/>
              <w:rPr>
                <w:color w:val="000000"/>
                <w:kern w:val="0"/>
                <w:sz w:val="24"/>
              </w:rPr>
            </w:pPr>
            <w:r>
              <w:rPr>
                <w:color w:val="000000"/>
                <w:kern w:val="0"/>
                <w:sz w:val="24"/>
              </w:rPr>
              <w:t>-986.52</w:t>
            </w:r>
          </w:p>
        </w:tc>
        <w:tc>
          <w:tcPr>
            <w:tcW w:w="2237" w:type="dxa"/>
            <w:vAlign w:val="center"/>
          </w:tcPr>
          <w:p>
            <w:pPr>
              <w:spacing w:before="29" w:line="288" w:lineRule="auto"/>
              <w:jc w:val="right"/>
              <w:rPr>
                <w:color w:val="000000"/>
                <w:kern w:val="0"/>
                <w:sz w:val="24"/>
              </w:rPr>
            </w:pPr>
            <w:r>
              <w:rPr>
                <w:color w:val="000000"/>
                <w:kern w:val="0"/>
                <w:sz w:val="24"/>
              </w:rPr>
              <w:t>6,792.94</w:t>
            </w:r>
          </w:p>
        </w:tc>
      </w:tr>
    </w:tbl>
    <w:p>
      <w:pPr>
        <w:spacing w:line="360" w:lineRule="auto"/>
        <w:rPr>
          <w:rFonts w:asciiTheme="minorEastAsia" w:hAnsiTheme="minorEastAsia" w:eastAsiaTheme="minorEastAsia"/>
          <w:color w:val="000000"/>
          <w:szCs w:val="21"/>
        </w:rPr>
      </w:pPr>
    </w:p>
    <w:p>
      <w:pPr>
        <w:spacing w:before="29" w:line="288" w:lineRule="auto"/>
        <w:outlineLvl w:val="2"/>
        <w:rPr>
          <w:rFonts w:eastAsiaTheme="minorEastAsia"/>
          <w:b/>
          <w:sz w:val="24"/>
        </w:rPr>
      </w:pPr>
      <w:bookmarkStart w:id="169" w:name="_Toc67667961"/>
      <w:r>
        <w:rPr>
          <w:rFonts w:eastAsiaTheme="minorEastAsia"/>
          <w:b/>
          <w:sz w:val="24"/>
        </w:rPr>
        <w:t>7.4.7.11</w:t>
      </w:r>
      <w:r>
        <w:rPr>
          <w:rFonts w:hint="eastAsia" w:eastAsiaTheme="minorEastAsia"/>
          <w:b/>
          <w:sz w:val="24"/>
        </w:rPr>
        <w:t>存款利息收入</w:t>
      </w:r>
      <w:bookmarkEnd w:id="169"/>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2"/>
        <w:gridCol w:w="3207"/>
        <w:gridCol w:w="2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208"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288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rPr>
                <w:sz w:val="24"/>
              </w:rPr>
            </w:pPr>
            <w:r>
              <w:rPr>
                <w:rFonts w:hint="eastAsia"/>
                <w:sz w:val="24"/>
              </w:rPr>
              <w:t>活期存款利息收入</w:t>
            </w:r>
          </w:p>
        </w:tc>
        <w:tc>
          <w:tcPr>
            <w:tcW w:w="3208" w:type="dxa"/>
            <w:vAlign w:val="center"/>
          </w:tcPr>
          <w:p>
            <w:pPr>
              <w:spacing w:before="29" w:line="288" w:lineRule="auto"/>
              <w:jc w:val="right"/>
              <w:rPr>
                <w:color w:val="000000"/>
                <w:kern w:val="0"/>
                <w:sz w:val="24"/>
              </w:rPr>
            </w:pPr>
            <w:r>
              <w:rPr>
                <w:color w:val="000000"/>
                <w:kern w:val="0"/>
                <w:sz w:val="24"/>
              </w:rPr>
              <w:t>26,717.97</w:t>
            </w:r>
          </w:p>
        </w:tc>
        <w:tc>
          <w:tcPr>
            <w:tcW w:w="2880" w:type="dxa"/>
            <w:vAlign w:val="center"/>
          </w:tcPr>
          <w:p>
            <w:pPr>
              <w:spacing w:before="29" w:line="288" w:lineRule="auto"/>
              <w:jc w:val="right"/>
              <w:rPr>
                <w:color w:val="000000"/>
                <w:kern w:val="0"/>
                <w:sz w:val="24"/>
              </w:rPr>
            </w:pPr>
            <w:r>
              <w:rPr>
                <w:color w:val="000000"/>
                <w:kern w:val="0"/>
                <w:sz w:val="24"/>
              </w:rPr>
              <w:t>6,206.83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rPr>
                <w:sz w:val="24"/>
              </w:rPr>
            </w:pPr>
            <w:r>
              <w:rPr>
                <w:rFonts w:hint="eastAsia"/>
                <w:sz w:val="24"/>
              </w:rPr>
              <w:t>定期存款利息收入</w:t>
            </w:r>
          </w:p>
        </w:tc>
        <w:tc>
          <w:tcPr>
            <w:tcW w:w="3208" w:type="dxa"/>
            <w:vAlign w:val="center"/>
          </w:tcPr>
          <w:p>
            <w:pPr>
              <w:spacing w:before="29" w:line="288" w:lineRule="auto"/>
              <w:jc w:val="right"/>
              <w:rPr>
                <w:color w:val="000000"/>
                <w:kern w:val="0"/>
                <w:sz w:val="24"/>
              </w:rPr>
            </w:pPr>
            <w:r>
              <w:rPr>
                <w:color w:val="000000"/>
                <w:kern w:val="0"/>
                <w:sz w:val="24"/>
              </w:rPr>
              <w:t>-</w:t>
            </w:r>
          </w:p>
        </w:tc>
        <w:tc>
          <w:tcPr>
            <w:tcW w:w="288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rPr>
                <w:sz w:val="24"/>
              </w:rPr>
            </w:pPr>
            <w:r>
              <w:rPr>
                <w:rFonts w:hint="eastAsia"/>
                <w:sz w:val="24"/>
              </w:rPr>
              <w:t>其他存款利息收入</w:t>
            </w:r>
          </w:p>
        </w:tc>
        <w:tc>
          <w:tcPr>
            <w:tcW w:w="3208" w:type="dxa"/>
            <w:vAlign w:val="center"/>
          </w:tcPr>
          <w:p>
            <w:pPr>
              <w:spacing w:before="29" w:line="288" w:lineRule="auto"/>
              <w:jc w:val="right"/>
              <w:rPr>
                <w:color w:val="000000"/>
                <w:kern w:val="0"/>
                <w:sz w:val="24"/>
              </w:rPr>
            </w:pPr>
            <w:r>
              <w:rPr>
                <w:color w:val="000000"/>
                <w:kern w:val="0"/>
                <w:sz w:val="24"/>
              </w:rPr>
              <w:t>-</w:t>
            </w:r>
          </w:p>
        </w:tc>
        <w:tc>
          <w:tcPr>
            <w:tcW w:w="2880"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rPr>
                <w:sz w:val="24"/>
              </w:rPr>
            </w:pPr>
            <w:r>
              <w:rPr>
                <w:rFonts w:hint="eastAsia"/>
                <w:sz w:val="24"/>
              </w:rPr>
              <w:t>结算备付金利息收入</w:t>
            </w:r>
          </w:p>
        </w:tc>
        <w:tc>
          <w:tcPr>
            <w:tcW w:w="3208" w:type="dxa"/>
            <w:vAlign w:val="center"/>
          </w:tcPr>
          <w:p>
            <w:pPr>
              <w:spacing w:before="29" w:line="288" w:lineRule="auto"/>
              <w:jc w:val="right"/>
              <w:rPr>
                <w:color w:val="000000"/>
                <w:kern w:val="0"/>
                <w:sz w:val="24"/>
              </w:rPr>
            </w:pPr>
            <w:r>
              <w:rPr>
                <w:color w:val="000000"/>
                <w:kern w:val="0"/>
                <w:sz w:val="24"/>
              </w:rPr>
              <w:t>99,568.58</w:t>
            </w:r>
          </w:p>
        </w:tc>
        <w:tc>
          <w:tcPr>
            <w:tcW w:w="2880" w:type="dxa"/>
            <w:vAlign w:val="center"/>
          </w:tcPr>
          <w:p>
            <w:pPr>
              <w:spacing w:before="29" w:line="288" w:lineRule="auto"/>
              <w:jc w:val="right"/>
              <w:rPr>
                <w:color w:val="000000"/>
                <w:kern w:val="0"/>
                <w:sz w:val="24"/>
              </w:rPr>
            </w:pPr>
            <w:r>
              <w:rPr>
                <w:color w:val="000000"/>
                <w:kern w:val="0"/>
                <w:sz w:val="24"/>
              </w:rPr>
              <w:t>313,962.36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rPr>
                <w:sz w:val="24"/>
              </w:rPr>
            </w:pPr>
            <w:r>
              <w:rPr>
                <w:rFonts w:hint="eastAsia"/>
                <w:sz w:val="24"/>
              </w:rPr>
              <w:t>其他</w:t>
            </w:r>
          </w:p>
        </w:tc>
        <w:tc>
          <w:tcPr>
            <w:tcW w:w="3208" w:type="dxa"/>
            <w:vAlign w:val="center"/>
          </w:tcPr>
          <w:p>
            <w:pPr>
              <w:spacing w:before="29" w:line="288" w:lineRule="auto"/>
              <w:jc w:val="right"/>
              <w:rPr>
                <w:color w:val="000000"/>
                <w:kern w:val="0"/>
                <w:sz w:val="24"/>
              </w:rPr>
            </w:pPr>
            <w:r>
              <w:rPr>
                <w:color w:val="000000"/>
                <w:kern w:val="0"/>
                <w:sz w:val="24"/>
              </w:rPr>
              <w:t>188.38</w:t>
            </w:r>
          </w:p>
        </w:tc>
        <w:tc>
          <w:tcPr>
            <w:tcW w:w="2880" w:type="dxa"/>
            <w:vAlign w:val="center"/>
          </w:tcPr>
          <w:p>
            <w:pPr>
              <w:spacing w:before="29" w:line="288" w:lineRule="auto"/>
              <w:jc w:val="right"/>
              <w:rPr>
                <w:color w:val="000000"/>
                <w:kern w:val="0"/>
                <w:sz w:val="24"/>
              </w:rPr>
            </w:pPr>
            <w:r>
              <w:rPr>
                <w:color w:val="000000"/>
                <w:kern w:val="0"/>
                <w:sz w:val="24"/>
              </w:rPr>
              <w:t>27.32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spacing w:before="29" w:line="288" w:lineRule="auto"/>
              <w:rPr>
                <w:sz w:val="24"/>
              </w:rPr>
            </w:pPr>
            <w:r>
              <w:rPr>
                <w:rFonts w:hint="eastAsia"/>
                <w:sz w:val="24"/>
              </w:rPr>
              <w:t>合计</w:t>
            </w:r>
          </w:p>
        </w:tc>
        <w:tc>
          <w:tcPr>
            <w:tcW w:w="3208" w:type="dxa"/>
            <w:vAlign w:val="center"/>
          </w:tcPr>
          <w:p>
            <w:pPr>
              <w:spacing w:before="29" w:line="288" w:lineRule="auto"/>
              <w:jc w:val="right"/>
              <w:rPr>
                <w:color w:val="000000"/>
                <w:kern w:val="0"/>
                <w:sz w:val="24"/>
              </w:rPr>
            </w:pPr>
            <w:r>
              <w:rPr>
                <w:color w:val="000000"/>
                <w:kern w:val="0"/>
                <w:sz w:val="24"/>
              </w:rPr>
              <w:t>126,474.93</w:t>
            </w:r>
          </w:p>
        </w:tc>
        <w:tc>
          <w:tcPr>
            <w:tcW w:w="2880" w:type="dxa"/>
            <w:vAlign w:val="center"/>
          </w:tcPr>
          <w:p>
            <w:pPr>
              <w:spacing w:before="29" w:line="288" w:lineRule="auto"/>
              <w:jc w:val="right"/>
              <w:rPr>
                <w:color w:val="000000"/>
                <w:kern w:val="0"/>
                <w:sz w:val="24"/>
              </w:rPr>
            </w:pPr>
            <w:r>
              <w:rPr>
                <w:color w:val="000000"/>
                <w:kern w:val="0"/>
                <w:sz w:val="24"/>
              </w:rPr>
              <w:t>320,196.51</w:t>
            </w:r>
          </w:p>
        </w:tc>
      </w:tr>
    </w:tbl>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spacing w:before="29" w:line="288" w:lineRule="auto"/>
        <w:outlineLvl w:val="2"/>
        <w:rPr>
          <w:rFonts w:eastAsiaTheme="minorEastAsia"/>
          <w:b/>
          <w:sz w:val="24"/>
        </w:rPr>
      </w:pPr>
      <w:bookmarkStart w:id="170" w:name="_Toc67667962"/>
      <w:r>
        <w:rPr>
          <w:rFonts w:eastAsiaTheme="minorEastAsia"/>
          <w:b/>
          <w:sz w:val="24"/>
        </w:rPr>
        <w:t xml:space="preserve">7.4.7.12 </w:t>
      </w:r>
      <w:r>
        <w:rPr>
          <w:rFonts w:hint="eastAsia" w:eastAsiaTheme="minorEastAsia"/>
          <w:b/>
          <w:sz w:val="24"/>
        </w:rPr>
        <w:t>股票投资收益</w:t>
      </w:r>
      <w:bookmarkEnd w:id="170"/>
    </w:p>
    <w:p>
      <w:pPr>
        <w:tabs>
          <w:tab w:val="left" w:pos="426"/>
        </w:tabs>
        <w:spacing w:before="29" w:line="288" w:lineRule="auto"/>
        <w:jc w:val="left"/>
        <w:rPr>
          <w:kern w:val="0"/>
          <w:sz w:val="24"/>
        </w:rPr>
      </w:pPr>
      <w:r>
        <w:rPr>
          <w:kern w:val="0"/>
          <w:sz w:val="24"/>
        </w:rPr>
        <w:t>本基金本报告期内及上年度可比期间无股票投资收益。</w:t>
      </w:r>
    </w:p>
    <w:p>
      <w:pPr>
        <w:spacing w:before="29" w:line="288" w:lineRule="auto"/>
        <w:outlineLvl w:val="2"/>
        <w:rPr>
          <w:rFonts w:eastAsiaTheme="minorEastAsia"/>
          <w:b/>
          <w:sz w:val="24"/>
        </w:rPr>
      </w:pPr>
      <w:bookmarkStart w:id="171" w:name="_Toc67667963"/>
      <w:r>
        <w:rPr>
          <w:rFonts w:eastAsiaTheme="minorEastAsia"/>
          <w:b/>
          <w:sz w:val="24"/>
        </w:rPr>
        <w:t>7.4.7.13</w:t>
      </w:r>
      <w:r>
        <w:rPr>
          <w:rFonts w:hint="eastAsia" w:eastAsiaTheme="minorEastAsia"/>
          <w:b/>
          <w:sz w:val="24"/>
        </w:rPr>
        <w:t>债券投资收益</w:t>
      </w:r>
      <w:bookmarkEnd w:id="171"/>
    </w:p>
    <w:p>
      <w:pPr>
        <w:autoSpaceDE w:val="0"/>
        <w:autoSpaceDN w:val="0"/>
        <w:adjustRightInd w:val="0"/>
        <w:spacing w:before="29" w:line="288" w:lineRule="auto"/>
        <w:ind w:left="15"/>
        <w:jc w:val="right"/>
        <w:rPr>
          <w:kern w:val="0"/>
          <w:szCs w:val="21"/>
        </w:rPr>
      </w:pPr>
      <w:r>
        <w:rPr>
          <w:bCs/>
          <w:color w:val="000000"/>
          <w:sz w:val="24"/>
        </w:rPr>
        <w:t>单位：人民币元</w:t>
      </w:r>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108" w:type="dxa"/>
        </w:tblCellMar>
      </w:tblPr>
      <w:tblGrid>
        <w:gridCol w:w="3968"/>
        <w:gridCol w:w="2515"/>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vAlign w:val="center"/>
          </w:tcPr>
          <w:p>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pPr>
              <w:widowControl/>
              <w:spacing w:before="29" w:line="288" w:lineRule="auto"/>
              <w:ind w:right="-15"/>
              <w:jc w:val="center"/>
              <w:rPr>
                <w:color w:val="000000"/>
                <w:sz w:val="24"/>
              </w:rPr>
            </w:pPr>
            <w:r>
              <w:rPr>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2020年1月1日至2020年12月31日</w:t>
            </w:r>
          </w:p>
        </w:tc>
        <w:tc>
          <w:tcPr>
            <w:tcW w:w="2616" w:type="dxa"/>
            <w:vAlign w:val="center"/>
          </w:tcPr>
          <w:p>
            <w:pPr>
              <w:widowControl/>
              <w:spacing w:before="29" w:line="288" w:lineRule="auto"/>
              <w:ind w:right="-15"/>
              <w:jc w:val="center"/>
              <w:rPr>
                <w:color w:val="000000"/>
                <w:sz w:val="24"/>
              </w:rPr>
            </w:pPr>
            <w:r>
              <w:rPr>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卖出债券（债转股及债券到期兑付）成交总额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950,539,405.12</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13,414,901.92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减：卖出债券（债转股及债券到期兑付）成本总额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919,854,322.55</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12,624,310.98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减：应收利息总额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18,986,340.59</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325,137.55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买卖债券差价收入</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11,698,741.98</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465,453.39</w:t>
            </w:r>
          </w:p>
        </w:tc>
      </w:tr>
    </w:tbl>
    <w:p>
      <w:pPr>
        <w:tabs>
          <w:tab w:val="left" w:pos="426"/>
        </w:tabs>
        <w:spacing w:before="29" w:line="288" w:lineRule="auto"/>
        <w:jc w:val="left"/>
        <w:rPr>
          <w:kern w:val="0"/>
          <w:sz w:val="24"/>
        </w:rPr>
      </w:pPr>
    </w:p>
    <w:p>
      <w:pPr>
        <w:spacing w:before="29" w:line="288" w:lineRule="auto"/>
        <w:outlineLvl w:val="2"/>
        <w:rPr>
          <w:rFonts w:asciiTheme="minorEastAsia" w:hAnsiTheme="minorEastAsia" w:eastAsiaTheme="minorEastAsia"/>
          <w:b/>
          <w:bCs/>
          <w:color w:val="000000"/>
          <w:szCs w:val="21"/>
        </w:rPr>
      </w:pPr>
      <w:bookmarkStart w:id="172" w:name="_Toc67667964"/>
      <w:r>
        <w:rPr>
          <w:rFonts w:eastAsiaTheme="minorEastAsia"/>
          <w:b/>
          <w:sz w:val="24"/>
        </w:rPr>
        <w:t>7.4.7.</w:t>
      </w:r>
      <w:r>
        <w:rPr>
          <w:rFonts w:hint="eastAsia" w:eastAsiaTheme="minorEastAsia"/>
          <w:b/>
          <w:sz w:val="24"/>
        </w:rPr>
        <w:t>14 资产支持证券投资收益</w:t>
      </w:r>
      <w:bookmarkEnd w:id="172"/>
    </w:p>
    <w:p>
      <w:pPr>
        <w:tabs>
          <w:tab w:val="left" w:pos="426"/>
        </w:tabs>
        <w:spacing w:before="29" w:line="288" w:lineRule="auto"/>
        <w:jc w:val="left"/>
        <w:rPr>
          <w:rFonts w:cs="宋体" w:asciiTheme="minorEastAsia" w:hAnsiTheme="minorEastAsia" w:eastAsiaTheme="minorEastAsia"/>
          <w:kern w:val="0"/>
          <w:szCs w:val="21"/>
        </w:rPr>
      </w:pPr>
      <w:r>
        <w:rPr>
          <w:kern w:val="0"/>
          <w:sz w:val="24"/>
        </w:rPr>
        <w:t>本基金本报告期内及上年度可比期间无资产支持证券投资收益。</w:t>
      </w:r>
    </w:p>
    <w:p>
      <w:pPr>
        <w:spacing w:line="360" w:lineRule="auto"/>
        <w:rPr>
          <w:rFonts w:asciiTheme="minorEastAsia" w:hAnsiTheme="minorEastAsia" w:eastAsiaTheme="minorEastAsia"/>
          <w:color w:val="000000"/>
          <w:szCs w:val="21"/>
        </w:rPr>
      </w:pPr>
    </w:p>
    <w:p>
      <w:pPr>
        <w:spacing w:before="29" w:line="288" w:lineRule="auto"/>
        <w:outlineLvl w:val="2"/>
        <w:rPr>
          <w:rFonts w:eastAsiaTheme="minorEastAsia"/>
          <w:b/>
          <w:sz w:val="24"/>
        </w:rPr>
      </w:pPr>
      <w:bookmarkStart w:id="173" w:name="_Toc67667965"/>
      <w:r>
        <w:rPr>
          <w:rFonts w:eastAsiaTheme="minorEastAsia"/>
          <w:b/>
          <w:sz w:val="24"/>
        </w:rPr>
        <w:t>7.4.7.15</w:t>
      </w:r>
      <w:r>
        <w:rPr>
          <w:rFonts w:hint="eastAsia" w:eastAsiaTheme="minorEastAsia"/>
          <w:b/>
          <w:sz w:val="24"/>
        </w:rPr>
        <w:t>衍生工具收益</w:t>
      </w:r>
      <w:bookmarkEnd w:id="173"/>
    </w:p>
    <w:p>
      <w:pPr>
        <w:tabs>
          <w:tab w:val="left" w:pos="426"/>
        </w:tabs>
        <w:spacing w:before="29" w:line="288" w:lineRule="auto"/>
        <w:jc w:val="left"/>
        <w:rPr>
          <w:kern w:val="0"/>
          <w:sz w:val="24"/>
        </w:rPr>
      </w:pPr>
      <w:r>
        <w:rPr>
          <w:kern w:val="0"/>
          <w:sz w:val="24"/>
        </w:rPr>
        <w:t>本基金本报告期内及上年度可比期间无衍生工具收益。</w:t>
      </w:r>
    </w:p>
    <w:p>
      <w:pPr>
        <w:spacing w:before="29" w:line="288" w:lineRule="auto"/>
        <w:outlineLvl w:val="2"/>
        <w:rPr>
          <w:rFonts w:eastAsiaTheme="minorEastAsia"/>
          <w:b/>
          <w:sz w:val="24"/>
        </w:rPr>
      </w:pPr>
      <w:bookmarkStart w:id="174" w:name="_Toc67667966"/>
      <w:r>
        <w:rPr>
          <w:rFonts w:eastAsiaTheme="minorEastAsia"/>
          <w:b/>
          <w:sz w:val="24"/>
        </w:rPr>
        <w:t>7.4.7.16</w:t>
      </w:r>
      <w:r>
        <w:rPr>
          <w:rFonts w:hint="eastAsia" w:eastAsiaTheme="minorEastAsia"/>
          <w:b/>
          <w:sz w:val="24"/>
        </w:rPr>
        <w:t>股利收益</w:t>
      </w:r>
      <w:bookmarkEnd w:id="174"/>
    </w:p>
    <w:p>
      <w:pPr>
        <w:tabs>
          <w:tab w:val="left" w:pos="426"/>
        </w:tabs>
        <w:spacing w:before="29" w:line="288" w:lineRule="auto"/>
        <w:jc w:val="left"/>
        <w:rPr>
          <w:kern w:val="0"/>
          <w:sz w:val="24"/>
        </w:rPr>
      </w:pPr>
      <w:r>
        <w:rPr>
          <w:kern w:val="0"/>
          <w:sz w:val="24"/>
        </w:rPr>
        <w:t>本基金本报告期内及上年度可比期间无股利收益。</w:t>
      </w:r>
    </w:p>
    <w:p>
      <w:pPr>
        <w:spacing w:line="360" w:lineRule="auto"/>
        <w:outlineLvl w:val="2"/>
        <w:rPr>
          <w:rFonts w:eastAsiaTheme="minorEastAsia"/>
          <w:b/>
          <w:color w:val="000000"/>
          <w:sz w:val="24"/>
        </w:rPr>
      </w:pPr>
      <w:bookmarkStart w:id="175" w:name="_Toc67667967"/>
      <w:r>
        <w:rPr>
          <w:rFonts w:eastAsiaTheme="minorEastAsia"/>
          <w:b/>
          <w:color w:val="000000"/>
          <w:sz w:val="24"/>
        </w:rPr>
        <w:t>7.4.7.17公允价值变动收益</w:t>
      </w:r>
      <w:bookmarkEnd w:id="175"/>
    </w:p>
    <w:p>
      <w:pPr>
        <w:tabs>
          <w:tab w:val="left" w:pos="8820"/>
        </w:tabs>
        <w:spacing w:line="360" w:lineRule="auto"/>
        <w:ind w:right="-109" w:rightChars="-52"/>
        <w:jc w:val="right"/>
        <w:rPr>
          <w:rFonts w:eastAsiaTheme="minorEastAsia"/>
          <w:color w:val="000000"/>
          <w:sz w:val="24"/>
        </w:rPr>
      </w:pPr>
      <w:r>
        <w:rPr>
          <w:rFonts w:eastAsiaTheme="minorEastAsia"/>
          <w:color w:val="000000"/>
          <w:sz w:val="24"/>
        </w:rPr>
        <w:t>单位：人民币元</w:t>
      </w:r>
    </w:p>
    <w:tbl>
      <w:tblPr>
        <w:tblStyle w:val="31"/>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spacing w:line="360" w:lineRule="auto"/>
              <w:jc w:val="center"/>
              <w:rPr>
                <w:rFonts w:eastAsiaTheme="minorEastAsia"/>
                <w:sz w:val="24"/>
              </w:rPr>
            </w:pPr>
            <w:r>
              <w:rPr>
                <w:rFonts w:eastAsiaTheme="minorEastAsia"/>
                <w:kern w:val="0"/>
                <w:sz w:val="24"/>
              </w:rPr>
              <w:t>项目名称</w:t>
            </w:r>
          </w:p>
        </w:tc>
        <w:tc>
          <w:tcPr>
            <w:tcW w:w="3149" w:type="dxa"/>
          </w:tcPr>
          <w:p>
            <w:pPr>
              <w:spacing w:line="360" w:lineRule="auto"/>
              <w:jc w:val="center"/>
              <w:rPr>
                <w:rFonts w:eastAsiaTheme="minorEastAsia"/>
                <w:sz w:val="24"/>
              </w:rPr>
            </w:pPr>
            <w:r>
              <w:rPr>
                <w:rFonts w:eastAsiaTheme="minorEastAsia"/>
                <w:sz w:val="24"/>
              </w:rPr>
              <w:t>本期</w:t>
            </w:r>
          </w:p>
          <w:p>
            <w:pPr>
              <w:widowControl/>
              <w:autoSpaceDE w:val="0"/>
              <w:autoSpaceDN w:val="0"/>
              <w:spacing w:line="360" w:lineRule="auto"/>
              <w:ind w:right="-15"/>
              <w:jc w:val="center"/>
              <w:textAlignment w:val="bottom"/>
              <w:rPr>
                <w:rFonts w:eastAsiaTheme="minorEastAsia"/>
                <w:sz w:val="24"/>
              </w:rPr>
            </w:pPr>
            <w:r>
              <w:rPr>
                <w:rFonts w:eastAsiaTheme="minorEastAsia"/>
                <w:sz w:val="24"/>
              </w:rPr>
              <w:t>2020年1月1日至2020年12月31日</w:t>
            </w:r>
          </w:p>
        </w:tc>
        <w:tc>
          <w:tcPr>
            <w:tcW w:w="3149" w:type="dxa"/>
          </w:tcPr>
          <w:p>
            <w:pPr>
              <w:spacing w:line="360" w:lineRule="auto"/>
              <w:jc w:val="center"/>
              <w:rPr>
                <w:rFonts w:eastAsiaTheme="minorEastAsia"/>
                <w:sz w:val="24"/>
              </w:rPr>
            </w:pPr>
            <w:r>
              <w:rPr>
                <w:rFonts w:eastAsiaTheme="minorEastAsia"/>
                <w:sz w:val="24"/>
              </w:rPr>
              <w:t>上年度可比期间</w:t>
            </w:r>
          </w:p>
          <w:p>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1.交易性金融资产</w:t>
            </w:r>
          </w:p>
        </w:tc>
        <w:tc>
          <w:tcPr>
            <w:tcW w:w="3149" w:type="dxa"/>
            <w:vAlign w:val="center"/>
          </w:tcPr>
          <w:p>
            <w:pPr>
              <w:spacing w:line="360" w:lineRule="auto"/>
              <w:jc w:val="right"/>
              <w:rPr>
                <w:rFonts w:eastAsiaTheme="minorEastAsia"/>
                <w:sz w:val="24"/>
              </w:rPr>
            </w:pPr>
            <w:r>
              <w:rPr>
                <w:rFonts w:eastAsiaTheme="minorEastAsia"/>
                <w:sz w:val="24"/>
              </w:rPr>
              <w:t>-10,618,823.90</w:t>
            </w:r>
          </w:p>
        </w:tc>
        <w:tc>
          <w:tcPr>
            <w:tcW w:w="3149" w:type="dxa"/>
            <w:vAlign w:val="center"/>
          </w:tcPr>
          <w:p>
            <w:pPr>
              <w:spacing w:line="360" w:lineRule="auto"/>
              <w:jc w:val="right"/>
              <w:rPr>
                <w:rFonts w:eastAsiaTheme="minorEastAsia"/>
                <w:sz w:val="24"/>
              </w:rPr>
            </w:pPr>
            <w:r>
              <w:rPr>
                <w:rFonts w:eastAsiaTheme="minorEastAsia"/>
                <w:sz w:val="24"/>
              </w:rPr>
              <w:t>-649,479.97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——股票投资</w:t>
            </w:r>
          </w:p>
        </w:tc>
        <w:tc>
          <w:tcPr>
            <w:tcW w:w="3149" w:type="dxa"/>
            <w:vAlign w:val="center"/>
          </w:tcPr>
          <w:p>
            <w:pPr>
              <w:spacing w:line="360" w:lineRule="auto"/>
              <w:jc w:val="right"/>
              <w:rPr>
                <w:rFonts w:eastAsiaTheme="minorEastAsia"/>
                <w:sz w:val="24"/>
              </w:rPr>
            </w:pPr>
            <w:r>
              <w:rPr>
                <w:rFonts w:eastAsiaTheme="minorEastAsia"/>
                <w:sz w:val="24"/>
              </w:rPr>
              <w:t>-</w:t>
            </w:r>
          </w:p>
        </w:tc>
        <w:tc>
          <w:tcPr>
            <w:tcW w:w="3149"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——债券投资</w:t>
            </w:r>
          </w:p>
        </w:tc>
        <w:tc>
          <w:tcPr>
            <w:tcW w:w="3149" w:type="dxa"/>
            <w:vAlign w:val="center"/>
          </w:tcPr>
          <w:p>
            <w:pPr>
              <w:spacing w:line="360" w:lineRule="auto"/>
              <w:jc w:val="right"/>
              <w:rPr>
                <w:rFonts w:eastAsiaTheme="minorEastAsia"/>
                <w:sz w:val="24"/>
              </w:rPr>
            </w:pPr>
            <w:r>
              <w:rPr>
                <w:rFonts w:eastAsiaTheme="minorEastAsia"/>
                <w:sz w:val="24"/>
              </w:rPr>
              <w:t>-10,618,823.90</w:t>
            </w:r>
          </w:p>
        </w:tc>
        <w:tc>
          <w:tcPr>
            <w:tcW w:w="3149" w:type="dxa"/>
            <w:vAlign w:val="center"/>
          </w:tcPr>
          <w:p>
            <w:pPr>
              <w:spacing w:line="360" w:lineRule="auto"/>
              <w:jc w:val="right"/>
              <w:rPr>
                <w:rFonts w:eastAsiaTheme="minorEastAsia"/>
                <w:sz w:val="24"/>
              </w:rPr>
            </w:pPr>
            <w:r>
              <w:rPr>
                <w:rFonts w:eastAsiaTheme="minorEastAsia"/>
                <w:sz w:val="24"/>
              </w:rPr>
              <w:t>-649,479.97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——资产支持证券投资</w:t>
            </w:r>
          </w:p>
        </w:tc>
        <w:tc>
          <w:tcPr>
            <w:tcW w:w="3149" w:type="dxa"/>
            <w:vAlign w:val="center"/>
          </w:tcPr>
          <w:p>
            <w:pPr>
              <w:spacing w:line="360" w:lineRule="auto"/>
              <w:jc w:val="right"/>
              <w:rPr>
                <w:rFonts w:eastAsiaTheme="minorEastAsia"/>
                <w:sz w:val="24"/>
              </w:rPr>
            </w:pPr>
            <w:r>
              <w:rPr>
                <w:rFonts w:eastAsiaTheme="minorEastAsia"/>
                <w:sz w:val="24"/>
              </w:rPr>
              <w:t>-</w:t>
            </w:r>
          </w:p>
        </w:tc>
        <w:tc>
          <w:tcPr>
            <w:tcW w:w="3149"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——基金投资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——贵金属投资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eastAsiaTheme="minorEastAsia"/>
                <w:kern w:val="0"/>
                <w:sz w:val="24"/>
              </w:rPr>
              <w:t>——</w:t>
            </w:r>
            <w:r>
              <w:rPr>
                <w:rFonts w:hint="eastAsia" w:eastAsiaTheme="minorEastAsia"/>
                <w:kern w:val="0"/>
                <w:sz w:val="24"/>
              </w:rPr>
              <w:t>其他</w:t>
            </w:r>
          </w:p>
        </w:tc>
        <w:tc>
          <w:tcPr>
            <w:tcW w:w="3149" w:type="dxa"/>
            <w:vAlign w:val="center"/>
          </w:tcPr>
          <w:p>
            <w:pPr>
              <w:spacing w:line="360" w:lineRule="auto"/>
              <w:jc w:val="right"/>
              <w:rPr>
                <w:sz w:val="24"/>
              </w:rPr>
            </w:pPr>
            <w:r>
              <w:rPr>
                <w:rFonts w:hint="eastAsia"/>
                <w:sz w:val="24"/>
              </w:rPr>
              <w:t>-</w:t>
            </w:r>
          </w:p>
        </w:tc>
        <w:tc>
          <w:tcPr>
            <w:tcW w:w="3149" w:type="dxa"/>
            <w:vAlign w:val="center"/>
          </w:tcPr>
          <w:p>
            <w:pPr>
              <w:spacing w:line="360" w:lineRule="auto"/>
              <w:jc w:val="right"/>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2.衍生工具</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——权证投资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3.其他</w:t>
            </w:r>
          </w:p>
        </w:tc>
        <w:tc>
          <w:tcPr>
            <w:tcW w:w="3149" w:type="dxa"/>
            <w:vAlign w:val="bottom"/>
          </w:tcPr>
          <w:p>
            <w:pPr>
              <w:spacing w:line="360" w:lineRule="auto"/>
              <w:jc w:val="right"/>
              <w:rPr>
                <w:sz w:val="24"/>
              </w:rPr>
            </w:pPr>
            <w:r>
              <w:rPr>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hint="eastAsia" w:eastAsiaTheme="minorEastAsia"/>
                <w:kern w:val="0"/>
                <w:sz w:val="24"/>
              </w:rPr>
              <w:t>减：应税金融商品公允价值变动产生的预估增值税</w:t>
            </w:r>
          </w:p>
        </w:tc>
        <w:tc>
          <w:tcPr>
            <w:tcW w:w="3149" w:type="dxa"/>
            <w:vAlign w:val="bottom"/>
          </w:tcPr>
          <w:p>
            <w:pPr>
              <w:jc w:val="right"/>
              <w:rPr>
                <w:rFonts w:eastAsiaTheme="minorEastAsia"/>
                <w:sz w:val="24"/>
              </w:rPr>
            </w:pPr>
            <w:r>
              <w:rPr>
                <w:rFonts w:eastAsiaTheme="minorEastAsia"/>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合计</w:t>
            </w:r>
          </w:p>
        </w:tc>
        <w:tc>
          <w:tcPr>
            <w:tcW w:w="3149" w:type="dxa"/>
            <w:vAlign w:val="bottom"/>
          </w:tcPr>
          <w:p>
            <w:pPr>
              <w:spacing w:line="360" w:lineRule="auto"/>
              <w:jc w:val="right"/>
              <w:rPr>
                <w:rFonts w:eastAsiaTheme="minorEastAsia"/>
                <w:sz w:val="24"/>
              </w:rPr>
            </w:pPr>
            <w:r>
              <w:rPr>
                <w:rFonts w:eastAsiaTheme="minorEastAsia"/>
                <w:sz w:val="24"/>
              </w:rPr>
              <w:t>-10,618,823.90</w:t>
            </w:r>
          </w:p>
        </w:tc>
        <w:tc>
          <w:tcPr>
            <w:tcW w:w="3149" w:type="dxa"/>
            <w:vAlign w:val="bottom"/>
          </w:tcPr>
          <w:p>
            <w:pPr>
              <w:spacing w:line="360" w:lineRule="auto"/>
              <w:jc w:val="right"/>
              <w:rPr>
                <w:rFonts w:eastAsiaTheme="minorEastAsia"/>
                <w:sz w:val="24"/>
              </w:rPr>
            </w:pPr>
            <w:r>
              <w:rPr>
                <w:rFonts w:eastAsiaTheme="minorEastAsia"/>
                <w:sz w:val="24"/>
              </w:rPr>
              <w:t>-649,479.97</w:t>
            </w:r>
          </w:p>
        </w:tc>
      </w:tr>
    </w:tbl>
    <w:p>
      <w:pPr>
        <w:spacing w:line="360" w:lineRule="auto"/>
        <w:ind w:firstLine="210" w:firstLineChars="100"/>
        <w:rPr>
          <w:rFonts w:asciiTheme="minorEastAsia" w:hAnsiTheme="minorEastAsia" w:eastAsiaTheme="minorEastAsia"/>
          <w:szCs w:val="21"/>
        </w:rPr>
      </w:pPr>
    </w:p>
    <w:p>
      <w:pPr>
        <w:spacing w:before="29" w:line="288" w:lineRule="auto"/>
        <w:outlineLvl w:val="2"/>
        <w:rPr>
          <w:rFonts w:eastAsiaTheme="minorEastAsia"/>
          <w:b/>
          <w:sz w:val="24"/>
        </w:rPr>
      </w:pPr>
      <w:bookmarkStart w:id="176" w:name="_Toc67667968"/>
      <w:r>
        <w:rPr>
          <w:rFonts w:eastAsiaTheme="minorEastAsia"/>
          <w:b/>
          <w:sz w:val="24"/>
        </w:rPr>
        <w:t>7.4.7.18</w:t>
      </w:r>
      <w:r>
        <w:rPr>
          <w:rFonts w:hint="eastAsia" w:eastAsiaTheme="minorEastAsia"/>
          <w:b/>
          <w:sz w:val="24"/>
        </w:rPr>
        <w:t>其他收入</w:t>
      </w:r>
      <w:bookmarkEnd w:id="176"/>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2"/>
        <w:gridCol w:w="2977"/>
        <w:gridCol w:w="3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732"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977" w:type="dxa"/>
          </w:tcPr>
          <w:p>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289" w:type="dxa"/>
          </w:tcPr>
          <w:p>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732" w:type="dxa"/>
            <w:vAlign w:val="center"/>
          </w:tcPr>
          <w:p>
            <w:pPr>
              <w:spacing w:before="29" w:line="288" w:lineRule="auto"/>
              <w:rPr>
                <w:rFonts w:asciiTheme="minorEastAsia" w:hAnsiTheme="minorEastAsia" w:eastAsiaTheme="minorEastAsia"/>
                <w:szCs w:val="21"/>
              </w:rPr>
            </w:pPr>
            <w:r>
              <w:rPr>
                <w:rFonts w:hint="eastAsia"/>
                <w:sz w:val="24"/>
              </w:rPr>
              <w:t>基金赎回费收入</w:t>
            </w:r>
          </w:p>
        </w:tc>
        <w:tc>
          <w:tcPr>
            <w:tcW w:w="2977" w:type="dxa"/>
            <w:vAlign w:val="center"/>
          </w:tcPr>
          <w:p>
            <w:pPr>
              <w:spacing w:before="29" w:line="288" w:lineRule="auto"/>
              <w:jc w:val="right"/>
              <w:rPr>
                <w:color w:val="000000"/>
                <w:kern w:val="0"/>
                <w:sz w:val="24"/>
              </w:rPr>
            </w:pPr>
            <w:r>
              <w:rPr>
                <w:color w:val="000000"/>
                <w:kern w:val="0"/>
                <w:sz w:val="24"/>
              </w:rPr>
              <w:t>2,950.56</w:t>
            </w:r>
          </w:p>
        </w:tc>
        <w:tc>
          <w:tcPr>
            <w:tcW w:w="3289"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32" w:type="dxa"/>
            <w:vAlign w:val="center"/>
          </w:tcPr>
          <w:p>
            <w:pPr>
              <w:jc w:val="left"/>
            </w:pPr>
            <w:r>
              <w:rPr>
                <w:sz w:val="24"/>
              </w:rPr>
              <w:t>基金转换费收入</w:t>
            </w:r>
          </w:p>
        </w:tc>
        <w:tc>
          <w:tcPr>
            <w:tcW w:w="2977" w:type="dxa"/>
            <w:vAlign w:val="center"/>
          </w:tcPr>
          <w:p>
            <w:pPr>
              <w:jc w:val="right"/>
            </w:pPr>
            <w:r>
              <w:rPr>
                <w:sz w:val="24"/>
              </w:rPr>
              <w:t>151.42</w:t>
            </w:r>
          </w:p>
        </w:tc>
        <w:tc>
          <w:tcPr>
            <w:tcW w:w="3289" w:type="dxa"/>
            <w:vAlign w:val="center"/>
          </w:tcPr>
          <w:p>
            <w:pPr>
              <w:jc w:val="right"/>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732" w:type="dxa"/>
            <w:vAlign w:val="center"/>
          </w:tcPr>
          <w:p>
            <w:pPr>
              <w:spacing w:before="29" w:line="288" w:lineRule="auto"/>
              <w:rPr>
                <w:rFonts w:asciiTheme="minorEastAsia" w:hAnsiTheme="minorEastAsia" w:eastAsiaTheme="minorEastAsia"/>
                <w:szCs w:val="21"/>
              </w:rPr>
            </w:pPr>
            <w:r>
              <w:rPr>
                <w:rFonts w:hint="eastAsia"/>
                <w:sz w:val="24"/>
              </w:rPr>
              <w:t>合计</w:t>
            </w:r>
          </w:p>
        </w:tc>
        <w:tc>
          <w:tcPr>
            <w:tcW w:w="2977" w:type="dxa"/>
            <w:vAlign w:val="center"/>
          </w:tcPr>
          <w:p>
            <w:pPr>
              <w:spacing w:before="29" w:line="288" w:lineRule="auto"/>
              <w:jc w:val="right"/>
              <w:rPr>
                <w:color w:val="000000"/>
                <w:kern w:val="0"/>
                <w:sz w:val="24"/>
              </w:rPr>
            </w:pPr>
            <w:r>
              <w:rPr>
                <w:color w:val="000000"/>
                <w:kern w:val="0"/>
                <w:sz w:val="24"/>
              </w:rPr>
              <w:t>3,101.98</w:t>
            </w:r>
          </w:p>
        </w:tc>
        <w:tc>
          <w:tcPr>
            <w:tcW w:w="3289" w:type="dxa"/>
            <w:vAlign w:val="center"/>
          </w:tcPr>
          <w:p>
            <w:pPr>
              <w:spacing w:before="29" w:line="288" w:lineRule="auto"/>
              <w:jc w:val="right"/>
              <w:rPr>
                <w:color w:val="000000"/>
                <w:kern w:val="0"/>
                <w:sz w:val="24"/>
              </w:rPr>
            </w:pPr>
            <w:r>
              <w:rPr>
                <w:color w:val="000000"/>
                <w:kern w:val="0"/>
                <w:sz w:val="24"/>
              </w:rPr>
              <w:t>-</w:t>
            </w:r>
          </w:p>
        </w:tc>
      </w:tr>
    </w:tbl>
    <w:p>
      <w:pPr>
        <w:spacing w:before="29" w:line="288" w:lineRule="auto"/>
        <w:rPr>
          <w:kern w:val="0"/>
          <w:sz w:val="24"/>
        </w:rPr>
      </w:pPr>
      <w:r>
        <w:rPr>
          <w:rFonts w:hint="eastAsia"/>
          <w:kern w:val="0"/>
          <w:sz w:val="24"/>
        </w:rPr>
        <w:t>注：1、本基金的赎回费率按持有期间递减，不低于赎回费总额的25%归入基金资产；</w:t>
      </w:r>
    </w:p>
    <w:p>
      <w:pPr>
        <w:spacing w:before="29" w:line="288" w:lineRule="auto"/>
        <w:ind w:firstLine="480" w:firstLineChars="200"/>
        <w:rPr>
          <w:kern w:val="0"/>
          <w:sz w:val="24"/>
        </w:rPr>
      </w:pPr>
      <w:r>
        <w:rPr>
          <w:rFonts w:hint="eastAsia"/>
          <w:kern w:val="0"/>
          <w:sz w:val="24"/>
        </w:rPr>
        <w:t>2、本基金的转换费由申购补差费和转出基金的赎回费两部分构成，其中转出基金的不低于赎回费的25%归入转出基金的基金资产。</w:t>
      </w:r>
    </w:p>
    <w:p>
      <w:pPr>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ab/>
      </w:r>
    </w:p>
    <w:p>
      <w:pPr>
        <w:spacing w:before="156" w:beforeLines="50" w:line="360" w:lineRule="auto"/>
        <w:outlineLvl w:val="2"/>
        <w:rPr>
          <w:rFonts w:eastAsiaTheme="minorEastAsia"/>
          <w:b/>
          <w:color w:val="000000" w:themeColor="text1"/>
          <w:szCs w:val="21"/>
        </w:rPr>
      </w:pPr>
      <w:bookmarkStart w:id="177" w:name="_Toc67667969"/>
      <w:r>
        <w:rPr>
          <w:rFonts w:eastAsiaTheme="minorEastAsia"/>
          <w:b/>
          <w:bCs/>
          <w:color w:val="000000" w:themeColor="text1"/>
          <w:kern w:val="0"/>
          <w:szCs w:val="21"/>
        </w:rPr>
        <w:t xml:space="preserve">7.4.7.19 </w:t>
      </w:r>
      <w:r>
        <w:rPr>
          <w:rFonts w:eastAsiaTheme="minorEastAsia"/>
          <w:b/>
          <w:color w:val="000000" w:themeColor="text1"/>
          <w:szCs w:val="21"/>
        </w:rPr>
        <w:t>交易费用</w:t>
      </w:r>
      <w:bookmarkEnd w:id="177"/>
    </w:p>
    <w:p>
      <w:pPr>
        <w:tabs>
          <w:tab w:val="left" w:pos="7200"/>
          <w:tab w:val="left" w:pos="8280"/>
        </w:tabs>
        <w:spacing w:line="360" w:lineRule="auto"/>
        <w:ind w:right="-109" w:rightChars="-52"/>
        <w:jc w:val="right"/>
        <w:rPr>
          <w:rFonts w:eastAsiaTheme="minorEastAsia"/>
          <w:color w:val="000000" w:themeColor="text1"/>
          <w:szCs w:val="21"/>
        </w:rPr>
      </w:pPr>
      <w:r>
        <w:rPr>
          <w:rFonts w:eastAsiaTheme="minorEastAsia"/>
          <w:color w:val="000000" w:themeColor="text1"/>
          <w:szCs w:val="21"/>
        </w:rPr>
        <w:t>单位：人民币元</w:t>
      </w:r>
    </w:p>
    <w:tbl>
      <w:tblPr>
        <w:tblStyle w:val="31"/>
        <w:tblW w:w="91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3114"/>
        <w:gridCol w:w="3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本期</w:t>
            </w:r>
          </w:p>
          <w:p>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2020年1月1日至2020年12月31日</w:t>
            </w:r>
          </w:p>
        </w:tc>
        <w:tc>
          <w:tcPr>
            <w:tcW w:w="3553"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pPr>
              <w:spacing w:line="360" w:lineRule="auto"/>
              <w:jc w:val="center"/>
              <w:rPr>
                <w:rFonts w:eastAsiaTheme="minorEastAsia"/>
                <w:color w:val="000000" w:themeColor="text1"/>
                <w:kern w:val="0"/>
                <w:szCs w:val="21"/>
              </w:rPr>
            </w:pPr>
            <w:r>
              <w:rPr>
                <w:rFonts w:eastAsiaTheme="minorEastAsia"/>
                <w:color w:val="000000" w:themeColor="text1"/>
                <w:szCs w:val="21"/>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527.55</w:t>
            </w:r>
          </w:p>
        </w:tc>
        <w:tc>
          <w:tcPr>
            <w:tcW w:w="3553"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16,375.00</w:t>
            </w:r>
          </w:p>
        </w:tc>
        <w:tc>
          <w:tcPr>
            <w:tcW w:w="3553"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367.50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16,902.55</w:t>
            </w:r>
          </w:p>
        </w:tc>
        <w:tc>
          <w:tcPr>
            <w:tcW w:w="3553"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370.62</w:t>
            </w:r>
          </w:p>
        </w:tc>
      </w:tr>
    </w:tbl>
    <w:p>
      <w:pPr>
        <w:spacing w:before="29" w:line="288" w:lineRule="auto"/>
        <w:outlineLvl w:val="2"/>
        <w:rPr>
          <w:rFonts w:eastAsiaTheme="minorEastAsia"/>
          <w:b/>
          <w:sz w:val="24"/>
        </w:rPr>
      </w:pPr>
      <w:bookmarkStart w:id="178" w:name="_Toc67667970"/>
      <w:r>
        <w:rPr>
          <w:rFonts w:eastAsiaTheme="minorEastAsia"/>
          <w:b/>
          <w:sz w:val="24"/>
        </w:rPr>
        <w:t>7.4.7.20</w:t>
      </w:r>
      <w:r>
        <w:rPr>
          <w:rFonts w:hint="eastAsia" w:eastAsiaTheme="minorEastAsia"/>
          <w:b/>
          <w:sz w:val="24"/>
        </w:rPr>
        <w:t>其他费用</w:t>
      </w:r>
      <w:bookmarkEnd w:id="178"/>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9"/>
        <w:gridCol w:w="2856"/>
        <w:gridCol w:w="3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5"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893" w:type="dxa"/>
          </w:tcPr>
          <w:p>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367" w:type="dxa"/>
          </w:tcPr>
          <w:p>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5" w:type="dxa"/>
            <w:vAlign w:val="center"/>
          </w:tcPr>
          <w:p>
            <w:pPr>
              <w:spacing w:before="29" w:line="288" w:lineRule="auto"/>
              <w:rPr>
                <w:sz w:val="24"/>
              </w:rPr>
            </w:pPr>
            <w:r>
              <w:rPr>
                <w:rFonts w:hint="eastAsia"/>
                <w:sz w:val="24"/>
              </w:rPr>
              <w:t>审计费用</w:t>
            </w:r>
          </w:p>
        </w:tc>
        <w:tc>
          <w:tcPr>
            <w:tcW w:w="2893" w:type="dxa"/>
            <w:vAlign w:val="bottom"/>
          </w:tcPr>
          <w:p>
            <w:pPr>
              <w:spacing w:before="29" w:line="288" w:lineRule="auto"/>
              <w:jc w:val="right"/>
              <w:rPr>
                <w:color w:val="000000"/>
                <w:kern w:val="0"/>
                <w:sz w:val="24"/>
              </w:rPr>
            </w:pPr>
            <w:r>
              <w:rPr>
                <w:color w:val="000000"/>
                <w:kern w:val="0"/>
                <w:sz w:val="24"/>
              </w:rPr>
              <w:t>50,000.00</w:t>
            </w:r>
          </w:p>
        </w:tc>
        <w:tc>
          <w:tcPr>
            <w:tcW w:w="3367" w:type="dxa"/>
            <w:vAlign w:val="bottom"/>
          </w:tcPr>
          <w:p>
            <w:pPr>
              <w:spacing w:before="29" w:line="288" w:lineRule="auto"/>
              <w:jc w:val="right"/>
              <w:rPr>
                <w:color w:val="000000"/>
                <w:kern w:val="0"/>
                <w:sz w:val="24"/>
              </w:rPr>
            </w:pPr>
            <w:r>
              <w:rPr>
                <w:color w:val="000000"/>
                <w:kern w:val="0"/>
                <w:sz w:val="24"/>
              </w:rPr>
              <w:t>60,000.00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5" w:type="dxa"/>
            <w:vAlign w:val="center"/>
          </w:tcPr>
          <w:p>
            <w:pPr>
              <w:spacing w:before="29" w:line="288" w:lineRule="auto"/>
              <w:rPr>
                <w:sz w:val="24"/>
              </w:rPr>
            </w:pPr>
            <w:r>
              <w:rPr>
                <w:rFonts w:hint="eastAsia"/>
                <w:sz w:val="24"/>
              </w:rPr>
              <w:t>信息披露费</w:t>
            </w:r>
          </w:p>
        </w:tc>
        <w:tc>
          <w:tcPr>
            <w:tcW w:w="2893" w:type="dxa"/>
            <w:vAlign w:val="bottom"/>
          </w:tcPr>
          <w:p>
            <w:pPr>
              <w:spacing w:before="29" w:line="288" w:lineRule="auto"/>
              <w:jc w:val="right"/>
              <w:rPr>
                <w:color w:val="000000"/>
                <w:kern w:val="0"/>
                <w:sz w:val="24"/>
              </w:rPr>
            </w:pPr>
            <w:r>
              <w:rPr>
                <w:color w:val="000000"/>
                <w:kern w:val="0"/>
                <w:sz w:val="24"/>
              </w:rPr>
              <w:t>120,000.00</w:t>
            </w:r>
          </w:p>
        </w:tc>
        <w:tc>
          <w:tcPr>
            <w:tcW w:w="3367" w:type="dxa"/>
            <w:vAlign w:val="bottom"/>
          </w:tcPr>
          <w:p>
            <w:pPr>
              <w:spacing w:before="29" w:line="288" w:lineRule="auto"/>
              <w:jc w:val="right"/>
              <w:rPr>
                <w:color w:val="000000"/>
                <w:kern w:val="0"/>
                <w:sz w:val="24"/>
              </w:rPr>
            </w:pPr>
            <w:r>
              <w:rPr>
                <w:color w:val="000000"/>
                <w:kern w:val="0"/>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19" w:type="dxa"/>
            <w:vAlign w:val="center"/>
          </w:tcPr>
          <w:p>
            <w:pPr>
              <w:jc w:val="left"/>
            </w:pPr>
            <w:r>
              <w:rPr>
                <w:sz w:val="24"/>
              </w:rPr>
              <w:t>银行费用</w:t>
            </w:r>
          </w:p>
        </w:tc>
        <w:tc>
          <w:tcPr>
            <w:tcW w:w="2856" w:type="dxa"/>
            <w:vAlign w:val="center"/>
          </w:tcPr>
          <w:p>
            <w:pPr>
              <w:jc w:val="right"/>
            </w:pPr>
            <w:r>
              <w:rPr>
                <w:sz w:val="24"/>
              </w:rPr>
              <w:t>9,673.82</w:t>
            </w:r>
          </w:p>
        </w:tc>
        <w:tc>
          <w:tcPr>
            <w:tcW w:w="3323" w:type="dxa"/>
            <w:vAlign w:val="center"/>
          </w:tcPr>
          <w:p>
            <w:pPr>
              <w:jc w:val="right"/>
            </w:pPr>
            <w:r>
              <w:rPr>
                <w:sz w:val="24"/>
              </w:rPr>
              <w:t>2,946.46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19" w:type="dxa"/>
            <w:vAlign w:val="center"/>
          </w:tcPr>
          <w:p>
            <w:pPr>
              <w:jc w:val="left"/>
            </w:pPr>
            <w:r>
              <w:rPr>
                <w:sz w:val="24"/>
              </w:rPr>
              <w:t>债券账户费用</w:t>
            </w:r>
          </w:p>
        </w:tc>
        <w:tc>
          <w:tcPr>
            <w:tcW w:w="2856" w:type="dxa"/>
            <w:vAlign w:val="center"/>
          </w:tcPr>
          <w:p>
            <w:pPr>
              <w:jc w:val="right"/>
            </w:pPr>
            <w:r>
              <w:rPr>
                <w:sz w:val="24"/>
              </w:rPr>
              <w:t>37,200.00</w:t>
            </w:r>
          </w:p>
        </w:tc>
        <w:tc>
          <w:tcPr>
            <w:tcW w:w="3323" w:type="dxa"/>
            <w:vAlign w:val="center"/>
          </w:tcPr>
          <w:p>
            <w:pPr>
              <w:jc w:val="right"/>
            </w:pPr>
            <w:r>
              <w:rPr>
                <w:sz w:val="24"/>
              </w:rPr>
              <w:t>37,200.00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19" w:type="dxa"/>
            <w:vAlign w:val="center"/>
          </w:tcPr>
          <w:p>
            <w:pPr>
              <w:jc w:val="left"/>
            </w:pPr>
            <w:r>
              <w:rPr>
                <w:sz w:val="24"/>
              </w:rPr>
              <w:t>其他</w:t>
            </w:r>
          </w:p>
        </w:tc>
        <w:tc>
          <w:tcPr>
            <w:tcW w:w="2856" w:type="dxa"/>
            <w:vAlign w:val="center"/>
          </w:tcPr>
          <w:p>
            <w:pPr>
              <w:jc w:val="right"/>
            </w:pPr>
            <w:r>
              <w:rPr>
                <w:sz w:val="24"/>
              </w:rPr>
              <w:t>-</w:t>
            </w:r>
          </w:p>
        </w:tc>
        <w:tc>
          <w:tcPr>
            <w:tcW w:w="3323" w:type="dxa"/>
            <w:vAlign w:val="center"/>
          </w:tcPr>
          <w:p>
            <w:pPr>
              <w:jc w:val="right"/>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5" w:type="dxa"/>
            <w:vAlign w:val="center"/>
          </w:tcPr>
          <w:p>
            <w:pPr>
              <w:spacing w:before="29" w:line="288" w:lineRule="auto"/>
              <w:rPr>
                <w:rFonts w:asciiTheme="minorEastAsia" w:hAnsiTheme="minorEastAsia" w:eastAsiaTheme="minorEastAsia"/>
                <w:szCs w:val="21"/>
              </w:rPr>
            </w:pPr>
            <w:r>
              <w:rPr>
                <w:rFonts w:hint="eastAsia"/>
                <w:sz w:val="24"/>
              </w:rPr>
              <w:t>合计</w:t>
            </w:r>
          </w:p>
        </w:tc>
        <w:tc>
          <w:tcPr>
            <w:tcW w:w="2893" w:type="dxa"/>
            <w:vAlign w:val="center"/>
          </w:tcPr>
          <w:p>
            <w:pPr>
              <w:spacing w:before="29" w:line="288" w:lineRule="auto"/>
              <w:jc w:val="right"/>
              <w:rPr>
                <w:color w:val="000000"/>
                <w:kern w:val="0"/>
                <w:sz w:val="24"/>
              </w:rPr>
            </w:pPr>
            <w:r>
              <w:rPr>
                <w:color w:val="000000"/>
                <w:kern w:val="0"/>
                <w:sz w:val="24"/>
              </w:rPr>
              <w:t>216,873.82</w:t>
            </w:r>
          </w:p>
        </w:tc>
        <w:tc>
          <w:tcPr>
            <w:tcW w:w="3367" w:type="dxa"/>
            <w:vAlign w:val="center"/>
          </w:tcPr>
          <w:p>
            <w:pPr>
              <w:spacing w:before="29" w:line="288" w:lineRule="auto"/>
              <w:jc w:val="right"/>
              <w:rPr>
                <w:color w:val="000000"/>
                <w:kern w:val="0"/>
                <w:sz w:val="24"/>
              </w:rPr>
            </w:pPr>
            <w:r>
              <w:rPr>
                <w:color w:val="000000"/>
                <w:kern w:val="0"/>
                <w:sz w:val="24"/>
              </w:rPr>
              <w:t>220,146.46</w:t>
            </w:r>
          </w:p>
        </w:tc>
      </w:tr>
    </w:tbl>
    <w:p>
      <w:pPr>
        <w:spacing w:line="360" w:lineRule="auto"/>
        <w:rPr>
          <w:rFonts w:asciiTheme="minorEastAsia" w:hAnsiTheme="minorEastAsia" w:eastAsiaTheme="minorEastAsia"/>
          <w:color w:val="000000"/>
          <w:szCs w:val="21"/>
        </w:rPr>
      </w:pPr>
    </w:p>
    <w:p>
      <w:pPr>
        <w:spacing w:before="29" w:line="288" w:lineRule="auto"/>
        <w:outlineLvl w:val="1"/>
        <w:rPr>
          <w:rFonts w:eastAsiaTheme="minorEastAsia"/>
          <w:b/>
          <w:sz w:val="24"/>
        </w:rPr>
      </w:pPr>
      <w:bookmarkStart w:id="179" w:name="_Toc67667971"/>
      <w:r>
        <w:rPr>
          <w:rFonts w:eastAsiaTheme="minorEastAsia"/>
          <w:b/>
          <w:sz w:val="24"/>
        </w:rPr>
        <w:t>7.4.8</w:t>
      </w:r>
      <w:r>
        <w:rPr>
          <w:rFonts w:hint="eastAsia" w:eastAsiaTheme="minorEastAsia"/>
          <w:b/>
          <w:sz w:val="24"/>
        </w:rPr>
        <w:t>或有事项、资产负债表日后事项的说明</w:t>
      </w:r>
      <w:bookmarkEnd w:id="179"/>
    </w:p>
    <w:p>
      <w:pPr>
        <w:spacing w:before="29" w:line="288" w:lineRule="auto"/>
        <w:outlineLvl w:val="2"/>
        <w:rPr>
          <w:rFonts w:eastAsiaTheme="minorEastAsia"/>
          <w:b/>
          <w:sz w:val="24"/>
        </w:rPr>
      </w:pPr>
      <w:bookmarkStart w:id="180" w:name="_Toc67667972"/>
      <w:r>
        <w:rPr>
          <w:rFonts w:eastAsiaTheme="minorEastAsia"/>
          <w:b/>
          <w:sz w:val="24"/>
        </w:rPr>
        <w:t xml:space="preserve">7.4.8.1 </w:t>
      </w:r>
      <w:r>
        <w:rPr>
          <w:rFonts w:hint="eastAsia" w:eastAsiaTheme="minorEastAsia"/>
          <w:b/>
          <w:sz w:val="24"/>
        </w:rPr>
        <w:t>或有事项</w:t>
      </w:r>
      <w:bookmarkEnd w:id="180"/>
    </w:p>
    <w:p>
      <w:pPr>
        <w:spacing w:before="29" w:line="288" w:lineRule="auto"/>
        <w:ind w:firstLine="480" w:firstLineChars="200"/>
        <w:rPr>
          <w:kern w:val="0"/>
          <w:sz w:val="24"/>
        </w:rPr>
      </w:pPr>
      <w:r>
        <w:rPr>
          <w:kern w:val="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outlineLvl w:val="2"/>
        <w:rPr>
          <w:rFonts w:eastAsiaTheme="minorEastAsia"/>
          <w:b/>
          <w:sz w:val="24"/>
        </w:rPr>
      </w:pPr>
      <w:bookmarkStart w:id="181" w:name="_Toc67667973"/>
      <w:r>
        <w:rPr>
          <w:rFonts w:eastAsiaTheme="minorEastAsia"/>
          <w:b/>
          <w:sz w:val="24"/>
        </w:rPr>
        <w:t xml:space="preserve">7.4.8.2 </w:t>
      </w:r>
      <w:r>
        <w:rPr>
          <w:rFonts w:hint="eastAsia" w:eastAsiaTheme="minorEastAsia"/>
          <w:b/>
          <w:sz w:val="24"/>
        </w:rPr>
        <w:t>资产负债表日后事项</w:t>
      </w:r>
      <w:bookmarkEnd w:id="181"/>
    </w:p>
    <w:p>
      <w:pPr>
        <w:spacing w:before="29" w:line="288" w:lineRule="auto"/>
        <w:ind w:firstLine="480" w:firstLineChars="200"/>
        <w:rPr>
          <w:kern w:val="0"/>
          <w:sz w:val="24"/>
        </w:rPr>
      </w:pPr>
      <w:r>
        <w:rPr>
          <w:rFonts w:hint="eastAsia"/>
          <w:kern w:val="0"/>
          <w:sz w:val="24"/>
        </w:rPr>
        <w:t>无</w:t>
      </w:r>
      <w:r>
        <w:rPr>
          <w:kern w:val="0"/>
          <w:sz w:val="24"/>
        </w:rPr>
        <w:t>。</w:t>
      </w:r>
    </w:p>
    <w:p>
      <w:pPr>
        <w:spacing w:before="29" w:line="288" w:lineRule="auto"/>
        <w:rPr>
          <w:rFonts w:eastAsiaTheme="minorEastAsia"/>
          <w:b/>
          <w:sz w:val="24"/>
        </w:rPr>
      </w:pPr>
    </w:p>
    <w:p>
      <w:pPr>
        <w:spacing w:before="29" w:line="288" w:lineRule="auto"/>
        <w:outlineLvl w:val="1"/>
        <w:rPr>
          <w:b/>
          <w:bCs/>
          <w:color w:val="000000"/>
          <w:kern w:val="0"/>
          <w:sz w:val="24"/>
        </w:rPr>
      </w:pPr>
      <w:bookmarkStart w:id="182" w:name="_Toc67667974"/>
      <w:r>
        <w:rPr>
          <w:b/>
          <w:bCs/>
          <w:color w:val="000000"/>
          <w:kern w:val="0"/>
          <w:sz w:val="24"/>
        </w:rPr>
        <w:t>7.4.9</w:t>
      </w:r>
      <w:r>
        <w:rPr>
          <w:rFonts w:hint="eastAsia"/>
          <w:b/>
          <w:bCs/>
          <w:color w:val="000000"/>
          <w:kern w:val="0"/>
          <w:sz w:val="24"/>
        </w:rPr>
        <w:t>关联方关系</w:t>
      </w:r>
      <w:bookmarkEnd w:id="182"/>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0"/>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tcPr>
          <w:p>
            <w:pPr>
              <w:spacing w:before="29" w:line="288" w:lineRule="auto"/>
              <w:jc w:val="center"/>
              <w:rPr>
                <w:color w:val="000000"/>
                <w:sz w:val="24"/>
              </w:rPr>
            </w:pPr>
            <w:r>
              <w:rPr>
                <w:rFonts w:hint="eastAsia"/>
                <w:color w:val="000000"/>
                <w:sz w:val="24"/>
              </w:rPr>
              <w:t>关联方名称</w:t>
            </w:r>
          </w:p>
        </w:tc>
        <w:tc>
          <w:tcPr>
            <w:tcW w:w="3780" w:type="dxa"/>
          </w:tcPr>
          <w:p>
            <w:pPr>
              <w:spacing w:before="29" w:line="288" w:lineRule="auto"/>
              <w:jc w:val="center"/>
              <w:rPr>
                <w:color w:val="000000"/>
                <w:sz w:val="24"/>
              </w:rPr>
            </w:pPr>
            <w:r>
              <w:rPr>
                <w:rFonts w:hint="eastAsia"/>
                <w:color w:val="000000"/>
                <w:sz w:val="24"/>
              </w:rPr>
              <w:t>与本基金的关系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交银施罗德基金管理有限公司(“交银施罗德基金公司”)</w:t>
            </w:r>
          </w:p>
        </w:tc>
        <w:tc>
          <w:tcPr>
            <w:tcW w:w="3780" w:type="dxa"/>
            <w:vAlign w:val="center"/>
          </w:tcPr>
          <w:p>
            <w:pPr>
              <w:jc w:val="center"/>
            </w:pPr>
            <w:r>
              <w:rPr>
                <w:color w:val="000000"/>
                <w:sz w:val="24"/>
              </w:rPr>
              <w:t>基金管理人、基金销售机构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招商银行股份有限公司(“招商银行”)</w:t>
            </w:r>
          </w:p>
        </w:tc>
        <w:tc>
          <w:tcPr>
            <w:tcW w:w="3780" w:type="dxa"/>
            <w:vAlign w:val="center"/>
          </w:tcPr>
          <w:p>
            <w:pPr>
              <w:jc w:val="center"/>
            </w:pPr>
            <w:r>
              <w:rPr>
                <w:color w:val="000000"/>
                <w:sz w:val="24"/>
              </w:rPr>
              <w:t>基金托管人、基金销售机构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交通银行股份有限公司（“交通银行”）</w:t>
            </w:r>
          </w:p>
        </w:tc>
        <w:tc>
          <w:tcPr>
            <w:tcW w:w="3780" w:type="dxa"/>
            <w:vAlign w:val="center"/>
          </w:tcPr>
          <w:p>
            <w:pPr>
              <w:jc w:val="center"/>
            </w:pPr>
            <w:r>
              <w:rPr>
                <w:color w:val="000000"/>
                <w:sz w:val="24"/>
              </w:rPr>
              <w:t>基金管理人的股东、基金销售机构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施罗德投资管理有限公司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中国国际海运集装箱(集团)股份有限公司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交银施罗德资产管理有限公司</w:t>
            </w:r>
          </w:p>
        </w:tc>
        <w:tc>
          <w:tcPr>
            <w:tcW w:w="3780" w:type="dxa"/>
            <w:vAlign w:val="center"/>
          </w:tcPr>
          <w:p>
            <w:pPr>
              <w:jc w:val="center"/>
            </w:pPr>
            <w:r>
              <w:rPr>
                <w:color w:val="000000"/>
                <w:sz w:val="24"/>
              </w:rPr>
              <w:t>基金管理人的子公司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上海直源投资管理有限公司</w:t>
            </w:r>
          </w:p>
        </w:tc>
        <w:tc>
          <w:tcPr>
            <w:tcW w:w="3780" w:type="dxa"/>
            <w:vAlign w:val="center"/>
          </w:tcPr>
          <w:p>
            <w:pPr>
              <w:jc w:val="center"/>
            </w:pPr>
            <w:r>
              <w:rPr>
                <w:color w:val="000000"/>
                <w:sz w:val="24"/>
              </w:rPr>
              <w:t>受基金管理人控制的公司</w:t>
            </w:r>
          </w:p>
        </w:tc>
      </w:tr>
    </w:tbl>
    <w:p>
      <w:pPr>
        <w:tabs>
          <w:tab w:val="left" w:pos="426"/>
        </w:tabs>
        <w:spacing w:before="29" w:line="288" w:lineRule="auto"/>
        <w:jc w:val="left"/>
        <w:rPr>
          <w:kern w:val="0"/>
          <w:sz w:val="24"/>
        </w:rPr>
      </w:pPr>
      <w:r>
        <w:rPr>
          <w:kern w:val="0"/>
          <w:sz w:val="24"/>
        </w:rPr>
        <w:t>注：下述关联交易均在正常业务范围内按一般商业条款订立。</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spacing w:before="29" w:line="288" w:lineRule="auto"/>
        <w:outlineLvl w:val="1"/>
        <w:rPr>
          <w:rFonts w:eastAsiaTheme="minorEastAsia"/>
          <w:b/>
          <w:sz w:val="24"/>
        </w:rPr>
      </w:pPr>
      <w:bookmarkStart w:id="183" w:name="_Toc67667975"/>
      <w:r>
        <w:rPr>
          <w:rFonts w:eastAsiaTheme="minorEastAsia"/>
          <w:b/>
          <w:sz w:val="24"/>
        </w:rPr>
        <w:t>7.4.10</w:t>
      </w:r>
      <w:r>
        <w:rPr>
          <w:rFonts w:hint="eastAsia" w:eastAsiaTheme="minorEastAsia"/>
          <w:b/>
          <w:sz w:val="24"/>
        </w:rPr>
        <w:t>本报告期及上年度可比期间的关联方交易</w:t>
      </w:r>
      <w:bookmarkEnd w:id="183"/>
    </w:p>
    <w:p>
      <w:pPr>
        <w:spacing w:before="29" w:line="288" w:lineRule="auto"/>
        <w:outlineLvl w:val="2"/>
        <w:rPr>
          <w:rFonts w:eastAsiaTheme="minorEastAsia"/>
          <w:b/>
          <w:sz w:val="24"/>
        </w:rPr>
      </w:pPr>
      <w:bookmarkStart w:id="184" w:name="_Toc67667976"/>
      <w:r>
        <w:rPr>
          <w:rFonts w:eastAsiaTheme="minorEastAsia"/>
          <w:b/>
          <w:sz w:val="24"/>
        </w:rPr>
        <w:t>7.4.10.1</w:t>
      </w:r>
      <w:r>
        <w:rPr>
          <w:rFonts w:hint="eastAsia" w:eastAsiaTheme="minorEastAsia"/>
          <w:b/>
          <w:sz w:val="24"/>
        </w:rPr>
        <w:t>通过关联方交易单元进行的交易</w:t>
      </w:r>
      <w:bookmarkEnd w:id="184"/>
    </w:p>
    <w:p>
      <w:pPr>
        <w:spacing w:before="29" w:line="288" w:lineRule="auto"/>
        <w:ind w:firstLine="480" w:firstLineChars="200"/>
        <w:rPr>
          <w:kern w:val="0"/>
          <w:sz w:val="24"/>
        </w:rPr>
      </w:pPr>
      <w:r>
        <w:rPr>
          <w:kern w:val="0"/>
          <w:sz w:val="24"/>
        </w:rPr>
        <w:t xml:space="preserve">本基金本报告期内及上年度可比期间无通过关联方交易单元进行的交易。 </w:t>
      </w:r>
    </w:p>
    <w:p>
      <w:pPr>
        <w:spacing w:before="29" w:line="288" w:lineRule="auto"/>
        <w:ind w:firstLine="480" w:firstLineChars="200"/>
        <w:rPr>
          <w:kern w:val="0"/>
          <w:sz w:val="24"/>
        </w:rPr>
      </w:pPr>
    </w:p>
    <w:p>
      <w:pPr>
        <w:spacing w:before="29" w:line="288" w:lineRule="auto"/>
        <w:outlineLvl w:val="2"/>
        <w:rPr>
          <w:rFonts w:eastAsiaTheme="minorEastAsia"/>
          <w:b/>
          <w:sz w:val="24"/>
        </w:rPr>
      </w:pPr>
      <w:bookmarkStart w:id="185" w:name="_Toc67667977"/>
      <w:r>
        <w:rPr>
          <w:rFonts w:eastAsiaTheme="minorEastAsia"/>
          <w:b/>
          <w:sz w:val="24"/>
        </w:rPr>
        <w:t>7.4.10.2</w:t>
      </w:r>
      <w:r>
        <w:rPr>
          <w:rFonts w:hint="eastAsia" w:eastAsiaTheme="minorEastAsia"/>
          <w:b/>
          <w:sz w:val="24"/>
        </w:rPr>
        <w:t>关联方报酬</w:t>
      </w:r>
      <w:bookmarkEnd w:id="185"/>
    </w:p>
    <w:p>
      <w:pPr>
        <w:spacing w:before="29" w:line="288" w:lineRule="auto"/>
        <w:rPr>
          <w:rFonts w:eastAsiaTheme="minorEastAsia"/>
          <w:b/>
          <w:sz w:val="24"/>
        </w:rPr>
      </w:pPr>
      <w:r>
        <w:rPr>
          <w:rFonts w:eastAsiaTheme="minorEastAsia"/>
          <w:b/>
          <w:sz w:val="24"/>
        </w:rPr>
        <w:t>7.4.10.2.1</w:t>
      </w:r>
      <w:r>
        <w:rPr>
          <w:rFonts w:hint="eastAsia" w:eastAsiaTheme="minorEastAsia"/>
          <w:b/>
          <w:sz w:val="24"/>
        </w:rPr>
        <w:t>基金管理费</w:t>
      </w:r>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657"/>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2657" w:type="dxa"/>
          </w:tcPr>
          <w:p>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spacing w:before="29" w:line="288" w:lineRule="auto"/>
              <w:rPr>
                <w:sz w:val="24"/>
              </w:rPr>
            </w:pPr>
            <w:r>
              <w:rPr>
                <w:rFonts w:hint="eastAsia"/>
                <w:sz w:val="24"/>
              </w:rPr>
              <w:t>当期发生的基金应支付的管理费</w:t>
            </w:r>
          </w:p>
        </w:tc>
        <w:tc>
          <w:tcPr>
            <w:tcW w:w="2657" w:type="dxa"/>
            <w:vAlign w:val="center"/>
          </w:tcPr>
          <w:p>
            <w:pPr>
              <w:spacing w:before="29" w:line="288" w:lineRule="auto"/>
              <w:jc w:val="right"/>
              <w:rPr>
                <w:color w:val="000000"/>
                <w:kern w:val="0"/>
                <w:sz w:val="24"/>
              </w:rPr>
            </w:pPr>
            <w:r>
              <w:rPr>
                <w:color w:val="000000"/>
                <w:kern w:val="0"/>
                <w:sz w:val="24"/>
              </w:rPr>
              <w:t>1,498,982.97</w:t>
            </w:r>
          </w:p>
        </w:tc>
        <w:tc>
          <w:tcPr>
            <w:tcW w:w="2657" w:type="dxa"/>
            <w:vAlign w:val="center"/>
          </w:tcPr>
          <w:p>
            <w:pPr>
              <w:spacing w:before="29" w:line="288" w:lineRule="auto"/>
              <w:jc w:val="right"/>
              <w:rPr>
                <w:color w:val="000000"/>
                <w:kern w:val="0"/>
                <w:sz w:val="24"/>
              </w:rPr>
            </w:pPr>
            <w:r>
              <w:rPr>
                <w:color w:val="000000"/>
                <w:kern w:val="0"/>
                <w:sz w:val="24"/>
              </w:rPr>
              <w:t>2,841,284.29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spacing w:before="29" w:line="288" w:lineRule="auto"/>
              <w:rPr>
                <w:sz w:val="24"/>
              </w:rPr>
            </w:pPr>
            <w:r>
              <w:rPr>
                <w:rFonts w:hint="eastAsia"/>
                <w:sz w:val="24"/>
              </w:rPr>
              <w:t>其中：支付销售机构的客户维护费</w:t>
            </w:r>
          </w:p>
        </w:tc>
        <w:tc>
          <w:tcPr>
            <w:tcW w:w="2657" w:type="dxa"/>
            <w:vAlign w:val="center"/>
          </w:tcPr>
          <w:p>
            <w:pPr>
              <w:spacing w:before="29" w:line="288" w:lineRule="auto"/>
              <w:jc w:val="right"/>
              <w:rPr>
                <w:color w:val="000000"/>
                <w:kern w:val="0"/>
                <w:sz w:val="24"/>
              </w:rPr>
            </w:pPr>
            <w:r>
              <w:rPr>
                <w:color w:val="000000"/>
                <w:kern w:val="0"/>
                <w:sz w:val="24"/>
              </w:rPr>
              <w:t>529,129.89</w:t>
            </w:r>
          </w:p>
        </w:tc>
        <w:tc>
          <w:tcPr>
            <w:tcW w:w="2657" w:type="dxa"/>
            <w:vAlign w:val="center"/>
          </w:tcPr>
          <w:p>
            <w:pPr>
              <w:spacing w:before="29" w:line="288" w:lineRule="auto"/>
              <w:jc w:val="right"/>
              <w:rPr>
                <w:color w:val="000000"/>
                <w:kern w:val="0"/>
                <w:sz w:val="24"/>
              </w:rPr>
            </w:pPr>
            <w:r>
              <w:rPr>
                <w:color w:val="000000"/>
                <w:kern w:val="0"/>
                <w:sz w:val="24"/>
              </w:rPr>
              <w:t>1,135,915.44</w:t>
            </w:r>
          </w:p>
        </w:tc>
      </w:tr>
    </w:tbl>
    <w:p>
      <w:pPr>
        <w:tabs>
          <w:tab w:val="left" w:pos="426"/>
        </w:tabs>
        <w:spacing w:before="29" w:line="288" w:lineRule="auto"/>
        <w:jc w:val="left"/>
        <w:rPr>
          <w:kern w:val="0"/>
          <w:sz w:val="24"/>
        </w:rPr>
      </w:pPr>
      <w:r>
        <w:rPr>
          <w:kern w:val="0"/>
          <w:sz w:val="24"/>
        </w:rPr>
        <w:t>注：</w:t>
      </w:r>
      <w:r>
        <w:rPr>
          <w:rFonts w:hint="eastAsia"/>
          <w:kern w:val="0"/>
          <w:sz w:val="24"/>
        </w:rPr>
        <w:t>自2018年5月23日（基金合同生效日）至2020年7月7日，支付基金管理人的管理人报酬按前一日基金资产净值0.80%的年费率计提，逐日累计至每月月底，按月支付。其计算公式为：</w:t>
      </w:r>
    </w:p>
    <w:p>
      <w:pPr>
        <w:tabs>
          <w:tab w:val="left" w:pos="426"/>
        </w:tabs>
        <w:spacing w:before="29" w:line="288" w:lineRule="auto"/>
        <w:jc w:val="left"/>
        <w:rPr>
          <w:kern w:val="0"/>
          <w:sz w:val="24"/>
        </w:rPr>
      </w:pPr>
      <w:r>
        <w:rPr>
          <w:rFonts w:hint="eastAsia"/>
          <w:kern w:val="0"/>
          <w:sz w:val="24"/>
        </w:rPr>
        <w:t>日管理人报酬＝前一日基金资产净值 × 0.80% ÷当年天数。</w:t>
      </w:r>
    </w:p>
    <w:p>
      <w:pPr>
        <w:tabs>
          <w:tab w:val="left" w:pos="426"/>
        </w:tabs>
        <w:spacing w:before="29" w:line="288" w:lineRule="auto"/>
        <w:jc w:val="left"/>
        <w:rPr>
          <w:kern w:val="0"/>
          <w:sz w:val="24"/>
        </w:rPr>
      </w:pPr>
      <w:r>
        <w:rPr>
          <w:rFonts w:hint="eastAsia"/>
          <w:kern w:val="0"/>
          <w:sz w:val="24"/>
        </w:rPr>
        <w:t>根据《交银施罗德基金管理有限公司关于调整交银施罗德丰晟收益债券型证券投资基金管理费率与托管费率并修改基金合同的公告》，自2020年7月8日起，支付基金管理人的管理人报酬按前一日基金资产净值0.30%的年费率计提，逐日累计至每月月底，按月支付。其计算公式为：</w:t>
      </w:r>
    </w:p>
    <w:p>
      <w:pPr>
        <w:tabs>
          <w:tab w:val="left" w:pos="426"/>
        </w:tabs>
        <w:spacing w:before="29" w:line="288" w:lineRule="auto"/>
        <w:jc w:val="left"/>
        <w:rPr>
          <w:kern w:val="0"/>
          <w:sz w:val="24"/>
        </w:rPr>
      </w:pPr>
      <w:r>
        <w:rPr>
          <w:rFonts w:hint="eastAsia"/>
          <w:kern w:val="0"/>
          <w:sz w:val="24"/>
        </w:rPr>
        <w:t>日管理人报酬＝前一日基金资产净值 × 0.30%÷当年天数。</w:t>
      </w:r>
    </w:p>
    <w:p>
      <w:pPr>
        <w:spacing w:line="360" w:lineRule="auto"/>
        <w:rPr>
          <w:rFonts w:asciiTheme="minorEastAsia" w:hAnsiTheme="minorEastAsia" w:eastAsiaTheme="minorEastAsia"/>
          <w:color w:val="000000"/>
          <w:szCs w:val="21"/>
        </w:rPr>
      </w:pPr>
    </w:p>
    <w:p>
      <w:pPr>
        <w:spacing w:before="29" w:line="288" w:lineRule="auto"/>
        <w:rPr>
          <w:rFonts w:eastAsiaTheme="minorEastAsia"/>
          <w:b/>
          <w:sz w:val="24"/>
        </w:rPr>
      </w:pPr>
      <w:r>
        <w:rPr>
          <w:rFonts w:eastAsiaTheme="minorEastAsia"/>
          <w:b/>
          <w:sz w:val="24"/>
        </w:rPr>
        <w:t>7.4.10.2.2</w:t>
      </w:r>
      <w:r>
        <w:rPr>
          <w:rFonts w:hint="eastAsia" w:eastAsiaTheme="minorEastAsia"/>
          <w:b/>
          <w:sz w:val="24"/>
        </w:rPr>
        <w:t>基金托管费</w:t>
      </w:r>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657"/>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2657" w:type="dxa"/>
          </w:tcPr>
          <w:p>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spacing w:before="29" w:line="288" w:lineRule="auto"/>
              <w:rPr>
                <w:rFonts w:asciiTheme="minorEastAsia" w:hAnsiTheme="minorEastAsia" w:eastAsiaTheme="minorEastAsia"/>
                <w:color w:val="000000"/>
                <w:szCs w:val="21"/>
              </w:rPr>
            </w:pPr>
            <w:r>
              <w:rPr>
                <w:rFonts w:hint="eastAsia"/>
                <w:sz w:val="24"/>
              </w:rPr>
              <w:t>当期发生的基金应支付的托管费</w:t>
            </w:r>
          </w:p>
        </w:tc>
        <w:tc>
          <w:tcPr>
            <w:tcW w:w="2657" w:type="dxa"/>
            <w:vAlign w:val="center"/>
          </w:tcPr>
          <w:p>
            <w:pPr>
              <w:spacing w:before="29" w:line="288" w:lineRule="auto"/>
              <w:jc w:val="right"/>
              <w:rPr>
                <w:color w:val="000000"/>
                <w:kern w:val="0"/>
                <w:sz w:val="24"/>
              </w:rPr>
            </w:pPr>
            <w:r>
              <w:rPr>
                <w:color w:val="000000"/>
                <w:kern w:val="0"/>
                <w:sz w:val="24"/>
              </w:rPr>
              <w:t>321,494.10</w:t>
            </w:r>
          </w:p>
        </w:tc>
        <w:tc>
          <w:tcPr>
            <w:tcW w:w="2657" w:type="dxa"/>
            <w:vAlign w:val="center"/>
          </w:tcPr>
          <w:p>
            <w:pPr>
              <w:spacing w:before="29" w:line="288" w:lineRule="auto"/>
              <w:jc w:val="right"/>
              <w:rPr>
                <w:color w:val="000000"/>
                <w:kern w:val="0"/>
                <w:sz w:val="24"/>
              </w:rPr>
            </w:pPr>
            <w:r>
              <w:rPr>
                <w:color w:val="000000"/>
                <w:kern w:val="0"/>
                <w:sz w:val="24"/>
              </w:rPr>
              <w:t>532,740.79</w:t>
            </w:r>
          </w:p>
        </w:tc>
      </w:tr>
    </w:tbl>
    <w:p>
      <w:pPr>
        <w:tabs>
          <w:tab w:val="left" w:pos="426"/>
        </w:tabs>
        <w:spacing w:before="29" w:line="288" w:lineRule="auto"/>
        <w:jc w:val="left"/>
        <w:rPr>
          <w:kern w:val="0"/>
          <w:sz w:val="24"/>
        </w:rPr>
      </w:pPr>
      <w:r>
        <w:rPr>
          <w:kern w:val="0"/>
          <w:sz w:val="24"/>
        </w:rPr>
        <w:t>注：</w:t>
      </w:r>
      <w:r>
        <w:rPr>
          <w:rFonts w:hint="eastAsia"/>
          <w:kern w:val="0"/>
          <w:sz w:val="24"/>
        </w:rPr>
        <w:t>自2018年5月23日（基金合同生效日）至2020年7月7日，支付基金托管人的托管费按前一日基金资产净值0.15%的年费率计提，逐日累计至每月月底，按月支付。其计算公式为：</w:t>
      </w:r>
    </w:p>
    <w:p>
      <w:pPr>
        <w:tabs>
          <w:tab w:val="left" w:pos="426"/>
        </w:tabs>
        <w:spacing w:before="29" w:line="288" w:lineRule="auto"/>
        <w:jc w:val="left"/>
        <w:rPr>
          <w:kern w:val="0"/>
          <w:sz w:val="24"/>
        </w:rPr>
      </w:pPr>
      <w:r>
        <w:rPr>
          <w:rFonts w:hint="eastAsia"/>
          <w:kern w:val="0"/>
          <w:sz w:val="24"/>
        </w:rPr>
        <w:t>日托管费＝前一日基金资产净值 × 0.15% ÷当年天数。</w:t>
      </w:r>
    </w:p>
    <w:p>
      <w:pPr>
        <w:tabs>
          <w:tab w:val="left" w:pos="426"/>
        </w:tabs>
        <w:spacing w:before="29" w:line="288" w:lineRule="auto"/>
        <w:jc w:val="left"/>
        <w:rPr>
          <w:kern w:val="0"/>
          <w:sz w:val="24"/>
        </w:rPr>
      </w:pPr>
      <w:r>
        <w:rPr>
          <w:rFonts w:hint="eastAsia"/>
          <w:kern w:val="0"/>
          <w:sz w:val="24"/>
        </w:rPr>
        <w:t>根据《交银施罗德基金管理有限公司关于调整交银施罗德丰晟收益债券型证券投资基金管理费率与托管费率并修改基金合同的公告》，自2020年7月8日起，支付基金托管人的托管费按前一日基金资产净值0.10%的年费率计提，逐日累计至每月月底，按月支付。其计算公式为：</w:t>
      </w:r>
    </w:p>
    <w:p>
      <w:pPr>
        <w:tabs>
          <w:tab w:val="left" w:pos="426"/>
        </w:tabs>
        <w:spacing w:before="29" w:line="288" w:lineRule="auto"/>
        <w:jc w:val="left"/>
        <w:rPr>
          <w:kern w:val="0"/>
          <w:sz w:val="24"/>
        </w:rPr>
      </w:pPr>
      <w:r>
        <w:rPr>
          <w:rFonts w:hint="eastAsia"/>
          <w:kern w:val="0"/>
          <w:sz w:val="24"/>
        </w:rPr>
        <w:t>日托管费＝前一日基金资产净值 × 0.10%÷当年天数。</w:t>
      </w:r>
    </w:p>
    <w:p>
      <w:pPr>
        <w:spacing w:line="360" w:lineRule="auto"/>
        <w:rPr>
          <w:rFonts w:asciiTheme="minorEastAsia" w:hAnsiTheme="minorEastAsia" w:eastAsiaTheme="minorEastAsia"/>
          <w:color w:val="000000"/>
          <w:szCs w:val="21"/>
        </w:rPr>
      </w:pPr>
    </w:p>
    <w:p>
      <w:pPr>
        <w:spacing w:before="29" w:line="288" w:lineRule="auto"/>
        <w:rPr>
          <w:kern w:val="0"/>
          <w:sz w:val="24"/>
        </w:rPr>
      </w:pPr>
      <w:r>
        <w:rPr>
          <w:rFonts w:eastAsiaTheme="minorEastAsia"/>
          <w:b/>
          <w:sz w:val="24"/>
        </w:rPr>
        <w:t>7.4.10.2.3</w:t>
      </w:r>
      <w:r>
        <w:rPr>
          <w:rFonts w:hint="eastAsia" w:eastAsiaTheme="minorEastAsia"/>
          <w:b/>
          <w:sz w:val="24"/>
        </w:rPr>
        <w:t>销售服务费</w:t>
      </w:r>
    </w:p>
    <w:p>
      <w:pPr>
        <w:autoSpaceDE w:val="0"/>
        <w:autoSpaceDN w:val="0"/>
        <w:adjustRightInd w:val="0"/>
        <w:spacing w:before="29" w:line="288" w:lineRule="auto"/>
        <w:ind w:left="15"/>
        <w:jc w:val="right"/>
        <w:rPr>
          <w:rFonts w:eastAsiaTheme="minorEastAsia"/>
          <w:color w:val="000000"/>
          <w:szCs w:val="21"/>
        </w:rPr>
      </w:pPr>
      <w:r>
        <w:rPr>
          <w:bCs/>
          <w:color w:val="000000"/>
          <w:sz w:val="24"/>
        </w:rPr>
        <w:t>单位：人民币元</w:t>
      </w:r>
    </w:p>
    <w:tbl>
      <w:tblPr>
        <w:tblStyle w:val="32"/>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2455"/>
        <w:gridCol w:w="2609"/>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restart"/>
            <w:vAlign w:val="center"/>
          </w:tcPr>
          <w:p>
            <w:pPr>
              <w:widowControl/>
              <w:autoSpaceDE w:val="0"/>
              <w:autoSpaceDN w:val="0"/>
              <w:spacing w:before="29" w:line="288" w:lineRule="auto"/>
              <w:ind w:right="-15"/>
              <w:jc w:val="center"/>
              <w:textAlignment w:val="bottom"/>
              <w:rPr>
                <w:color w:val="000000"/>
                <w:sz w:val="24"/>
              </w:rPr>
            </w:pPr>
            <w:r>
              <w:rPr>
                <w:color w:val="000000"/>
                <w:sz w:val="24"/>
              </w:rPr>
              <w:t>获得销售服务费的各关联方名称</w:t>
            </w:r>
          </w:p>
        </w:tc>
        <w:tc>
          <w:tcPr>
            <w:tcW w:w="7176" w:type="dxa"/>
            <w:gridSpan w:val="3"/>
            <w:vAlign w:val="center"/>
          </w:tcPr>
          <w:p>
            <w:pPr>
              <w:widowControl/>
              <w:autoSpaceDE w:val="0"/>
              <w:autoSpaceDN w:val="0"/>
              <w:spacing w:before="29" w:line="288" w:lineRule="auto"/>
              <w:ind w:left="-107" w:leftChars="-51" w:right="-107" w:rightChars="-51"/>
              <w:jc w:val="center"/>
              <w:textAlignment w:val="bottom"/>
              <w:rPr>
                <w:color w:val="000000"/>
                <w:sz w:val="24"/>
              </w:rPr>
            </w:pPr>
            <w:r>
              <w:rPr>
                <w:color w:val="000000"/>
                <w:sz w:val="24"/>
              </w:rPr>
              <w:t>本期</w:t>
            </w:r>
          </w:p>
          <w:p>
            <w:pPr>
              <w:widowControl/>
              <w:autoSpaceDE w:val="0"/>
              <w:autoSpaceDN w:val="0"/>
              <w:spacing w:before="29" w:line="288" w:lineRule="auto"/>
              <w:ind w:left="-107" w:leftChars="-51" w:right="-107" w:rightChars="-51"/>
              <w:jc w:val="center"/>
              <w:textAlignment w:val="bottom"/>
              <w:rPr>
                <w:color w:val="000000"/>
                <w:sz w:val="24"/>
              </w:rPr>
            </w:pPr>
            <w:r>
              <w:rPr>
                <w:color w:val="000000"/>
                <w:sz w:val="24"/>
              </w:rPr>
              <w:t>2020年1月1日至2020年12月31日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tcPr>
          <w:p>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pPr>
              <w:widowControl/>
              <w:autoSpaceDE w:val="0"/>
              <w:autoSpaceDN w:val="0"/>
              <w:spacing w:before="29" w:line="288" w:lineRule="auto"/>
              <w:ind w:left="-107" w:leftChars="-51" w:right="-107" w:rightChars="-51"/>
              <w:jc w:val="center"/>
              <w:textAlignment w:val="bottom"/>
              <w:rPr>
                <w:color w:val="000000"/>
                <w:sz w:val="24"/>
              </w:rPr>
            </w:pPr>
            <w:r>
              <w:rPr>
                <w:color w:val="000000"/>
                <w:sz w:val="24"/>
              </w:rPr>
              <w:t>当期发生的基金应支付的销售服务费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tcPr>
          <w:p>
            <w:pPr>
              <w:widowControl/>
              <w:autoSpaceDE w:val="0"/>
              <w:autoSpaceDN w:val="0"/>
              <w:spacing w:before="29" w:line="288" w:lineRule="auto"/>
              <w:ind w:right="-15"/>
              <w:jc w:val="center"/>
              <w:textAlignment w:val="bottom"/>
              <w:rPr>
                <w:color w:val="000000"/>
                <w:sz w:val="24"/>
              </w:rPr>
            </w:pPr>
          </w:p>
        </w:tc>
        <w:tc>
          <w:tcPr>
            <w:tcW w:w="2534" w:type="dxa"/>
            <w:vAlign w:val="center"/>
          </w:tcPr>
          <w:p>
            <w:pPr>
              <w:widowControl/>
              <w:autoSpaceDE w:val="0"/>
              <w:autoSpaceDN w:val="0"/>
              <w:spacing w:before="29" w:line="288" w:lineRule="auto"/>
              <w:ind w:left="-107" w:leftChars="-51" w:right="-107" w:rightChars="-51"/>
              <w:jc w:val="center"/>
              <w:textAlignment w:val="bottom"/>
              <w:rPr>
                <w:color w:val="000000"/>
                <w:sz w:val="24"/>
              </w:rPr>
            </w:pPr>
            <w:r>
              <w:rPr>
                <w:color w:val="000000"/>
                <w:sz w:val="24"/>
              </w:rPr>
              <w:t>交银丰晟收益债券A</w:t>
            </w:r>
          </w:p>
        </w:tc>
        <w:tc>
          <w:tcPr>
            <w:tcW w:w="2694" w:type="dxa"/>
            <w:vAlign w:val="center"/>
          </w:tcPr>
          <w:p>
            <w:pPr>
              <w:widowControl/>
              <w:autoSpaceDE w:val="0"/>
              <w:autoSpaceDN w:val="0"/>
              <w:spacing w:before="29" w:line="288" w:lineRule="auto"/>
              <w:ind w:left="-107" w:leftChars="-51" w:right="-107" w:rightChars="-51"/>
              <w:jc w:val="center"/>
              <w:textAlignment w:val="bottom"/>
              <w:rPr>
                <w:color w:val="000000"/>
                <w:sz w:val="24"/>
              </w:rPr>
            </w:pPr>
            <w:r>
              <w:rPr>
                <w:color w:val="000000"/>
                <w:sz w:val="24"/>
              </w:rPr>
              <w:t>交银丰晟收益债券C</w:t>
            </w:r>
          </w:p>
        </w:tc>
        <w:tc>
          <w:tcPr>
            <w:tcW w:w="1948" w:type="dxa"/>
            <w:vAlign w:val="center"/>
          </w:tcPr>
          <w:p>
            <w:pPr>
              <w:widowControl/>
              <w:autoSpaceDE w:val="0"/>
              <w:autoSpaceDN w:val="0"/>
              <w:spacing w:before="29" w:line="288" w:lineRule="auto"/>
              <w:ind w:left="-107" w:leftChars="-51" w:right="-107" w:rightChars="-51"/>
              <w:jc w:val="center"/>
              <w:textAlignment w:val="bottom"/>
              <w:rPr>
                <w:color w:val="000000"/>
                <w:sz w:val="24"/>
              </w:rPr>
            </w:pPr>
            <w:r>
              <w:rPr>
                <w:color w:val="00000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left"/>
            </w:pPr>
            <w:r>
              <w:rPr>
                <w:sz w:val="24"/>
              </w:rPr>
              <w:t>交通银行</w:t>
            </w:r>
          </w:p>
        </w:tc>
        <w:tc>
          <w:tcPr>
            <w:tcW w:w="2455" w:type="dxa"/>
            <w:vAlign w:val="center"/>
          </w:tcPr>
          <w:p>
            <w:pPr>
              <w:jc w:val="right"/>
            </w:pPr>
            <w:r>
              <w:rPr>
                <w:sz w:val="24"/>
              </w:rPr>
              <w:t>-</w:t>
            </w:r>
          </w:p>
        </w:tc>
        <w:tc>
          <w:tcPr>
            <w:tcW w:w="2609" w:type="dxa"/>
            <w:vAlign w:val="center"/>
          </w:tcPr>
          <w:p>
            <w:pPr>
              <w:jc w:val="right"/>
            </w:pPr>
            <w:r>
              <w:rPr>
                <w:sz w:val="24"/>
              </w:rPr>
              <w:t>2,257.39</w:t>
            </w:r>
          </w:p>
        </w:tc>
        <w:tc>
          <w:tcPr>
            <w:tcW w:w="1889" w:type="dxa"/>
            <w:vAlign w:val="center"/>
          </w:tcPr>
          <w:p>
            <w:pPr>
              <w:jc w:val="right"/>
            </w:pPr>
            <w:r>
              <w:rPr>
                <w:sz w:val="24"/>
              </w:rPr>
              <w:t>2,257.39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left"/>
            </w:pPr>
            <w:r>
              <w:rPr>
                <w:sz w:val="24"/>
              </w:rPr>
              <w:t>招商银行</w:t>
            </w:r>
          </w:p>
        </w:tc>
        <w:tc>
          <w:tcPr>
            <w:tcW w:w="2455" w:type="dxa"/>
            <w:vAlign w:val="center"/>
          </w:tcPr>
          <w:p>
            <w:pPr>
              <w:jc w:val="right"/>
            </w:pPr>
            <w:r>
              <w:rPr>
                <w:sz w:val="24"/>
              </w:rPr>
              <w:t>-</w:t>
            </w:r>
          </w:p>
        </w:tc>
        <w:tc>
          <w:tcPr>
            <w:tcW w:w="2609" w:type="dxa"/>
            <w:vAlign w:val="center"/>
          </w:tcPr>
          <w:p>
            <w:pPr>
              <w:jc w:val="right"/>
            </w:pPr>
            <w:r>
              <w:rPr>
                <w:sz w:val="24"/>
              </w:rPr>
              <w:t>10.78</w:t>
            </w:r>
          </w:p>
        </w:tc>
        <w:tc>
          <w:tcPr>
            <w:tcW w:w="1889" w:type="dxa"/>
            <w:vAlign w:val="center"/>
          </w:tcPr>
          <w:p>
            <w:pPr>
              <w:jc w:val="right"/>
            </w:pPr>
            <w:r>
              <w:rPr>
                <w:sz w:val="24"/>
              </w:rPr>
              <w:t>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left"/>
            </w:pPr>
            <w:r>
              <w:rPr>
                <w:sz w:val="24"/>
              </w:rPr>
              <w:t>交银施罗德基金公司</w:t>
            </w:r>
          </w:p>
        </w:tc>
        <w:tc>
          <w:tcPr>
            <w:tcW w:w="2455" w:type="dxa"/>
            <w:vAlign w:val="center"/>
          </w:tcPr>
          <w:p>
            <w:pPr>
              <w:jc w:val="right"/>
            </w:pPr>
            <w:r>
              <w:rPr>
                <w:sz w:val="24"/>
              </w:rPr>
              <w:t>-</w:t>
            </w:r>
          </w:p>
        </w:tc>
        <w:tc>
          <w:tcPr>
            <w:tcW w:w="2609" w:type="dxa"/>
            <w:vAlign w:val="center"/>
          </w:tcPr>
          <w:p>
            <w:pPr>
              <w:jc w:val="right"/>
            </w:pPr>
            <w:r>
              <w:rPr>
                <w:sz w:val="24"/>
              </w:rPr>
              <w:t>190.69</w:t>
            </w:r>
          </w:p>
        </w:tc>
        <w:tc>
          <w:tcPr>
            <w:tcW w:w="1889" w:type="dxa"/>
            <w:vAlign w:val="center"/>
          </w:tcPr>
          <w:p>
            <w:pPr>
              <w:jc w:val="right"/>
            </w:pPr>
            <w:r>
              <w:rPr>
                <w:sz w:val="24"/>
              </w:rPr>
              <w:t>190.69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center"/>
          </w:tcPr>
          <w:p>
            <w:pPr>
              <w:widowControl/>
              <w:autoSpaceDE w:val="0"/>
              <w:autoSpaceDN w:val="0"/>
              <w:spacing w:before="29" w:line="288" w:lineRule="auto"/>
              <w:ind w:right="-15"/>
              <w:jc w:val="center"/>
              <w:textAlignment w:val="bottom"/>
              <w:rPr>
                <w:rFonts w:eastAsiaTheme="minorEastAsia"/>
                <w:kern w:val="0"/>
                <w:szCs w:val="21"/>
              </w:rPr>
            </w:pPr>
            <w:r>
              <w:rPr>
                <w:color w:val="000000"/>
                <w:sz w:val="24"/>
              </w:rPr>
              <w:t>合计</w:t>
            </w:r>
          </w:p>
        </w:tc>
        <w:tc>
          <w:tcPr>
            <w:tcW w:w="2534" w:type="dxa"/>
            <w:vAlign w:val="center"/>
          </w:tcPr>
          <w:p>
            <w:pPr>
              <w:spacing w:before="29" w:line="288" w:lineRule="auto"/>
              <w:jc w:val="center"/>
              <w:rPr>
                <w:color w:val="000000"/>
                <w:kern w:val="0"/>
                <w:sz w:val="24"/>
              </w:rPr>
            </w:pPr>
            <w:r>
              <w:rPr>
                <w:color w:val="000000"/>
                <w:kern w:val="0"/>
                <w:sz w:val="24"/>
              </w:rPr>
              <w:t>-</w:t>
            </w:r>
          </w:p>
        </w:tc>
        <w:tc>
          <w:tcPr>
            <w:tcW w:w="2694" w:type="dxa"/>
            <w:vAlign w:val="center"/>
          </w:tcPr>
          <w:p>
            <w:pPr>
              <w:spacing w:before="29" w:line="288" w:lineRule="auto"/>
              <w:jc w:val="center"/>
              <w:rPr>
                <w:color w:val="000000"/>
                <w:kern w:val="0"/>
                <w:sz w:val="24"/>
              </w:rPr>
            </w:pPr>
            <w:r>
              <w:rPr>
                <w:color w:val="000000"/>
                <w:kern w:val="0"/>
                <w:sz w:val="24"/>
              </w:rPr>
              <w:t>2,458.86</w:t>
            </w:r>
          </w:p>
        </w:tc>
        <w:tc>
          <w:tcPr>
            <w:tcW w:w="1948" w:type="dxa"/>
            <w:vAlign w:val="center"/>
          </w:tcPr>
          <w:p>
            <w:pPr>
              <w:spacing w:before="29" w:line="288" w:lineRule="auto"/>
              <w:jc w:val="center"/>
              <w:rPr>
                <w:color w:val="000000"/>
                <w:kern w:val="0"/>
                <w:sz w:val="24"/>
              </w:rPr>
            </w:pPr>
            <w:r>
              <w:rPr>
                <w:color w:val="000000"/>
                <w:kern w:val="0"/>
                <w:sz w:val="24"/>
              </w:rPr>
              <w:t>2,458.86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restart"/>
            <w:vAlign w:val="center"/>
          </w:tcPr>
          <w:p>
            <w:pPr>
              <w:widowControl/>
              <w:autoSpaceDE w:val="0"/>
              <w:autoSpaceDN w:val="0"/>
              <w:spacing w:before="29" w:line="288" w:lineRule="auto"/>
              <w:ind w:right="-15"/>
              <w:jc w:val="center"/>
              <w:textAlignment w:val="bottom"/>
              <w:rPr>
                <w:color w:val="000000"/>
                <w:sz w:val="24"/>
              </w:rPr>
            </w:pPr>
            <w:r>
              <w:rPr>
                <w:color w:val="000000"/>
                <w:sz w:val="24"/>
              </w:rPr>
              <w:t>获得销售服务费的各关联方名称</w:t>
            </w:r>
          </w:p>
        </w:tc>
        <w:tc>
          <w:tcPr>
            <w:tcW w:w="7176" w:type="dxa"/>
            <w:gridSpan w:val="3"/>
            <w:vAlign w:val="center"/>
          </w:tcPr>
          <w:p>
            <w:pPr>
              <w:widowControl/>
              <w:autoSpaceDE w:val="0"/>
              <w:autoSpaceDN w:val="0"/>
              <w:spacing w:before="29" w:line="288" w:lineRule="auto"/>
              <w:ind w:left="-107" w:leftChars="-51" w:right="-107" w:rightChars="-51"/>
              <w:jc w:val="center"/>
              <w:textAlignment w:val="bottom"/>
              <w:rPr>
                <w:color w:val="000000"/>
                <w:sz w:val="24"/>
              </w:rPr>
            </w:pPr>
            <w:r>
              <w:rPr>
                <w:color w:val="000000"/>
                <w:sz w:val="24"/>
              </w:rPr>
              <w:t>上年度可比期间</w:t>
            </w:r>
          </w:p>
          <w:p>
            <w:pPr>
              <w:widowControl/>
              <w:autoSpaceDE w:val="0"/>
              <w:autoSpaceDN w:val="0"/>
              <w:spacing w:before="29" w:line="288" w:lineRule="auto"/>
              <w:ind w:left="-107" w:leftChars="-51" w:right="-107" w:rightChars="-51"/>
              <w:jc w:val="center"/>
              <w:textAlignment w:val="bottom"/>
              <w:rPr>
                <w:color w:val="000000"/>
                <w:sz w:val="24"/>
              </w:rPr>
            </w:pPr>
            <w:r>
              <w:rPr>
                <w:color w:val="000000"/>
                <w:sz w:val="24"/>
              </w:rPr>
              <w:t>2019年1月1日至2019年12月31日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tcPr>
          <w:p>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pPr>
              <w:widowControl/>
              <w:autoSpaceDE w:val="0"/>
              <w:autoSpaceDN w:val="0"/>
              <w:spacing w:before="29" w:line="288" w:lineRule="auto"/>
              <w:ind w:left="-107" w:leftChars="-51" w:right="-107" w:rightChars="-51"/>
              <w:jc w:val="center"/>
              <w:textAlignment w:val="bottom"/>
              <w:rPr>
                <w:color w:val="000000"/>
                <w:sz w:val="24"/>
              </w:rPr>
            </w:pPr>
            <w:r>
              <w:rPr>
                <w:color w:val="000000"/>
                <w:sz w:val="24"/>
              </w:rPr>
              <w:t>当期发生的基金应支付的销售服务费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Merge w:val="continue"/>
          </w:tcPr>
          <w:p>
            <w:pPr>
              <w:widowControl/>
              <w:autoSpaceDE w:val="0"/>
              <w:autoSpaceDN w:val="0"/>
              <w:spacing w:before="29" w:line="288" w:lineRule="auto"/>
              <w:ind w:right="-15"/>
              <w:jc w:val="center"/>
              <w:textAlignment w:val="bottom"/>
              <w:rPr>
                <w:color w:val="000000"/>
                <w:sz w:val="24"/>
              </w:rPr>
            </w:pPr>
          </w:p>
        </w:tc>
        <w:tc>
          <w:tcPr>
            <w:tcW w:w="2534" w:type="dxa"/>
            <w:vAlign w:val="center"/>
          </w:tcPr>
          <w:p>
            <w:pPr>
              <w:widowControl/>
              <w:autoSpaceDE w:val="0"/>
              <w:autoSpaceDN w:val="0"/>
              <w:spacing w:before="29" w:line="288" w:lineRule="auto"/>
              <w:ind w:left="-107" w:leftChars="-51" w:right="-107" w:rightChars="-51"/>
              <w:jc w:val="center"/>
              <w:textAlignment w:val="bottom"/>
              <w:rPr>
                <w:color w:val="000000"/>
                <w:sz w:val="24"/>
              </w:rPr>
            </w:pPr>
            <w:r>
              <w:rPr>
                <w:color w:val="000000"/>
                <w:sz w:val="24"/>
              </w:rPr>
              <w:t>交银丰晟收益债券A</w:t>
            </w:r>
          </w:p>
        </w:tc>
        <w:tc>
          <w:tcPr>
            <w:tcW w:w="2694" w:type="dxa"/>
            <w:vAlign w:val="center"/>
          </w:tcPr>
          <w:p>
            <w:pPr>
              <w:widowControl/>
              <w:autoSpaceDE w:val="0"/>
              <w:autoSpaceDN w:val="0"/>
              <w:spacing w:before="29" w:line="288" w:lineRule="auto"/>
              <w:ind w:left="-107" w:leftChars="-51" w:right="-107" w:rightChars="-51"/>
              <w:jc w:val="center"/>
              <w:textAlignment w:val="bottom"/>
              <w:rPr>
                <w:color w:val="000000"/>
                <w:sz w:val="24"/>
              </w:rPr>
            </w:pPr>
            <w:r>
              <w:rPr>
                <w:color w:val="000000"/>
                <w:sz w:val="24"/>
              </w:rPr>
              <w:t>交银丰晟收益债券C</w:t>
            </w:r>
          </w:p>
        </w:tc>
        <w:tc>
          <w:tcPr>
            <w:tcW w:w="1948" w:type="dxa"/>
            <w:vAlign w:val="center"/>
          </w:tcPr>
          <w:p>
            <w:pPr>
              <w:widowControl/>
              <w:autoSpaceDE w:val="0"/>
              <w:autoSpaceDN w:val="0"/>
              <w:spacing w:before="29" w:line="288" w:lineRule="auto"/>
              <w:ind w:left="-107" w:leftChars="-51" w:right="-107" w:rightChars="-51"/>
              <w:jc w:val="center"/>
              <w:textAlignment w:val="bottom"/>
              <w:rPr>
                <w:color w:val="000000"/>
                <w:sz w:val="24"/>
              </w:rPr>
            </w:pPr>
            <w:r>
              <w:rPr>
                <w:color w:val="00000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left"/>
            </w:pPr>
            <w:r>
              <w:rPr>
                <w:sz w:val="24"/>
              </w:rPr>
              <w:t>交通银行</w:t>
            </w:r>
          </w:p>
        </w:tc>
        <w:tc>
          <w:tcPr>
            <w:tcW w:w="2455" w:type="dxa"/>
            <w:vAlign w:val="center"/>
          </w:tcPr>
          <w:p>
            <w:pPr>
              <w:jc w:val="right"/>
            </w:pPr>
            <w:r>
              <w:rPr>
                <w:sz w:val="24"/>
              </w:rPr>
              <w:t>-</w:t>
            </w:r>
          </w:p>
        </w:tc>
        <w:tc>
          <w:tcPr>
            <w:tcW w:w="2609" w:type="dxa"/>
            <w:vAlign w:val="center"/>
          </w:tcPr>
          <w:p>
            <w:pPr>
              <w:jc w:val="right"/>
            </w:pPr>
            <w:r>
              <w:rPr>
                <w:sz w:val="24"/>
              </w:rPr>
              <w:t>3,920.94</w:t>
            </w:r>
          </w:p>
        </w:tc>
        <w:tc>
          <w:tcPr>
            <w:tcW w:w="1889" w:type="dxa"/>
            <w:vAlign w:val="center"/>
          </w:tcPr>
          <w:p>
            <w:pPr>
              <w:jc w:val="right"/>
            </w:pPr>
            <w:r>
              <w:rPr>
                <w:sz w:val="24"/>
              </w:rPr>
              <w:t>3,920.94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left"/>
            </w:pPr>
            <w:r>
              <w:rPr>
                <w:sz w:val="24"/>
              </w:rPr>
              <w:t>招商银行</w:t>
            </w:r>
          </w:p>
        </w:tc>
        <w:tc>
          <w:tcPr>
            <w:tcW w:w="2455" w:type="dxa"/>
            <w:vAlign w:val="center"/>
          </w:tcPr>
          <w:p>
            <w:pPr>
              <w:jc w:val="right"/>
            </w:pPr>
            <w:r>
              <w:rPr>
                <w:sz w:val="24"/>
              </w:rPr>
              <w:t>-</w:t>
            </w:r>
          </w:p>
        </w:tc>
        <w:tc>
          <w:tcPr>
            <w:tcW w:w="2609" w:type="dxa"/>
            <w:vAlign w:val="center"/>
          </w:tcPr>
          <w:p>
            <w:pPr>
              <w:jc w:val="right"/>
            </w:pPr>
            <w:r>
              <w:rPr>
                <w:sz w:val="24"/>
              </w:rPr>
              <w:t>25.55</w:t>
            </w:r>
          </w:p>
        </w:tc>
        <w:tc>
          <w:tcPr>
            <w:tcW w:w="1889" w:type="dxa"/>
            <w:vAlign w:val="center"/>
          </w:tcPr>
          <w:p>
            <w:pPr>
              <w:jc w:val="right"/>
            </w:pPr>
            <w:r>
              <w:rPr>
                <w:sz w:val="24"/>
              </w:rPr>
              <w:t>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vAlign w:val="center"/>
          </w:tcPr>
          <w:p>
            <w:pPr>
              <w:jc w:val="left"/>
            </w:pPr>
            <w:r>
              <w:rPr>
                <w:sz w:val="24"/>
              </w:rPr>
              <w:t>交银施罗德基金公司</w:t>
            </w:r>
          </w:p>
        </w:tc>
        <w:tc>
          <w:tcPr>
            <w:tcW w:w="2455" w:type="dxa"/>
            <w:vAlign w:val="center"/>
          </w:tcPr>
          <w:p>
            <w:pPr>
              <w:jc w:val="right"/>
            </w:pPr>
            <w:r>
              <w:rPr>
                <w:sz w:val="24"/>
              </w:rPr>
              <w:t>-</w:t>
            </w:r>
          </w:p>
        </w:tc>
        <w:tc>
          <w:tcPr>
            <w:tcW w:w="2609" w:type="dxa"/>
            <w:vAlign w:val="center"/>
          </w:tcPr>
          <w:p>
            <w:pPr>
              <w:jc w:val="right"/>
            </w:pPr>
            <w:r>
              <w:rPr>
                <w:sz w:val="24"/>
              </w:rPr>
              <w:t>194.12</w:t>
            </w:r>
          </w:p>
        </w:tc>
        <w:tc>
          <w:tcPr>
            <w:tcW w:w="1889" w:type="dxa"/>
            <w:vAlign w:val="center"/>
          </w:tcPr>
          <w:p>
            <w:pPr>
              <w:jc w:val="right"/>
            </w:pPr>
            <w:r>
              <w:rPr>
                <w:sz w:val="24"/>
              </w:rPr>
              <w:t>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0" w:type="dxa"/>
            <w:vAlign w:val="center"/>
          </w:tcPr>
          <w:p>
            <w:pPr>
              <w:widowControl/>
              <w:autoSpaceDE w:val="0"/>
              <w:autoSpaceDN w:val="0"/>
              <w:spacing w:before="29" w:line="288" w:lineRule="auto"/>
              <w:ind w:right="-15"/>
              <w:jc w:val="center"/>
              <w:textAlignment w:val="bottom"/>
              <w:rPr>
                <w:rFonts w:eastAsiaTheme="minorEastAsia"/>
                <w:szCs w:val="21"/>
              </w:rPr>
            </w:pPr>
            <w:r>
              <w:rPr>
                <w:color w:val="000000"/>
                <w:sz w:val="24"/>
              </w:rPr>
              <w:t>合计</w:t>
            </w:r>
          </w:p>
        </w:tc>
        <w:tc>
          <w:tcPr>
            <w:tcW w:w="2534" w:type="dxa"/>
            <w:vAlign w:val="center"/>
          </w:tcPr>
          <w:p>
            <w:pPr>
              <w:spacing w:before="29" w:line="288" w:lineRule="auto"/>
              <w:jc w:val="center"/>
              <w:rPr>
                <w:color w:val="000000"/>
                <w:kern w:val="0"/>
                <w:sz w:val="24"/>
              </w:rPr>
            </w:pPr>
            <w:r>
              <w:rPr>
                <w:color w:val="000000"/>
                <w:kern w:val="0"/>
                <w:sz w:val="24"/>
              </w:rPr>
              <w:t>-</w:t>
            </w:r>
          </w:p>
        </w:tc>
        <w:tc>
          <w:tcPr>
            <w:tcW w:w="2694" w:type="dxa"/>
            <w:vAlign w:val="center"/>
          </w:tcPr>
          <w:p>
            <w:pPr>
              <w:spacing w:before="29" w:line="288" w:lineRule="auto"/>
              <w:jc w:val="center"/>
              <w:rPr>
                <w:color w:val="000000"/>
                <w:kern w:val="0"/>
                <w:sz w:val="24"/>
              </w:rPr>
            </w:pPr>
            <w:r>
              <w:rPr>
                <w:color w:val="000000"/>
                <w:kern w:val="0"/>
                <w:sz w:val="24"/>
              </w:rPr>
              <w:t>4,140.61</w:t>
            </w:r>
          </w:p>
        </w:tc>
        <w:tc>
          <w:tcPr>
            <w:tcW w:w="1948" w:type="dxa"/>
            <w:vAlign w:val="center"/>
          </w:tcPr>
          <w:p>
            <w:pPr>
              <w:spacing w:before="29" w:line="288" w:lineRule="auto"/>
              <w:jc w:val="center"/>
              <w:rPr>
                <w:color w:val="000000"/>
                <w:kern w:val="0"/>
                <w:sz w:val="24"/>
              </w:rPr>
            </w:pPr>
            <w:r>
              <w:rPr>
                <w:color w:val="000000"/>
                <w:kern w:val="0"/>
                <w:sz w:val="24"/>
              </w:rPr>
              <w:t>4,140.61</w:t>
            </w:r>
          </w:p>
        </w:tc>
      </w:tr>
    </w:tbl>
    <w:p>
      <w:pPr>
        <w:tabs>
          <w:tab w:val="left" w:pos="426"/>
        </w:tabs>
        <w:spacing w:before="29" w:line="288" w:lineRule="auto"/>
        <w:jc w:val="left"/>
        <w:rPr>
          <w:kern w:val="0"/>
          <w:sz w:val="24"/>
        </w:rPr>
      </w:pPr>
      <w:r>
        <w:rPr>
          <w:kern w:val="0"/>
          <w:sz w:val="24"/>
        </w:rPr>
        <w:t>注：支付基金销售机构的销售服务费按前一日C类基金份额对应的基金资产净值0.60%的年费率计提，逐日累计至每月月底，按月支付给基金管理人，再由基金管理人计算并支付给各基金销售机构。其计算公式为：</w:t>
      </w:r>
    </w:p>
    <w:p>
      <w:pPr>
        <w:tabs>
          <w:tab w:val="left" w:pos="426"/>
        </w:tabs>
        <w:spacing w:before="29" w:line="288" w:lineRule="auto"/>
        <w:jc w:val="left"/>
        <w:rPr>
          <w:kern w:val="0"/>
          <w:sz w:val="24"/>
        </w:rPr>
      </w:pPr>
      <w:r>
        <w:rPr>
          <w:kern w:val="0"/>
          <w:sz w:val="24"/>
        </w:rPr>
        <w:t>日销售服务费＝前一日C类基金份额对应的资产净值×0.60%÷当年天数。</w:t>
      </w:r>
    </w:p>
    <w:p>
      <w:pPr>
        <w:spacing w:line="360" w:lineRule="auto"/>
        <w:rPr>
          <w:rFonts w:asciiTheme="minorEastAsia" w:hAnsiTheme="minorEastAsia" w:eastAsiaTheme="minorEastAsia"/>
          <w:color w:val="000000"/>
          <w:szCs w:val="21"/>
        </w:rPr>
      </w:pPr>
    </w:p>
    <w:p>
      <w:pPr>
        <w:spacing w:before="29" w:line="288" w:lineRule="auto"/>
        <w:outlineLvl w:val="2"/>
        <w:rPr>
          <w:rFonts w:asciiTheme="minorEastAsia" w:hAnsiTheme="minorEastAsia" w:eastAsiaTheme="minorEastAsia"/>
          <w:b/>
          <w:bCs/>
          <w:color w:val="000000"/>
          <w:szCs w:val="21"/>
        </w:rPr>
      </w:pPr>
      <w:bookmarkStart w:id="186" w:name="_Toc67667978"/>
      <w:r>
        <w:rPr>
          <w:rFonts w:eastAsiaTheme="minorEastAsia"/>
          <w:b/>
          <w:sz w:val="24"/>
        </w:rPr>
        <w:t>7.4.10.3</w:t>
      </w:r>
      <w:r>
        <w:rPr>
          <w:rFonts w:hint="eastAsia" w:eastAsiaTheme="minorEastAsia"/>
          <w:b/>
          <w:sz w:val="24"/>
        </w:rPr>
        <w:t>与关联方进行银行间同业市场的债券</w:t>
      </w:r>
      <w:r>
        <w:rPr>
          <w:rFonts w:eastAsiaTheme="minorEastAsia"/>
          <w:b/>
          <w:sz w:val="24"/>
        </w:rPr>
        <w:t>(</w:t>
      </w:r>
      <w:r>
        <w:rPr>
          <w:rFonts w:hint="eastAsia" w:eastAsiaTheme="minorEastAsia"/>
          <w:b/>
          <w:sz w:val="24"/>
        </w:rPr>
        <w:t>含回购</w:t>
      </w:r>
      <w:r>
        <w:rPr>
          <w:rFonts w:eastAsiaTheme="minorEastAsia"/>
          <w:b/>
          <w:sz w:val="24"/>
        </w:rPr>
        <w:t>)</w:t>
      </w:r>
      <w:r>
        <w:rPr>
          <w:rFonts w:hint="eastAsia" w:eastAsiaTheme="minorEastAsia"/>
          <w:b/>
          <w:sz w:val="24"/>
        </w:rPr>
        <w:t>交易</w:t>
      </w:r>
      <w:bookmarkEnd w:id="186"/>
    </w:p>
    <w:p>
      <w:pPr>
        <w:tabs>
          <w:tab w:val="left" w:pos="426"/>
        </w:tabs>
        <w:spacing w:before="29" w:line="288" w:lineRule="auto"/>
        <w:jc w:val="left"/>
        <w:rPr>
          <w:kern w:val="0"/>
          <w:sz w:val="24"/>
        </w:rPr>
      </w:pPr>
      <w:r>
        <w:rPr>
          <w:kern w:val="0"/>
          <w:sz w:val="24"/>
        </w:rPr>
        <w:t>本基金本报告期内及上年度可比期间未与关联方进行银行间同业市场的债券(含回购)交易。</w:t>
      </w:r>
    </w:p>
    <w:p>
      <w:pPr>
        <w:spacing w:line="360" w:lineRule="auto"/>
        <w:rPr>
          <w:rFonts w:asciiTheme="minorEastAsia" w:hAnsiTheme="minorEastAsia" w:eastAsiaTheme="minorEastAsia"/>
          <w:color w:val="000000"/>
          <w:szCs w:val="21"/>
        </w:rPr>
      </w:pPr>
    </w:p>
    <w:p>
      <w:pPr>
        <w:spacing w:before="29" w:line="288" w:lineRule="auto"/>
        <w:outlineLvl w:val="2"/>
        <w:rPr>
          <w:rFonts w:eastAsiaTheme="minorEastAsia"/>
          <w:b/>
          <w:sz w:val="24"/>
        </w:rPr>
      </w:pPr>
      <w:bookmarkStart w:id="187" w:name="_Toc67667979"/>
      <w:r>
        <w:rPr>
          <w:rFonts w:eastAsiaTheme="minorEastAsia"/>
          <w:b/>
          <w:sz w:val="24"/>
        </w:rPr>
        <w:t>7.4.10.4</w:t>
      </w:r>
      <w:r>
        <w:rPr>
          <w:rFonts w:hint="eastAsia" w:eastAsiaTheme="minorEastAsia"/>
          <w:b/>
          <w:sz w:val="24"/>
        </w:rPr>
        <w:t>各关联方投资本基金的情况</w:t>
      </w:r>
      <w:bookmarkEnd w:id="187"/>
    </w:p>
    <w:p>
      <w:pPr>
        <w:spacing w:before="29" w:line="288" w:lineRule="auto"/>
        <w:rPr>
          <w:rFonts w:eastAsiaTheme="minorEastAsia"/>
          <w:b/>
          <w:sz w:val="24"/>
        </w:rPr>
      </w:pPr>
      <w:r>
        <w:rPr>
          <w:rFonts w:eastAsiaTheme="minorEastAsia"/>
          <w:b/>
          <w:sz w:val="24"/>
        </w:rPr>
        <w:t>7.4.10.4.1</w:t>
      </w:r>
      <w:r>
        <w:rPr>
          <w:rFonts w:hint="eastAsia" w:eastAsiaTheme="minorEastAsia"/>
          <w:b/>
          <w:sz w:val="24"/>
        </w:rPr>
        <w:t>报告期内基金管理人运用固有资金投资本基金的情况</w:t>
      </w:r>
    </w:p>
    <w:p>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pPr>
        <w:adjustRightInd w:val="0"/>
        <w:snapToGrid w:val="0"/>
        <w:spacing w:line="360" w:lineRule="auto"/>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spacing w:before="29" w:line="288" w:lineRule="auto"/>
        <w:rPr>
          <w:rFonts w:eastAsiaTheme="minorEastAsia"/>
          <w:b/>
          <w:sz w:val="24"/>
        </w:rPr>
      </w:pPr>
      <w:r>
        <w:rPr>
          <w:rFonts w:eastAsiaTheme="minorEastAsia"/>
          <w:b/>
          <w:sz w:val="24"/>
        </w:rPr>
        <w:t>7.4.10.4.2</w:t>
      </w:r>
      <w:r>
        <w:rPr>
          <w:rFonts w:hint="eastAsia" w:eastAsiaTheme="minorEastAsia"/>
          <w:b/>
          <w:sz w:val="24"/>
        </w:rPr>
        <w:t>报告期末除基金管理人之外的其他关联方投资本基金的情况</w:t>
      </w:r>
    </w:p>
    <w:p>
      <w:pPr>
        <w:adjustRightInd w:val="0"/>
        <w:snapToGrid w:val="0"/>
        <w:spacing w:before="29" w:line="288" w:lineRule="auto"/>
        <w:rPr>
          <w:color w:val="000000"/>
          <w:sz w:val="24"/>
        </w:rPr>
      </w:pPr>
      <w:r>
        <w:rPr>
          <w:color w:val="000000"/>
          <w:sz w:val="24"/>
        </w:rPr>
        <w:t>交银丰晟收益债券A</w:t>
      </w:r>
    </w:p>
    <w:p>
      <w:pPr>
        <w:autoSpaceDE w:val="0"/>
        <w:autoSpaceDN w:val="0"/>
        <w:adjustRightInd w:val="0"/>
        <w:spacing w:before="29" w:line="288" w:lineRule="auto"/>
        <w:ind w:left="15"/>
        <w:jc w:val="right"/>
        <w:rPr>
          <w:bCs/>
          <w:color w:val="000000"/>
          <w:sz w:val="24"/>
        </w:rPr>
      </w:pPr>
      <w:r>
        <w:rPr>
          <w:rFonts w:hint="eastAsia"/>
          <w:bCs/>
          <w:color w:val="000000"/>
          <w:sz w:val="24"/>
        </w:rPr>
        <w:t>份额单位：份</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1980"/>
        <w:gridCol w:w="1440"/>
        <w:gridCol w:w="216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0" w:type="dxa"/>
            <w:vMerge w:val="restart"/>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关联方名称</w:t>
            </w:r>
          </w:p>
        </w:tc>
        <w:tc>
          <w:tcPr>
            <w:tcW w:w="3420" w:type="dxa"/>
            <w:gridSpan w:val="2"/>
            <w:vAlign w:val="center"/>
          </w:tcPr>
          <w:p>
            <w:pPr>
              <w:widowControl/>
              <w:autoSpaceDE w:val="0"/>
              <w:autoSpaceDN w:val="0"/>
              <w:spacing w:before="29" w:line="288" w:lineRule="auto"/>
              <w:ind w:right="-15"/>
              <w:jc w:val="center"/>
              <w:textAlignment w:val="bottom"/>
              <w:rPr>
                <w:color w:val="000000"/>
                <w:sz w:val="24"/>
              </w:rPr>
            </w:pPr>
            <w:r>
              <w:rPr>
                <w:color w:val="000000"/>
                <w:sz w:val="24"/>
              </w:rPr>
              <w:t>交银丰晟收益债券A</w:t>
            </w:r>
            <w:r>
              <w:rPr>
                <w:rFonts w:hint="eastAsia"/>
                <w:color w:val="000000"/>
                <w:sz w:val="24"/>
              </w:rPr>
              <w:t>本期末</w:t>
            </w:r>
            <w:r>
              <w:rPr>
                <w:color w:val="000000"/>
                <w:sz w:val="24"/>
              </w:rPr>
              <w:t>2020年12月31日</w:t>
            </w:r>
          </w:p>
        </w:tc>
        <w:tc>
          <w:tcPr>
            <w:tcW w:w="3780" w:type="dxa"/>
            <w:gridSpan w:val="2"/>
            <w:vAlign w:val="center"/>
          </w:tcPr>
          <w:p>
            <w:pPr>
              <w:widowControl/>
              <w:autoSpaceDE w:val="0"/>
              <w:autoSpaceDN w:val="0"/>
              <w:spacing w:before="29" w:line="288" w:lineRule="auto"/>
              <w:ind w:right="-15"/>
              <w:jc w:val="center"/>
              <w:textAlignment w:val="bottom"/>
              <w:rPr>
                <w:color w:val="000000"/>
                <w:sz w:val="24"/>
              </w:rPr>
            </w:pPr>
            <w:r>
              <w:rPr>
                <w:color w:val="000000"/>
                <w:sz w:val="24"/>
              </w:rPr>
              <w:t>交银丰晟收益债券A</w:t>
            </w:r>
            <w:r>
              <w:rPr>
                <w:rFonts w:hint="eastAsia"/>
                <w:color w:val="000000"/>
                <w:sz w:val="24"/>
              </w:rPr>
              <w:t>上年度末</w:t>
            </w:r>
            <w:r>
              <w:rPr>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0" w:type="dxa"/>
            <w:vMerge w:val="continue"/>
            <w:vAlign w:val="center"/>
          </w:tcPr>
          <w:p>
            <w:pPr>
              <w:widowControl/>
              <w:spacing w:line="360" w:lineRule="auto"/>
              <w:jc w:val="left"/>
              <w:rPr>
                <w:rFonts w:ascii="宋体" w:hAnsi="宋体"/>
                <w:color w:val="000000"/>
                <w:szCs w:val="21"/>
              </w:rPr>
            </w:pPr>
          </w:p>
        </w:tc>
        <w:tc>
          <w:tcPr>
            <w:tcW w:w="198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w:t>
            </w:r>
          </w:p>
        </w:tc>
        <w:tc>
          <w:tcPr>
            <w:tcW w:w="144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持有的基金份额占该类基金份额的比例</w:t>
            </w:r>
          </w:p>
        </w:tc>
        <w:tc>
          <w:tcPr>
            <w:tcW w:w="216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w:t>
            </w:r>
          </w:p>
        </w:tc>
        <w:tc>
          <w:tcPr>
            <w:tcW w:w="162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持有的基金份额占该类基金份额的比例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0" w:type="dxa"/>
            <w:vAlign w:val="center"/>
          </w:tcPr>
          <w:p>
            <w:pPr>
              <w:jc w:val="left"/>
            </w:pPr>
            <w:r>
              <w:rPr>
                <w:sz w:val="24"/>
              </w:rPr>
              <w:t>交银施罗德资产管理有限公司</w:t>
            </w:r>
          </w:p>
        </w:tc>
        <w:tc>
          <w:tcPr>
            <w:tcW w:w="1980" w:type="dxa"/>
            <w:vAlign w:val="center"/>
          </w:tcPr>
          <w:p>
            <w:pPr>
              <w:jc w:val="right"/>
            </w:pPr>
            <w:r>
              <w:rPr>
                <w:sz w:val="24"/>
              </w:rPr>
              <w:t>45,913,664.88</w:t>
            </w:r>
          </w:p>
        </w:tc>
        <w:tc>
          <w:tcPr>
            <w:tcW w:w="1440" w:type="dxa"/>
            <w:vAlign w:val="center"/>
          </w:tcPr>
          <w:p>
            <w:pPr>
              <w:jc w:val="right"/>
            </w:pPr>
            <w:r>
              <w:rPr>
                <w:sz w:val="24"/>
              </w:rPr>
              <w:t>16.57%</w:t>
            </w:r>
          </w:p>
        </w:tc>
        <w:tc>
          <w:tcPr>
            <w:tcW w:w="2160" w:type="dxa"/>
            <w:vAlign w:val="center"/>
          </w:tcPr>
          <w:p>
            <w:pPr>
              <w:jc w:val="right"/>
            </w:pPr>
            <w:r>
              <w:rPr>
                <w:sz w:val="24"/>
              </w:rPr>
              <w:t>-</w:t>
            </w:r>
          </w:p>
        </w:tc>
        <w:tc>
          <w:tcPr>
            <w:tcW w:w="1620" w:type="dxa"/>
            <w:vAlign w:val="center"/>
          </w:tcPr>
          <w:p>
            <w:pPr>
              <w:jc w:val="right"/>
            </w:pPr>
            <w:r>
              <w:rPr>
                <w:sz w:val="24"/>
              </w:rPr>
              <w:t>-</w:t>
            </w:r>
          </w:p>
        </w:tc>
      </w:tr>
    </w:tbl>
    <w:p>
      <w:pPr>
        <w:tabs>
          <w:tab w:val="left" w:pos="426"/>
        </w:tabs>
        <w:spacing w:before="29" w:line="288" w:lineRule="auto"/>
        <w:jc w:val="left"/>
        <w:rPr>
          <w:rFonts w:cs="宋体" w:asciiTheme="minorEastAsia" w:hAnsiTheme="minorEastAsia" w:eastAsiaTheme="minorEastAsia"/>
          <w:kern w:val="0"/>
          <w:szCs w:val="21"/>
        </w:rPr>
      </w:pPr>
      <w:r>
        <w:rPr>
          <w:rFonts w:hint="eastAsia"/>
          <w:kern w:val="0"/>
          <w:sz w:val="24"/>
        </w:rPr>
        <w:t>注：关联方投资本基金的费率按照基金合同和招募说明书规定的确定，符合公允性要求。</w:t>
      </w:r>
    </w:p>
    <w:p>
      <w:pPr>
        <w:tabs>
          <w:tab w:val="left" w:pos="426"/>
        </w:tabs>
        <w:spacing w:line="360" w:lineRule="auto"/>
        <w:jc w:val="left"/>
        <w:rPr>
          <w:rFonts w:cs="宋体" w:asciiTheme="minorEastAsia" w:hAnsiTheme="minorEastAsia" w:eastAsiaTheme="minorEastAsia"/>
          <w:kern w:val="0"/>
          <w:szCs w:val="21"/>
        </w:rPr>
      </w:pPr>
    </w:p>
    <w:p>
      <w:pPr>
        <w:adjustRightInd w:val="0"/>
        <w:snapToGrid w:val="0"/>
        <w:spacing w:before="29" w:line="288" w:lineRule="auto"/>
        <w:rPr>
          <w:color w:val="000000"/>
          <w:sz w:val="24"/>
        </w:rPr>
      </w:pPr>
      <w:r>
        <w:rPr>
          <w:color w:val="000000"/>
          <w:sz w:val="24"/>
        </w:rPr>
        <w:t>交银丰晟收益债券C</w:t>
      </w:r>
    </w:p>
    <w:p>
      <w:pPr>
        <w:tabs>
          <w:tab w:val="left" w:pos="426"/>
        </w:tabs>
        <w:spacing w:before="29" w:line="288" w:lineRule="auto"/>
        <w:jc w:val="left"/>
        <w:rPr>
          <w:kern w:val="0"/>
          <w:sz w:val="24"/>
        </w:rPr>
      </w:pPr>
      <w:r>
        <w:rPr>
          <w:kern w:val="0"/>
          <w:sz w:val="24"/>
        </w:rPr>
        <w:t>本报告期末及上年度末除基金管理人之外的其他关联方未持有本基金C类份额。</w:t>
      </w:r>
    </w:p>
    <w:p>
      <w:pPr>
        <w:spacing w:before="29" w:line="288" w:lineRule="auto"/>
        <w:outlineLvl w:val="2"/>
        <w:rPr>
          <w:rFonts w:eastAsiaTheme="minorEastAsia"/>
          <w:b/>
          <w:sz w:val="24"/>
        </w:rPr>
      </w:pPr>
      <w:bookmarkStart w:id="188" w:name="_Toc67667980"/>
      <w:r>
        <w:rPr>
          <w:rFonts w:eastAsiaTheme="minorEastAsia"/>
          <w:b/>
          <w:sz w:val="24"/>
        </w:rPr>
        <w:t>7.4.10.5</w:t>
      </w:r>
      <w:r>
        <w:rPr>
          <w:rFonts w:hint="eastAsia" w:eastAsiaTheme="minorEastAsia"/>
          <w:b/>
          <w:sz w:val="24"/>
        </w:rPr>
        <w:t>由关联方保管的银行存款余额及当期产生的利息收入</w:t>
      </w:r>
      <w:bookmarkEnd w:id="188"/>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1683"/>
        <w:gridCol w:w="1683"/>
        <w:gridCol w:w="1683"/>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Merge w:val="restart"/>
            <w:vAlign w:val="center"/>
          </w:tcPr>
          <w:p>
            <w:pPr>
              <w:widowControl/>
              <w:autoSpaceDE w:val="0"/>
              <w:autoSpaceDN w:val="0"/>
              <w:spacing w:before="29" w:line="288" w:lineRule="auto"/>
              <w:ind w:right="-15"/>
              <w:jc w:val="center"/>
              <w:textAlignment w:val="bottom"/>
              <w:rPr>
                <w:color w:val="000000"/>
                <w:szCs w:val="21"/>
              </w:rPr>
            </w:pPr>
            <w:r>
              <w:rPr>
                <w:rFonts w:hint="eastAsia"/>
                <w:color w:val="000000"/>
                <w:szCs w:val="21"/>
              </w:rPr>
              <w:t>关联方名称</w:t>
            </w:r>
          </w:p>
        </w:tc>
        <w:tc>
          <w:tcPr>
            <w:tcW w:w="3366" w:type="dxa"/>
            <w:gridSpan w:val="2"/>
          </w:tcPr>
          <w:p>
            <w:pPr>
              <w:widowControl/>
              <w:autoSpaceDE w:val="0"/>
              <w:autoSpaceDN w:val="0"/>
              <w:spacing w:before="29" w:line="288" w:lineRule="auto"/>
              <w:ind w:right="-15"/>
              <w:jc w:val="center"/>
              <w:textAlignment w:val="bottom"/>
              <w:rPr>
                <w:color w:val="000000"/>
                <w:szCs w:val="21"/>
              </w:rPr>
            </w:pPr>
            <w:r>
              <w:rPr>
                <w:rFonts w:hint="eastAsia"/>
                <w:color w:val="000000"/>
                <w:szCs w:val="21"/>
              </w:rPr>
              <w:t>本期</w:t>
            </w:r>
          </w:p>
          <w:p>
            <w:pPr>
              <w:widowControl/>
              <w:autoSpaceDE w:val="0"/>
              <w:autoSpaceDN w:val="0"/>
              <w:spacing w:before="29" w:line="288" w:lineRule="auto"/>
              <w:ind w:right="-15"/>
              <w:jc w:val="center"/>
              <w:textAlignment w:val="bottom"/>
              <w:rPr>
                <w:color w:val="000000"/>
                <w:szCs w:val="21"/>
              </w:rPr>
            </w:pPr>
            <w:r>
              <w:rPr>
                <w:color w:val="000000"/>
                <w:szCs w:val="21"/>
              </w:rPr>
              <w:t>2020年1月1日</w:t>
            </w:r>
            <w:r>
              <w:rPr>
                <w:rFonts w:hint="eastAsia"/>
                <w:color w:val="000000"/>
                <w:szCs w:val="21"/>
              </w:rPr>
              <w:t>至</w:t>
            </w:r>
            <w:r>
              <w:rPr>
                <w:color w:val="000000"/>
                <w:szCs w:val="21"/>
              </w:rPr>
              <w:t>2020年12月31日</w:t>
            </w:r>
          </w:p>
        </w:tc>
        <w:tc>
          <w:tcPr>
            <w:tcW w:w="3366" w:type="dxa"/>
            <w:gridSpan w:val="2"/>
          </w:tcPr>
          <w:p>
            <w:pPr>
              <w:widowControl/>
              <w:autoSpaceDE w:val="0"/>
              <w:autoSpaceDN w:val="0"/>
              <w:spacing w:before="29" w:line="288" w:lineRule="auto"/>
              <w:ind w:right="-15"/>
              <w:jc w:val="center"/>
              <w:textAlignment w:val="bottom"/>
              <w:rPr>
                <w:color w:val="000000"/>
                <w:szCs w:val="21"/>
              </w:rPr>
            </w:pPr>
            <w:r>
              <w:rPr>
                <w:rFonts w:hint="eastAsia"/>
                <w:color w:val="000000"/>
                <w:szCs w:val="21"/>
              </w:rPr>
              <w:t>上年度可比期间</w:t>
            </w:r>
          </w:p>
          <w:p>
            <w:pPr>
              <w:widowControl/>
              <w:autoSpaceDE w:val="0"/>
              <w:autoSpaceDN w:val="0"/>
              <w:spacing w:before="29" w:line="288" w:lineRule="auto"/>
              <w:ind w:right="-15"/>
              <w:jc w:val="center"/>
              <w:textAlignment w:val="bottom"/>
              <w:rPr>
                <w:color w:val="000000"/>
                <w:szCs w:val="21"/>
              </w:rPr>
            </w:pPr>
            <w:r>
              <w:rPr>
                <w:color w:val="000000"/>
                <w:szCs w:val="21"/>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Merge w:val="continue"/>
            <w:vAlign w:val="center"/>
          </w:tcPr>
          <w:p>
            <w:pPr>
              <w:widowControl/>
              <w:autoSpaceDE w:val="0"/>
              <w:autoSpaceDN w:val="0"/>
              <w:spacing w:before="29" w:line="288" w:lineRule="auto"/>
              <w:ind w:right="-15"/>
              <w:jc w:val="center"/>
              <w:textAlignment w:val="bottom"/>
              <w:rPr>
                <w:color w:val="000000"/>
                <w:szCs w:val="21"/>
              </w:rPr>
            </w:pPr>
          </w:p>
        </w:tc>
        <w:tc>
          <w:tcPr>
            <w:tcW w:w="1683" w:type="dxa"/>
            <w:vAlign w:val="center"/>
          </w:tcPr>
          <w:p>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c>
          <w:tcPr>
            <w:tcW w:w="1683" w:type="dxa"/>
            <w:vAlign w:val="center"/>
          </w:tcPr>
          <w:p>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Align w:val="center"/>
          </w:tcPr>
          <w:p>
            <w:pPr>
              <w:jc w:val="left"/>
            </w:pPr>
            <w:r>
              <w:rPr>
                <w:szCs w:val="21"/>
              </w:rPr>
              <w:t>招商银行股份有限公司</w:t>
            </w:r>
          </w:p>
        </w:tc>
        <w:tc>
          <w:tcPr>
            <w:tcW w:w="1683" w:type="dxa"/>
            <w:vAlign w:val="center"/>
          </w:tcPr>
          <w:p>
            <w:pPr>
              <w:jc w:val="right"/>
            </w:pPr>
            <w:r>
              <w:rPr>
                <w:szCs w:val="21"/>
              </w:rPr>
              <w:t>2,325,312.01</w:t>
            </w:r>
          </w:p>
        </w:tc>
        <w:tc>
          <w:tcPr>
            <w:tcW w:w="1683" w:type="dxa"/>
            <w:vAlign w:val="center"/>
          </w:tcPr>
          <w:p>
            <w:pPr>
              <w:jc w:val="right"/>
            </w:pPr>
            <w:r>
              <w:rPr>
                <w:szCs w:val="21"/>
              </w:rPr>
              <w:t>26,717.97</w:t>
            </w:r>
          </w:p>
        </w:tc>
        <w:tc>
          <w:tcPr>
            <w:tcW w:w="1683" w:type="dxa"/>
            <w:vAlign w:val="center"/>
          </w:tcPr>
          <w:p>
            <w:pPr>
              <w:jc w:val="right"/>
            </w:pPr>
            <w:r>
              <w:rPr>
                <w:szCs w:val="21"/>
              </w:rPr>
              <w:t>626,921.67</w:t>
            </w:r>
          </w:p>
        </w:tc>
        <w:tc>
          <w:tcPr>
            <w:tcW w:w="1683" w:type="dxa"/>
            <w:vAlign w:val="center"/>
          </w:tcPr>
          <w:p>
            <w:pPr>
              <w:jc w:val="right"/>
            </w:pPr>
            <w:r>
              <w:rPr>
                <w:szCs w:val="21"/>
              </w:rPr>
              <w:t>6,206.83</w:t>
            </w:r>
          </w:p>
        </w:tc>
      </w:tr>
    </w:tbl>
    <w:p>
      <w:pPr>
        <w:tabs>
          <w:tab w:val="left" w:pos="426"/>
        </w:tabs>
        <w:spacing w:before="29" w:line="288" w:lineRule="auto"/>
        <w:jc w:val="left"/>
        <w:rPr>
          <w:kern w:val="0"/>
          <w:sz w:val="24"/>
        </w:rPr>
      </w:pPr>
      <w:r>
        <w:rPr>
          <w:kern w:val="0"/>
          <w:sz w:val="24"/>
        </w:rPr>
        <w:t>注：本基金的银行存款由基金托管人保管，按银行同业利率计息。</w:t>
      </w:r>
    </w:p>
    <w:p>
      <w:pPr>
        <w:spacing w:line="360" w:lineRule="auto"/>
        <w:rPr>
          <w:rFonts w:asciiTheme="minorEastAsia" w:hAnsiTheme="minorEastAsia" w:eastAsiaTheme="minorEastAsia"/>
          <w:color w:val="000000"/>
          <w:szCs w:val="21"/>
        </w:rPr>
      </w:pPr>
    </w:p>
    <w:p>
      <w:pPr>
        <w:spacing w:before="29" w:line="288" w:lineRule="auto"/>
        <w:outlineLvl w:val="2"/>
        <w:rPr>
          <w:rFonts w:eastAsiaTheme="minorEastAsia"/>
          <w:b/>
          <w:sz w:val="24"/>
        </w:rPr>
      </w:pPr>
      <w:bookmarkStart w:id="189" w:name="_Toc67667981"/>
      <w:r>
        <w:rPr>
          <w:rFonts w:eastAsiaTheme="minorEastAsia"/>
          <w:b/>
          <w:sz w:val="24"/>
        </w:rPr>
        <w:t>7.4.10.6</w:t>
      </w:r>
      <w:r>
        <w:rPr>
          <w:rFonts w:hint="eastAsia" w:eastAsiaTheme="minorEastAsia"/>
          <w:b/>
          <w:sz w:val="24"/>
        </w:rPr>
        <w:t>本基金在承销期内参与关联方承销证券的情况</w:t>
      </w:r>
      <w:bookmarkEnd w:id="189"/>
    </w:p>
    <w:p>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pPr>
        <w:adjustRightInd w:val="0"/>
        <w:snapToGrid w:val="0"/>
        <w:spacing w:line="360" w:lineRule="auto"/>
        <w:jc w:val="left"/>
        <w:rPr>
          <w:rFonts w:asciiTheme="minorEastAsia" w:hAnsiTheme="minorEastAsia" w:eastAsiaTheme="minorEastAsia"/>
          <w:bCs/>
          <w:color w:val="000000"/>
          <w:szCs w:val="21"/>
        </w:rPr>
      </w:pPr>
    </w:p>
    <w:p>
      <w:pPr>
        <w:adjustRightInd w:val="0"/>
        <w:snapToGrid w:val="0"/>
        <w:spacing w:before="312" w:beforeLines="100" w:line="360" w:lineRule="auto"/>
        <w:outlineLvl w:val="2"/>
        <w:rPr>
          <w:rFonts w:eastAsiaTheme="minorEastAsia"/>
          <w:b/>
          <w:color w:val="000000" w:themeColor="text1"/>
          <w:sz w:val="24"/>
        </w:rPr>
      </w:pPr>
      <w:bookmarkStart w:id="190" w:name="_Toc67667982"/>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bookmarkEnd w:id="190"/>
    </w:p>
    <w:p>
      <w:pPr>
        <w:widowControl/>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pPr>
        <w:spacing w:before="29" w:line="288" w:lineRule="auto"/>
        <w:outlineLvl w:val="1"/>
        <w:rPr>
          <w:rFonts w:eastAsiaTheme="minorEastAsia"/>
          <w:b/>
          <w:sz w:val="24"/>
        </w:rPr>
      </w:pPr>
      <w:bookmarkStart w:id="191" w:name="_Toc67667983"/>
      <w:r>
        <w:rPr>
          <w:rFonts w:eastAsiaTheme="minorEastAsia"/>
          <w:b/>
          <w:sz w:val="24"/>
        </w:rPr>
        <w:t>7.4.11</w:t>
      </w:r>
      <w:r>
        <w:rPr>
          <w:rFonts w:hint="eastAsia" w:eastAsiaTheme="minorEastAsia"/>
          <w:b/>
          <w:sz w:val="24"/>
        </w:rPr>
        <w:t>利润分配情况</w:t>
      </w:r>
      <w:bookmarkEnd w:id="191"/>
    </w:p>
    <w:p>
      <w:pPr>
        <w:adjustRightInd w:val="0"/>
        <w:snapToGrid w:val="0"/>
        <w:spacing w:before="29" w:line="288" w:lineRule="auto"/>
        <w:rPr>
          <w:color w:val="000000"/>
          <w:sz w:val="24"/>
        </w:rPr>
      </w:pPr>
      <w:r>
        <w:rPr>
          <w:color w:val="000000"/>
          <w:sz w:val="24"/>
        </w:rPr>
        <w:t>交银丰晟收益债券A</w:t>
      </w:r>
    </w:p>
    <w:p>
      <w:pPr>
        <w:autoSpaceDE w:val="0"/>
        <w:autoSpaceDN w:val="0"/>
        <w:adjustRightInd w:val="0"/>
        <w:spacing w:before="29" w:line="288" w:lineRule="auto"/>
        <w:ind w:left="15"/>
        <w:jc w:val="right"/>
        <w:rPr>
          <w:bCs/>
          <w:color w:val="000000"/>
          <w:sz w:val="24"/>
        </w:rPr>
      </w:pPr>
      <w:r>
        <w:rPr>
          <w:bCs/>
          <w:color w:val="000000"/>
          <w:sz w:val="24"/>
        </w:rPr>
        <w:t>单位：人民币元</w:t>
      </w:r>
    </w:p>
    <w:tbl>
      <w:tblPr>
        <w:tblStyle w:val="31"/>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16"/>
        <w:gridCol w:w="1478"/>
        <w:gridCol w:w="1171"/>
        <w:gridCol w:w="1325"/>
        <w:gridCol w:w="1325"/>
        <w:gridCol w:w="1325"/>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853" w:type="dxa"/>
            <w:vMerge w:val="restart"/>
            <w:shd w:val="clear" w:color="auto" w:fill="auto"/>
            <w:vAlign w:val="center"/>
          </w:tcPr>
          <w:p>
            <w:pPr>
              <w:widowControl/>
              <w:autoSpaceDE w:val="0"/>
              <w:autoSpaceDN w:val="0"/>
              <w:spacing w:before="29" w:line="288" w:lineRule="auto"/>
              <w:ind w:right="-15"/>
              <w:jc w:val="center"/>
              <w:textAlignment w:val="bottom"/>
              <w:rPr>
                <w:color w:val="000000"/>
                <w:szCs w:val="21"/>
              </w:rPr>
            </w:pPr>
            <w:r>
              <w:rPr>
                <w:color w:val="000000"/>
                <w:szCs w:val="21"/>
              </w:rPr>
              <w:t>序号</w:t>
            </w:r>
          </w:p>
        </w:tc>
        <w:tc>
          <w:tcPr>
            <w:tcW w:w="1216" w:type="dxa"/>
            <w:vMerge w:val="restart"/>
            <w:shd w:val="clear" w:color="auto" w:fill="auto"/>
            <w:vAlign w:val="center"/>
          </w:tcPr>
          <w:p>
            <w:pPr>
              <w:widowControl/>
              <w:autoSpaceDE w:val="0"/>
              <w:autoSpaceDN w:val="0"/>
              <w:spacing w:before="29" w:line="288" w:lineRule="auto"/>
              <w:ind w:right="-15"/>
              <w:jc w:val="center"/>
              <w:textAlignment w:val="bottom"/>
              <w:rPr>
                <w:color w:val="000000"/>
                <w:szCs w:val="21"/>
              </w:rPr>
            </w:pPr>
            <w:r>
              <w:rPr>
                <w:color w:val="000000"/>
                <w:szCs w:val="21"/>
              </w:rPr>
              <w:t>权益登记日</w:t>
            </w:r>
          </w:p>
        </w:tc>
        <w:tc>
          <w:tcPr>
            <w:tcW w:w="1478" w:type="dxa"/>
            <w:shd w:val="clear" w:color="auto" w:fill="auto"/>
            <w:vAlign w:val="center"/>
          </w:tcPr>
          <w:p>
            <w:pPr>
              <w:widowControl/>
              <w:autoSpaceDE w:val="0"/>
              <w:autoSpaceDN w:val="0"/>
              <w:spacing w:before="29" w:line="288" w:lineRule="auto"/>
              <w:ind w:right="-15"/>
              <w:jc w:val="center"/>
              <w:textAlignment w:val="bottom"/>
              <w:rPr>
                <w:color w:val="000000"/>
                <w:szCs w:val="21"/>
              </w:rPr>
            </w:pPr>
            <w:r>
              <w:rPr>
                <w:color w:val="000000"/>
                <w:szCs w:val="21"/>
              </w:rPr>
              <w:t>除息日</w:t>
            </w:r>
          </w:p>
        </w:tc>
        <w:tc>
          <w:tcPr>
            <w:tcW w:w="1171" w:type="dxa"/>
            <w:vMerge w:val="restart"/>
            <w:shd w:val="clear" w:color="auto" w:fill="auto"/>
            <w:vAlign w:val="center"/>
          </w:tcPr>
          <w:p>
            <w:pPr>
              <w:widowControl/>
              <w:spacing w:line="288" w:lineRule="auto"/>
              <w:ind w:left="105" w:leftChars="50" w:right="-15"/>
              <w:jc w:val="center"/>
              <w:textAlignment w:val="bottom"/>
              <w:rPr>
                <w:color w:val="000000"/>
                <w:szCs w:val="21"/>
              </w:rPr>
            </w:pPr>
            <w:r>
              <w:rPr>
                <w:color w:val="000000"/>
                <w:szCs w:val="21"/>
              </w:rPr>
              <w:t>每10份基金份额分红数</w:t>
            </w:r>
          </w:p>
        </w:tc>
        <w:tc>
          <w:tcPr>
            <w:tcW w:w="1325" w:type="dxa"/>
            <w:vMerge w:val="restart"/>
            <w:shd w:val="clear" w:color="auto" w:fill="auto"/>
            <w:vAlign w:val="center"/>
          </w:tcPr>
          <w:p>
            <w:pPr>
              <w:widowControl/>
              <w:spacing w:line="288" w:lineRule="auto"/>
              <w:ind w:left="105" w:leftChars="50" w:right="-15"/>
              <w:jc w:val="center"/>
              <w:textAlignment w:val="bottom"/>
              <w:rPr>
                <w:color w:val="000000"/>
                <w:szCs w:val="21"/>
              </w:rPr>
            </w:pPr>
            <w:r>
              <w:rPr>
                <w:color w:val="000000"/>
                <w:szCs w:val="21"/>
              </w:rPr>
              <w:t>现金形式发放总额</w:t>
            </w:r>
          </w:p>
        </w:tc>
        <w:tc>
          <w:tcPr>
            <w:tcW w:w="1325" w:type="dxa"/>
            <w:vMerge w:val="restart"/>
            <w:shd w:val="clear" w:color="auto" w:fill="auto"/>
            <w:vAlign w:val="center"/>
          </w:tcPr>
          <w:p>
            <w:pPr>
              <w:widowControl/>
              <w:spacing w:line="288" w:lineRule="auto"/>
              <w:ind w:left="105" w:leftChars="50" w:right="-15"/>
              <w:jc w:val="center"/>
              <w:textAlignment w:val="bottom"/>
              <w:rPr>
                <w:color w:val="000000"/>
                <w:szCs w:val="21"/>
              </w:rPr>
            </w:pPr>
            <w:r>
              <w:rPr>
                <w:color w:val="000000"/>
                <w:szCs w:val="21"/>
              </w:rPr>
              <w:t>再投资形式发放总额</w:t>
            </w:r>
          </w:p>
        </w:tc>
        <w:tc>
          <w:tcPr>
            <w:tcW w:w="1325" w:type="dxa"/>
            <w:vMerge w:val="restart"/>
            <w:shd w:val="clear" w:color="auto" w:fill="auto"/>
            <w:vAlign w:val="center"/>
          </w:tcPr>
          <w:p>
            <w:pPr>
              <w:widowControl/>
              <w:spacing w:line="288" w:lineRule="auto"/>
              <w:ind w:right="-15"/>
              <w:jc w:val="center"/>
              <w:textAlignment w:val="bottom"/>
              <w:rPr>
                <w:color w:val="000000"/>
                <w:szCs w:val="21"/>
              </w:rPr>
            </w:pPr>
            <w:r>
              <w:rPr>
                <w:rFonts w:hint="eastAsia"/>
                <w:color w:val="000000"/>
                <w:szCs w:val="21"/>
              </w:rPr>
              <w:t>本期</w:t>
            </w:r>
            <w:r>
              <w:rPr>
                <w:color w:val="000000"/>
                <w:szCs w:val="21"/>
              </w:rPr>
              <w:t>利润分配合计</w:t>
            </w:r>
          </w:p>
        </w:tc>
        <w:tc>
          <w:tcPr>
            <w:tcW w:w="948" w:type="dxa"/>
            <w:vMerge w:val="restart"/>
            <w:shd w:val="clear" w:color="auto" w:fill="auto"/>
            <w:vAlign w:val="center"/>
          </w:tcPr>
          <w:p>
            <w:pPr>
              <w:widowControl/>
              <w:spacing w:line="288" w:lineRule="auto"/>
              <w:ind w:right="-15"/>
              <w:jc w:val="center"/>
              <w:textAlignment w:val="bottom"/>
              <w:rPr>
                <w:color w:val="000000"/>
                <w:szCs w:val="21"/>
              </w:rPr>
            </w:pPr>
            <w:r>
              <w:rPr>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jc w:val="center"/>
            </w:pPr>
            <w:r>
              <w:rPr>
                <w:szCs w:val="21"/>
              </w:rPr>
              <w:t>1</w:t>
            </w:r>
          </w:p>
        </w:tc>
        <w:tc>
          <w:tcPr>
            <w:tcW w:w="1216" w:type="dxa"/>
            <w:vAlign w:val="center"/>
          </w:tcPr>
          <w:p>
            <w:pPr>
              <w:jc w:val="center"/>
            </w:pPr>
            <w:r>
              <w:rPr>
                <w:szCs w:val="21"/>
              </w:rPr>
              <w:t>2020-01-14</w:t>
            </w:r>
          </w:p>
        </w:tc>
        <w:tc>
          <w:tcPr>
            <w:tcW w:w="1478" w:type="dxa"/>
            <w:vAlign w:val="center"/>
          </w:tcPr>
          <w:p>
            <w:pPr>
              <w:jc w:val="center"/>
            </w:pPr>
            <w:r>
              <w:rPr>
                <w:szCs w:val="21"/>
              </w:rPr>
              <w:t>202</w:t>
            </w:r>
            <w:r>
              <w:rPr>
                <w:rFonts w:hint="eastAsia"/>
                <w:szCs w:val="21"/>
              </w:rPr>
              <w:t>0</w:t>
            </w:r>
            <w:r>
              <w:rPr>
                <w:szCs w:val="21"/>
              </w:rPr>
              <w:t>-01-14</w:t>
            </w:r>
          </w:p>
        </w:tc>
        <w:tc>
          <w:tcPr>
            <w:tcW w:w="1171" w:type="dxa"/>
            <w:vAlign w:val="center"/>
          </w:tcPr>
          <w:p>
            <w:pPr>
              <w:jc w:val="right"/>
            </w:pPr>
            <w:r>
              <w:rPr>
                <w:szCs w:val="21"/>
              </w:rPr>
              <w:t>0.560</w:t>
            </w:r>
          </w:p>
        </w:tc>
        <w:tc>
          <w:tcPr>
            <w:tcW w:w="1325" w:type="dxa"/>
            <w:vAlign w:val="center"/>
          </w:tcPr>
          <w:p>
            <w:pPr>
              <w:jc w:val="right"/>
            </w:pPr>
            <w:r>
              <w:rPr>
                <w:szCs w:val="21"/>
              </w:rPr>
              <w:t>18,525,540.90</w:t>
            </w:r>
          </w:p>
        </w:tc>
        <w:tc>
          <w:tcPr>
            <w:tcW w:w="1325" w:type="dxa"/>
            <w:vAlign w:val="center"/>
          </w:tcPr>
          <w:p>
            <w:pPr>
              <w:jc w:val="right"/>
            </w:pPr>
            <w:r>
              <w:rPr>
                <w:szCs w:val="21"/>
              </w:rPr>
              <w:t>-</w:t>
            </w:r>
          </w:p>
        </w:tc>
        <w:tc>
          <w:tcPr>
            <w:tcW w:w="1325" w:type="dxa"/>
            <w:vAlign w:val="center"/>
          </w:tcPr>
          <w:p>
            <w:pPr>
              <w:jc w:val="right"/>
            </w:pPr>
            <w:r>
              <w:rPr>
                <w:szCs w:val="21"/>
              </w:rPr>
              <w:t>18,525,540.90</w:t>
            </w:r>
          </w:p>
        </w:tc>
        <w:tc>
          <w:tcPr>
            <w:tcW w:w="948" w:type="dxa"/>
            <w:vAlign w:val="center"/>
          </w:tcPr>
          <w:p>
            <w:pPr>
              <w:jc w:val="left"/>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shd w:val="clear" w:color="auto" w:fill="auto"/>
            <w:vAlign w:val="center"/>
          </w:tcPr>
          <w:p>
            <w:pPr>
              <w:spacing w:before="29" w:line="288" w:lineRule="auto"/>
              <w:jc w:val="center"/>
              <w:rPr>
                <w:szCs w:val="21"/>
              </w:rPr>
            </w:pPr>
            <w:r>
              <w:rPr>
                <w:szCs w:val="21"/>
              </w:rPr>
              <w:t>合计</w:t>
            </w:r>
          </w:p>
        </w:tc>
        <w:tc>
          <w:tcPr>
            <w:tcW w:w="1216" w:type="dxa"/>
            <w:shd w:val="clear" w:color="auto" w:fill="auto"/>
            <w:vAlign w:val="center"/>
          </w:tcPr>
          <w:p>
            <w:pPr>
              <w:spacing w:before="29" w:line="288" w:lineRule="auto"/>
              <w:jc w:val="right"/>
              <w:rPr>
                <w:szCs w:val="21"/>
              </w:rPr>
            </w:pPr>
          </w:p>
        </w:tc>
        <w:tc>
          <w:tcPr>
            <w:tcW w:w="1478" w:type="dxa"/>
            <w:shd w:val="clear" w:color="auto" w:fill="auto"/>
            <w:vAlign w:val="center"/>
          </w:tcPr>
          <w:p>
            <w:pPr>
              <w:spacing w:before="29" w:line="288" w:lineRule="auto"/>
              <w:jc w:val="right"/>
              <w:rPr>
                <w:szCs w:val="21"/>
              </w:rPr>
            </w:pPr>
          </w:p>
        </w:tc>
        <w:tc>
          <w:tcPr>
            <w:tcW w:w="1171" w:type="dxa"/>
            <w:shd w:val="clear" w:color="auto" w:fill="auto"/>
            <w:vAlign w:val="center"/>
          </w:tcPr>
          <w:p>
            <w:pPr>
              <w:spacing w:before="29" w:line="288" w:lineRule="auto"/>
              <w:jc w:val="right"/>
              <w:rPr>
                <w:szCs w:val="21"/>
              </w:rPr>
            </w:pPr>
            <w:r>
              <w:rPr>
                <w:szCs w:val="21"/>
              </w:rPr>
              <w:t>0.560</w:t>
            </w:r>
          </w:p>
        </w:tc>
        <w:tc>
          <w:tcPr>
            <w:tcW w:w="1325" w:type="dxa"/>
            <w:shd w:val="clear" w:color="auto" w:fill="auto"/>
            <w:vAlign w:val="center"/>
          </w:tcPr>
          <w:p>
            <w:pPr>
              <w:spacing w:before="29" w:line="288" w:lineRule="auto"/>
              <w:jc w:val="right"/>
              <w:rPr>
                <w:szCs w:val="21"/>
              </w:rPr>
            </w:pPr>
            <w:r>
              <w:rPr>
                <w:szCs w:val="21"/>
              </w:rPr>
              <w:t>18,525,540.90</w:t>
            </w:r>
          </w:p>
        </w:tc>
        <w:tc>
          <w:tcPr>
            <w:tcW w:w="1325" w:type="dxa"/>
            <w:shd w:val="clear" w:color="auto" w:fill="auto"/>
            <w:vAlign w:val="center"/>
          </w:tcPr>
          <w:p>
            <w:pPr>
              <w:spacing w:before="29" w:line="288" w:lineRule="auto"/>
              <w:jc w:val="right"/>
              <w:rPr>
                <w:szCs w:val="21"/>
              </w:rPr>
            </w:pPr>
            <w:r>
              <w:rPr>
                <w:szCs w:val="21"/>
              </w:rPr>
              <w:t>-</w:t>
            </w:r>
          </w:p>
        </w:tc>
        <w:tc>
          <w:tcPr>
            <w:tcW w:w="1325" w:type="dxa"/>
            <w:shd w:val="clear" w:color="auto" w:fill="auto"/>
            <w:vAlign w:val="center"/>
          </w:tcPr>
          <w:p>
            <w:pPr>
              <w:spacing w:before="29" w:line="288" w:lineRule="auto"/>
              <w:jc w:val="right"/>
              <w:rPr>
                <w:szCs w:val="21"/>
              </w:rPr>
            </w:pPr>
            <w:r>
              <w:rPr>
                <w:szCs w:val="21"/>
              </w:rPr>
              <w:t>18,525,540.90</w:t>
            </w:r>
          </w:p>
        </w:tc>
        <w:tc>
          <w:tcPr>
            <w:tcW w:w="948" w:type="dxa"/>
            <w:shd w:val="clear" w:color="auto" w:fill="auto"/>
            <w:vAlign w:val="center"/>
          </w:tcPr>
          <w:p>
            <w:pPr>
              <w:spacing w:before="29" w:line="288" w:lineRule="auto"/>
              <w:rPr>
                <w:szCs w:val="21"/>
              </w:rPr>
            </w:pPr>
            <w:r>
              <w:rPr>
                <w:szCs w:val="21"/>
              </w:rPr>
              <w:t>-</w:t>
            </w:r>
          </w:p>
        </w:tc>
      </w:tr>
    </w:tbl>
    <w:p>
      <w:pPr>
        <w:tabs>
          <w:tab w:val="left" w:pos="426"/>
        </w:tabs>
        <w:spacing w:before="29" w:line="288" w:lineRule="auto"/>
        <w:jc w:val="left"/>
        <w:rPr>
          <w:kern w:val="0"/>
          <w:sz w:val="24"/>
        </w:rPr>
      </w:pPr>
    </w:p>
    <w:p>
      <w:pPr>
        <w:adjustRightInd w:val="0"/>
        <w:snapToGrid w:val="0"/>
        <w:spacing w:before="29" w:line="288" w:lineRule="auto"/>
        <w:rPr>
          <w:color w:val="000000"/>
          <w:sz w:val="24"/>
        </w:rPr>
      </w:pPr>
      <w:r>
        <w:rPr>
          <w:color w:val="000000"/>
          <w:sz w:val="24"/>
        </w:rPr>
        <w:t>交银丰晟收益债券C</w:t>
      </w:r>
    </w:p>
    <w:p>
      <w:pPr>
        <w:autoSpaceDE w:val="0"/>
        <w:autoSpaceDN w:val="0"/>
        <w:adjustRightInd w:val="0"/>
        <w:spacing w:before="29" w:line="288" w:lineRule="auto"/>
        <w:ind w:left="15"/>
        <w:jc w:val="right"/>
        <w:rPr>
          <w:bCs/>
          <w:color w:val="000000"/>
          <w:sz w:val="24"/>
        </w:rPr>
      </w:pPr>
      <w:r>
        <w:rPr>
          <w:bCs/>
          <w:color w:val="000000"/>
          <w:sz w:val="24"/>
        </w:rPr>
        <w:t>单位：人民币元</w:t>
      </w:r>
    </w:p>
    <w:tbl>
      <w:tblPr>
        <w:tblStyle w:val="31"/>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16"/>
        <w:gridCol w:w="1478"/>
        <w:gridCol w:w="1171"/>
        <w:gridCol w:w="1325"/>
        <w:gridCol w:w="1325"/>
        <w:gridCol w:w="1325"/>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853" w:type="dxa"/>
            <w:vMerge w:val="restart"/>
            <w:shd w:val="clear" w:color="auto" w:fill="auto"/>
            <w:vAlign w:val="center"/>
          </w:tcPr>
          <w:p>
            <w:pPr>
              <w:widowControl/>
              <w:autoSpaceDE w:val="0"/>
              <w:autoSpaceDN w:val="0"/>
              <w:spacing w:before="29" w:line="288" w:lineRule="auto"/>
              <w:ind w:right="-15"/>
              <w:jc w:val="center"/>
              <w:textAlignment w:val="bottom"/>
              <w:rPr>
                <w:color w:val="000000"/>
                <w:szCs w:val="21"/>
              </w:rPr>
            </w:pPr>
            <w:r>
              <w:rPr>
                <w:color w:val="000000"/>
                <w:szCs w:val="21"/>
              </w:rPr>
              <w:t>序号</w:t>
            </w:r>
          </w:p>
        </w:tc>
        <w:tc>
          <w:tcPr>
            <w:tcW w:w="1216" w:type="dxa"/>
            <w:vMerge w:val="restart"/>
            <w:shd w:val="clear" w:color="auto" w:fill="auto"/>
            <w:vAlign w:val="center"/>
          </w:tcPr>
          <w:p>
            <w:pPr>
              <w:widowControl/>
              <w:autoSpaceDE w:val="0"/>
              <w:autoSpaceDN w:val="0"/>
              <w:spacing w:before="29" w:line="288" w:lineRule="auto"/>
              <w:ind w:right="-15"/>
              <w:jc w:val="center"/>
              <w:textAlignment w:val="bottom"/>
              <w:rPr>
                <w:color w:val="000000"/>
                <w:szCs w:val="21"/>
              </w:rPr>
            </w:pPr>
            <w:r>
              <w:rPr>
                <w:color w:val="000000"/>
                <w:szCs w:val="21"/>
              </w:rPr>
              <w:t>权益登记日</w:t>
            </w:r>
          </w:p>
        </w:tc>
        <w:tc>
          <w:tcPr>
            <w:tcW w:w="1478" w:type="dxa"/>
            <w:shd w:val="clear" w:color="auto" w:fill="auto"/>
            <w:vAlign w:val="center"/>
          </w:tcPr>
          <w:p>
            <w:pPr>
              <w:widowControl/>
              <w:autoSpaceDE w:val="0"/>
              <w:autoSpaceDN w:val="0"/>
              <w:spacing w:before="29" w:line="288" w:lineRule="auto"/>
              <w:ind w:right="-15"/>
              <w:jc w:val="center"/>
              <w:textAlignment w:val="bottom"/>
              <w:rPr>
                <w:color w:val="000000"/>
                <w:szCs w:val="21"/>
              </w:rPr>
            </w:pPr>
            <w:r>
              <w:rPr>
                <w:color w:val="000000"/>
                <w:szCs w:val="21"/>
              </w:rPr>
              <w:t>除息日</w:t>
            </w:r>
          </w:p>
        </w:tc>
        <w:tc>
          <w:tcPr>
            <w:tcW w:w="1171" w:type="dxa"/>
            <w:vMerge w:val="restart"/>
            <w:shd w:val="clear" w:color="auto" w:fill="auto"/>
            <w:vAlign w:val="center"/>
          </w:tcPr>
          <w:p>
            <w:pPr>
              <w:widowControl/>
              <w:spacing w:line="288" w:lineRule="auto"/>
              <w:ind w:left="105" w:leftChars="50" w:right="-15"/>
              <w:jc w:val="center"/>
              <w:textAlignment w:val="bottom"/>
              <w:rPr>
                <w:color w:val="000000"/>
                <w:szCs w:val="21"/>
              </w:rPr>
            </w:pPr>
            <w:r>
              <w:rPr>
                <w:color w:val="000000"/>
                <w:szCs w:val="21"/>
              </w:rPr>
              <w:t>每10份基金份额分红数</w:t>
            </w:r>
          </w:p>
        </w:tc>
        <w:tc>
          <w:tcPr>
            <w:tcW w:w="1325" w:type="dxa"/>
            <w:vMerge w:val="restart"/>
            <w:shd w:val="clear" w:color="auto" w:fill="auto"/>
            <w:vAlign w:val="center"/>
          </w:tcPr>
          <w:p>
            <w:pPr>
              <w:widowControl/>
              <w:spacing w:line="288" w:lineRule="auto"/>
              <w:ind w:left="105" w:leftChars="50" w:right="-15"/>
              <w:jc w:val="center"/>
              <w:textAlignment w:val="bottom"/>
              <w:rPr>
                <w:color w:val="000000"/>
                <w:szCs w:val="21"/>
              </w:rPr>
            </w:pPr>
            <w:r>
              <w:rPr>
                <w:color w:val="000000"/>
                <w:szCs w:val="21"/>
              </w:rPr>
              <w:t>现金形式发放总额</w:t>
            </w:r>
          </w:p>
        </w:tc>
        <w:tc>
          <w:tcPr>
            <w:tcW w:w="1325" w:type="dxa"/>
            <w:vMerge w:val="restart"/>
            <w:shd w:val="clear" w:color="auto" w:fill="auto"/>
            <w:vAlign w:val="center"/>
          </w:tcPr>
          <w:p>
            <w:pPr>
              <w:widowControl/>
              <w:spacing w:line="288" w:lineRule="auto"/>
              <w:ind w:left="105" w:leftChars="50" w:right="-15"/>
              <w:jc w:val="center"/>
              <w:textAlignment w:val="bottom"/>
              <w:rPr>
                <w:color w:val="000000"/>
                <w:szCs w:val="21"/>
              </w:rPr>
            </w:pPr>
            <w:r>
              <w:rPr>
                <w:color w:val="000000"/>
                <w:szCs w:val="21"/>
              </w:rPr>
              <w:t>再投资形式发放总额</w:t>
            </w:r>
          </w:p>
        </w:tc>
        <w:tc>
          <w:tcPr>
            <w:tcW w:w="1325" w:type="dxa"/>
            <w:vMerge w:val="restart"/>
            <w:shd w:val="clear" w:color="auto" w:fill="auto"/>
            <w:vAlign w:val="center"/>
          </w:tcPr>
          <w:p>
            <w:pPr>
              <w:widowControl/>
              <w:spacing w:line="288" w:lineRule="auto"/>
              <w:ind w:right="-15"/>
              <w:jc w:val="center"/>
              <w:textAlignment w:val="bottom"/>
              <w:rPr>
                <w:color w:val="000000"/>
                <w:szCs w:val="21"/>
              </w:rPr>
            </w:pPr>
            <w:r>
              <w:rPr>
                <w:rFonts w:hint="eastAsia"/>
                <w:color w:val="000000"/>
                <w:szCs w:val="21"/>
              </w:rPr>
              <w:t>本期</w:t>
            </w:r>
            <w:r>
              <w:rPr>
                <w:color w:val="000000"/>
                <w:szCs w:val="21"/>
              </w:rPr>
              <w:t>利润分配合计</w:t>
            </w:r>
          </w:p>
        </w:tc>
        <w:tc>
          <w:tcPr>
            <w:tcW w:w="948" w:type="dxa"/>
            <w:vMerge w:val="restart"/>
            <w:shd w:val="clear" w:color="auto" w:fill="auto"/>
            <w:vAlign w:val="center"/>
          </w:tcPr>
          <w:p>
            <w:pPr>
              <w:widowControl/>
              <w:spacing w:line="288" w:lineRule="auto"/>
              <w:ind w:right="-15"/>
              <w:jc w:val="center"/>
              <w:textAlignment w:val="bottom"/>
              <w:rPr>
                <w:color w:val="000000"/>
                <w:szCs w:val="21"/>
              </w:rPr>
            </w:pPr>
            <w:r>
              <w:rPr>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jc w:val="center"/>
            </w:pPr>
            <w:r>
              <w:rPr>
                <w:szCs w:val="21"/>
              </w:rPr>
              <w:t>1</w:t>
            </w:r>
          </w:p>
        </w:tc>
        <w:tc>
          <w:tcPr>
            <w:tcW w:w="1216" w:type="dxa"/>
            <w:vAlign w:val="center"/>
          </w:tcPr>
          <w:p>
            <w:pPr>
              <w:jc w:val="center"/>
            </w:pPr>
            <w:r>
              <w:rPr>
                <w:szCs w:val="21"/>
              </w:rPr>
              <w:t>2020-01-14</w:t>
            </w:r>
          </w:p>
        </w:tc>
        <w:tc>
          <w:tcPr>
            <w:tcW w:w="1478" w:type="dxa"/>
            <w:vAlign w:val="center"/>
          </w:tcPr>
          <w:p>
            <w:pPr>
              <w:jc w:val="center"/>
            </w:pPr>
            <w:r>
              <w:rPr>
                <w:szCs w:val="21"/>
              </w:rPr>
              <w:t>202</w:t>
            </w:r>
            <w:r>
              <w:rPr>
                <w:rFonts w:hint="eastAsia"/>
                <w:szCs w:val="21"/>
              </w:rPr>
              <w:t>0</w:t>
            </w:r>
            <w:r>
              <w:rPr>
                <w:szCs w:val="21"/>
              </w:rPr>
              <w:t>-01-14</w:t>
            </w:r>
          </w:p>
        </w:tc>
        <w:tc>
          <w:tcPr>
            <w:tcW w:w="1171" w:type="dxa"/>
            <w:vAlign w:val="center"/>
          </w:tcPr>
          <w:p>
            <w:pPr>
              <w:jc w:val="right"/>
            </w:pPr>
            <w:r>
              <w:rPr>
                <w:szCs w:val="21"/>
              </w:rPr>
              <w:t>0.500</w:t>
            </w:r>
          </w:p>
        </w:tc>
        <w:tc>
          <w:tcPr>
            <w:tcW w:w="1325" w:type="dxa"/>
            <w:vAlign w:val="center"/>
          </w:tcPr>
          <w:p>
            <w:pPr>
              <w:jc w:val="right"/>
            </w:pPr>
            <w:r>
              <w:rPr>
                <w:szCs w:val="21"/>
              </w:rPr>
              <w:t>38,833.20</w:t>
            </w:r>
          </w:p>
        </w:tc>
        <w:tc>
          <w:tcPr>
            <w:tcW w:w="1325" w:type="dxa"/>
            <w:vAlign w:val="center"/>
          </w:tcPr>
          <w:p>
            <w:pPr>
              <w:jc w:val="right"/>
            </w:pPr>
            <w:r>
              <w:rPr>
                <w:szCs w:val="21"/>
              </w:rPr>
              <w:t>-</w:t>
            </w:r>
          </w:p>
        </w:tc>
        <w:tc>
          <w:tcPr>
            <w:tcW w:w="1325" w:type="dxa"/>
            <w:vAlign w:val="center"/>
          </w:tcPr>
          <w:p>
            <w:pPr>
              <w:jc w:val="right"/>
            </w:pPr>
            <w:r>
              <w:rPr>
                <w:szCs w:val="21"/>
              </w:rPr>
              <w:t>38,833.20</w:t>
            </w:r>
          </w:p>
        </w:tc>
        <w:tc>
          <w:tcPr>
            <w:tcW w:w="948" w:type="dxa"/>
            <w:vAlign w:val="center"/>
          </w:tcPr>
          <w:p>
            <w:pPr>
              <w:jc w:val="left"/>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shd w:val="clear" w:color="auto" w:fill="auto"/>
            <w:vAlign w:val="center"/>
          </w:tcPr>
          <w:p>
            <w:pPr>
              <w:spacing w:before="29" w:line="288" w:lineRule="auto"/>
              <w:jc w:val="center"/>
              <w:rPr>
                <w:szCs w:val="21"/>
              </w:rPr>
            </w:pPr>
            <w:r>
              <w:rPr>
                <w:szCs w:val="21"/>
              </w:rPr>
              <w:t>合计</w:t>
            </w:r>
          </w:p>
        </w:tc>
        <w:tc>
          <w:tcPr>
            <w:tcW w:w="1216" w:type="dxa"/>
            <w:shd w:val="clear" w:color="auto" w:fill="auto"/>
            <w:vAlign w:val="center"/>
          </w:tcPr>
          <w:p>
            <w:pPr>
              <w:spacing w:before="29" w:line="288" w:lineRule="auto"/>
              <w:jc w:val="right"/>
              <w:rPr>
                <w:szCs w:val="21"/>
              </w:rPr>
            </w:pPr>
          </w:p>
        </w:tc>
        <w:tc>
          <w:tcPr>
            <w:tcW w:w="1478" w:type="dxa"/>
            <w:shd w:val="clear" w:color="auto" w:fill="auto"/>
            <w:vAlign w:val="center"/>
          </w:tcPr>
          <w:p>
            <w:pPr>
              <w:spacing w:before="29" w:line="288" w:lineRule="auto"/>
              <w:jc w:val="right"/>
              <w:rPr>
                <w:szCs w:val="21"/>
              </w:rPr>
            </w:pPr>
          </w:p>
        </w:tc>
        <w:tc>
          <w:tcPr>
            <w:tcW w:w="1171" w:type="dxa"/>
            <w:shd w:val="clear" w:color="auto" w:fill="auto"/>
            <w:vAlign w:val="center"/>
          </w:tcPr>
          <w:p>
            <w:pPr>
              <w:spacing w:before="29" w:line="288" w:lineRule="auto"/>
              <w:jc w:val="right"/>
              <w:rPr>
                <w:szCs w:val="21"/>
              </w:rPr>
            </w:pPr>
            <w:r>
              <w:rPr>
                <w:szCs w:val="21"/>
              </w:rPr>
              <w:t>0.500</w:t>
            </w:r>
          </w:p>
        </w:tc>
        <w:tc>
          <w:tcPr>
            <w:tcW w:w="1325" w:type="dxa"/>
            <w:shd w:val="clear" w:color="auto" w:fill="auto"/>
            <w:vAlign w:val="center"/>
          </w:tcPr>
          <w:p>
            <w:pPr>
              <w:spacing w:before="29" w:line="288" w:lineRule="auto"/>
              <w:jc w:val="right"/>
              <w:rPr>
                <w:szCs w:val="21"/>
              </w:rPr>
            </w:pPr>
            <w:r>
              <w:rPr>
                <w:szCs w:val="21"/>
              </w:rPr>
              <w:t>38,833.20</w:t>
            </w:r>
          </w:p>
        </w:tc>
        <w:tc>
          <w:tcPr>
            <w:tcW w:w="1325" w:type="dxa"/>
            <w:shd w:val="clear" w:color="auto" w:fill="auto"/>
            <w:vAlign w:val="center"/>
          </w:tcPr>
          <w:p>
            <w:pPr>
              <w:spacing w:before="29" w:line="288" w:lineRule="auto"/>
              <w:jc w:val="right"/>
              <w:rPr>
                <w:szCs w:val="21"/>
              </w:rPr>
            </w:pPr>
            <w:r>
              <w:rPr>
                <w:szCs w:val="21"/>
              </w:rPr>
              <w:t>-</w:t>
            </w:r>
          </w:p>
        </w:tc>
        <w:tc>
          <w:tcPr>
            <w:tcW w:w="1325" w:type="dxa"/>
            <w:shd w:val="clear" w:color="auto" w:fill="auto"/>
            <w:vAlign w:val="center"/>
          </w:tcPr>
          <w:p>
            <w:pPr>
              <w:spacing w:before="29" w:line="288" w:lineRule="auto"/>
              <w:jc w:val="right"/>
              <w:rPr>
                <w:szCs w:val="21"/>
              </w:rPr>
            </w:pPr>
            <w:r>
              <w:rPr>
                <w:szCs w:val="21"/>
              </w:rPr>
              <w:t>38,833.20</w:t>
            </w:r>
          </w:p>
        </w:tc>
        <w:tc>
          <w:tcPr>
            <w:tcW w:w="948" w:type="dxa"/>
            <w:shd w:val="clear" w:color="auto" w:fill="auto"/>
            <w:vAlign w:val="center"/>
          </w:tcPr>
          <w:p>
            <w:pPr>
              <w:spacing w:before="29" w:line="288" w:lineRule="auto"/>
              <w:rPr>
                <w:szCs w:val="21"/>
              </w:rPr>
            </w:pPr>
            <w:r>
              <w:rPr>
                <w:szCs w:val="21"/>
              </w:rPr>
              <w:t>-</w:t>
            </w:r>
          </w:p>
        </w:tc>
      </w:tr>
    </w:tbl>
    <w:p>
      <w:pPr>
        <w:tabs>
          <w:tab w:val="left" w:pos="426"/>
        </w:tabs>
        <w:spacing w:before="29" w:line="288" w:lineRule="auto"/>
        <w:jc w:val="left"/>
        <w:rPr>
          <w:rFonts w:eastAsiaTheme="minorEastAsia"/>
          <w:b/>
          <w:sz w:val="24"/>
        </w:rPr>
      </w:pPr>
    </w:p>
    <w:p>
      <w:pPr>
        <w:spacing w:before="29" w:line="288" w:lineRule="auto"/>
        <w:outlineLvl w:val="1"/>
        <w:rPr>
          <w:rFonts w:eastAsiaTheme="minorEastAsia"/>
          <w:b/>
          <w:sz w:val="24"/>
        </w:rPr>
      </w:pPr>
      <w:bookmarkStart w:id="192" w:name="_Toc67667984"/>
      <w:r>
        <w:rPr>
          <w:rFonts w:eastAsiaTheme="minorEastAsia"/>
          <w:b/>
          <w:sz w:val="24"/>
        </w:rPr>
        <w:t>7.4.12</w:t>
      </w:r>
      <w:r>
        <w:rPr>
          <w:rFonts w:hint="eastAsia" w:eastAsiaTheme="minorEastAsia"/>
          <w:b/>
          <w:sz w:val="24"/>
        </w:rPr>
        <w:t>期末（</w:t>
      </w:r>
      <w:r>
        <w:rPr>
          <w:rFonts w:eastAsiaTheme="minorEastAsia"/>
          <w:b/>
          <w:sz w:val="24"/>
        </w:rPr>
        <w:t>2020年12月31日</w:t>
      </w:r>
      <w:r>
        <w:rPr>
          <w:rFonts w:hint="eastAsia" w:eastAsiaTheme="minorEastAsia"/>
          <w:b/>
          <w:sz w:val="24"/>
        </w:rPr>
        <w:t>）本基金持有的流通受限证券</w:t>
      </w:r>
      <w:bookmarkEnd w:id="192"/>
    </w:p>
    <w:p>
      <w:pPr>
        <w:spacing w:before="29" w:line="288" w:lineRule="auto"/>
        <w:outlineLvl w:val="2"/>
        <w:rPr>
          <w:rFonts w:eastAsiaTheme="minorEastAsia"/>
          <w:b/>
          <w:sz w:val="24"/>
        </w:rPr>
      </w:pPr>
      <w:bookmarkStart w:id="193" w:name="_Toc67667985"/>
      <w:r>
        <w:rPr>
          <w:rFonts w:eastAsiaTheme="minorEastAsia"/>
          <w:b/>
          <w:sz w:val="24"/>
        </w:rPr>
        <w:t>7.4.12.1</w:t>
      </w:r>
      <w:r>
        <w:rPr>
          <w:rFonts w:hint="eastAsia" w:eastAsiaTheme="minorEastAsia"/>
          <w:b/>
          <w:sz w:val="24"/>
        </w:rPr>
        <w:t>因认购新发</w:t>
      </w:r>
      <w:r>
        <w:rPr>
          <w:rFonts w:eastAsiaTheme="minorEastAsia"/>
          <w:b/>
          <w:sz w:val="24"/>
        </w:rPr>
        <w:t>/</w:t>
      </w:r>
      <w:r>
        <w:rPr>
          <w:rFonts w:hint="eastAsia" w:eastAsiaTheme="minorEastAsia"/>
          <w:b/>
          <w:sz w:val="24"/>
        </w:rPr>
        <w:t>增发证券而于期末持有的流通受限证券</w:t>
      </w:r>
      <w:bookmarkEnd w:id="193"/>
    </w:p>
    <w:p>
      <w:pPr>
        <w:tabs>
          <w:tab w:val="left" w:pos="426"/>
        </w:tabs>
        <w:spacing w:before="29" w:line="288" w:lineRule="auto"/>
        <w:jc w:val="left"/>
        <w:rPr>
          <w:kern w:val="0"/>
          <w:sz w:val="24"/>
        </w:rPr>
      </w:pPr>
      <w:r>
        <w:rPr>
          <w:kern w:val="0"/>
          <w:sz w:val="24"/>
        </w:rPr>
        <w:t>本基金本报告期末未持有因认购新发/增发证券而流通受限的证券。</w:t>
      </w:r>
    </w:p>
    <w:p>
      <w:pPr>
        <w:spacing w:line="360" w:lineRule="auto"/>
        <w:rPr>
          <w:rFonts w:asciiTheme="minorEastAsia" w:hAnsiTheme="minorEastAsia" w:eastAsiaTheme="minorEastAsia"/>
          <w:color w:val="000000"/>
          <w:szCs w:val="21"/>
        </w:rPr>
      </w:pPr>
    </w:p>
    <w:p>
      <w:pPr>
        <w:spacing w:before="29" w:line="288" w:lineRule="auto"/>
        <w:outlineLvl w:val="2"/>
        <w:rPr>
          <w:rFonts w:eastAsiaTheme="minorEastAsia"/>
          <w:b/>
          <w:sz w:val="24"/>
        </w:rPr>
      </w:pPr>
      <w:bookmarkStart w:id="194" w:name="_Toc67667986"/>
      <w:r>
        <w:rPr>
          <w:rFonts w:eastAsiaTheme="minorEastAsia"/>
          <w:b/>
          <w:sz w:val="24"/>
        </w:rPr>
        <w:t>7.4.12.2</w:t>
      </w:r>
      <w:r>
        <w:rPr>
          <w:rFonts w:hint="eastAsia" w:eastAsiaTheme="minorEastAsia"/>
          <w:b/>
          <w:sz w:val="24"/>
        </w:rPr>
        <w:t>期末持有的暂时停牌等流通受限股票</w:t>
      </w:r>
      <w:bookmarkEnd w:id="194"/>
    </w:p>
    <w:p>
      <w:pPr>
        <w:tabs>
          <w:tab w:val="left" w:pos="426"/>
        </w:tabs>
        <w:spacing w:before="29" w:line="288" w:lineRule="auto"/>
        <w:jc w:val="left"/>
        <w:rPr>
          <w:kern w:val="0"/>
          <w:sz w:val="24"/>
        </w:rPr>
      </w:pPr>
      <w:r>
        <w:rPr>
          <w:kern w:val="0"/>
          <w:sz w:val="24"/>
        </w:rPr>
        <w:t>本基金本报告期末未持有暂时停牌等流通受限股票。</w:t>
      </w:r>
    </w:p>
    <w:p>
      <w:pPr>
        <w:spacing w:line="360" w:lineRule="auto"/>
        <w:rPr>
          <w:rFonts w:asciiTheme="minorEastAsia" w:hAnsiTheme="minorEastAsia" w:eastAsiaTheme="minorEastAsia"/>
          <w:color w:val="000000"/>
          <w:szCs w:val="21"/>
        </w:rPr>
      </w:pPr>
    </w:p>
    <w:p>
      <w:pPr>
        <w:spacing w:before="29" w:line="288" w:lineRule="auto"/>
        <w:outlineLvl w:val="2"/>
        <w:rPr>
          <w:rFonts w:eastAsiaTheme="minorEastAsia"/>
          <w:b/>
          <w:sz w:val="24"/>
        </w:rPr>
      </w:pPr>
      <w:bookmarkStart w:id="195" w:name="_Toc67667987"/>
      <w:r>
        <w:rPr>
          <w:rFonts w:eastAsiaTheme="minorEastAsia"/>
          <w:b/>
          <w:sz w:val="24"/>
        </w:rPr>
        <w:t>7.4.12.3</w:t>
      </w:r>
      <w:r>
        <w:rPr>
          <w:rFonts w:hint="eastAsia" w:eastAsiaTheme="minorEastAsia"/>
          <w:b/>
          <w:sz w:val="24"/>
        </w:rPr>
        <w:t>期末债券正回购交易中作为抵押的债券</w:t>
      </w:r>
      <w:bookmarkEnd w:id="195"/>
    </w:p>
    <w:p>
      <w:pPr>
        <w:spacing w:before="29" w:line="288" w:lineRule="auto"/>
        <w:rPr>
          <w:rFonts w:eastAsiaTheme="minorEastAsia"/>
          <w:b/>
          <w:sz w:val="24"/>
        </w:rPr>
      </w:pPr>
      <w:r>
        <w:rPr>
          <w:rFonts w:eastAsiaTheme="minorEastAsia"/>
          <w:b/>
          <w:sz w:val="24"/>
        </w:rPr>
        <w:t>7.4.12.3.1</w:t>
      </w:r>
      <w:r>
        <w:rPr>
          <w:rFonts w:hint="eastAsia" w:eastAsiaTheme="minorEastAsia"/>
          <w:b/>
          <w:sz w:val="24"/>
        </w:rPr>
        <w:t>银行间市场债券正回购</w:t>
      </w:r>
    </w:p>
    <w:p>
      <w:pPr>
        <w:spacing w:before="29" w:line="288" w:lineRule="auto"/>
        <w:rPr>
          <w:kern w:val="0"/>
          <w:sz w:val="24"/>
        </w:rPr>
      </w:pPr>
      <w:r>
        <w:rPr>
          <w:kern w:val="0"/>
          <w:sz w:val="24"/>
        </w:rPr>
        <w:t>截至本报告期末2020年12月31日止，本基金从事银行间市场债券正回购交易形成的卖出回购证券款余额80,549,679.17元，是以如下债券作为抵押：</w:t>
      </w:r>
    </w:p>
    <w:p>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0"/>
        <w:gridCol w:w="1500"/>
        <w:gridCol w:w="1500"/>
        <w:gridCol w:w="1260"/>
        <w:gridCol w:w="1440"/>
        <w:gridCol w:w="1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50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50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回购到期日</w:t>
            </w:r>
          </w:p>
        </w:tc>
        <w:tc>
          <w:tcPr>
            <w:tcW w:w="126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期末估值单价</w:t>
            </w:r>
          </w:p>
        </w:tc>
        <w:tc>
          <w:tcPr>
            <w:tcW w:w="144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数量（张）</w:t>
            </w:r>
          </w:p>
        </w:tc>
        <w:tc>
          <w:tcPr>
            <w:tcW w:w="1836"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期末估值总额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0" w:type="dxa"/>
            <w:vAlign w:val="center"/>
          </w:tcPr>
          <w:p>
            <w:pPr>
              <w:jc w:val="center"/>
            </w:pPr>
            <w:r>
              <w:rPr>
                <w:sz w:val="24"/>
              </w:rPr>
              <w:t>101800809</w:t>
            </w:r>
          </w:p>
        </w:tc>
        <w:tc>
          <w:tcPr>
            <w:tcW w:w="1500" w:type="dxa"/>
            <w:vAlign w:val="center"/>
          </w:tcPr>
          <w:p>
            <w:pPr>
              <w:jc w:val="center"/>
            </w:pPr>
            <w:r>
              <w:rPr>
                <w:sz w:val="24"/>
              </w:rPr>
              <w:t>18市北高新MTN001</w:t>
            </w:r>
          </w:p>
        </w:tc>
        <w:tc>
          <w:tcPr>
            <w:tcW w:w="1500" w:type="dxa"/>
            <w:vAlign w:val="center"/>
          </w:tcPr>
          <w:p>
            <w:pPr>
              <w:jc w:val="center"/>
            </w:pPr>
            <w:r>
              <w:rPr>
                <w:sz w:val="24"/>
              </w:rPr>
              <w:t>2021-01-06</w:t>
            </w:r>
          </w:p>
        </w:tc>
        <w:tc>
          <w:tcPr>
            <w:tcW w:w="1260" w:type="dxa"/>
            <w:vAlign w:val="center"/>
          </w:tcPr>
          <w:p>
            <w:pPr>
              <w:jc w:val="right"/>
            </w:pPr>
            <w:r>
              <w:rPr>
                <w:sz w:val="24"/>
              </w:rPr>
              <w:t>100.86</w:t>
            </w:r>
          </w:p>
        </w:tc>
        <w:tc>
          <w:tcPr>
            <w:tcW w:w="1440" w:type="dxa"/>
            <w:vAlign w:val="center"/>
          </w:tcPr>
          <w:p>
            <w:pPr>
              <w:jc w:val="right"/>
            </w:pPr>
            <w:r>
              <w:rPr>
                <w:sz w:val="24"/>
              </w:rPr>
              <w:t>200,000</w:t>
            </w:r>
          </w:p>
        </w:tc>
        <w:tc>
          <w:tcPr>
            <w:tcW w:w="1836" w:type="dxa"/>
            <w:vAlign w:val="center"/>
          </w:tcPr>
          <w:p>
            <w:pPr>
              <w:jc w:val="right"/>
            </w:pPr>
            <w:r>
              <w:rPr>
                <w:sz w:val="24"/>
              </w:rPr>
              <w:t>20,172,000.00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0" w:type="dxa"/>
            <w:vAlign w:val="center"/>
          </w:tcPr>
          <w:p>
            <w:pPr>
              <w:jc w:val="center"/>
            </w:pPr>
            <w:r>
              <w:rPr>
                <w:sz w:val="24"/>
              </w:rPr>
              <w:t>101800946</w:t>
            </w:r>
          </w:p>
        </w:tc>
        <w:tc>
          <w:tcPr>
            <w:tcW w:w="1500" w:type="dxa"/>
            <w:vAlign w:val="center"/>
          </w:tcPr>
          <w:p>
            <w:pPr>
              <w:jc w:val="center"/>
            </w:pPr>
            <w:r>
              <w:rPr>
                <w:sz w:val="24"/>
              </w:rPr>
              <w:t>18台州金融MTN002</w:t>
            </w:r>
          </w:p>
        </w:tc>
        <w:tc>
          <w:tcPr>
            <w:tcW w:w="1500" w:type="dxa"/>
            <w:vAlign w:val="center"/>
          </w:tcPr>
          <w:p>
            <w:pPr>
              <w:jc w:val="center"/>
            </w:pPr>
            <w:r>
              <w:rPr>
                <w:sz w:val="24"/>
              </w:rPr>
              <w:t>2021-01-06</w:t>
            </w:r>
          </w:p>
        </w:tc>
        <w:tc>
          <w:tcPr>
            <w:tcW w:w="1260" w:type="dxa"/>
            <w:vAlign w:val="center"/>
          </w:tcPr>
          <w:p>
            <w:pPr>
              <w:jc w:val="right"/>
            </w:pPr>
            <w:r>
              <w:rPr>
                <w:sz w:val="24"/>
              </w:rPr>
              <w:t>101.36</w:t>
            </w:r>
          </w:p>
        </w:tc>
        <w:tc>
          <w:tcPr>
            <w:tcW w:w="1440" w:type="dxa"/>
            <w:vAlign w:val="center"/>
          </w:tcPr>
          <w:p>
            <w:pPr>
              <w:jc w:val="right"/>
            </w:pPr>
            <w:r>
              <w:rPr>
                <w:sz w:val="24"/>
              </w:rPr>
              <w:t>100,000</w:t>
            </w:r>
          </w:p>
        </w:tc>
        <w:tc>
          <w:tcPr>
            <w:tcW w:w="1836" w:type="dxa"/>
            <w:vAlign w:val="center"/>
          </w:tcPr>
          <w:p>
            <w:pPr>
              <w:jc w:val="right"/>
            </w:pPr>
            <w:r>
              <w:rPr>
                <w:sz w:val="24"/>
              </w:rPr>
              <w:t>10,136,000.00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0" w:type="dxa"/>
            <w:vAlign w:val="center"/>
          </w:tcPr>
          <w:p>
            <w:pPr>
              <w:jc w:val="center"/>
            </w:pPr>
            <w:r>
              <w:rPr>
                <w:sz w:val="24"/>
              </w:rPr>
              <w:t>101900094</w:t>
            </w:r>
          </w:p>
        </w:tc>
        <w:tc>
          <w:tcPr>
            <w:tcW w:w="1500" w:type="dxa"/>
            <w:vAlign w:val="center"/>
          </w:tcPr>
          <w:p>
            <w:pPr>
              <w:jc w:val="center"/>
            </w:pPr>
            <w:r>
              <w:rPr>
                <w:sz w:val="24"/>
              </w:rPr>
              <w:t>19常州投资MTN001</w:t>
            </w:r>
          </w:p>
        </w:tc>
        <w:tc>
          <w:tcPr>
            <w:tcW w:w="1500" w:type="dxa"/>
            <w:vAlign w:val="center"/>
          </w:tcPr>
          <w:p>
            <w:pPr>
              <w:jc w:val="center"/>
            </w:pPr>
            <w:r>
              <w:rPr>
                <w:sz w:val="24"/>
              </w:rPr>
              <w:t>2021-01-06</w:t>
            </w:r>
          </w:p>
        </w:tc>
        <w:tc>
          <w:tcPr>
            <w:tcW w:w="1260" w:type="dxa"/>
            <w:vAlign w:val="center"/>
          </w:tcPr>
          <w:p>
            <w:pPr>
              <w:jc w:val="right"/>
            </w:pPr>
            <w:r>
              <w:rPr>
                <w:sz w:val="24"/>
              </w:rPr>
              <w:t>102.60</w:t>
            </w:r>
          </w:p>
        </w:tc>
        <w:tc>
          <w:tcPr>
            <w:tcW w:w="1440" w:type="dxa"/>
            <w:vAlign w:val="center"/>
          </w:tcPr>
          <w:p>
            <w:pPr>
              <w:jc w:val="right"/>
            </w:pPr>
            <w:r>
              <w:rPr>
                <w:sz w:val="24"/>
              </w:rPr>
              <w:t>150,000</w:t>
            </w:r>
          </w:p>
        </w:tc>
        <w:tc>
          <w:tcPr>
            <w:tcW w:w="1836" w:type="dxa"/>
            <w:vAlign w:val="center"/>
          </w:tcPr>
          <w:p>
            <w:pPr>
              <w:jc w:val="right"/>
            </w:pPr>
            <w:r>
              <w:rPr>
                <w:sz w:val="24"/>
              </w:rPr>
              <w:t>15,390,000.00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0" w:type="dxa"/>
            <w:vAlign w:val="center"/>
          </w:tcPr>
          <w:p>
            <w:pPr>
              <w:jc w:val="center"/>
            </w:pPr>
            <w:r>
              <w:rPr>
                <w:sz w:val="24"/>
              </w:rPr>
              <w:t>101900509</w:t>
            </w:r>
          </w:p>
        </w:tc>
        <w:tc>
          <w:tcPr>
            <w:tcW w:w="1500" w:type="dxa"/>
            <w:vAlign w:val="center"/>
          </w:tcPr>
          <w:p>
            <w:pPr>
              <w:jc w:val="center"/>
            </w:pPr>
            <w:r>
              <w:rPr>
                <w:sz w:val="24"/>
              </w:rPr>
              <w:t>19泉国投MTN001</w:t>
            </w:r>
          </w:p>
        </w:tc>
        <w:tc>
          <w:tcPr>
            <w:tcW w:w="1500" w:type="dxa"/>
            <w:vAlign w:val="center"/>
          </w:tcPr>
          <w:p>
            <w:pPr>
              <w:jc w:val="center"/>
            </w:pPr>
            <w:r>
              <w:rPr>
                <w:sz w:val="24"/>
              </w:rPr>
              <w:t>2021-01-06</w:t>
            </w:r>
          </w:p>
        </w:tc>
        <w:tc>
          <w:tcPr>
            <w:tcW w:w="1260" w:type="dxa"/>
            <w:vAlign w:val="center"/>
          </w:tcPr>
          <w:p>
            <w:pPr>
              <w:jc w:val="right"/>
            </w:pPr>
            <w:r>
              <w:rPr>
                <w:sz w:val="24"/>
              </w:rPr>
              <w:t>104.02</w:t>
            </w:r>
          </w:p>
        </w:tc>
        <w:tc>
          <w:tcPr>
            <w:tcW w:w="1440" w:type="dxa"/>
            <w:vAlign w:val="center"/>
          </w:tcPr>
          <w:p>
            <w:pPr>
              <w:jc w:val="right"/>
            </w:pPr>
            <w:r>
              <w:rPr>
                <w:sz w:val="24"/>
              </w:rPr>
              <w:t>200,000</w:t>
            </w:r>
          </w:p>
        </w:tc>
        <w:tc>
          <w:tcPr>
            <w:tcW w:w="1836" w:type="dxa"/>
            <w:vAlign w:val="center"/>
          </w:tcPr>
          <w:p>
            <w:pPr>
              <w:jc w:val="right"/>
            </w:pPr>
            <w:r>
              <w:rPr>
                <w:sz w:val="24"/>
              </w:rPr>
              <w:t>20,804,000.00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0" w:type="dxa"/>
            <w:vAlign w:val="center"/>
          </w:tcPr>
          <w:p>
            <w:pPr>
              <w:jc w:val="center"/>
            </w:pPr>
            <w:r>
              <w:rPr>
                <w:sz w:val="24"/>
              </w:rPr>
              <w:t>101900577</w:t>
            </w:r>
          </w:p>
        </w:tc>
        <w:tc>
          <w:tcPr>
            <w:tcW w:w="1500" w:type="dxa"/>
            <w:vAlign w:val="center"/>
          </w:tcPr>
          <w:p>
            <w:pPr>
              <w:jc w:val="center"/>
            </w:pPr>
            <w:r>
              <w:rPr>
                <w:sz w:val="24"/>
              </w:rPr>
              <w:t>19泉州城投MTN001</w:t>
            </w:r>
          </w:p>
        </w:tc>
        <w:tc>
          <w:tcPr>
            <w:tcW w:w="1500" w:type="dxa"/>
            <w:vAlign w:val="center"/>
          </w:tcPr>
          <w:p>
            <w:pPr>
              <w:jc w:val="center"/>
            </w:pPr>
            <w:r>
              <w:rPr>
                <w:sz w:val="24"/>
              </w:rPr>
              <w:t>2021-01-06</w:t>
            </w:r>
          </w:p>
        </w:tc>
        <w:tc>
          <w:tcPr>
            <w:tcW w:w="1260" w:type="dxa"/>
            <w:vAlign w:val="center"/>
          </w:tcPr>
          <w:p>
            <w:pPr>
              <w:jc w:val="right"/>
            </w:pPr>
            <w:r>
              <w:rPr>
                <w:sz w:val="24"/>
              </w:rPr>
              <w:t>101.59</w:t>
            </w:r>
          </w:p>
        </w:tc>
        <w:tc>
          <w:tcPr>
            <w:tcW w:w="1440" w:type="dxa"/>
            <w:vAlign w:val="center"/>
          </w:tcPr>
          <w:p>
            <w:pPr>
              <w:jc w:val="right"/>
            </w:pPr>
            <w:r>
              <w:rPr>
                <w:sz w:val="24"/>
              </w:rPr>
              <w:t>200,000</w:t>
            </w:r>
          </w:p>
        </w:tc>
        <w:tc>
          <w:tcPr>
            <w:tcW w:w="1836" w:type="dxa"/>
            <w:vAlign w:val="center"/>
          </w:tcPr>
          <w:p>
            <w:pPr>
              <w:jc w:val="right"/>
            </w:pPr>
            <w:r>
              <w:rPr>
                <w:sz w:val="24"/>
              </w:rPr>
              <w:t>20,318,000.00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0" w:type="dxa"/>
            <w:vAlign w:val="center"/>
          </w:tcPr>
          <w:p>
            <w:pPr>
              <w:jc w:val="center"/>
            </w:pPr>
            <w:r>
              <w:rPr>
                <w:sz w:val="24"/>
              </w:rPr>
              <w:t>102001053</w:t>
            </w:r>
          </w:p>
        </w:tc>
        <w:tc>
          <w:tcPr>
            <w:tcW w:w="1500" w:type="dxa"/>
            <w:vAlign w:val="center"/>
          </w:tcPr>
          <w:p>
            <w:pPr>
              <w:jc w:val="center"/>
            </w:pPr>
            <w:r>
              <w:rPr>
                <w:sz w:val="24"/>
              </w:rPr>
              <w:t>20丰台国资MTN001</w:t>
            </w:r>
          </w:p>
        </w:tc>
        <w:tc>
          <w:tcPr>
            <w:tcW w:w="1500" w:type="dxa"/>
            <w:vAlign w:val="center"/>
          </w:tcPr>
          <w:p>
            <w:pPr>
              <w:jc w:val="center"/>
            </w:pPr>
            <w:r>
              <w:rPr>
                <w:sz w:val="24"/>
              </w:rPr>
              <w:t>2021-01-06</w:t>
            </w:r>
          </w:p>
        </w:tc>
        <w:tc>
          <w:tcPr>
            <w:tcW w:w="1260" w:type="dxa"/>
            <w:vAlign w:val="center"/>
          </w:tcPr>
          <w:p>
            <w:pPr>
              <w:jc w:val="right"/>
            </w:pPr>
            <w:r>
              <w:rPr>
                <w:sz w:val="24"/>
              </w:rPr>
              <w:t>98.51</w:t>
            </w:r>
          </w:p>
        </w:tc>
        <w:tc>
          <w:tcPr>
            <w:tcW w:w="1440" w:type="dxa"/>
            <w:vAlign w:val="center"/>
          </w:tcPr>
          <w:p>
            <w:pPr>
              <w:jc w:val="right"/>
            </w:pPr>
            <w:r>
              <w:rPr>
                <w:sz w:val="24"/>
              </w:rPr>
              <w:t>100,000</w:t>
            </w:r>
          </w:p>
        </w:tc>
        <w:tc>
          <w:tcPr>
            <w:tcW w:w="1836" w:type="dxa"/>
            <w:vAlign w:val="center"/>
          </w:tcPr>
          <w:p>
            <w:pPr>
              <w:jc w:val="right"/>
            </w:pPr>
            <w:r>
              <w:rPr>
                <w:sz w:val="24"/>
              </w:rPr>
              <w:t>9,851,000.00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00" w:type="dxa"/>
            <w:vAlign w:val="center"/>
          </w:tcPr>
          <w:p>
            <w:pPr>
              <w:spacing w:before="29" w:line="288" w:lineRule="auto"/>
              <w:jc w:val="center"/>
              <w:rPr>
                <w:rFonts w:asciiTheme="minorEastAsia" w:hAnsiTheme="minorEastAsia" w:eastAsiaTheme="minorEastAsia"/>
                <w:color w:val="000000"/>
                <w:kern w:val="0"/>
                <w:szCs w:val="21"/>
              </w:rPr>
            </w:pPr>
            <w:r>
              <w:rPr>
                <w:rFonts w:hint="eastAsia"/>
                <w:sz w:val="24"/>
              </w:rPr>
              <w:t>合计</w:t>
            </w:r>
          </w:p>
        </w:tc>
        <w:tc>
          <w:tcPr>
            <w:tcW w:w="1500" w:type="dxa"/>
            <w:vAlign w:val="center"/>
          </w:tcPr>
          <w:p>
            <w:pPr>
              <w:autoSpaceDE w:val="0"/>
              <w:autoSpaceDN w:val="0"/>
              <w:adjustRightInd w:val="0"/>
              <w:spacing w:before="29" w:line="360" w:lineRule="auto"/>
              <w:ind w:left="15"/>
              <w:jc w:val="right"/>
              <w:rPr>
                <w:rFonts w:asciiTheme="minorEastAsia" w:hAnsiTheme="minorEastAsia" w:eastAsiaTheme="minorEastAsia"/>
                <w:color w:val="000000"/>
                <w:kern w:val="0"/>
                <w:szCs w:val="21"/>
              </w:rPr>
            </w:pPr>
          </w:p>
        </w:tc>
        <w:tc>
          <w:tcPr>
            <w:tcW w:w="1500" w:type="dxa"/>
            <w:vAlign w:val="center"/>
          </w:tcPr>
          <w:p>
            <w:pPr>
              <w:autoSpaceDE w:val="0"/>
              <w:autoSpaceDN w:val="0"/>
              <w:adjustRightInd w:val="0"/>
              <w:spacing w:before="29" w:line="360" w:lineRule="auto"/>
              <w:ind w:left="15"/>
              <w:jc w:val="right"/>
              <w:rPr>
                <w:rFonts w:asciiTheme="minorEastAsia" w:hAnsiTheme="minorEastAsia" w:eastAsiaTheme="minorEastAsia"/>
                <w:color w:val="000000"/>
                <w:kern w:val="0"/>
                <w:szCs w:val="21"/>
              </w:rPr>
            </w:pPr>
          </w:p>
        </w:tc>
        <w:tc>
          <w:tcPr>
            <w:tcW w:w="1260" w:type="dxa"/>
            <w:vAlign w:val="center"/>
          </w:tcPr>
          <w:p>
            <w:pPr>
              <w:autoSpaceDE w:val="0"/>
              <w:autoSpaceDN w:val="0"/>
              <w:adjustRightInd w:val="0"/>
              <w:spacing w:before="29" w:line="360" w:lineRule="auto"/>
              <w:ind w:left="15"/>
              <w:jc w:val="right"/>
              <w:rPr>
                <w:rFonts w:asciiTheme="minorEastAsia" w:hAnsiTheme="minorEastAsia" w:eastAsiaTheme="minorEastAsia"/>
                <w:color w:val="000000"/>
                <w:kern w:val="0"/>
                <w:szCs w:val="21"/>
              </w:rPr>
            </w:pPr>
          </w:p>
        </w:tc>
        <w:tc>
          <w:tcPr>
            <w:tcW w:w="1440" w:type="dxa"/>
            <w:vAlign w:val="center"/>
          </w:tcPr>
          <w:p>
            <w:pPr>
              <w:spacing w:before="29" w:line="288" w:lineRule="auto"/>
              <w:jc w:val="right"/>
              <w:rPr>
                <w:color w:val="000000"/>
                <w:kern w:val="0"/>
                <w:sz w:val="24"/>
              </w:rPr>
            </w:pPr>
            <w:r>
              <w:rPr>
                <w:color w:val="000000"/>
                <w:kern w:val="0"/>
                <w:sz w:val="24"/>
              </w:rPr>
              <w:t>950,000</w:t>
            </w:r>
          </w:p>
        </w:tc>
        <w:tc>
          <w:tcPr>
            <w:tcW w:w="1836" w:type="dxa"/>
            <w:vAlign w:val="center"/>
          </w:tcPr>
          <w:p>
            <w:pPr>
              <w:spacing w:before="29" w:line="288" w:lineRule="auto"/>
              <w:jc w:val="right"/>
              <w:rPr>
                <w:color w:val="000000"/>
                <w:kern w:val="0"/>
                <w:sz w:val="24"/>
              </w:rPr>
            </w:pPr>
            <w:r>
              <w:rPr>
                <w:color w:val="000000"/>
                <w:kern w:val="0"/>
                <w:sz w:val="24"/>
              </w:rPr>
              <w:t>96,671,000.00</w:t>
            </w:r>
          </w:p>
        </w:tc>
      </w:tr>
    </w:tbl>
    <w:p>
      <w:pPr>
        <w:spacing w:line="360" w:lineRule="auto"/>
        <w:rPr>
          <w:rFonts w:asciiTheme="minorEastAsia" w:hAnsiTheme="minorEastAsia" w:eastAsiaTheme="minorEastAsia"/>
          <w:color w:val="000000"/>
          <w:szCs w:val="21"/>
        </w:rPr>
      </w:pPr>
    </w:p>
    <w:p>
      <w:pPr>
        <w:spacing w:before="29" w:line="288" w:lineRule="auto"/>
        <w:rPr>
          <w:rFonts w:eastAsiaTheme="minorEastAsia"/>
          <w:b/>
          <w:sz w:val="24"/>
        </w:rPr>
      </w:pPr>
      <w:r>
        <w:rPr>
          <w:rFonts w:eastAsiaTheme="minorEastAsia"/>
          <w:b/>
          <w:sz w:val="24"/>
        </w:rPr>
        <w:t>7.4.12.3.2</w:t>
      </w:r>
      <w:r>
        <w:rPr>
          <w:rFonts w:hint="eastAsia" w:eastAsiaTheme="minorEastAsia"/>
          <w:b/>
          <w:sz w:val="24"/>
        </w:rPr>
        <w:t>交易所市场债券正回购</w:t>
      </w:r>
    </w:p>
    <w:p>
      <w:pPr>
        <w:spacing w:before="29" w:line="288" w:lineRule="auto"/>
        <w:ind w:firstLine="480" w:firstLineChars="200"/>
        <w:rPr>
          <w:kern w:val="0"/>
          <w:sz w:val="24"/>
        </w:rPr>
      </w:pPr>
      <w:r>
        <w:rPr>
          <w:kern w:val="0"/>
          <w:sz w:val="24"/>
        </w:rPr>
        <w:t>本基金本报告期末无从事交易所市场债券正回购交易形成的卖出回购证券款余额。</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1"/>
        <w:rPr>
          <w:rFonts w:asciiTheme="minorEastAsia" w:hAnsiTheme="minorEastAsia" w:eastAsiaTheme="minorEastAsia"/>
          <w:b/>
          <w:bCs/>
          <w:color w:val="000000"/>
          <w:szCs w:val="21"/>
        </w:rPr>
      </w:pPr>
      <w:bookmarkStart w:id="196" w:name="_Toc67667988"/>
      <w:r>
        <w:rPr>
          <w:rFonts w:eastAsiaTheme="minorEastAsia"/>
          <w:b/>
          <w:sz w:val="24"/>
        </w:rPr>
        <w:t>7.4.13</w:t>
      </w:r>
      <w:r>
        <w:rPr>
          <w:rFonts w:hint="eastAsia" w:eastAsiaTheme="minorEastAsia"/>
          <w:b/>
          <w:sz w:val="24"/>
        </w:rPr>
        <w:t>金融工具风险及管理</w:t>
      </w:r>
      <w:bookmarkEnd w:id="196"/>
    </w:p>
    <w:p>
      <w:pPr>
        <w:spacing w:before="29" w:line="288" w:lineRule="auto"/>
        <w:outlineLvl w:val="2"/>
        <w:rPr>
          <w:rFonts w:eastAsiaTheme="minorEastAsia"/>
          <w:b/>
          <w:sz w:val="24"/>
        </w:rPr>
      </w:pPr>
      <w:bookmarkStart w:id="197" w:name="_Toc67667989"/>
      <w:r>
        <w:rPr>
          <w:rFonts w:eastAsiaTheme="minorEastAsia"/>
          <w:b/>
          <w:sz w:val="24"/>
        </w:rPr>
        <w:t>7.4.13.1</w:t>
      </w:r>
      <w:r>
        <w:rPr>
          <w:rFonts w:hint="eastAsia" w:eastAsiaTheme="minorEastAsia"/>
          <w:b/>
          <w:sz w:val="24"/>
        </w:rPr>
        <w:t>风险管理政策和组织架构</w:t>
      </w:r>
      <w:bookmarkEnd w:id="197"/>
    </w:p>
    <w:p>
      <w:pPr>
        <w:spacing w:before="29" w:line="288" w:lineRule="auto"/>
        <w:ind w:firstLine="480" w:firstLineChars="200"/>
        <w:rPr>
          <w:kern w:val="0"/>
          <w:sz w:val="24"/>
        </w:rPr>
      </w:pPr>
      <w:r>
        <w:rPr>
          <w:kern w:val="0"/>
          <w:sz w:val="24"/>
        </w:rPr>
        <w:t>本基金是一只债券型基金，其预期风险与预期收益高于货币市场基金，低于混合型基金和股票型基金。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力求获得高于业绩基准的投资收益。</w:t>
      </w:r>
    </w:p>
    <w:p>
      <w:pPr>
        <w:spacing w:before="29" w:line="288" w:lineRule="auto"/>
        <w:ind w:firstLine="480" w:firstLineChars="20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pPr>
        <w:spacing w:before="29" w:line="288" w:lineRule="auto"/>
        <w:ind w:firstLine="480" w:firstLineChars="20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pPr>
        <w:spacing w:before="29" w:line="288" w:lineRule="auto"/>
        <w:ind w:firstLine="480" w:firstLineChars="200"/>
        <w:rPr>
          <w:kern w:val="0"/>
          <w:sz w:val="24"/>
        </w:rPr>
      </w:pPr>
      <w:r>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pPr>
        <w:adjustRightInd w:val="0"/>
        <w:spacing w:line="360" w:lineRule="auto"/>
        <w:ind w:firstLine="420" w:firstLineChars="200"/>
        <w:jc w:val="left"/>
        <w:rPr>
          <w:rFonts w:asciiTheme="minorEastAsia" w:hAnsiTheme="minorEastAsia" w:eastAsiaTheme="minorEastAsia"/>
          <w:color w:val="000000"/>
          <w:szCs w:val="21"/>
        </w:rPr>
      </w:pPr>
    </w:p>
    <w:p>
      <w:pPr>
        <w:spacing w:before="29" w:line="288" w:lineRule="auto"/>
        <w:outlineLvl w:val="2"/>
        <w:rPr>
          <w:rFonts w:eastAsiaTheme="minorEastAsia"/>
          <w:b/>
          <w:sz w:val="24"/>
        </w:rPr>
      </w:pPr>
      <w:bookmarkStart w:id="198" w:name="_Toc67667990"/>
      <w:r>
        <w:rPr>
          <w:rFonts w:eastAsiaTheme="minorEastAsia"/>
          <w:b/>
          <w:sz w:val="24"/>
        </w:rPr>
        <w:t>7.4.13.2</w:t>
      </w:r>
      <w:r>
        <w:rPr>
          <w:rFonts w:hint="eastAsia" w:eastAsiaTheme="minorEastAsia"/>
          <w:b/>
          <w:sz w:val="24"/>
        </w:rPr>
        <w:t>信用风险</w:t>
      </w:r>
      <w:bookmarkEnd w:id="198"/>
    </w:p>
    <w:p>
      <w:pPr>
        <w:spacing w:before="29" w:line="288" w:lineRule="auto"/>
        <w:ind w:firstLine="480" w:firstLineChars="20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pPr>
        <w:spacing w:before="29" w:line="288" w:lineRule="auto"/>
        <w:ind w:firstLine="480" w:firstLineChars="200"/>
        <w:rPr>
          <w:kern w:val="0"/>
          <w:sz w:val="24"/>
        </w:rPr>
      </w:pPr>
      <w:r>
        <w:rPr>
          <w:kern w:val="0"/>
          <w:sz w:val="24"/>
        </w:rPr>
        <w:t>本基金的基金管理人在交易前对交易对手的资信状况进行了充分的评估。本基金的银行存款存放在本基金的托管人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pPr>
        <w:spacing w:before="29" w:line="288" w:lineRule="auto"/>
        <w:ind w:firstLine="480" w:firstLineChars="200"/>
        <w:rPr>
          <w:kern w:val="0"/>
          <w:sz w:val="24"/>
        </w:rPr>
      </w:pPr>
      <w:r>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pPr>
        <w:spacing w:line="360" w:lineRule="auto"/>
        <w:ind w:firstLine="420" w:firstLineChars="200"/>
        <w:jc w:val="left"/>
        <w:rPr>
          <w:rFonts w:asciiTheme="minorEastAsia" w:hAnsiTheme="minorEastAsia" w:eastAsiaTheme="minorEastAsia"/>
          <w:color w:val="000000"/>
          <w:szCs w:val="21"/>
        </w:rPr>
      </w:pPr>
    </w:p>
    <w:p>
      <w:pPr>
        <w:spacing w:before="29" w:line="288" w:lineRule="auto"/>
        <w:rPr>
          <w:rFonts w:eastAsiaTheme="minorEastAsia"/>
          <w:b/>
          <w:sz w:val="24"/>
        </w:rPr>
      </w:pPr>
      <w:r>
        <w:rPr>
          <w:rFonts w:eastAsiaTheme="minorEastAsia"/>
          <w:b/>
          <w:sz w:val="24"/>
        </w:rPr>
        <w:t>7.4.13.2.1</w:t>
      </w:r>
      <w:r>
        <w:rPr>
          <w:rFonts w:hint="eastAsia" w:eastAsiaTheme="minorEastAsia"/>
          <w:b/>
          <w:sz w:val="24"/>
        </w:rPr>
        <w:t>按短期信用评级列示的债券投资</w:t>
      </w:r>
    </w:p>
    <w:p>
      <w:pPr>
        <w:tabs>
          <w:tab w:val="left" w:pos="7200"/>
          <w:tab w:val="left" w:pos="8280"/>
        </w:tabs>
        <w:spacing w:line="360" w:lineRule="auto"/>
        <w:ind w:right="563" w:rightChars="268"/>
        <w:jc w:val="right"/>
        <w:rPr>
          <w:rFonts w:eastAsiaTheme="minorEastAsia"/>
          <w:bCs/>
          <w:sz w:val="24"/>
        </w:rPr>
      </w:pPr>
      <w:r>
        <w:rPr>
          <w:rFonts w:eastAsiaTheme="minorEastAsia"/>
          <w:color w:val="000000"/>
          <w:sz w:val="24"/>
        </w:rPr>
        <w:t>单位：人民币元</w:t>
      </w:r>
    </w:p>
    <w:tbl>
      <w:tblPr>
        <w:tblStyle w:val="3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90"/>
        <w:gridCol w:w="2797"/>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vAlign w:val="center"/>
          </w:tcPr>
          <w:p>
            <w:pPr>
              <w:spacing w:line="360" w:lineRule="auto"/>
              <w:jc w:val="center"/>
              <w:rPr>
                <w:rFonts w:eastAsiaTheme="minorEastAsia"/>
                <w:sz w:val="24"/>
              </w:rPr>
            </w:pPr>
            <w:r>
              <w:rPr>
                <w:rFonts w:eastAsiaTheme="minorEastAsia"/>
                <w:sz w:val="24"/>
              </w:rPr>
              <w:t>短期信用评级</w:t>
            </w:r>
          </w:p>
        </w:tc>
        <w:tc>
          <w:tcPr>
            <w:tcW w:w="2797" w:type="dxa"/>
          </w:tcPr>
          <w:p>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pPr>
              <w:widowControl/>
              <w:autoSpaceDE w:val="0"/>
              <w:autoSpaceDN w:val="0"/>
              <w:spacing w:line="360" w:lineRule="auto"/>
              <w:ind w:right="-15"/>
              <w:jc w:val="center"/>
              <w:textAlignment w:val="bottom"/>
              <w:rPr>
                <w:rFonts w:eastAsiaTheme="minorEastAsia"/>
                <w:sz w:val="24"/>
              </w:rPr>
            </w:pPr>
            <w:r>
              <w:rPr>
                <w:rFonts w:eastAsiaTheme="minorEastAsia"/>
                <w:sz w:val="24"/>
              </w:rPr>
              <w:t>2020年12月31日</w:t>
            </w:r>
          </w:p>
        </w:tc>
        <w:tc>
          <w:tcPr>
            <w:tcW w:w="3260" w:type="dxa"/>
          </w:tcPr>
          <w:p>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pPr>
              <w:widowControl/>
              <w:autoSpaceDE w:val="0"/>
              <w:autoSpaceDN w:val="0"/>
              <w:spacing w:line="360" w:lineRule="auto"/>
              <w:ind w:right="-15"/>
              <w:jc w:val="center"/>
              <w:textAlignment w:val="bottom"/>
              <w:rPr>
                <w:rFonts w:eastAsiaTheme="minorEastAsia"/>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Pr>
          <w:p>
            <w:pPr>
              <w:spacing w:line="360" w:lineRule="auto"/>
              <w:rPr>
                <w:rFonts w:eastAsiaTheme="minorEastAsia"/>
                <w:sz w:val="24"/>
              </w:rPr>
            </w:pPr>
            <w:r>
              <w:rPr>
                <w:rFonts w:eastAsiaTheme="minorEastAsia"/>
                <w:sz w:val="24"/>
              </w:rPr>
              <w:t>A-1</w:t>
            </w:r>
          </w:p>
        </w:tc>
        <w:tc>
          <w:tcPr>
            <w:tcW w:w="2797" w:type="dxa"/>
          </w:tcPr>
          <w:p>
            <w:pPr>
              <w:spacing w:line="360" w:lineRule="auto"/>
              <w:jc w:val="right"/>
              <w:rPr>
                <w:rFonts w:eastAsiaTheme="minorEastAsia"/>
                <w:sz w:val="24"/>
              </w:rPr>
            </w:pPr>
            <w:r>
              <w:rPr>
                <w:rFonts w:eastAsiaTheme="minorEastAsia"/>
                <w:sz w:val="24"/>
              </w:rPr>
              <w:t>4,983,000.00</w:t>
            </w:r>
          </w:p>
        </w:tc>
        <w:tc>
          <w:tcPr>
            <w:tcW w:w="3260" w:type="dxa"/>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tcPr>
          <w:p>
            <w:pPr>
              <w:spacing w:line="360" w:lineRule="auto"/>
              <w:rPr>
                <w:rFonts w:eastAsiaTheme="minorEastAsia"/>
                <w:sz w:val="24"/>
              </w:rPr>
            </w:pPr>
            <w:r>
              <w:rPr>
                <w:rFonts w:eastAsiaTheme="minorEastAsia"/>
                <w:sz w:val="24"/>
              </w:rPr>
              <w:t>A-1以下</w:t>
            </w:r>
          </w:p>
        </w:tc>
        <w:tc>
          <w:tcPr>
            <w:tcW w:w="2797" w:type="dxa"/>
          </w:tcPr>
          <w:p>
            <w:pPr>
              <w:spacing w:line="360" w:lineRule="auto"/>
              <w:jc w:val="right"/>
              <w:rPr>
                <w:rFonts w:eastAsiaTheme="minorEastAsia"/>
                <w:sz w:val="24"/>
              </w:rPr>
            </w:pPr>
            <w:r>
              <w:rPr>
                <w:rFonts w:eastAsiaTheme="minorEastAsia"/>
                <w:sz w:val="24"/>
              </w:rPr>
              <w:t>-</w:t>
            </w:r>
          </w:p>
        </w:tc>
        <w:tc>
          <w:tcPr>
            <w:tcW w:w="3260" w:type="dxa"/>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vAlign w:val="center"/>
          </w:tcPr>
          <w:p>
            <w:pPr>
              <w:spacing w:line="360" w:lineRule="auto"/>
              <w:rPr>
                <w:rFonts w:eastAsiaTheme="minorEastAsia"/>
                <w:sz w:val="24"/>
              </w:rPr>
            </w:pPr>
            <w:r>
              <w:rPr>
                <w:rFonts w:eastAsiaTheme="minorEastAsia"/>
                <w:kern w:val="0"/>
                <w:sz w:val="24"/>
              </w:rPr>
              <w:t>未评级</w:t>
            </w:r>
          </w:p>
        </w:tc>
        <w:tc>
          <w:tcPr>
            <w:tcW w:w="2797" w:type="dxa"/>
            <w:vAlign w:val="center"/>
          </w:tcPr>
          <w:p>
            <w:pPr>
              <w:spacing w:line="360" w:lineRule="auto"/>
              <w:jc w:val="right"/>
              <w:rPr>
                <w:rFonts w:eastAsiaTheme="minorEastAsia"/>
                <w:sz w:val="24"/>
              </w:rPr>
            </w:pPr>
            <w:r>
              <w:rPr>
                <w:rFonts w:eastAsiaTheme="minorEastAsia"/>
                <w:sz w:val="24"/>
              </w:rPr>
              <w:t>14,986,500.00</w:t>
            </w:r>
          </w:p>
        </w:tc>
        <w:tc>
          <w:tcPr>
            <w:tcW w:w="3260" w:type="dxa"/>
            <w:vAlign w:val="center"/>
          </w:tcPr>
          <w:p>
            <w:pPr>
              <w:spacing w:line="360" w:lineRule="auto"/>
              <w:jc w:val="right"/>
              <w:rPr>
                <w:rFonts w:eastAsiaTheme="minorEastAsia"/>
                <w:sz w:val="24"/>
              </w:rPr>
            </w:pPr>
            <w:r>
              <w:rPr>
                <w:rFonts w:eastAsiaTheme="minorEastAsia"/>
                <w:sz w:val="24"/>
              </w:rPr>
              <w:t>17,079,900.00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90" w:type="dxa"/>
            <w:vAlign w:val="center"/>
          </w:tcPr>
          <w:p>
            <w:pPr>
              <w:spacing w:line="360" w:lineRule="auto"/>
              <w:rPr>
                <w:rFonts w:eastAsiaTheme="minorEastAsia"/>
                <w:sz w:val="24"/>
              </w:rPr>
            </w:pPr>
            <w:r>
              <w:rPr>
                <w:rFonts w:eastAsiaTheme="minorEastAsia"/>
                <w:kern w:val="0"/>
                <w:sz w:val="24"/>
              </w:rPr>
              <w:t>合计</w:t>
            </w:r>
          </w:p>
        </w:tc>
        <w:tc>
          <w:tcPr>
            <w:tcW w:w="2797" w:type="dxa"/>
            <w:vAlign w:val="center"/>
          </w:tcPr>
          <w:p>
            <w:pPr>
              <w:spacing w:line="360" w:lineRule="auto"/>
              <w:jc w:val="right"/>
              <w:rPr>
                <w:rFonts w:eastAsiaTheme="minorEastAsia"/>
                <w:sz w:val="24"/>
              </w:rPr>
            </w:pPr>
            <w:r>
              <w:rPr>
                <w:rFonts w:eastAsiaTheme="minorEastAsia"/>
                <w:sz w:val="24"/>
              </w:rPr>
              <w:t>19,969,500.00</w:t>
            </w:r>
          </w:p>
        </w:tc>
        <w:tc>
          <w:tcPr>
            <w:tcW w:w="3260" w:type="dxa"/>
            <w:vAlign w:val="center"/>
          </w:tcPr>
          <w:p>
            <w:pPr>
              <w:spacing w:line="360" w:lineRule="auto"/>
              <w:jc w:val="right"/>
              <w:rPr>
                <w:rFonts w:eastAsiaTheme="minorEastAsia"/>
                <w:sz w:val="24"/>
              </w:rPr>
            </w:pPr>
            <w:r>
              <w:rPr>
                <w:rFonts w:eastAsiaTheme="minorEastAsia"/>
                <w:sz w:val="24"/>
              </w:rPr>
              <w:t>17,079,900.00</w:t>
            </w:r>
          </w:p>
        </w:tc>
      </w:tr>
    </w:tbl>
    <w:p>
      <w:pPr>
        <w:tabs>
          <w:tab w:val="left" w:pos="426"/>
        </w:tabs>
        <w:spacing w:line="360" w:lineRule="auto"/>
        <w:ind w:firstLine="480" w:firstLineChars="200"/>
        <w:jc w:val="left"/>
        <w:rPr>
          <w:kern w:val="0"/>
          <w:sz w:val="24"/>
        </w:rPr>
      </w:pPr>
      <w:r>
        <w:rPr>
          <w:kern w:val="0"/>
          <w:sz w:val="24"/>
        </w:rPr>
        <w:t>注：未评级部分为国债。</w:t>
      </w:r>
    </w:p>
    <w:p>
      <w:pPr>
        <w:spacing w:before="29" w:line="288" w:lineRule="auto"/>
        <w:rPr>
          <w:rFonts w:eastAsiaTheme="minorEastAsia"/>
          <w:b/>
          <w:sz w:val="24"/>
        </w:rPr>
      </w:pPr>
      <w:r>
        <w:rPr>
          <w:rFonts w:eastAsiaTheme="minorEastAsia"/>
          <w:b/>
          <w:sz w:val="24"/>
        </w:rPr>
        <w:t>7.4.13.2.2按长期信用评级列示的债券投资</w:t>
      </w:r>
    </w:p>
    <w:p>
      <w:pPr>
        <w:tabs>
          <w:tab w:val="left" w:pos="7200"/>
          <w:tab w:val="left" w:pos="8280"/>
        </w:tabs>
        <w:spacing w:line="360" w:lineRule="auto"/>
        <w:ind w:right="563" w:rightChars="268"/>
        <w:jc w:val="right"/>
        <w:rPr>
          <w:rFonts w:eastAsiaTheme="minorEastAsia"/>
          <w:bCs/>
          <w:sz w:val="24"/>
        </w:rPr>
      </w:pPr>
      <w:r>
        <w:rPr>
          <w:rFonts w:eastAsiaTheme="minorEastAsia"/>
          <w:color w:val="000000"/>
          <w:sz w:val="24"/>
        </w:rPr>
        <w:t>单位：人民币元</w:t>
      </w:r>
    </w:p>
    <w:tbl>
      <w:tblPr>
        <w:tblStyle w:val="3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2"/>
        <w:gridCol w:w="2835"/>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Align w:val="center"/>
          </w:tcPr>
          <w:p>
            <w:pPr>
              <w:spacing w:line="360" w:lineRule="auto"/>
              <w:jc w:val="center"/>
              <w:rPr>
                <w:rFonts w:eastAsiaTheme="minorEastAsia"/>
                <w:sz w:val="24"/>
              </w:rPr>
            </w:pPr>
            <w:r>
              <w:rPr>
                <w:rFonts w:eastAsiaTheme="minorEastAsia"/>
                <w:sz w:val="24"/>
              </w:rPr>
              <w:t>长期信用评级</w:t>
            </w:r>
          </w:p>
        </w:tc>
        <w:tc>
          <w:tcPr>
            <w:tcW w:w="2835" w:type="dxa"/>
          </w:tcPr>
          <w:p>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pPr>
              <w:widowControl/>
              <w:autoSpaceDE w:val="0"/>
              <w:autoSpaceDN w:val="0"/>
              <w:spacing w:line="360" w:lineRule="auto"/>
              <w:ind w:right="-15"/>
              <w:jc w:val="center"/>
              <w:textAlignment w:val="bottom"/>
              <w:rPr>
                <w:rFonts w:eastAsiaTheme="minorEastAsia"/>
                <w:sz w:val="24"/>
              </w:rPr>
            </w:pPr>
            <w:r>
              <w:rPr>
                <w:rFonts w:eastAsiaTheme="minorEastAsia"/>
                <w:sz w:val="24"/>
              </w:rPr>
              <w:t>2020年12月31日</w:t>
            </w:r>
          </w:p>
        </w:tc>
        <w:tc>
          <w:tcPr>
            <w:tcW w:w="3260" w:type="dxa"/>
          </w:tcPr>
          <w:p>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pPr>
              <w:widowControl/>
              <w:autoSpaceDE w:val="0"/>
              <w:autoSpaceDN w:val="0"/>
              <w:spacing w:line="360" w:lineRule="auto"/>
              <w:ind w:right="-15"/>
              <w:jc w:val="center"/>
              <w:textAlignment w:val="bottom"/>
              <w:rPr>
                <w:rFonts w:eastAsiaTheme="minorEastAsia"/>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tcPr>
          <w:p>
            <w:pPr>
              <w:spacing w:line="360" w:lineRule="auto"/>
              <w:rPr>
                <w:rFonts w:eastAsiaTheme="minorEastAsia"/>
                <w:sz w:val="24"/>
              </w:rPr>
            </w:pPr>
            <w:r>
              <w:rPr>
                <w:rFonts w:eastAsiaTheme="minorEastAsia"/>
                <w:sz w:val="24"/>
              </w:rPr>
              <w:t>AAA</w:t>
            </w:r>
          </w:p>
        </w:tc>
        <w:tc>
          <w:tcPr>
            <w:tcW w:w="2835" w:type="dxa"/>
          </w:tcPr>
          <w:p>
            <w:pPr>
              <w:spacing w:line="360" w:lineRule="auto"/>
              <w:jc w:val="right"/>
              <w:rPr>
                <w:rFonts w:eastAsiaTheme="minorEastAsia"/>
                <w:sz w:val="24"/>
              </w:rPr>
            </w:pPr>
            <w:r>
              <w:rPr>
                <w:rFonts w:eastAsiaTheme="minorEastAsia"/>
                <w:sz w:val="24"/>
              </w:rPr>
              <w:t>30,015,000.00</w:t>
            </w:r>
          </w:p>
        </w:tc>
        <w:tc>
          <w:tcPr>
            <w:tcW w:w="3260" w:type="dxa"/>
          </w:tcPr>
          <w:p>
            <w:pPr>
              <w:spacing w:line="360" w:lineRule="auto"/>
              <w:jc w:val="right"/>
              <w:rPr>
                <w:rFonts w:eastAsiaTheme="minorEastAsia"/>
                <w:sz w:val="24"/>
              </w:rPr>
            </w:pPr>
            <w:r>
              <w:rPr>
                <w:rFonts w:eastAsiaTheme="minorEastAsia"/>
                <w:sz w:val="24"/>
              </w:rPr>
              <w:t>258,298,300.00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tcPr>
          <w:p>
            <w:pPr>
              <w:spacing w:line="360" w:lineRule="auto"/>
              <w:rPr>
                <w:rFonts w:eastAsiaTheme="minorEastAsia"/>
                <w:sz w:val="24"/>
              </w:rPr>
            </w:pPr>
            <w:r>
              <w:rPr>
                <w:rFonts w:eastAsiaTheme="minorEastAsia"/>
                <w:sz w:val="24"/>
              </w:rPr>
              <w:t>AAA以下</w:t>
            </w:r>
          </w:p>
        </w:tc>
        <w:tc>
          <w:tcPr>
            <w:tcW w:w="2835" w:type="dxa"/>
          </w:tcPr>
          <w:p>
            <w:pPr>
              <w:spacing w:line="360" w:lineRule="auto"/>
              <w:jc w:val="right"/>
              <w:rPr>
                <w:rFonts w:eastAsiaTheme="minorEastAsia"/>
                <w:sz w:val="24"/>
              </w:rPr>
            </w:pPr>
            <w:r>
              <w:rPr>
                <w:rFonts w:eastAsiaTheme="minorEastAsia"/>
                <w:sz w:val="24"/>
              </w:rPr>
              <w:t>314,879,000.00</w:t>
            </w:r>
          </w:p>
        </w:tc>
        <w:tc>
          <w:tcPr>
            <w:tcW w:w="3260" w:type="dxa"/>
          </w:tcPr>
          <w:p>
            <w:pPr>
              <w:spacing w:line="360" w:lineRule="auto"/>
              <w:jc w:val="right"/>
              <w:rPr>
                <w:rFonts w:eastAsiaTheme="minorEastAsia"/>
                <w:sz w:val="24"/>
              </w:rPr>
            </w:pPr>
            <w:r>
              <w:rPr>
                <w:rFonts w:eastAsiaTheme="minorEastAsia"/>
                <w:sz w:val="24"/>
              </w:rPr>
              <w:t>396,787,000.00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Align w:val="center"/>
          </w:tcPr>
          <w:p>
            <w:pPr>
              <w:spacing w:line="360" w:lineRule="auto"/>
              <w:rPr>
                <w:rFonts w:eastAsiaTheme="minorEastAsia"/>
                <w:sz w:val="24"/>
              </w:rPr>
            </w:pPr>
            <w:r>
              <w:rPr>
                <w:rFonts w:eastAsiaTheme="minorEastAsia"/>
                <w:kern w:val="0"/>
                <w:sz w:val="24"/>
              </w:rPr>
              <w:t>未评级</w:t>
            </w:r>
          </w:p>
        </w:tc>
        <w:tc>
          <w:tcPr>
            <w:tcW w:w="2835" w:type="dxa"/>
          </w:tcPr>
          <w:p>
            <w:pPr>
              <w:spacing w:line="360" w:lineRule="auto"/>
              <w:jc w:val="right"/>
              <w:rPr>
                <w:rFonts w:eastAsiaTheme="minorEastAsia"/>
                <w:sz w:val="24"/>
              </w:rPr>
            </w:pPr>
            <w:r>
              <w:rPr>
                <w:rFonts w:eastAsiaTheme="minorEastAsia"/>
                <w:sz w:val="24"/>
              </w:rPr>
              <w:t>-</w:t>
            </w:r>
          </w:p>
        </w:tc>
        <w:tc>
          <w:tcPr>
            <w:tcW w:w="3260" w:type="dxa"/>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Align w:val="center"/>
          </w:tcPr>
          <w:p>
            <w:pPr>
              <w:spacing w:line="360" w:lineRule="auto"/>
              <w:rPr>
                <w:rFonts w:eastAsiaTheme="minorEastAsia"/>
                <w:kern w:val="0"/>
                <w:sz w:val="24"/>
              </w:rPr>
            </w:pPr>
            <w:r>
              <w:rPr>
                <w:rFonts w:eastAsiaTheme="minorEastAsia"/>
                <w:kern w:val="0"/>
                <w:sz w:val="24"/>
              </w:rPr>
              <w:t>合计</w:t>
            </w:r>
          </w:p>
        </w:tc>
        <w:tc>
          <w:tcPr>
            <w:tcW w:w="2835" w:type="dxa"/>
            <w:vAlign w:val="center"/>
          </w:tcPr>
          <w:p>
            <w:pPr>
              <w:spacing w:line="360" w:lineRule="auto"/>
              <w:jc w:val="right"/>
              <w:rPr>
                <w:rFonts w:eastAsiaTheme="minorEastAsia"/>
                <w:sz w:val="24"/>
              </w:rPr>
            </w:pPr>
            <w:r>
              <w:rPr>
                <w:rFonts w:eastAsiaTheme="minorEastAsia"/>
                <w:sz w:val="24"/>
              </w:rPr>
              <w:t>344,894,000.00</w:t>
            </w:r>
          </w:p>
        </w:tc>
        <w:tc>
          <w:tcPr>
            <w:tcW w:w="3260" w:type="dxa"/>
            <w:vAlign w:val="center"/>
          </w:tcPr>
          <w:p>
            <w:pPr>
              <w:spacing w:line="360" w:lineRule="auto"/>
              <w:jc w:val="right"/>
              <w:rPr>
                <w:rFonts w:eastAsiaTheme="minorEastAsia"/>
                <w:sz w:val="24"/>
              </w:rPr>
            </w:pPr>
            <w:r>
              <w:rPr>
                <w:rFonts w:eastAsiaTheme="minorEastAsia"/>
                <w:sz w:val="24"/>
              </w:rPr>
              <w:t>655,085,300.00</w:t>
            </w:r>
          </w:p>
        </w:tc>
      </w:tr>
    </w:tbl>
    <w:p>
      <w:pPr>
        <w:spacing w:before="29" w:line="288" w:lineRule="auto"/>
        <w:outlineLvl w:val="2"/>
        <w:rPr>
          <w:rFonts w:eastAsiaTheme="minorEastAsia"/>
          <w:b/>
          <w:sz w:val="24"/>
        </w:rPr>
      </w:pPr>
      <w:bookmarkStart w:id="199" w:name="_Toc67667991"/>
      <w:r>
        <w:rPr>
          <w:rFonts w:eastAsiaTheme="minorEastAsia"/>
          <w:b/>
          <w:sz w:val="24"/>
        </w:rPr>
        <w:t>7.4.13.3</w:t>
      </w:r>
      <w:r>
        <w:rPr>
          <w:rFonts w:hint="eastAsia" w:eastAsiaTheme="minorEastAsia"/>
          <w:b/>
          <w:sz w:val="24"/>
        </w:rPr>
        <w:t>流动性风险</w:t>
      </w:r>
      <w:bookmarkEnd w:id="199"/>
    </w:p>
    <w:p>
      <w:pPr>
        <w:spacing w:before="29" w:line="288" w:lineRule="auto"/>
        <w:ind w:firstLine="480" w:firstLineChars="20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pPr>
        <w:spacing w:before="29" w:line="288" w:lineRule="auto"/>
        <w:ind w:firstLine="480" w:firstLineChars="20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pPr>
        <w:spacing w:before="29" w:line="288" w:lineRule="auto"/>
        <w:ind w:firstLine="480" w:firstLineChars="200"/>
        <w:rPr>
          <w:kern w:val="0"/>
          <w:sz w:val="24"/>
        </w:rPr>
      </w:pPr>
      <w:r>
        <w:rPr>
          <w:kern w:val="0"/>
          <w:sz w:val="24"/>
        </w:rPr>
        <w:t>于2020年12月31日，除卖出回购金融资产款余额中有80,549,679.17元将在一个月以内到期且计息(该利息金额不重大)外，本基金所承担的其他金融负债的合约约定到期日均为一个月以内且不计息，因此账面余额约为未折现的合约到期现金流量。</w:t>
      </w:r>
    </w:p>
    <w:p>
      <w:pPr>
        <w:spacing w:before="29" w:line="288" w:lineRule="auto"/>
        <w:ind w:firstLine="480" w:firstLineChars="200"/>
        <w:rPr>
          <w:kern w:val="0"/>
          <w:sz w:val="24"/>
        </w:rPr>
      </w:pPr>
      <w:r>
        <w:rPr>
          <w:kern w:val="0"/>
          <w:sz w:val="24"/>
        </w:rPr>
        <w:t>注：流动性受限资产、7个工作日可变现资产的计算口径见《公开募集开放式证券投资基金流动性风险管理规定》第四十条。</w:t>
      </w:r>
    </w:p>
    <w:p>
      <w:pPr>
        <w:spacing w:before="29" w:line="288" w:lineRule="auto"/>
        <w:ind w:firstLine="480" w:firstLineChars="200"/>
        <w:rPr>
          <w:kern w:val="0"/>
          <w:sz w:val="24"/>
        </w:rPr>
      </w:pPr>
    </w:p>
    <w:p>
      <w:pPr>
        <w:spacing w:before="156" w:beforeLines="50" w:line="360" w:lineRule="auto"/>
        <w:rPr>
          <w:rFonts w:eastAsiaTheme="minorEastAsia"/>
          <w:b/>
          <w:bCs/>
          <w:color w:val="000000" w:themeColor="text1"/>
          <w:szCs w:val="21"/>
        </w:rPr>
      </w:pPr>
      <w:r>
        <w:rPr>
          <w:rFonts w:eastAsiaTheme="minorEastAsia"/>
          <w:b/>
          <w:bCs/>
          <w:color w:val="000000" w:themeColor="text1"/>
          <w:kern w:val="0"/>
          <w:szCs w:val="21"/>
        </w:rPr>
        <w:t>7.4.13.3</w:t>
      </w:r>
      <w:r>
        <w:rPr>
          <w:rFonts w:hint="eastAsia" w:eastAsiaTheme="minorEastAsia"/>
          <w:b/>
          <w:bCs/>
          <w:color w:val="000000" w:themeColor="text1"/>
          <w:kern w:val="0"/>
          <w:szCs w:val="21"/>
        </w:rPr>
        <w:t>.1</w:t>
      </w:r>
      <w:r>
        <w:rPr>
          <w:rFonts w:eastAsiaTheme="minorEastAsia"/>
          <w:b/>
          <w:bCs/>
          <w:color w:val="000000" w:themeColor="text1"/>
          <w:kern w:val="0"/>
          <w:szCs w:val="21"/>
        </w:rPr>
        <w:t xml:space="preserve"> </w:t>
      </w:r>
      <w:r>
        <w:rPr>
          <w:rFonts w:hint="eastAsia" w:eastAsiaTheme="minorEastAsia"/>
          <w:b/>
          <w:bCs/>
          <w:color w:val="000000" w:themeColor="text1"/>
          <w:szCs w:val="21"/>
        </w:rPr>
        <w:t>报告期内本基金组合资产的流动性风险分析</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封闭期结束后按照《公开募集开放式证券投资基金流动性风险管理规定》(自2017年10月1日起施行)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10%，且本基金与由本基金的基金管理人管理的其他基金共同持有一家公司发行的证券不得超过该证券的10%。于封闭期结束后，本基金与由本基金的基金管理人管理的其他开放式基金共同持有一家上市公司发行的可流通股票不得超过该上市公司可流通股票的15%(完全按照有关指数构成比例进行证券投资的开放式基金及中国证监会认定的特殊投资组合不受该比例限制)，本基金与由本基金的基金管理人管理的全部投资组合持有一家上市公司发行的可流通股票，不得超过该上市公司可流通股票的30%。</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7.4.12。此外，本基金可通过卖出回购金融资产方式借入短期资金应对流动性需求，其上限一般不超过基金持有的债券投资的公允价值。于封闭期结束后，本基金主动投资于流动性受限资产的市值合计不得超过基金资产净值的15%。</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于封闭期结束后，本基金的基金管理人每日对基金组合资产中7个工作日可变现资产的可变现价值进行审慎评估与测算，确保每日确认的净赎回申请不得超过7个工作日可变现资产的可变现价值。</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pPr>
        <w:widowControl/>
        <w:spacing w:line="360" w:lineRule="auto"/>
        <w:ind w:firstLine="420" w:firstLineChars="200"/>
        <w:rPr>
          <w:rFonts w:eastAsiaTheme="minorEastAsia"/>
          <w:color w:val="000000" w:themeColor="text1"/>
          <w:kern w:val="0"/>
          <w:szCs w:val="21"/>
        </w:rPr>
      </w:pPr>
    </w:p>
    <w:p>
      <w:pPr>
        <w:spacing w:before="29" w:line="288" w:lineRule="auto"/>
        <w:outlineLvl w:val="2"/>
        <w:rPr>
          <w:rFonts w:eastAsiaTheme="minorEastAsia"/>
          <w:b/>
          <w:sz w:val="24"/>
        </w:rPr>
      </w:pPr>
      <w:bookmarkStart w:id="200" w:name="_Toc67667992"/>
      <w:r>
        <w:rPr>
          <w:rFonts w:eastAsiaTheme="minorEastAsia"/>
          <w:b/>
          <w:sz w:val="24"/>
        </w:rPr>
        <w:t>7.4.13.4</w:t>
      </w:r>
      <w:r>
        <w:rPr>
          <w:rFonts w:hint="eastAsia" w:eastAsiaTheme="minorEastAsia"/>
          <w:b/>
          <w:sz w:val="24"/>
        </w:rPr>
        <w:t>市场风险</w:t>
      </w:r>
      <w:bookmarkEnd w:id="200"/>
    </w:p>
    <w:p>
      <w:pPr>
        <w:spacing w:before="29" w:line="288" w:lineRule="auto"/>
        <w:ind w:firstLine="480" w:firstLineChars="200"/>
        <w:rPr>
          <w:rFonts w:cs="宋体" w:asciiTheme="minorEastAsia" w:hAnsiTheme="minorEastAsia" w:eastAsiaTheme="minorEastAsia"/>
          <w:kern w:val="0"/>
          <w:szCs w:val="21"/>
        </w:rPr>
      </w:pPr>
      <w:r>
        <w:rPr>
          <w:kern w:val="0"/>
          <w:sz w:val="24"/>
        </w:rPr>
        <w:t>市场风险是指基金所持金融工具的公允价值或未来现金流量因所处市场各类价格因素的变动而发生波动的风险，包括利率风险、外汇风险和其他价格风险。</w:t>
      </w:r>
    </w:p>
    <w:p>
      <w:pPr>
        <w:spacing w:line="360" w:lineRule="auto"/>
        <w:ind w:firstLine="420" w:firstLineChars="200"/>
        <w:jc w:val="left"/>
        <w:rPr>
          <w:rFonts w:asciiTheme="minorEastAsia" w:hAnsiTheme="minorEastAsia" w:eastAsiaTheme="minorEastAsia"/>
          <w:color w:val="000000"/>
          <w:szCs w:val="21"/>
        </w:rPr>
      </w:pPr>
    </w:p>
    <w:p>
      <w:pPr>
        <w:spacing w:before="29" w:line="288" w:lineRule="auto"/>
        <w:rPr>
          <w:rFonts w:eastAsiaTheme="minorEastAsia"/>
          <w:b/>
          <w:sz w:val="24"/>
        </w:rPr>
      </w:pPr>
      <w:r>
        <w:rPr>
          <w:rFonts w:eastAsiaTheme="minorEastAsia"/>
          <w:b/>
          <w:sz w:val="24"/>
        </w:rPr>
        <w:t>7.4.13.4.1</w:t>
      </w:r>
      <w:r>
        <w:rPr>
          <w:rFonts w:hint="eastAsia" w:eastAsiaTheme="minorEastAsia"/>
          <w:b/>
          <w:sz w:val="24"/>
        </w:rPr>
        <w:t>利率风险</w:t>
      </w:r>
    </w:p>
    <w:p>
      <w:pPr>
        <w:spacing w:before="29" w:line="288" w:lineRule="auto"/>
        <w:ind w:firstLine="480" w:firstLineChars="200"/>
        <w:rPr>
          <w:rFonts w:cs="宋体" w:asciiTheme="minorEastAsia" w:hAnsiTheme="minorEastAsia" w:eastAsiaTheme="minorEastAsia"/>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pPr>
        <w:spacing w:before="29" w:line="288" w:lineRule="auto"/>
        <w:ind w:firstLine="480" w:firstLineChars="200"/>
        <w:rPr>
          <w:rFonts w:cs="宋体" w:asciiTheme="minorEastAsia" w:hAnsiTheme="minorEastAsia" w:eastAsiaTheme="minorEastAsia"/>
          <w:kern w:val="0"/>
          <w:szCs w:val="21"/>
        </w:rPr>
      </w:pPr>
      <w:r>
        <w:rPr>
          <w:kern w:val="0"/>
          <w:sz w:val="24"/>
        </w:rPr>
        <w:t>本基金的基金管理人定期对本基金面临的利率敏感性缺口进行监控，并通过调整投资组合的久期等方法对上述利率风险进行管理。</w:t>
      </w:r>
    </w:p>
    <w:p>
      <w:pPr>
        <w:spacing w:before="29" w:line="288" w:lineRule="auto"/>
        <w:ind w:firstLine="480" w:firstLineChars="200"/>
        <w:rPr>
          <w:rFonts w:cs="宋体" w:asciiTheme="minorEastAsia" w:hAnsiTheme="minorEastAsia" w:eastAsiaTheme="minorEastAsia"/>
          <w:kern w:val="0"/>
          <w:szCs w:val="21"/>
        </w:rPr>
      </w:pPr>
      <w:r>
        <w:rPr>
          <w:kern w:val="0"/>
          <w:sz w:val="24"/>
        </w:rPr>
        <w:t>本基金主要投资于交易所及银行间市场交易的固定收益品种，因此存在相应的利率风险。</w:t>
      </w:r>
    </w:p>
    <w:p>
      <w:pPr>
        <w:spacing w:line="360" w:lineRule="auto"/>
        <w:ind w:firstLine="420" w:firstLineChars="200"/>
        <w:jc w:val="left"/>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spacing w:before="29" w:line="288" w:lineRule="auto"/>
        <w:rPr>
          <w:rFonts w:eastAsiaTheme="minorEastAsia"/>
          <w:b/>
          <w:sz w:val="24"/>
        </w:rPr>
      </w:pPr>
      <w:r>
        <w:rPr>
          <w:rFonts w:eastAsiaTheme="minorEastAsia"/>
          <w:b/>
          <w:sz w:val="24"/>
        </w:rPr>
        <w:t>7.4.13.4.1.1</w:t>
      </w:r>
      <w:r>
        <w:rPr>
          <w:rFonts w:hint="eastAsia" w:eastAsiaTheme="minorEastAsia"/>
          <w:b/>
          <w:sz w:val="24"/>
        </w:rPr>
        <w:t>利率风险敞口</w:t>
      </w:r>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9"/>
        <w:gridCol w:w="1499"/>
        <w:gridCol w:w="1500"/>
        <w:gridCol w:w="150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59" w:type="dxa"/>
            <w:vAlign w:val="center"/>
          </w:tcPr>
          <w:p>
            <w:pPr>
              <w:spacing w:before="29" w:line="288" w:lineRule="auto"/>
              <w:jc w:val="center"/>
              <w:rPr>
                <w:b/>
                <w:sz w:val="18"/>
                <w:szCs w:val="18"/>
              </w:rPr>
            </w:pPr>
            <w:r>
              <w:rPr>
                <w:rFonts w:hint="eastAsia"/>
                <w:b/>
                <w:sz w:val="18"/>
                <w:szCs w:val="18"/>
              </w:rPr>
              <w:t>本期末</w:t>
            </w:r>
          </w:p>
          <w:p>
            <w:pPr>
              <w:spacing w:before="29" w:line="288" w:lineRule="auto"/>
              <w:jc w:val="center"/>
              <w:rPr>
                <w:b/>
                <w:sz w:val="18"/>
                <w:szCs w:val="18"/>
              </w:rPr>
            </w:pPr>
            <w:r>
              <w:rPr>
                <w:b/>
                <w:sz w:val="18"/>
                <w:szCs w:val="18"/>
              </w:rPr>
              <w:t>2020年12月31日</w:t>
            </w:r>
          </w:p>
        </w:tc>
        <w:tc>
          <w:tcPr>
            <w:tcW w:w="3459"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pPr>
              <w:spacing w:before="29" w:line="288" w:lineRule="auto"/>
              <w:jc w:val="center"/>
              <w:rPr>
                <w:b/>
                <w:sz w:val="18"/>
                <w:szCs w:val="18"/>
              </w:rPr>
            </w:pPr>
            <w:r>
              <w:rPr>
                <w:rFonts w:hint="eastAsia"/>
                <w:b/>
                <w:sz w:val="18"/>
                <w:szCs w:val="18"/>
              </w:rPr>
              <w:t>不计息</w:t>
            </w:r>
          </w:p>
        </w:tc>
        <w:tc>
          <w:tcPr>
            <w:tcW w:w="3459"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59" w:type="dxa"/>
            <w:vAlign w:val="center"/>
          </w:tcPr>
          <w:p>
            <w:pPr>
              <w:spacing w:line="360" w:lineRule="auto"/>
              <w:rPr>
                <w:rFonts w:ascii="宋体" w:hAnsi="宋体"/>
                <w:color w:val="000000"/>
                <w:szCs w:val="21"/>
              </w:rPr>
            </w:pPr>
            <w:r>
              <w:rPr>
                <w:rFonts w:hint="eastAsia"/>
                <w:color w:val="000000"/>
                <w:sz w:val="18"/>
                <w:szCs w:val="18"/>
              </w:rPr>
              <w:t>资产</w:t>
            </w:r>
          </w:p>
        </w:tc>
        <w:tc>
          <w:tcPr>
            <w:tcW w:w="3459" w:type="dxa"/>
            <w:vAlign w:val="center"/>
          </w:tcPr>
          <w:p>
            <w:pPr>
              <w:spacing w:line="360" w:lineRule="auto"/>
              <w:jc w:val="right"/>
              <w:rPr>
                <w:rFonts w:ascii="宋体" w:hAnsi="宋体"/>
                <w:color w:val="000000"/>
                <w:szCs w:val="21"/>
              </w:rPr>
            </w:pPr>
          </w:p>
        </w:tc>
        <w:tc>
          <w:tcPr>
            <w:tcW w:w="3459" w:type="dxa"/>
            <w:vAlign w:val="center"/>
          </w:tcPr>
          <w:p>
            <w:pPr>
              <w:spacing w:line="360" w:lineRule="auto"/>
              <w:jc w:val="right"/>
              <w:rPr>
                <w:rFonts w:ascii="宋体" w:hAnsi="宋体"/>
                <w:color w:val="000000"/>
                <w:szCs w:val="21"/>
              </w:rPr>
            </w:pPr>
          </w:p>
        </w:tc>
        <w:tc>
          <w:tcPr>
            <w:tcW w:w="3459" w:type="dxa"/>
            <w:vAlign w:val="center"/>
          </w:tcPr>
          <w:p>
            <w:pPr>
              <w:spacing w:line="360" w:lineRule="auto"/>
              <w:jc w:val="right"/>
              <w:rPr>
                <w:rFonts w:ascii="宋体" w:hAnsi="宋体"/>
                <w:color w:val="000000"/>
                <w:szCs w:val="21"/>
              </w:rPr>
            </w:pPr>
          </w:p>
        </w:tc>
        <w:tc>
          <w:tcPr>
            <w:tcW w:w="3459" w:type="dxa"/>
            <w:vAlign w:val="center"/>
          </w:tcPr>
          <w:p>
            <w:pPr>
              <w:spacing w:line="360" w:lineRule="auto"/>
              <w:jc w:val="right"/>
              <w:rPr>
                <w:rFonts w:ascii="宋体" w:hAnsi="宋体"/>
                <w:color w:val="000000"/>
                <w:szCs w:val="21"/>
              </w:rPr>
            </w:pPr>
          </w:p>
        </w:tc>
        <w:tc>
          <w:tcPr>
            <w:tcW w:w="3459"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银行存款</w:t>
            </w:r>
          </w:p>
        </w:tc>
        <w:tc>
          <w:tcPr>
            <w:tcW w:w="1499" w:type="dxa"/>
            <w:vAlign w:val="center"/>
          </w:tcPr>
          <w:p>
            <w:pPr>
              <w:jc w:val="right"/>
            </w:pPr>
            <w:r>
              <w:rPr>
                <w:color w:val="000000"/>
                <w:sz w:val="18"/>
                <w:szCs w:val="18"/>
              </w:rPr>
              <w:t>2,325,312.01</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2,325,312.01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结算备付金</w:t>
            </w:r>
          </w:p>
        </w:tc>
        <w:tc>
          <w:tcPr>
            <w:tcW w:w="1499" w:type="dxa"/>
            <w:vAlign w:val="center"/>
          </w:tcPr>
          <w:p>
            <w:pPr>
              <w:jc w:val="right"/>
            </w:pPr>
            <w:r>
              <w:rPr>
                <w:color w:val="000000"/>
                <w:sz w:val="18"/>
                <w:szCs w:val="18"/>
              </w:rPr>
              <w:t>92,997.42</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92,997.42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存出保证金</w:t>
            </w:r>
          </w:p>
        </w:tc>
        <w:tc>
          <w:tcPr>
            <w:tcW w:w="1499" w:type="dxa"/>
            <w:vAlign w:val="center"/>
          </w:tcPr>
          <w:p>
            <w:pPr>
              <w:jc w:val="right"/>
            </w:pPr>
            <w:r>
              <w:rPr>
                <w:color w:val="000000"/>
                <w:sz w:val="18"/>
                <w:szCs w:val="18"/>
              </w:rPr>
              <w:t>2,458.65</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2,458.65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交易性金融资产</w:t>
            </w:r>
          </w:p>
        </w:tc>
        <w:tc>
          <w:tcPr>
            <w:tcW w:w="1499" w:type="dxa"/>
            <w:vAlign w:val="center"/>
          </w:tcPr>
          <w:p>
            <w:pPr>
              <w:jc w:val="right"/>
            </w:pPr>
            <w:r>
              <w:rPr>
                <w:color w:val="000000"/>
                <w:sz w:val="18"/>
                <w:szCs w:val="18"/>
              </w:rPr>
              <w:t>100,926,500.00</w:t>
            </w:r>
          </w:p>
        </w:tc>
        <w:tc>
          <w:tcPr>
            <w:tcW w:w="1500" w:type="dxa"/>
            <w:vAlign w:val="center"/>
          </w:tcPr>
          <w:p>
            <w:pPr>
              <w:jc w:val="right"/>
            </w:pPr>
            <w:r>
              <w:rPr>
                <w:color w:val="000000"/>
                <w:sz w:val="18"/>
                <w:szCs w:val="18"/>
              </w:rPr>
              <w:t>263,937,000.00</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364,863,500.00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应收利息</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8,295,282.84</w:t>
            </w:r>
          </w:p>
        </w:tc>
        <w:tc>
          <w:tcPr>
            <w:tcW w:w="1500" w:type="dxa"/>
            <w:vAlign w:val="center"/>
          </w:tcPr>
          <w:p>
            <w:pPr>
              <w:jc w:val="right"/>
            </w:pPr>
            <w:r>
              <w:rPr>
                <w:color w:val="000000"/>
                <w:sz w:val="18"/>
                <w:szCs w:val="18"/>
              </w:rPr>
              <w:t>8,295,282.84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应收申购款</w:t>
            </w:r>
          </w:p>
        </w:tc>
        <w:tc>
          <w:tcPr>
            <w:tcW w:w="1499" w:type="dxa"/>
            <w:vAlign w:val="center"/>
          </w:tcPr>
          <w:p>
            <w:pPr>
              <w:jc w:val="right"/>
            </w:pPr>
            <w:r>
              <w:rPr>
                <w:color w:val="000000"/>
                <w:sz w:val="18"/>
                <w:szCs w:val="18"/>
              </w:rPr>
              <w:t>49,603.17</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426,539.68</w:t>
            </w:r>
          </w:p>
        </w:tc>
        <w:tc>
          <w:tcPr>
            <w:tcW w:w="1500" w:type="dxa"/>
            <w:vAlign w:val="center"/>
          </w:tcPr>
          <w:p>
            <w:pPr>
              <w:jc w:val="right"/>
            </w:pPr>
            <w:r>
              <w:rPr>
                <w:color w:val="000000"/>
                <w:sz w:val="18"/>
                <w:szCs w:val="18"/>
              </w:rPr>
              <w:t>476,142.85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59" w:type="dxa"/>
            <w:vAlign w:val="center"/>
          </w:tcPr>
          <w:p>
            <w:pPr>
              <w:spacing w:before="29" w:line="288" w:lineRule="auto"/>
              <w:rPr>
                <w:rFonts w:asciiTheme="minorEastAsia" w:hAnsiTheme="minorEastAsia" w:eastAsiaTheme="minorEastAsia"/>
                <w:color w:val="000000"/>
                <w:szCs w:val="21"/>
              </w:rPr>
            </w:pPr>
            <w:r>
              <w:rPr>
                <w:rFonts w:hint="eastAsia"/>
                <w:color w:val="000000"/>
                <w:sz w:val="18"/>
                <w:szCs w:val="18"/>
              </w:rPr>
              <w:t>资产总计</w:t>
            </w:r>
          </w:p>
        </w:tc>
        <w:tc>
          <w:tcPr>
            <w:tcW w:w="3459" w:type="dxa"/>
            <w:vAlign w:val="center"/>
          </w:tcPr>
          <w:p>
            <w:pPr>
              <w:spacing w:before="29" w:line="288" w:lineRule="auto"/>
              <w:jc w:val="right"/>
              <w:rPr>
                <w:sz w:val="18"/>
                <w:szCs w:val="18"/>
              </w:rPr>
            </w:pPr>
            <w:r>
              <w:rPr>
                <w:sz w:val="18"/>
                <w:szCs w:val="18"/>
              </w:rPr>
              <w:t>103,396,871.25</w:t>
            </w:r>
          </w:p>
        </w:tc>
        <w:tc>
          <w:tcPr>
            <w:tcW w:w="3459" w:type="dxa"/>
            <w:vAlign w:val="center"/>
          </w:tcPr>
          <w:p>
            <w:pPr>
              <w:spacing w:before="29" w:line="288" w:lineRule="auto"/>
              <w:jc w:val="right"/>
              <w:rPr>
                <w:sz w:val="18"/>
                <w:szCs w:val="18"/>
              </w:rPr>
            </w:pPr>
            <w:r>
              <w:rPr>
                <w:sz w:val="18"/>
                <w:szCs w:val="18"/>
              </w:rPr>
              <w:t>263,937,000.00</w:t>
            </w:r>
          </w:p>
        </w:tc>
        <w:tc>
          <w:tcPr>
            <w:tcW w:w="3459" w:type="dxa"/>
            <w:vAlign w:val="center"/>
          </w:tcPr>
          <w:p>
            <w:pPr>
              <w:spacing w:before="29" w:line="288" w:lineRule="auto"/>
              <w:jc w:val="right"/>
              <w:rPr>
                <w:sz w:val="18"/>
                <w:szCs w:val="18"/>
              </w:rPr>
            </w:pPr>
            <w:r>
              <w:rPr>
                <w:sz w:val="18"/>
                <w:szCs w:val="18"/>
              </w:rPr>
              <w:t>-</w:t>
            </w:r>
          </w:p>
        </w:tc>
        <w:tc>
          <w:tcPr>
            <w:tcW w:w="3459" w:type="dxa"/>
            <w:vAlign w:val="center"/>
          </w:tcPr>
          <w:p>
            <w:pPr>
              <w:spacing w:before="29" w:line="288" w:lineRule="auto"/>
              <w:jc w:val="right"/>
              <w:rPr>
                <w:sz w:val="18"/>
                <w:szCs w:val="18"/>
              </w:rPr>
            </w:pPr>
            <w:r>
              <w:rPr>
                <w:sz w:val="18"/>
                <w:szCs w:val="18"/>
              </w:rPr>
              <w:t>8,721,822.52</w:t>
            </w:r>
          </w:p>
        </w:tc>
        <w:tc>
          <w:tcPr>
            <w:tcW w:w="3459" w:type="dxa"/>
            <w:vAlign w:val="center"/>
          </w:tcPr>
          <w:p>
            <w:pPr>
              <w:spacing w:before="29" w:line="288" w:lineRule="auto"/>
              <w:jc w:val="right"/>
              <w:rPr>
                <w:sz w:val="18"/>
                <w:szCs w:val="18"/>
              </w:rPr>
            </w:pPr>
            <w:r>
              <w:rPr>
                <w:sz w:val="18"/>
                <w:szCs w:val="18"/>
              </w:rPr>
              <w:t>376,055,693.77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59" w:type="dxa"/>
            <w:vAlign w:val="center"/>
          </w:tcPr>
          <w:p>
            <w:pPr>
              <w:spacing w:before="29" w:line="288" w:lineRule="auto"/>
              <w:jc w:val="center"/>
              <w:rPr>
                <w:rFonts w:ascii="宋体" w:hAnsi="宋体"/>
                <w:color w:val="000000"/>
                <w:szCs w:val="21"/>
              </w:rPr>
            </w:pPr>
            <w:r>
              <w:rPr>
                <w:rFonts w:hint="eastAsia"/>
                <w:color w:val="000000"/>
                <w:sz w:val="18"/>
                <w:szCs w:val="18"/>
              </w:rPr>
              <w:t>负债</w:t>
            </w:r>
          </w:p>
        </w:tc>
        <w:tc>
          <w:tcPr>
            <w:tcW w:w="3459" w:type="dxa"/>
            <w:vAlign w:val="center"/>
          </w:tcPr>
          <w:p>
            <w:pPr>
              <w:spacing w:line="360" w:lineRule="auto"/>
              <w:jc w:val="right"/>
              <w:rPr>
                <w:rFonts w:ascii="宋体" w:hAnsi="宋体"/>
                <w:color w:val="0000FF"/>
                <w:kern w:val="0"/>
                <w:szCs w:val="21"/>
              </w:rPr>
            </w:pPr>
          </w:p>
        </w:tc>
        <w:tc>
          <w:tcPr>
            <w:tcW w:w="3459" w:type="dxa"/>
            <w:vAlign w:val="center"/>
          </w:tcPr>
          <w:p>
            <w:pPr>
              <w:spacing w:line="360" w:lineRule="auto"/>
              <w:jc w:val="right"/>
              <w:rPr>
                <w:rFonts w:ascii="宋体" w:hAnsi="宋体"/>
                <w:color w:val="000000"/>
                <w:szCs w:val="21"/>
              </w:rPr>
            </w:pPr>
          </w:p>
        </w:tc>
        <w:tc>
          <w:tcPr>
            <w:tcW w:w="3459" w:type="dxa"/>
            <w:vAlign w:val="center"/>
          </w:tcPr>
          <w:p>
            <w:pPr>
              <w:spacing w:line="360" w:lineRule="auto"/>
              <w:jc w:val="right"/>
              <w:rPr>
                <w:rFonts w:ascii="宋体" w:hAnsi="宋体"/>
                <w:color w:val="000000"/>
                <w:szCs w:val="21"/>
              </w:rPr>
            </w:pPr>
          </w:p>
        </w:tc>
        <w:tc>
          <w:tcPr>
            <w:tcW w:w="3459" w:type="dxa"/>
            <w:vAlign w:val="center"/>
          </w:tcPr>
          <w:p>
            <w:pPr>
              <w:spacing w:line="360" w:lineRule="auto"/>
              <w:jc w:val="right"/>
              <w:rPr>
                <w:rFonts w:ascii="宋体" w:hAnsi="宋体"/>
                <w:color w:val="000000"/>
                <w:szCs w:val="21"/>
              </w:rPr>
            </w:pPr>
          </w:p>
        </w:tc>
        <w:tc>
          <w:tcPr>
            <w:tcW w:w="3459" w:type="dxa"/>
            <w:vAlign w:val="center"/>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卖出回购金融资产款</w:t>
            </w:r>
          </w:p>
        </w:tc>
        <w:tc>
          <w:tcPr>
            <w:tcW w:w="1499" w:type="dxa"/>
            <w:vAlign w:val="center"/>
          </w:tcPr>
          <w:p>
            <w:pPr>
              <w:jc w:val="right"/>
            </w:pPr>
            <w:r>
              <w:rPr>
                <w:color w:val="000000"/>
                <w:sz w:val="18"/>
                <w:szCs w:val="18"/>
              </w:rPr>
              <w:t>80,549,679.17</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80,549,679.17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应付赎回款</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169,705.05</w:t>
            </w:r>
          </w:p>
        </w:tc>
        <w:tc>
          <w:tcPr>
            <w:tcW w:w="1500" w:type="dxa"/>
            <w:vAlign w:val="center"/>
          </w:tcPr>
          <w:p>
            <w:pPr>
              <w:jc w:val="right"/>
            </w:pPr>
            <w:r>
              <w:rPr>
                <w:color w:val="000000"/>
                <w:sz w:val="18"/>
                <w:szCs w:val="18"/>
              </w:rPr>
              <w:t>169,705.05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应付管理人报酬</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73,910.75</w:t>
            </w:r>
          </w:p>
        </w:tc>
        <w:tc>
          <w:tcPr>
            <w:tcW w:w="1500" w:type="dxa"/>
            <w:vAlign w:val="center"/>
          </w:tcPr>
          <w:p>
            <w:pPr>
              <w:jc w:val="right"/>
            </w:pPr>
            <w:r>
              <w:rPr>
                <w:color w:val="000000"/>
                <w:sz w:val="18"/>
                <w:szCs w:val="18"/>
              </w:rPr>
              <w:t>73,910.75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应付托管费</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24,636.93</w:t>
            </w:r>
          </w:p>
        </w:tc>
        <w:tc>
          <w:tcPr>
            <w:tcW w:w="1500" w:type="dxa"/>
            <w:vAlign w:val="center"/>
          </w:tcPr>
          <w:p>
            <w:pPr>
              <w:jc w:val="right"/>
            </w:pPr>
            <w:r>
              <w:rPr>
                <w:color w:val="000000"/>
                <w:sz w:val="18"/>
                <w:szCs w:val="18"/>
              </w:rPr>
              <w:t>24,636.93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应付销售服务费</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63.21</w:t>
            </w:r>
          </w:p>
        </w:tc>
        <w:tc>
          <w:tcPr>
            <w:tcW w:w="1500" w:type="dxa"/>
            <w:vAlign w:val="center"/>
          </w:tcPr>
          <w:p>
            <w:pPr>
              <w:jc w:val="right"/>
            </w:pPr>
            <w:r>
              <w:rPr>
                <w:color w:val="000000"/>
                <w:sz w:val="18"/>
                <w:szCs w:val="18"/>
              </w:rPr>
              <w:t>63.21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应付交易费用</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16,176.56</w:t>
            </w:r>
          </w:p>
        </w:tc>
        <w:tc>
          <w:tcPr>
            <w:tcW w:w="1500" w:type="dxa"/>
            <w:vAlign w:val="center"/>
          </w:tcPr>
          <w:p>
            <w:pPr>
              <w:jc w:val="right"/>
            </w:pPr>
            <w:r>
              <w:rPr>
                <w:color w:val="000000"/>
                <w:sz w:val="18"/>
                <w:szCs w:val="18"/>
              </w:rPr>
              <w:t>16,176.56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应交税费</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35,293.14</w:t>
            </w:r>
          </w:p>
        </w:tc>
        <w:tc>
          <w:tcPr>
            <w:tcW w:w="1500" w:type="dxa"/>
            <w:vAlign w:val="center"/>
          </w:tcPr>
          <w:p>
            <w:pPr>
              <w:jc w:val="right"/>
            </w:pPr>
            <w:r>
              <w:rPr>
                <w:color w:val="000000"/>
                <w:sz w:val="18"/>
                <w:szCs w:val="18"/>
              </w:rPr>
              <w:t>35,293.14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应付利息</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24,367.00</w:t>
            </w:r>
          </w:p>
        </w:tc>
        <w:tc>
          <w:tcPr>
            <w:tcW w:w="1500" w:type="dxa"/>
            <w:vAlign w:val="center"/>
          </w:tcPr>
          <w:p>
            <w:pPr>
              <w:jc w:val="right"/>
            </w:pPr>
            <w:r>
              <w:rPr>
                <w:color w:val="000000"/>
                <w:sz w:val="18"/>
                <w:szCs w:val="18"/>
              </w:rPr>
              <w:t>24,367.00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其他负债</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179,316.79</w:t>
            </w:r>
          </w:p>
        </w:tc>
        <w:tc>
          <w:tcPr>
            <w:tcW w:w="1500" w:type="dxa"/>
            <w:vAlign w:val="center"/>
          </w:tcPr>
          <w:p>
            <w:pPr>
              <w:jc w:val="right"/>
            </w:pPr>
            <w:r>
              <w:rPr>
                <w:color w:val="000000"/>
                <w:sz w:val="18"/>
                <w:szCs w:val="18"/>
              </w:rPr>
              <w:t>179,316.79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59" w:type="dxa"/>
            <w:vAlign w:val="center"/>
          </w:tcPr>
          <w:p>
            <w:pPr>
              <w:spacing w:before="29" w:line="288" w:lineRule="auto"/>
              <w:rPr>
                <w:color w:val="000000"/>
                <w:sz w:val="18"/>
                <w:szCs w:val="18"/>
              </w:rPr>
            </w:pPr>
            <w:r>
              <w:rPr>
                <w:rFonts w:hint="eastAsia"/>
                <w:color w:val="000000"/>
                <w:sz w:val="18"/>
                <w:szCs w:val="18"/>
              </w:rPr>
              <w:t>负债总计</w:t>
            </w:r>
          </w:p>
        </w:tc>
        <w:tc>
          <w:tcPr>
            <w:tcW w:w="3459" w:type="dxa"/>
            <w:vAlign w:val="center"/>
          </w:tcPr>
          <w:p>
            <w:pPr>
              <w:spacing w:before="29" w:line="288" w:lineRule="auto"/>
              <w:jc w:val="right"/>
              <w:rPr>
                <w:sz w:val="18"/>
                <w:szCs w:val="18"/>
              </w:rPr>
            </w:pPr>
            <w:r>
              <w:rPr>
                <w:sz w:val="18"/>
                <w:szCs w:val="18"/>
              </w:rPr>
              <w:t>80,549,679.17</w:t>
            </w:r>
          </w:p>
        </w:tc>
        <w:tc>
          <w:tcPr>
            <w:tcW w:w="3459" w:type="dxa"/>
            <w:vAlign w:val="center"/>
          </w:tcPr>
          <w:p>
            <w:pPr>
              <w:spacing w:before="29" w:line="288" w:lineRule="auto"/>
              <w:jc w:val="right"/>
              <w:rPr>
                <w:sz w:val="18"/>
                <w:szCs w:val="18"/>
              </w:rPr>
            </w:pPr>
            <w:r>
              <w:rPr>
                <w:sz w:val="18"/>
                <w:szCs w:val="18"/>
              </w:rPr>
              <w:t>-</w:t>
            </w:r>
          </w:p>
        </w:tc>
        <w:tc>
          <w:tcPr>
            <w:tcW w:w="3459" w:type="dxa"/>
            <w:vAlign w:val="center"/>
          </w:tcPr>
          <w:p>
            <w:pPr>
              <w:spacing w:before="29" w:line="288" w:lineRule="auto"/>
              <w:jc w:val="right"/>
              <w:rPr>
                <w:sz w:val="18"/>
                <w:szCs w:val="18"/>
              </w:rPr>
            </w:pPr>
            <w:r>
              <w:rPr>
                <w:sz w:val="18"/>
                <w:szCs w:val="18"/>
              </w:rPr>
              <w:t>-</w:t>
            </w:r>
          </w:p>
        </w:tc>
        <w:tc>
          <w:tcPr>
            <w:tcW w:w="3459" w:type="dxa"/>
            <w:vAlign w:val="center"/>
          </w:tcPr>
          <w:p>
            <w:pPr>
              <w:spacing w:before="29" w:line="288" w:lineRule="auto"/>
              <w:jc w:val="right"/>
              <w:rPr>
                <w:sz w:val="18"/>
                <w:szCs w:val="18"/>
              </w:rPr>
            </w:pPr>
            <w:r>
              <w:rPr>
                <w:sz w:val="18"/>
                <w:szCs w:val="18"/>
              </w:rPr>
              <w:t>523,469.43</w:t>
            </w:r>
          </w:p>
        </w:tc>
        <w:tc>
          <w:tcPr>
            <w:tcW w:w="3459" w:type="dxa"/>
            <w:vAlign w:val="center"/>
          </w:tcPr>
          <w:p>
            <w:pPr>
              <w:spacing w:before="29" w:line="288" w:lineRule="auto"/>
              <w:ind w:right="210"/>
              <w:jc w:val="right"/>
              <w:rPr>
                <w:sz w:val="18"/>
                <w:szCs w:val="18"/>
              </w:rPr>
            </w:pPr>
            <w:r>
              <w:rPr>
                <w:sz w:val="18"/>
                <w:szCs w:val="18"/>
              </w:rPr>
              <w:t>81,073,148.60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59" w:type="dxa"/>
            <w:vAlign w:val="center"/>
          </w:tcPr>
          <w:p>
            <w:pPr>
              <w:spacing w:before="29" w:line="288" w:lineRule="auto"/>
              <w:rPr>
                <w:color w:val="000000"/>
                <w:sz w:val="18"/>
                <w:szCs w:val="18"/>
              </w:rPr>
            </w:pPr>
            <w:r>
              <w:rPr>
                <w:rFonts w:hint="eastAsia"/>
                <w:color w:val="000000"/>
                <w:sz w:val="18"/>
                <w:szCs w:val="18"/>
              </w:rPr>
              <w:t>利率敏感度缺口</w:t>
            </w:r>
          </w:p>
        </w:tc>
        <w:tc>
          <w:tcPr>
            <w:tcW w:w="3459" w:type="dxa"/>
            <w:vAlign w:val="center"/>
          </w:tcPr>
          <w:p>
            <w:pPr>
              <w:spacing w:before="29" w:line="288" w:lineRule="auto"/>
              <w:jc w:val="right"/>
              <w:rPr>
                <w:sz w:val="18"/>
                <w:szCs w:val="18"/>
              </w:rPr>
            </w:pPr>
            <w:r>
              <w:rPr>
                <w:sz w:val="18"/>
                <w:szCs w:val="18"/>
              </w:rPr>
              <w:t>22,847,192.08</w:t>
            </w:r>
          </w:p>
        </w:tc>
        <w:tc>
          <w:tcPr>
            <w:tcW w:w="3459" w:type="dxa"/>
            <w:vAlign w:val="center"/>
          </w:tcPr>
          <w:p>
            <w:pPr>
              <w:spacing w:before="29" w:line="288" w:lineRule="auto"/>
              <w:jc w:val="right"/>
              <w:rPr>
                <w:sz w:val="18"/>
                <w:szCs w:val="18"/>
              </w:rPr>
            </w:pPr>
            <w:r>
              <w:rPr>
                <w:sz w:val="18"/>
                <w:szCs w:val="18"/>
              </w:rPr>
              <w:t>263,937,000.00</w:t>
            </w:r>
          </w:p>
        </w:tc>
        <w:tc>
          <w:tcPr>
            <w:tcW w:w="3459" w:type="dxa"/>
            <w:vAlign w:val="center"/>
          </w:tcPr>
          <w:p>
            <w:pPr>
              <w:spacing w:before="29" w:line="288" w:lineRule="auto"/>
              <w:jc w:val="right"/>
              <w:rPr>
                <w:sz w:val="18"/>
                <w:szCs w:val="18"/>
              </w:rPr>
            </w:pPr>
            <w:r>
              <w:rPr>
                <w:sz w:val="18"/>
                <w:szCs w:val="18"/>
              </w:rPr>
              <w:t>-</w:t>
            </w:r>
          </w:p>
        </w:tc>
        <w:tc>
          <w:tcPr>
            <w:tcW w:w="3459" w:type="dxa"/>
            <w:vAlign w:val="center"/>
          </w:tcPr>
          <w:p>
            <w:pPr>
              <w:spacing w:before="29" w:line="288" w:lineRule="auto"/>
              <w:jc w:val="right"/>
              <w:rPr>
                <w:sz w:val="18"/>
                <w:szCs w:val="18"/>
              </w:rPr>
            </w:pPr>
            <w:r>
              <w:rPr>
                <w:sz w:val="18"/>
                <w:szCs w:val="18"/>
              </w:rPr>
              <w:t>8,198,353.09</w:t>
            </w:r>
          </w:p>
        </w:tc>
        <w:tc>
          <w:tcPr>
            <w:tcW w:w="3459" w:type="dxa"/>
            <w:vAlign w:val="center"/>
          </w:tcPr>
          <w:p>
            <w:pPr>
              <w:spacing w:before="29" w:line="288" w:lineRule="auto"/>
              <w:jc w:val="right"/>
              <w:rPr>
                <w:sz w:val="18"/>
                <w:szCs w:val="18"/>
              </w:rPr>
            </w:pPr>
            <w:r>
              <w:rPr>
                <w:sz w:val="18"/>
                <w:szCs w:val="18"/>
              </w:rPr>
              <w:t>294,982,545.17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59" w:type="dxa"/>
            <w:vAlign w:val="center"/>
          </w:tcPr>
          <w:p>
            <w:pPr>
              <w:spacing w:before="29" w:line="288" w:lineRule="auto"/>
              <w:jc w:val="center"/>
              <w:rPr>
                <w:b/>
                <w:sz w:val="18"/>
                <w:szCs w:val="18"/>
              </w:rPr>
            </w:pPr>
            <w:r>
              <w:rPr>
                <w:rFonts w:hint="eastAsia"/>
                <w:b/>
                <w:sz w:val="18"/>
                <w:szCs w:val="18"/>
              </w:rPr>
              <w:t>上年度末</w:t>
            </w:r>
          </w:p>
          <w:p>
            <w:pPr>
              <w:spacing w:before="29" w:line="288" w:lineRule="auto"/>
              <w:jc w:val="center"/>
              <w:rPr>
                <w:b/>
                <w:sz w:val="18"/>
                <w:szCs w:val="18"/>
              </w:rPr>
            </w:pPr>
            <w:r>
              <w:rPr>
                <w:b/>
                <w:sz w:val="18"/>
                <w:szCs w:val="18"/>
              </w:rPr>
              <w:t>2019年12月31日</w:t>
            </w:r>
          </w:p>
        </w:tc>
        <w:tc>
          <w:tcPr>
            <w:tcW w:w="3459"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pPr>
              <w:spacing w:before="29" w:line="288" w:lineRule="auto"/>
              <w:jc w:val="center"/>
              <w:rPr>
                <w:b/>
                <w:sz w:val="18"/>
                <w:szCs w:val="18"/>
              </w:rPr>
            </w:pPr>
            <w:r>
              <w:rPr>
                <w:rFonts w:hint="eastAsia"/>
                <w:b/>
                <w:sz w:val="18"/>
                <w:szCs w:val="18"/>
              </w:rPr>
              <w:t>不计息</w:t>
            </w:r>
          </w:p>
        </w:tc>
        <w:tc>
          <w:tcPr>
            <w:tcW w:w="3459"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59" w:type="dxa"/>
            <w:vAlign w:val="center"/>
          </w:tcPr>
          <w:p>
            <w:pPr>
              <w:spacing w:before="29" w:line="288" w:lineRule="auto"/>
              <w:rPr>
                <w:rFonts w:ascii="宋体" w:hAnsi="宋体"/>
                <w:color w:val="000000"/>
                <w:szCs w:val="21"/>
              </w:rPr>
            </w:pPr>
            <w:r>
              <w:rPr>
                <w:rFonts w:hint="eastAsia"/>
                <w:color w:val="000000"/>
                <w:sz w:val="18"/>
                <w:szCs w:val="18"/>
              </w:rPr>
              <w:t>资产</w:t>
            </w:r>
          </w:p>
        </w:tc>
        <w:tc>
          <w:tcPr>
            <w:tcW w:w="3459" w:type="dxa"/>
            <w:vAlign w:val="center"/>
          </w:tcPr>
          <w:p>
            <w:pPr>
              <w:spacing w:line="360" w:lineRule="auto"/>
              <w:jc w:val="right"/>
              <w:rPr>
                <w:rFonts w:ascii="宋体" w:hAnsi="宋体"/>
                <w:color w:val="000000"/>
                <w:szCs w:val="21"/>
              </w:rPr>
            </w:pPr>
          </w:p>
        </w:tc>
        <w:tc>
          <w:tcPr>
            <w:tcW w:w="3459" w:type="dxa"/>
            <w:vAlign w:val="center"/>
          </w:tcPr>
          <w:p>
            <w:pPr>
              <w:spacing w:line="360" w:lineRule="auto"/>
              <w:jc w:val="right"/>
              <w:rPr>
                <w:rFonts w:ascii="宋体" w:hAnsi="宋体"/>
                <w:b/>
                <w:color w:val="000000"/>
                <w:szCs w:val="21"/>
              </w:rPr>
            </w:pPr>
          </w:p>
        </w:tc>
        <w:tc>
          <w:tcPr>
            <w:tcW w:w="3459" w:type="dxa"/>
            <w:vAlign w:val="center"/>
          </w:tcPr>
          <w:p>
            <w:pPr>
              <w:spacing w:line="360" w:lineRule="auto"/>
              <w:jc w:val="right"/>
              <w:rPr>
                <w:rFonts w:ascii="宋体" w:hAnsi="宋体"/>
                <w:b/>
                <w:color w:val="000000"/>
                <w:szCs w:val="21"/>
              </w:rPr>
            </w:pPr>
          </w:p>
        </w:tc>
        <w:tc>
          <w:tcPr>
            <w:tcW w:w="3459" w:type="dxa"/>
            <w:vAlign w:val="center"/>
          </w:tcPr>
          <w:p>
            <w:pPr>
              <w:spacing w:line="360" w:lineRule="auto"/>
              <w:jc w:val="right"/>
              <w:rPr>
                <w:rFonts w:ascii="宋体" w:hAnsi="宋体"/>
                <w:b/>
                <w:color w:val="000000"/>
                <w:szCs w:val="21"/>
              </w:rPr>
            </w:pPr>
          </w:p>
        </w:tc>
        <w:tc>
          <w:tcPr>
            <w:tcW w:w="3459"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银行存款</w:t>
            </w:r>
          </w:p>
        </w:tc>
        <w:tc>
          <w:tcPr>
            <w:tcW w:w="1499" w:type="dxa"/>
            <w:vAlign w:val="center"/>
          </w:tcPr>
          <w:p>
            <w:pPr>
              <w:jc w:val="right"/>
            </w:pPr>
            <w:r>
              <w:rPr>
                <w:color w:val="000000"/>
                <w:sz w:val="18"/>
                <w:szCs w:val="18"/>
              </w:rPr>
              <w:t>626,921.67</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626,921.67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结算备付金</w:t>
            </w:r>
          </w:p>
        </w:tc>
        <w:tc>
          <w:tcPr>
            <w:tcW w:w="1499" w:type="dxa"/>
            <w:vAlign w:val="center"/>
          </w:tcPr>
          <w:p>
            <w:pPr>
              <w:jc w:val="right"/>
            </w:pPr>
            <w:r>
              <w:rPr>
                <w:color w:val="000000"/>
                <w:sz w:val="18"/>
                <w:szCs w:val="18"/>
              </w:rPr>
              <w:t>20,333,676.00</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20,333,676.00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交易性金融资产</w:t>
            </w:r>
          </w:p>
        </w:tc>
        <w:tc>
          <w:tcPr>
            <w:tcW w:w="1499" w:type="dxa"/>
            <w:vAlign w:val="center"/>
          </w:tcPr>
          <w:p>
            <w:pPr>
              <w:jc w:val="right"/>
            </w:pPr>
            <w:r>
              <w:rPr>
                <w:color w:val="000000"/>
                <w:sz w:val="18"/>
                <w:szCs w:val="18"/>
              </w:rPr>
              <w:t>569,157,200.00</w:t>
            </w:r>
          </w:p>
        </w:tc>
        <w:tc>
          <w:tcPr>
            <w:tcW w:w="1500" w:type="dxa"/>
            <w:vAlign w:val="center"/>
          </w:tcPr>
          <w:p>
            <w:pPr>
              <w:jc w:val="right"/>
            </w:pPr>
            <w:r>
              <w:rPr>
                <w:color w:val="000000"/>
                <w:sz w:val="18"/>
                <w:szCs w:val="18"/>
              </w:rPr>
              <w:t>103,008,000.00</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672,165,200.00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应收利息</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12,445,356.45</w:t>
            </w:r>
          </w:p>
        </w:tc>
        <w:tc>
          <w:tcPr>
            <w:tcW w:w="1500" w:type="dxa"/>
            <w:vAlign w:val="center"/>
          </w:tcPr>
          <w:p>
            <w:pPr>
              <w:jc w:val="right"/>
            </w:pPr>
            <w:r>
              <w:rPr>
                <w:color w:val="000000"/>
                <w:sz w:val="18"/>
                <w:szCs w:val="18"/>
              </w:rPr>
              <w:t>12,445,356.45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59" w:type="dxa"/>
            <w:vAlign w:val="center"/>
          </w:tcPr>
          <w:p>
            <w:pPr>
              <w:spacing w:before="29" w:line="288" w:lineRule="auto"/>
              <w:rPr>
                <w:rFonts w:ascii="宋体" w:hAnsi="宋体"/>
                <w:color w:val="000000"/>
                <w:szCs w:val="21"/>
              </w:rPr>
            </w:pPr>
            <w:r>
              <w:rPr>
                <w:rFonts w:hint="eastAsia"/>
                <w:color w:val="000000"/>
                <w:sz w:val="18"/>
                <w:szCs w:val="18"/>
              </w:rPr>
              <w:t>资产总计</w:t>
            </w:r>
          </w:p>
        </w:tc>
        <w:tc>
          <w:tcPr>
            <w:tcW w:w="3459" w:type="dxa"/>
            <w:vAlign w:val="center"/>
          </w:tcPr>
          <w:p>
            <w:pPr>
              <w:spacing w:before="29" w:line="288" w:lineRule="auto"/>
              <w:jc w:val="right"/>
              <w:rPr>
                <w:sz w:val="18"/>
                <w:szCs w:val="18"/>
              </w:rPr>
            </w:pPr>
            <w:r>
              <w:rPr>
                <w:sz w:val="18"/>
                <w:szCs w:val="18"/>
              </w:rPr>
              <w:t>590,117,797.67</w:t>
            </w:r>
          </w:p>
        </w:tc>
        <w:tc>
          <w:tcPr>
            <w:tcW w:w="3459" w:type="dxa"/>
            <w:vAlign w:val="center"/>
          </w:tcPr>
          <w:p>
            <w:pPr>
              <w:spacing w:before="29" w:line="288" w:lineRule="auto"/>
              <w:jc w:val="right"/>
              <w:rPr>
                <w:sz w:val="18"/>
                <w:szCs w:val="18"/>
              </w:rPr>
            </w:pPr>
            <w:r>
              <w:rPr>
                <w:sz w:val="18"/>
                <w:szCs w:val="18"/>
              </w:rPr>
              <w:t>103,008,000.00</w:t>
            </w:r>
          </w:p>
        </w:tc>
        <w:tc>
          <w:tcPr>
            <w:tcW w:w="3459" w:type="dxa"/>
            <w:vAlign w:val="center"/>
          </w:tcPr>
          <w:p>
            <w:pPr>
              <w:spacing w:before="29" w:line="288" w:lineRule="auto"/>
              <w:jc w:val="right"/>
              <w:rPr>
                <w:sz w:val="18"/>
                <w:szCs w:val="18"/>
              </w:rPr>
            </w:pPr>
            <w:r>
              <w:rPr>
                <w:sz w:val="18"/>
                <w:szCs w:val="18"/>
              </w:rPr>
              <w:t>-</w:t>
            </w:r>
          </w:p>
        </w:tc>
        <w:tc>
          <w:tcPr>
            <w:tcW w:w="3459" w:type="dxa"/>
            <w:vAlign w:val="center"/>
          </w:tcPr>
          <w:p>
            <w:pPr>
              <w:spacing w:before="29" w:line="288" w:lineRule="auto"/>
              <w:jc w:val="right"/>
              <w:rPr>
                <w:sz w:val="18"/>
                <w:szCs w:val="18"/>
              </w:rPr>
            </w:pPr>
            <w:r>
              <w:rPr>
                <w:sz w:val="18"/>
                <w:szCs w:val="18"/>
              </w:rPr>
              <w:t>12,445,356.45</w:t>
            </w:r>
          </w:p>
        </w:tc>
        <w:tc>
          <w:tcPr>
            <w:tcW w:w="3459" w:type="dxa"/>
            <w:vAlign w:val="center"/>
          </w:tcPr>
          <w:p>
            <w:pPr>
              <w:spacing w:before="29" w:line="288" w:lineRule="auto"/>
              <w:jc w:val="right"/>
              <w:rPr>
                <w:sz w:val="18"/>
                <w:szCs w:val="18"/>
              </w:rPr>
            </w:pPr>
            <w:r>
              <w:rPr>
                <w:sz w:val="18"/>
                <w:szCs w:val="18"/>
              </w:rPr>
              <w:t>705,571,154.12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3459" w:type="dxa"/>
            <w:vAlign w:val="center"/>
          </w:tcPr>
          <w:p>
            <w:pPr>
              <w:spacing w:before="29" w:line="288" w:lineRule="auto"/>
              <w:rPr>
                <w:rFonts w:ascii="宋体" w:hAnsi="宋体"/>
                <w:color w:val="000000"/>
                <w:szCs w:val="21"/>
              </w:rPr>
            </w:pPr>
            <w:r>
              <w:rPr>
                <w:rFonts w:hint="eastAsia"/>
                <w:color w:val="000000"/>
                <w:sz w:val="18"/>
                <w:szCs w:val="18"/>
              </w:rPr>
              <w:t>负债</w:t>
            </w:r>
          </w:p>
        </w:tc>
        <w:tc>
          <w:tcPr>
            <w:tcW w:w="3459" w:type="dxa"/>
            <w:vAlign w:val="center"/>
          </w:tcPr>
          <w:p>
            <w:pPr>
              <w:spacing w:line="360" w:lineRule="auto"/>
              <w:jc w:val="right"/>
              <w:rPr>
                <w:rFonts w:ascii="宋体" w:hAnsi="宋体"/>
                <w:color w:val="0000FF"/>
                <w:kern w:val="0"/>
                <w:szCs w:val="21"/>
              </w:rPr>
            </w:pPr>
          </w:p>
        </w:tc>
        <w:tc>
          <w:tcPr>
            <w:tcW w:w="3459" w:type="dxa"/>
            <w:vAlign w:val="center"/>
          </w:tcPr>
          <w:p>
            <w:pPr>
              <w:spacing w:line="360" w:lineRule="auto"/>
              <w:jc w:val="right"/>
              <w:rPr>
                <w:rFonts w:ascii="宋体" w:hAnsi="宋体"/>
                <w:color w:val="000000"/>
                <w:szCs w:val="21"/>
              </w:rPr>
            </w:pPr>
          </w:p>
        </w:tc>
        <w:tc>
          <w:tcPr>
            <w:tcW w:w="3459" w:type="dxa"/>
            <w:vAlign w:val="center"/>
          </w:tcPr>
          <w:p>
            <w:pPr>
              <w:spacing w:line="360" w:lineRule="auto"/>
              <w:jc w:val="right"/>
              <w:rPr>
                <w:rFonts w:ascii="宋体" w:hAnsi="宋体"/>
                <w:color w:val="000000"/>
                <w:szCs w:val="21"/>
              </w:rPr>
            </w:pPr>
          </w:p>
        </w:tc>
        <w:tc>
          <w:tcPr>
            <w:tcW w:w="3459" w:type="dxa"/>
            <w:vAlign w:val="center"/>
          </w:tcPr>
          <w:p>
            <w:pPr>
              <w:spacing w:line="360" w:lineRule="auto"/>
              <w:jc w:val="right"/>
              <w:rPr>
                <w:rFonts w:ascii="宋体" w:hAnsi="宋体"/>
                <w:color w:val="000000"/>
                <w:szCs w:val="21"/>
              </w:rPr>
            </w:pPr>
          </w:p>
        </w:tc>
        <w:tc>
          <w:tcPr>
            <w:tcW w:w="3459" w:type="dxa"/>
            <w:vAlign w:val="center"/>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卖出回购金融资产款</w:t>
            </w:r>
          </w:p>
        </w:tc>
        <w:tc>
          <w:tcPr>
            <w:tcW w:w="1499" w:type="dxa"/>
            <w:vAlign w:val="center"/>
          </w:tcPr>
          <w:p>
            <w:pPr>
              <w:jc w:val="right"/>
            </w:pPr>
            <w:r>
              <w:rPr>
                <w:color w:val="000000"/>
                <w:sz w:val="18"/>
                <w:szCs w:val="18"/>
              </w:rPr>
              <w:t>343,169,946.07</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343,169,946.07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应付证券清算款</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34,397.26</w:t>
            </w:r>
          </w:p>
        </w:tc>
        <w:tc>
          <w:tcPr>
            <w:tcW w:w="1500" w:type="dxa"/>
            <w:vAlign w:val="center"/>
          </w:tcPr>
          <w:p>
            <w:pPr>
              <w:jc w:val="right"/>
            </w:pPr>
            <w:r>
              <w:rPr>
                <w:color w:val="000000"/>
                <w:sz w:val="18"/>
                <w:szCs w:val="18"/>
              </w:rPr>
              <w:t>34,397.26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应付管理人报酬</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245,453.45</w:t>
            </w:r>
          </w:p>
        </w:tc>
        <w:tc>
          <w:tcPr>
            <w:tcW w:w="1500" w:type="dxa"/>
            <w:vAlign w:val="center"/>
          </w:tcPr>
          <w:p>
            <w:pPr>
              <w:jc w:val="right"/>
            </w:pPr>
            <w:r>
              <w:rPr>
                <w:color w:val="000000"/>
                <w:sz w:val="18"/>
                <w:szCs w:val="18"/>
              </w:rPr>
              <w:t>245,453.45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应付托管费</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46,022.54</w:t>
            </w:r>
          </w:p>
        </w:tc>
        <w:tc>
          <w:tcPr>
            <w:tcW w:w="1500" w:type="dxa"/>
            <w:vAlign w:val="center"/>
          </w:tcPr>
          <w:p>
            <w:pPr>
              <w:jc w:val="right"/>
            </w:pPr>
            <w:r>
              <w:rPr>
                <w:color w:val="000000"/>
                <w:sz w:val="18"/>
                <w:szCs w:val="18"/>
              </w:rPr>
              <w:t>46,022.54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应付销售服务费</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428.74</w:t>
            </w:r>
          </w:p>
        </w:tc>
        <w:tc>
          <w:tcPr>
            <w:tcW w:w="1500" w:type="dxa"/>
            <w:vAlign w:val="center"/>
          </w:tcPr>
          <w:p>
            <w:pPr>
              <w:jc w:val="right"/>
            </w:pPr>
            <w:r>
              <w:rPr>
                <w:color w:val="000000"/>
                <w:sz w:val="18"/>
                <w:szCs w:val="18"/>
              </w:rPr>
              <w:t>428.74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应付交易费用</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9,826.93</w:t>
            </w:r>
          </w:p>
        </w:tc>
        <w:tc>
          <w:tcPr>
            <w:tcW w:w="1500" w:type="dxa"/>
            <w:vAlign w:val="center"/>
          </w:tcPr>
          <w:p>
            <w:pPr>
              <w:jc w:val="right"/>
            </w:pPr>
            <w:r>
              <w:rPr>
                <w:color w:val="000000"/>
                <w:sz w:val="18"/>
                <w:szCs w:val="18"/>
              </w:rPr>
              <w:t>9,826.93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应交税费</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75,187.25</w:t>
            </w:r>
          </w:p>
        </w:tc>
        <w:tc>
          <w:tcPr>
            <w:tcW w:w="1500" w:type="dxa"/>
            <w:vAlign w:val="center"/>
          </w:tcPr>
          <w:p>
            <w:pPr>
              <w:jc w:val="right"/>
            </w:pPr>
            <w:r>
              <w:rPr>
                <w:color w:val="000000"/>
                <w:sz w:val="18"/>
                <w:szCs w:val="18"/>
              </w:rPr>
              <w:t>75,187.25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应付利息</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33,926.36</w:t>
            </w:r>
          </w:p>
        </w:tc>
        <w:tc>
          <w:tcPr>
            <w:tcW w:w="1500" w:type="dxa"/>
            <w:vAlign w:val="center"/>
          </w:tcPr>
          <w:p>
            <w:pPr>
              <w:jc w:val="right"/>
            </w:pPr>
            <w:r>
              <w:rPr>
                <w:color w:val="000000"/>
                <w:sz w:val="18"/>
                <w:szCs w:val="18"/>
              </w:rPr>
              <w:t>33,926.36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99" w:type="dxa"/>
            <w:vAlign w:val="center"/>
          </w:tcPr>
          <w:p>
            <w:pPr>
              <w:jc w:val="center"/>
            </w:pPr>
            <w:r>
              <w:rPr>
                <w:color w:val="000000"/>
                <w:sz w:val="18"/>
                <w:szCs w:val="18"/>
              </w:rPr>
              <w:t>其他负债</w:t>
            </w:r>
          </w:p>
        </w:tc>
        <w:tc>
          <w:tcPr>
            <w:tcW w:w="1499"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w:t>
            </w:r>
          </w:p>
        </w:tc>
        <w:tc>
          <w:tcPr>
            <w:tcW w:w="1500" w:type="dxa"/>
            <w:vAlign w:val="center"/>
          </w:tcPr>
          <w:p>
            <w:pPr>
              <w:jc w:val="right"/>
            </w:pPr>
            <w:r>
              <w:rPr>
                <w:color w:val="000000"/>
                <w:sz w:val="18"/>
                <w:szCs w:val="18"/>
              </w:rPr>
              <w:t>189,300.00</w:t>
            </w:r>
          </w:p>
        </w:tc>
        <w:tc>
          <w:tcPr>
            <w:tcW w:w="1500" w:type="dxa"/>
            <w:vAlign w:val="center"/>
          </w:tcPr>
          <w:p>
            <w:pPr>
              <w:jc w:val="right"/>
            </w:pPr>
            <w:r>
              <w:rPr>
                <w:color w:val="000000"/>
                <w:sz w:val="18"/>
                <w:szCs w:val="18"/>
              </w:rPr>
              <w:t>189,300.00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3459" w:type="dxa"/>
            <w:vAlign w:val="center"/>
          </w:tcPr>
          <w:p>
            <w:pPr>
              <w:spacing w:before="29" w:line="288" w:lineRule="auto"/>
              <w:rPr>
                <w:color w:val="000000"/>
                <w:sz w:val="18"/>
                <w:szCs w:val="18"/>
              </w:rPr>
            </w:pPr>
            <w:r>
              <w:rPr>
                <w:rFonts w:hint="eastAsia"/>
                <w:color w:val="000000"/>
                <w:sz w:val="18"/>
                <w:szCs w:val="18"/>
              </w:rPr>
              <w:t>负债总计</w:t>
            </w:r>
          </w:p>
        </w:tc>
        <w:tc>
          <w:tcPr>
            <w:tcW w:w="3459" w:type="dxa"/>
            <w:vAlign w:val="center"/>
          </w:tcPr>
          <w:p>
            <w:pPr>
              <w:spacing w:before="29" w:line="288" w:lineRule="auto"/>
              <w:jc w:val="right"/>
              <w:rPr>
                <w:sz w:val="18"/>
                <w:szCs w:val="18"/>
              </w:rPr>
            </w:pPr>
            <w:r>
              <w:rPr>
                <w:rFonts w:hint="eastAsia"/>
                <w:sz w:val="18"/>
                <w:szCs w:val="18"/>
              </w:rPr>
              <w:t>343,169,946.07</w:t>
            </w:r>
          </w:p>
        </w:tc>
        <w:tc>
          <w:tcPr>
            <w:tcW w:w="3459" w:type="dxa"/>
            <w:vAlign w:val="center"/>
          </w:tcPr>
          <w:p>
            <w:pPr>
              <w:spacing w:before="29" w:line="288" w:lineRule="auto"/>
              <w:jc w:val="right"/>
              <w:rPr>
                <w:sz w:val="18"/>
                <w:szCs w:val="18"/>
              </w:rPr>
            </w:pPr>
            <w:r>
              <w:rPr>
                <w:sz w:val="18"/>
                <w:szCs w:val="18"/>
              </w:rPr>
              <w:t>-</w:t>
            </w:r>
          </w:p>
        </w:tc>
        <w:tc>
          <w:tcPr>
            <w:tcW w:w="3459" w:type="dxa"/>
            <w:vAlign w:val="center"/>
          </w:tcPr>
          <w:p>
            <w:pPr>
              <w:spacing w:before="29" w:line="288" w:lineRule="auto"/>
              <w:jc w:val="right"/>
              <w:rPr>
                <w:sz w:val="18"/>
                <w:szCs w:val="18"/>
              </w:rPr>
            </w:pPr>
            <w:r>
              <w:rPr>
                <w:sz w:val="18"/>
                <w:szCs w:val="18"/>
              </w:rPr>
              <w:t>-</w:t>
            </w:r>
          </w:p>
        </w:tc>
        <w:tc>
          <w:tcPr>
            <w:tcW w:w="3459" w:type="dxa"/>
            <w:vAlign w:val="center"/>
          </w:tcPr>
          <w:p>
            <w:pPr>
              <w:spacing w:before="29" w:line="288" w:lineRule="auto"/>
              <w:jc w:val="right"/>
              <w:rPr>
                <w:sz w:val="18"/>
                <w:szCs w:val="18"/>
              </w:rPr>
            </w:pPr>
            <w:r>
              <w:rPr>
                <w:sz w:val="18"/>
                <w:szCs w:val="18"/>
              </w:rPr>
              <w:t>634,542.53</w:t>
            </w:r>
          </w:p>
        </w:tc>
        <w:tc>
          <w:tcPr>
            <w:tcW w:w="3459" w:type="dxa"/>
            <w:vAlign w:val="center"/>
          </w:tcPr>
          <w:p>
            <w:pPr>
              <w:spacing w:before="29" w:line="288" w:lineRule="auto"/>
              <w:jc w:val="right"/>
              <w:rPr>
                <w:sz w:val="18"/>
                <w:szCs w:val="18"/>
              </w:rPr>
            </w:pPr>
            <w:r>
              <w:rPr>
                <w:rFonts w:hint="eastAsia"/>
                <w:sz w:val="18"/>
                <w:szCs w:val="18"/>
              </w:rPr>
              <w:t>343,804,488.60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3459" w:type="dxa"/>
            <w:vAlign w:val="center"/>
          </w:tcPr>
          <w:p>
            <w:pPr>
              <w:spacing w:before="29" w:line="288" w:lineRule="auto"/>
              <w:rPr>
                <w:color w:val="000000"/>
                <w:sz w:val="18"/>
                <w:szCs w:val="18"/>
              </w:rPr>
            </w:pPr>
            <w:r>
              <w:rPr>
                <w:rFonts w:hint="eastAsia"/>
                <w:color w:val="000000"/>
                <w:sz w:val="18"/>
                <w:szCs w:val="18"/>
              </w:rPr>
              <w:t>利率敏感度缺口</w:t>
            </w:r>
          </w:p>
        </w:tc>
        <w:tc>
          <w:tcPr>
            <w:tcW w:w="3459" w:type="dxa"/>
            <w:vAlign w:val="center"/>
          </w:tcPr>
          <w:p>
            <w:pPr>
              <w:spacing w:before="29" w:line="288" w:lineRule="auto"/>
              <w:jc w:val="right"/>
              <w:rPr>
                <w:sz w:val="18"/>
                <w:szCs w:val="18"/>
              </w:rPr>
            </w:pPr>
            <w:r>
              <w:rPr>
                <w:sz w:val="18"/>
                <w:szCs w:val="18"/>
              </w:rPr>
              <w:t>246,947,851.60</w:t>
            </w:r>
          </w:p>
        </w:tc>
        <w:tc>
          <w:tcPr>
            <w:tcW w:w="3459" w:type="dxa"/>
            <w:vAlign w:val="center"/>
          </w:tcPr>
          <w:p>
            <w:pPr>
              <w:spacing w:before="29" w:line="288" w:lineRule="auto"/>
              <w:jc w:val="right"/>
              <w:rPr>
                <w:sz w:val="18"/>
                <w:szCs w:val="18"/>
              </w:rPr>
            </w:pPr>
            <w:r>
              <w:rPr>
                <w:sz w:val="18"/>
                <w:szCs w:val="18"/>
              </w:rPr>
              <w:t>103,008,000.00</w:t>
            </w:r>
          </w:p>
        </w:tc>
        <w:tc>
          <w:tcPr>
            <w:tcW w:w="3459" w:type="dxa"/>
            <w:vAlign w:val="center"/>
          </w:tcPr>
          <w:p>
            <w:pPr>
              <w:spacing w:before="29" w:line="288" w:lineRule="auto"/>
              <w:jc w:val="right"/>
              <w:rPr>
                <w:sz w:val="18"/>
                <w:szCs w:val="18"/>
              </w:rPr>
            </w:pPr>
            <w:r>
              <w:rPr>
                <w:sz w:val="18"/>
                <w:szCs w:val="18"/>
              </w:rPr>
              <w:t>-</w:t>
            </w:r>
          </w:p>
        </w:tc>
        <w:tc>
          <w:tcPr>
            <w:tcW w:w="3459" w:type="dxa"/>
            <w:vAlign w:val="center"/>
          </w:tcPr>
          <w:p>
            <w:pPr>
              <w:spacing w:before="29" w:line="288" w:lineRule="auto"/>
              <w:jc w:val="right"/>
              <w:rPr>
                <w:sz w:val="18"/>
                <w:szCs w:val="18"/>
              </w:rPr>
            </w:pPr>
            <w:r>
              <w:rPr>
                <w:sz w:val="18"/>
                <w:szCs w:val="18"/>
              </w:rPr>
              <w:t>11,810,813.92</w:t>
            </w:r>
          </w:p>
        </w:tc>
        <w:tc>
          <w:tcPr>
            <w:tcW w:w="3459" w:type="dxa"/>
            <w:vAlign w:val="center"/>
          </w:tcPr>
          <w:p>
            <w:pPr>
              <w:spacing w:before="29" w:line="288" w:lineRule="auto"/>
              <w:jc w:val="right"/>
              <w:rPr>
                <w:sz w:val="18"/>
                <w:szCs w:val="18"/>
              </w:rPr>
            </w:pPr>
            <w:r>
              <w:rPr>
                <w:sz w:val="18"/>
                <w:szCs w:val="18"/>
              </w:rPr>
              <w:t>361,766,665.52</w:t>
            </w:r>
          </w:p>
        </w:tc>
      </w:tr>
    </w:tbl>
    <w:p>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pPr>
        <w:spacing w:line="360" w:lineRule="auto"/>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spacing w:before="29" w:line="288" w:lineRule="auto"/>
        <w:rPr>
          <w:rFonts w:eastAsiaTheme="minorEastAsia"/>
          <w:b/>
          <w:sz w:val="24"/>
        </w:rPr>
      </w:pPr>
      <w:r>
        <w:rPr>
          <w:rFonts w:eastAsiaTheme="minorEastAsia"/>
          <w:b/>
          <w:sz w:val="24"/>
        </w:rPr>
        <w:t>7.4.13.4.1.2</w:t>
      </w:r>
      <w:r>
        <w:rPr>
          <w:rFonts w:hint="eastAsia" w:eastAsiaTheme="minorEastAsia"/>
          <w:b/>
          <w:sz w:val="24"/>
        </w:rPr>
        <w:t>利率风险的敏感性分析</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2693"/>
        <w:gridCol w:w="2780"/>
        <w:gridCol w:w="2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Align w:val="center"/>
          </w:tcPr>
          <w:p>
            <w:pPr>
              <w:jc w:val="left"/>
            </w:pPr>
            <w:r>
              <w:rPr>
                <w:color w:val="000000"/>
                <w:sz w:val="24"/>
              </w:rPr>
              <w:t>假设</w:t>
            </w:r>
          </w:p>
        </w:tc>
        <w:tc>
          <w:tcPr>
            <w:tcW w:w="7722" w:type="dxa"/>
            <w:gridSpan w:val="3"/>
            <w:vAlign w:val="center"/>
          </w:tcPr>
          <w:p>
            <w:pPr>
              <w:jc w:val="left"/>
            </w:pPr>
            <w:r>
              <w:rPr>
                <w:color w:val="000000"/>
                <w:sz w:val="24"/>
              </w:rPr>
              <w:t>除市场利率以外的其他市场变量保持不变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restart"/>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分析</w:t>
            </w:r>
          </w:p>
        </w:tc>
        <w:tc>
          <w:tcPr>
            <w:tcW w:w="2693" w:type="dxa"/>
            <w:vMerge w:val="restart"/>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相关风险变量的变动</w:t>
            </w:r>
          </w:p>
        </w:tc>
        <w:tc>
          <w:tcPr>
            <w:tcW w:w="5029" w:type="dxa"/>
            <w:gridSpan w:val="2"/>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对资产负债表日基金资产净值的</w:t>
            </w:r>
          </w:p>
          <w:p>
            <w:pPr>
              <w:widowControl/>
              <w:autoSpaceDE w:val="0"/>
              <w:autoSpaceDN w:val="0"/>
              <w:spacing w:before="29" w:line="288" w:lineRule="auto"/>
              <w:ind w:right="-15"/>
              <w:jc w:val="center"/>
              <w:textAlignment w:val="bottom"/>
              <w:rPr>
                <w:color w:val="000000"/>
                <w:sz w:val="24"/>
              </w:rPr>
            </w:pPr>
            <w:r>
              <w:rPr>
                <w:rFonts w:hint="eastAsia"/>
                <w:color w:val="000000"/>
                <w:sz w:val="24"/>
              </w:rPr>
              <w:t>影响金额（单位：人民币万元）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widowControl/>
              <w:autoSpaceDE w:val="0"/>
              <w:autoSpaceDN w:val="0"/>
              <w:spacing w:before="29" w:line="288" w:lineRule="auto"/>
              <w:ind w:right="-15"/>
              <w:jc w:val="center"/>
              <w:textAlignment w:val="bottom"/>
              <w:rPr>
                <w:color w:val="000000"/>
                <w:sz w:val="24"/>
              </w:rPr>
            </w:pPr>
          </w:p>
        </w:tc>
        <w:tc>
          <w:tcPr>
            <w:tcW w:w="2693" w:type="dxa"/>
            <w:vMerge w:val="continue"/>
            <w:vAlign w:val="center"/>
          </w:tcPr>
          <w:p>
            <w:pPr>
              <w:widowControl/>
              <w:autoSpaceDE w:val="0"/>
              <w:autoSpaceDN w:val="0"/>
              <w:spacing w:before="29" w:line="288" w:lineRule="auto"/>
              <w:ind w:right="-15"/>
              <w:jc w:val="center"/>
              <w:textAlignment w:val="bottom"/>
              <w:rPr>
                <w:color w:val="000000"/>
                <w:sz w:val="24"/>
              </w:rPr>
            </w:pPr>
          </w:p>
        </w:tc>
        <w:tc>
          <w:tcPr>
            <w:tcW w:w="2780" w:type="dxa"/>
            <w:vAlign w:val="center"/>
          </w:tcPr>
          <w:p>
            <w:pPr>
              <w:autoSpaceDE w:val="0"/>
              <w:autoSpaceDN w:val="0"/>
              <w:spacing w:before="29" w:line="288" w:lineRule="auto"/>
              <w:ind w:right="-15" w:firstLine="840" w:firstLineChars="350"/>
              <w:jc w:val="center"/>
              <w:textAlignment w:val="bottom"/>
              <w:rPr>
                <w:color w:val="000000"/>
                <w:sz w:val="24"/>
              </w:rPr>
            </w:pPr>
            <w:r>
              <w:rPr>
                <w:rFonts w:hint="eastAsia"/>
                <w:color w:val="000000"/>
                <w:sz w:val="24"/>
              </w:rPr>
              <w:t>本期末</w:t>
            </w:r>
          </w:p>
          <w:p>
            <w:pPr>
              <w:autoSpaceDE w:val="0"/>
              <w:autoSpaceDN w:val="0"/>
              <w:spacing w:before="29" w:line="288" w:lineRule="auto"/>
              <w:ind w:right="-15"/>
              <w:jc w:val="center"/>
              <w:textAlignment w:val="bottom"/>
              <w:rPr>
                <w:color w:val="000000"/>
                <w:sz w:val="24"/>
              </w:rPr>
            </w:pPr>
            <w:r>
              <w:rPr>
                <w:color w:val="000000"/>
                <w:sz w:val="24"/>
              </w:rPr>
              <w:t>2020年12月31日</w:t>
            </w:r>
          </w:p>
        </w:tc>
        <w:tc>
          <w:tcPr>
            <w:tcW w:w="2249" w:type="dxa"/>
            <w:vAlign w:val="center"/>
          </w:tcPr>
          <w:p>
            <w:pPr>
              <w:autoSpaceDE w:val="0"/>
              <w:autoSpaceDN w:val="0"/>
              <w:spacing w:before="29" w:line="288" w:lineRule="auto"/>
              <w:ind w:right="-15" w:firstLine="720" w:firstLineChars="300"/>
              <w:jc w:val="center"/>
              <w:textAlignment w:val="bottom"/>
              <w:rPr>
                <w:color w:val="000000"/>
                <w:sz w:val="24"/>
              </w:rPr>
            </w:pPr>
            <w:r>
              <w:rPr>
                <w:rFonts w:hint="eastAsia"/>
                <w:color w:val="000000"/>
                <w:sz w:val="24"/>
              </w:rPr>
              <w:t>上年度末</w:t>
            </w:r>
          </w:p>
          <w:p>
            <w:pPr>
              <w:autoSpaceDE w:val="0"/>
              <w:autoSpaceDN w:val="0"/>
              <w:spacing w:before="29" w:line="288" w:lineRule="auto"/>
              <w:ind w:right="-15"/>
              <w:jc w:val="center"/>
              <w:textAlignment w:val="bottom"/>
              <w:rPr>
                <w:color w:val="000000"/>
                <w:sz w:val="24"/>
              </w:rPr>
            </w:pPr>
            <w:r>
              <w:rPr>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tcPr>
          <w:p/>
        </w:tc>
        <w:tc>
          <w:tcPr>
            <w:tcW w:w="2693" w:type="dxa"/>
            <w:vAlign w:val="center"/>
          </w:tcPr>
          <w:p>
            <w:pPr>
              <w:jc w:val="left"/>
            </w:pPr>
            <w:r>
              <w:rPr>
                <w:color w:val="000000"/>
                <w:sz w:val="24"/>
              </w:rPr>
              <w:t>市场利率上升25个基点</w:t>
            </w:r>
          </w:p>
        </w:tc>
        <w:tc>
          <w:tcPr>
            <w:tcW w:w="2780" w:type="dxa"/>
            <w:vAlign w:val="center"/>
          </w:tcPr>
          <w:p>
            <w:pPr>
              <w:jc w:val="right"/>
            </w:pPr>
            <w:r>
              <w:rPr>
                <w:color w:val="000000"/>
                <w:sz w:val="24"/>
              </w:rPr>
              <w:t>减少约130</w:t>
            </w:r>
          </w:p>
        </w:tc>
        <w:tc>
          <w:tcPr>
            <w:tcW w:w="2249" w:type="dxa"/>
            <w:vAlign w:val="center"/>
          </w:tcPr>
          <w:p>
            <w:pPr>
              <w:jc w:val="right"/>
            </w:pPr>
            <w:r>
              <w:rPr>
                <w:color w:val="000000"/>
                <w:sz w:val="24"/>
              </w:rPr>
              <w:t>减少约156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tcPr>
          <w:p/>
        </w:tc>
        <w:tc>
          <w:tcPr>
            <w:tcW w:w="2693" w:type="dxa"/>
            <w:vAlign w:val="center"/>
          </w:tcPr>
          <w:p>
            <w:pPr>
              <w:jc w:val="left"/>
            </w:pPr>
            <w:r>
              <w:rPr>
                <w:color w:val="000000"/>
                <w:sz w:val="24"/>
              </w:rPr>
              <w:t>市场利率下降25个基点</w:t>
            </w:r>
          </w:p>
        </w:tc>
        <w:tc>
          <w:tcPr>
            <w:tcW w:w="2780" w:type="dxa"/>
            <w:vAlign w:val="center"/>
          </w:tcPr>
          <w:p>
            <w:pPr>
              <w:jc w:val="right"/>
            </w:pPr>
            <w:r>
              <w:rPr>
                <w:color w:val="000000"/>
                <w:sz w:val="24"/>
              </w:rPr>
              <w:t>增加约131</w:t>
            </w:r>
          </w:p>
        </w:tc>
        <w:tc>
          <w:tcPr>
            <w:tcW w:w="2249" w:type="dxa"/>
            <w:vAlign w:val="center"/>
          </w:tcPr>
          <w:p>
            <w:pPr>
              <w:jc w:val="right"/>
            </w:pPr>
            <w:r>
              <w:rPr>
                <w:color w:val="000000"/>
                <w:sz w:val="24"/>
              </w:rPr>
              <w:t>增加约157</w:t>
            </w:r>
          </w:p>
        </w:tc>
      </w:tr>
    </w:tbl>
    <w:p>
      <w:pPr>
        <w:spacing w:line="360" w:lineRule="auto"/>
        <w:ind w:firstLine="420"/>
        <w:rPr>
          <w:rFonts w:asciiTheme="minorEastAsia" w:hAnsiTheme="minorEastAsia" w:eastAsiaTheme="minorEastAsia"/>
          <w:color w:val="000000"/>
          <w:szCs w:val="21"/>
        </w:rPr>
      </w:pPr>
    </w:p>
    <w:p>
      <w:pPr>
        <w:spacing w:before="29" w:line="288" w:lineRule="auto"/>
        <w:rPr>
          <w:rFonts w:eastAsiaTheme="minorEastAsia"/>
          <w:b/>
          <w:sz w:val="24"/>
        </w:rPr>
      </w:pPr>
      <w:r>
        <w:rPr>
          <w:rFonts w:eastAsiaTheme="minorEastAsia"/>
          <w:b/>
          <w:sz w:val="24"/>
        </w:rPr>
        <w:t>7.4.13.4.2</w:t>
      </w:r>
      <w:r>
        <w:rPr>
          <w:rFonts w:hint="eastAsia" w:eastAsiaTheme="minorEastAsia"/>
          <w:b/>
          <w:sz w:val="24"/>
        </w:rPr>
        <w:t>外汇风险</w:t>
      </w:r>
    </w:p>
    <w:p>
      <w:pPr>
        <w:spacing w:before="29" w:line="288" w:lineRule="auto"/>
        <w:ind w:firstLine="480" w:firstLineChars="200"/>
        <w:rPr>
          <w:kern w:val="0"/>
          <w:sz w:val="24"/>
        </w:rPr>
      </w:pPr>
      <w:r>
        <w:rPr>
          <w:kern w:val="0"/>
          <w:sz w:val="24"/>
        </w:rPr>
        <w:t>外汇风险是指金融工具的公允价值或未来现金流量因外汇汇率变动而发生波动的风险。本基金的所有资产及负债以人民币计价，因此无重大外汇风险。</w:t>
      </w:r>
    </w:p>
    <w:p>
      <w:pPr>
        <w:spacing w:before="29" w:line="288" w:lineRule="auto"/>
        <w:ind w:firstLine="480" w:firstLineChars="200"/>
        <w:rPr>
          <w:kern w:val="0"/>
          <w:sz w:val="24"/>
        </w:rPr>
      </w:pPr>
    </w:p>
    <w:p>
      <w:pPr>
        <w:spacing w:before="29" w:line="288" w:lineRule="auto"/>
        <w:rPr>
          <w:rFonts w:eastAsiaTheme="minorEastAsia"/>
          <w:b/>
          <w:sz w:val="24"/>
        </w:rPr>
      </w:pPr>
      <w:r>
        <w:rPr>
          <w:rFonts w:eastAsiaTheme="minorEastAsia"/>
          <w:b/>
          <w:sz w:val="24"/>
        </w:rPr>
        <w:t>7.4.13.4.3</w:t>
      </w:r>
      <w:r>
        <w:rPr>
          <w:rFonts w:hint="eastAsia" w:eastAsiaTheme="minorEastAsia"/>
          <w:b/>
          <w:sz w:val="24"/>
        </w:rPr>
        <w:t>其他价格风险</w:t>
      </w:r>
    </w:p>
    <w:p>
      <w:pPr>
        <w:spacing w:before="29" w:line="288" w:lineRule="auto"/>
        <w:ind w:firstLine="480" w:firstLineChars="20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pPr>
        <w:spacing w:line="360" w:lineRule="auto"/>
        <w:ind w:firstLine="422" w:firstLineChars="200"/>
        <w:rPr>
          <w:rFonts w:asciiTheme="minorEastAsia" w:hAnsiTheme="minorEastAsia" w:eastAsiaTheme="minorEastAsia"/>
          <w:b/>
          <w:bCs/>
          <w:color w:val="000000"/>
          <w:szCs w:val="21"/>
        </w:rPr>
      </w:pPr>
    </w:p>
    <w:p>
      <w:pPr>
        <w:spacing w:before="29" w:line="288" w:lineRule="auto"/>
        <w:outlineLvl w:val="1"/>
        <w:rPr>
          <w:rFonts w:asciiTheme="minorEastAsia" w:hAnsiTheme="minorEastAsia" w:eastAsiaTheme="minorEastAsia"/>
          <w:b/>
          <w:color w:val="000000"/>
          <w:szCs w:val="21"/>
        </w:rPr>
      </w:pPr>
      <w:bookmarkStart w:id="201" w:name="_Toc67667993"/>
      <w:r>
        <w:rPr>
          <w:rFonts w:eastAsiaTheme="minorEastAsia"/>
          <w:b/>
          <w:sz w:val="24"/>
        </w:rPr>
        <w:t>7.4.14</w:t>
      </w:r>
      <w:r>
        <w:rPr>
          <w:rFonts w:hint="eastAsia" w:eastAsiaTheme="minorEastAsia"/>
          <w:b/>
          <w:sz w:val="24"/>
        </w:rPr>
        <w:t>有助于理解和分析会计报表需要说明的其他事项</w:t>
      </w:r>
      <w:bookmarkEnd w:id="201"/>
    </w:p>
    <w:p>
      <w:pPr>
        <w:spacing w:before="29" w:line="288" w:lineRule="auto"/>
        <w:ind w:firstLine="480" w:firstLineChars="200"/>
        <w:rPr>
          <w:kern w:val="0"/>
          <w:sz w:val="24"/>
        </w:rPr>
      </w:pPr>
      <w:r>
        <w:rPr>
          <w:kern w:val="0"/>
          <w:sz w:val="24"/>
        </w:rPr>
        <w:t>(1) 公允价值</w:t>
      </w:r>
    </w:p>
    <w:p>
      <w:pPr>
        <w:spacing w:before="29" w:line="288" w:lineRule="auto"/>
        <w:ind w:firstLine="480" w:firstLineChars="200"/>
        <w:outlineLvl w:val="2"/>
        <w:rPr>
          <w:kern w:val="0"/>
          <w:sz w:val="24"/>
        </w:rPr>
      </w:pPr>
      <w:bookmarkStart w:id="202" w:name="_Toc67667994"/>
      <w:r>
        <w:rPr>
          <w:kern w:val="0"/>
          <w:sz w:val="24"/>
        </w:rPr>
        <w:t>(a)  金融工具公允价值计量的方法</w:t>
      </w:r>
      <w:bookmarkEnd w:id="202"/>
    </w:p>
    <w:p>
      <w:pPr>
        <w:spacing w:before="29" w:line="288" w:lineRule="auto"/>
        <w:ind w:firstLine="480" w:firstLineChars="200"/>
        <w:rPr>
          <w:kern w:val="0"/>
          <w:sz w:val="24"/>
        </w:rPr>
      </w:pPr>
      <w:r>
        <w:rPr>
          <w:kern w:val="0"/>
          <w:sz w:val="24"/>
        </w:rPr>
        <w:t>公允价值计量结果所属的层次，由对公允价值计量整体而言具有重要意义的输入值所属的最低层次决定：</w:t>
      </w:r>
    </w:p>
    <w:p>
      <w:pPr>
        <w:spacing w:before="29" w:line="288" w:lineRule="auto"/>
        <w:ind w:firstLine="480" w:firstLineChars="200"/>
        <w:rPr>
          <w:kern w:val="0"/>
          <w:sz w:val="24"/>
        </w:rPr>
      </w:pPr>
      <w:r>
        <w:rPr>
          <w:kern w:val="0"/>
          <w:sz w:val="24"/>
        </w:rPr>
        <w:t>第一层次：相同资产或负债在活跃市场上未经调整的报价。</w:t>
      </w:r>
    </w:p>
    <w:p>
      <w:pPr>
        <w:spacing w:before="29" w:line="288" w:lineRule="auto"/>
        <w:ind w:firstLine="480" w:firstLineChars="200"/>
        <w:rPr>
          <w:kern w:val="0"/>
          <w:sz w:val="24"/>
        </w:rPr>
      </w:pPr>
      <w:r>
        <w:rPr>
          <w:kern w:val="0"/>
          <w:sz w:val="24"/>
        </w:rPr>
        <w:t>第二层次：除第一层次输入值外相关资产或负债直接或间接可观察的输入值。</w:t>
      </w:r>
    </w:p>
    <w:p>
      <w:pPr>
        <w:spacing w:before="29" w:line="288" w:lineRule="auto"/>
        <w:ind w:firstLine="480" w:firstLineChars="200"/>
        <w:rPr>
          <w:kern w:val="0"/>
          <w:sz w:val="24"/>
        </w:rPr>
      </w:pPr>
      <w:r>
        <w:rPr>
          <w:kern w:val="0"/>
          <w:sz w:val="24"/>
        </w:rPr>
        <w:t>第三层次：相关资产或负债的不可观察输入值。</w:t>
      </w:r>
    </w:p>
    <w:p>
      <w:pPr>
        <w:spacing w:before="29" w:line="288" w:lineRule="auto"/>
        <w:ind w:firstLine="480" w:firstLineChars="200"/>
        <w:outlineLvl w:val="2"/>
        <w:rPr>
          <w:kern w:val="0"/>
          <w:sz w:val="24"/>
        </w:rPr>
      </w:pPr>
      <w:bookmarkStart w:id="203" w:name="_Toc67667995"/>
      <w:r>
        <w:rPr>
          <w:kern w:val="0"/>
          <w:sz w:val="24"/>
        </w:rPr>
        <w:t>(b)  持续的以公允价值计量的金融工具</w:t>
      </w:r>
      <w:bookmarkEnd w:id="203"/>
    </w:p>
    <w:p>
      <w:pPr>
        <w:spacing w:before="29" w:line="288" w:lineRule="auto"/>
        <w:ind w:firstLine="480" w:firstLineChars="200"/>
        <w:rPr>
          <w:kern w:val="0"/>
          <w:sz w:val="24"/>
        </w:rPr>
      </w:pPr>
      <w:r>
        <w:rPr>
          <w:kern w:val="0"/>
          <w:sz w:val="24"/>
        </w:rPr>
        <w:t>(i)  各层次金融工具公允价值</w:t>
      </w:r>
    </w:p>
    <w:p>
      <w:pPr>
        <w:spacing w:before="29" w:line="288" w:lineRule="auto"/>
        <w:ind w:firstLine="480" w:firstLineChars="200"/>
        <w:rPr>
          <w:kern w:val="0"/>
          <w:sz w:val="24"/>
        </w:rPr>
      </w:pPr>
      <w:r>
        <w:rPr>
          <w:kern w:val="0"/>
          <w:sz w:val="24"/>
        </w:rPr>
        <w:t>于2020年12月31日，本基金持有的以公允价值计量且其变动计入当期损益的金融资产中属于第二层次的余额为364,863,500.00元，无属于第一或第三层次的余额(2019年12月31日：第二层次672,165,200.00元，无第一或第三层次)。</w:t>
      </w:r>
    </w:p>
    <w:p>
      <w:pPr>
        <w:spacing w:before="29" w:line="288" w:lineRule="auto"/>
        <w:ind w:firstLine="480" w:firstLineChars="200"/>
        <w:rPr>
          <w:kern w:val="0"/>
          <w:sz w:val="24"/>
        </w:rPr>
      </w:pPr>
      <w:r>
        <w:rPr>
          <w:kern w:val="0"/>
          <w:sz w:val="24"/>
        </w:rPr>
        <w:t>(ii)  公允价值所属层次间的重大变动</w:t>
      </w:r>
    </w:p>
    <w:p>
      <w:pPr>
        <w:spacing w:before="29" w:line="288" w:lineRule="auto"/>
        <w:ind w:firstLine="480" w:firstLineChars="200"/>
        <w:rPr>
          <w:kern w:val="0"/>
          <w:sz w:val="24"/>
        </w:rPr>
      </w:pPr>
      <w:r>
        <w:rPr>
          <w:kern w:val="0"/>
          <w:sz w:val="24"/>
        </w:rPr>
        <w:t>本基金以导致各层次之间转换的事项发生日为确认各层次之间转换的时点。</w:t>
      </w:r>
    </w:p>
    <w:p>
      <w:pPr>
        <w:spacing w:before="29" w:line="288" w:lineRule="auto"/>
        <w:ind w:firstLine="480" w:firstLineChars="200"/>
        <w:rPr>
          <w:kern w:val="0"/>
          <w:sz w:val="24"/>
        </w:rPr>
      </w:pPr>
      <w:r>
        <w:rPr>
          <w:kern w:val="0"/>
          <w:sz w:val="24"/>
        </w:rPr>
        <w:t>本基金本期及上年度可比期间持有的以公允价值计量的金融工具的公允价值所属层次未发生重大变动。</w:t>
      </w:r>
    </w:p>
    <w:p>
      <w:pPr>
        <w:spacing w:before="29" w:line="288" w:lineRule="auto"/>
        <w:ind w:firstLine="480" w:firstLineChars="200"/>
        <w:rPr>
          <w:kern w:val="0"/>
          <w:sz w:val="24"/>
        </w:rPr>
      </w:pPr>
      <w:r>
        <w:rPr>
          <w:kern w:val="0"/>
          <w:sz w:val="24"/>
        </w:rPr>
        <w:t>(iii)  第三层次公允价值余额和本期变动金额</w:t>
      </w:r>
    </w:p>
    <w:p>
      <w:pPr>
        <w:spacing w:before="29" w:line="288" w:lineRule="auto"/>
        <w:ind w:firstLine="480" w:firstLineChars="200"/>
        <w:rPr>
          <w:kern w:val="0"/>
          <w:sz w:val="24"/>
        </w:rPr>
      </w:pPr>
      <w:r>
        <w:rPr>
          <w:kern w:val="0"/>
          <w:sz w:val="24"/>
        </w:rPr>
        <w:t>无。</w:t>
      </w:r>
    </w:p>
    <w:p>
      <w:pPr>
        <w:spacing w:before="29" w:line="288" w:lineRule="auto"/>
        <w:ind w:firstLine="480" w:firstLineChars="200"/>
        <w:outlineLvl w:val="2"/>
        <w:rPr>
          <w:kern w:val="0"/>
          <w:sz w:val="24"/>
        </w:rPr>
      </w:pPr>
      <w:bookmarkStart w:id="204" w:name="_Toc67667996"/>
      <w:r>
        <w:rPr>
          <w:kern w:val="0"/>
          <w:sz w:val="24"/>
        </w:rPr>
        <w:t>(c)  非持续的以公允价值计量的金融工具</w:t>
      </w:r>
      <w:bookmarkEnd w:id="204"/>
    </w:p>
    <w:p>
      <w:pPr>
        <w:spacing w:before="29" w:line="288" w:lineRule="auto"/>
        <w:ind w:firstLine="480" w:firstLineChars="200"/>
        <w:rPr>
          <w:kern w:val="0"/>
          <w:sz w:val="24"/>
        </w:rPr>
      </w:pPr>
      <w:r>
        <w:rPr>
          <w:kern w:val="0"/>
          <w:sz w:val="24"/>
        </w:rPr>
        <w:t>于2020年12月31日，本基金未持有非持续的以公允价值计量的金融资产(2019年12月31日：同)。</w:t>
      </w:r>
    </w:p>
    <w:p>
      <w:pPr>
        <w:spacing w:before="29" w:line="288" w:lineRule="auto"/>
        <w:ind w:firstLine="480" w:firstLineChars="200"/>
        <w:outlineLvl w:val="2"/>
        <w:rPr>
          <w:kern w:val="0"/>
          <w:sz w:val="24"/>
        </w:rPr>
      </w:pPr>
      <w:bookmarkStart w:id="205" w:name="_Toc67667997"/>
      <w:r>
        <w:rPr>
          <w:kern w:val="0"/>
          <w:sz w:val="24"/>
        </w:rPr>
        <w:t>(d)  不以公允价值计量的金融工具</w:t>
      </w:r>
      <w:bookmarkEnd w:id="205"/>
    </w:p>
    <w:p>
      <w:pPr>
        <w:spacing w:before="29" w:line="288" w:lineRule="auto"/>
        <w:ind w:firstLine="480" w:firstLineChars="200"/>
        <w:rPr>
          <w:kern w:val="0"/>
          <w:sz w:val="24"/>
        </w:rPr>
      </w:pPr>
      <w:r>
        <w:rPr>
          <w:kern w:val="0"/>
          <w:sz w:val="24"/>
        </w:rPr>
        <w:t>不以公允价值计量的金融资产和负债主要包括应收款项和其他金融负债，其账面价值与公允价值相差很小。</w:t>
      </w:r>
    </w:p>
    <w:p>
      <w:pPr>
        <w:spacing w:before="29" w:line="288" w:lineRule="auto"/>
        <w:ind w:firstLine="480" w:firstLineChars="200"/>
        <w:rPr>
          <w:kern w:val="0"/>
          <w:sz w:val="24"/>
        </w:rPr>
      </w:pPr>
      <w:r>
        <w:rPr>
          <w:kern w:val="0"/>
          <w:sz w:val="24"/>
        </w:rPr>
        <w:t>(2) 除公允价值外，截至资产负债表日本基金无需要说明的其他重要事项。</w:t>
      </w:r>
    </w:p>
    <w:p>
      <w:pPr>
        <w:spacing w:before="29" w:line="288" w:lineRule="auto"/>
        <w:ind w:firstLine="480" w:firstLineChars="200"/>
        <w:rPr>
          <w:kern w:val="0"/>
          <w:sz w:val="24"/>
        </w:rPr>
      </w:pPr>
    </w:p>
    <w:p>
      <w:pPr>
        <w:pStyle w:val="2"/>
        <w:keepNext/>
        <w:keepLines/>
        <w:widowControl w:val="0"/>
        <w:spacing w:before="312" w:beforeLines="100" w:after="312" w:afterLines="100" w:line="288" w:lineRule="auto"/>
        <w:jc w:val="center"/>
        <w:rPr>
          <w:b/>
          <w:bCs/>
          <w:szCs w:val="24"/>
          <w:lang w:val="en-US"/>
        </w:rPr>
      </w:pPr>
      <w:bookmarkStart w:id="206" w:name="_Toc225498272"/>
      <w:bookmarkStart w:id="207" w:name="_Toc67667998"/>
      <w:bookmarkStart w:id="208" w:name="_Toc361324877"/>
      <w:r>
        <w:rPr>
          <w:rFonts w:hint="eastAsia"/>
          <w:b/>
          <w:bCs/>
          <w:szCs w:val="24"/>
          <w:lang w:val="en-US"/>
        </w:rPr>
        <w:t>§</w:t>
      </w:r>
      <w:r>
        <w:rPr>
          <w:b/>
          <w:bCs/>
          <w:szCs w:val="24"/>
          <w:lang w:val="en-US"/>
        </w:rPr>
        <w:t>8</w:t>
      </w:r>
      <w:r>
        <w:rPr>
          <w:rFonts w:hint="eastAsia"/>
          <w:b/>
          <w:bCs/>
          <w:szCs w:val="24"/>
          <w:lang w:val="en-US"/>
        </w:rPr>
        <w:t>投资组合报告</w:t>
      </w:r>
      <w:bookmarkEnd w:id="206"/>
      <w:bookmarkEnd w:id="207"/>
      <w:bookmarkEnd w:id="208"/>
    </w:p>
    <w:p/>
    <w:p>
      <w:pPr>
        <w:pStyle w:val="3"/>
        <w:spacing w:before="29" w:after="0" w:line="288" w:lineRule="auto"/>
        <w:rPr>
          <w:rFonts w:ascii="Times New Roman" w:hAnsi="Times New Roman"/>
          <w:kern w:val="0"/>
          <w:szCs w:val="24"/>
        </w:rPr>
      </w:pPr>
      <w:bookmarkStart w:id="209" w:name="_Toc361324878"/>
      <w:bookmarkStart w:id="210" w:name="_Toc225498273"/>
      <w:bookmarkStart w:id="211" w:name="_Toc67667999"/>
      <w:r>
        <w:rPr>
          <w:rFonts w:ascii="Times New Roman" w:hAnsi="Times New Roman"/>
          <w:kern w:val="0"/>
          <w:szCs w:val="24"/>
        </w:rPr>
        <w:t>8.1 期末基金资产组合情况</w:t>
      </w:r>
      <w:bookmarkEnd w:id="209"/>
      <w:bookmarkEnd w:id="210"/>
      <w:bookmarkEnd w:id="211"/>
    </w:p>
    <w:p>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748"/>
        <w:gridCol w:w="2551"/>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占基金总资产的比例（%）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2</w:t>
            </w:r>
          </w:p>
        </w:tc>
        <w:tc>
          <w:tcPr>
            <w:tcW w:w="2748" w:type="dxa"/>
            <w:vAlign w:val="center"/>
          </w:tcPr>
          <w:p>
            <w:pPr>
              <w:spacing w:line="276" w:lineRule="auto"/>
              <w:ind w:left="105" w:leftChars="50"/>
              <w:rPr>
                <w:rFonts w:eastAsiaTheme="minorEastAsia"/>
                <w:color w:val="000000" w:themeColor="text1"/>
                <w:szCs w:val="21"/>
              </w:rPr>
            </w:pPr>
            <w:r>
              <w:rPr>
                <w:rFonts w:hint="eastAsia" w:eastAsiaTheme="minorEastAsia"/>
                <w:color w:val="000000" w:themeColor="text1"/>
                <w:szCs w:val="21"/>
              </w:rPr>
              <w:t>基金投资</w:t>
            </w:r>
          </w:p>
        </w:tc>
        <w:tc>
          <w:tcPr>
            <w:tcW w:w="2551" w:type="dxa"/>
            <w:vAlign w:val="center"/>
          </w:tcPr>
          <w:p>
            <w:pPr>
              <w:spacing w:before="29" w:line="276" w:lineRule="auto"/>
              <w:ind w:left="17"/>
              <w:jc w:val="right"/>
              <w:rPr>
                <w:rFonts w:eastAsiaTheme="minorEastAsia"/>
                <w:color w:val="000000" w:themeColor="text1"/>
                <w:szCs w:val="21"/>
              </w:rPr>
            </w:pPr>
            <w:r>
              <w:rPr>
                <w:rFonts w:hint="eastAsia"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3</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364,863,500.00</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97.02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364,863,500.00</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97.02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firstLine="630" w:firstLineChars="30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4</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5</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6</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7</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2,418,309.43</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8,773,884.34</w:t>
            </w:r>
          </w:p>
        </w:tc>
        <w:tc>
          <w:tcPr>
            <w:tcW w:w="262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2.33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合计</w:t>
            </w:r>
          </w:p>
        </w:tc>
        <w:tc>
          <w:tcPr>
            <w:tcW w:w="255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376,055,693.77</w:t>
            </w:r>
          </w:p>
        </w:tc>
        <w:tc>
          <w:tcPr>
            <w:tcW w:w="262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12" w:name="_Toc225498274"/>
      <w:bookmarkStart w:id="213" w:name="_Toc361324879"/>
      <w:bookmarkStart w:id="214" w:name="_Toc67668000"/>
      <w:r>
        <w:rPr>
          <w:rFonts w:ascii="Times New Roman" w:hAnsi="Times New Roman"/>
          <w:kern w:val="0"/>
          <w:szCs w:val="24"/>
        </w:rPr>
        <w:t>8.2</w:t>
      </w:r>
      <w:r>
        <w:rPr>
          <w:rFonts w:hint="eastAsia" w:ascii="Times New Roman" w:hAnsi="Times New Roman"/>
          <w:kern w:val="0"/>
          <w:szCs w:val="24"/>
        </w:rPr>
        <w:t>期末按行业分类的股票投资组合</w:t>
      </w:r>
      <w:bookmarkEnd w:id="212"/>
      <w:bookmarkEnd w:id="213"/>
      <w:bookmarkEnd w:id="214"/>
    </w:p>
    <w:p>
      <w:pPr>
        <w:spacing w:before="29" w:line="288" w:lineRule="auto"/>
        <w:rPr>
          <w:rFonts w:eastAsiaTheme="minorEastAsia"/>
          <w:b/>
          <w:sz w:val="24"/>
        </w:rPr>
      </w:pPr>
      <w:r>
        <w:rPr>
          <w:rFonts w:eastAsiaTheme="minorEastAsia"/>
          <w:b/>
          <w:sz w:val="24"/>
        </w:rPr>
        <w:t>8.2.1</w:t>
      </w:r>
      <w:r>
        <w:rPr>
          <w:rFonts w:hint="eastAsia" w:eastAsiaTheme="minorEastAsia"/>
          <w:b/>
          <w:sz w:val="24"/>
        </w:rPr>
        <w:t>报告期末按行业分类的境内股票投资组合</w:t>
      </w:r>
    </w:p>
    <w:p>
      <w:pPr>
        <w:tabs>
          <w:tab w:val="left" w:pos="426"/>
        </w:tabs>
        <w:spacing w:before="29" w:line="288" w:lineRule="auto"/>
        <w:jc w:val="left"/>
        <w:rPr>
          <w:kern w:val="0"/>
          <w:sz w:val="24"/>
        </w:rPr>
      </w:pPr>
      <w:r>
        <w:rPr>
          <w:kern w:val="0"/>
          <w:sz w:val="24"/>
        </w:rPr>
        <w:t>本基金本报告期末未持有股票。</w:t>
      </w:r>
    </w:p>
    <w:p>
      <w:pPr>
        <w:tabs>
          <w:tab w:val="left" w:pos="426"/>
        </w:tabs>
        <w:spacing w:before="29" w:line="288" w:lineRule="auto"/>
        <w:jc w:val="left"/>
        <w:rPr>
          <w:kern w:val="0"/>
          <w:sz w:val="24"/>
        </w:rPr>
      </w:pPr>
      <w:r>
        <w:rPr>
          <w:rFonts w:hint="eastAsia"/>
          <w:kern w:val="0"/>
          <w:sz w:val="24"/>
        </w:rPr>
        <w:br w:type="textWrapping"/>
      </w:r>
      <w:r>
        <w:rPr>
          <w:rFonts w:eastAsiaTheme="minorEastAsia"/>
          <w:b/>
          <w:sz w:val="24"/>
        </w:rPr>
        <w:t>8.2.2</w:t>
      </w:r>
      <w:r>
        <w:rPr>
          <w:rFonts w:hint="eastAsia" w:eastAsiaTheme="minorEastAsia"/>
          <w:b/>
          <w:sz w:val="24"/>
        </w:rPr>
        <w:t>报告期末按行业分类的港股通投资股票投资组合</w:t>
      </w:r>
    </w:p>
    <w:p>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15" w:name="_Toc361324881"/>
      <w:bookmarkStart w:id="216" w:name="_Toc67668001"/>
      <w:r>
        <w:rPr>
          <w:rFonts w:ascii="Times New Roman" w:hAnsi="Times New Roman"/>
          <w:kern w:val="0"/>
          <w:szCs w:val="24"/>
        </w:rPr>
        <w:t>8.3</w:t>
      </w:r>
      <w:r>
        <w:rPr>
          <w:rFonts w:hint="eastAsia" w:ascii="Times New Roman" w:hAnsi="Times New Roman"/>
          <w:kern w:val="0"/>
          <w:szCs w:val="24"/>
        </w:rPr>
        <w:t>期末按公允价值占基金资产净值比例大小排序的所有股票投资明细</w:t>
      </w:r>
      <w:bookmarkEnd w:id="215"/>
      <w:bookmarkEnd w:id="216"/>
    </w:p>
    <w:p>
      <w:pPr>
        <w:tabs>
          <w:tab w:val="left" w:pos="426"/>
        </w:tabs>
        <w:spacing w:before="29" w:line="288" w:lineRule="auto"/>
        <w:jc w:val="left"/>
        <w:rPr>
          <w:kern w:val="0"/>
          <w:sz w:val="24"/>
        </w:rPr>
      </w:pPr>
      <w:r>
        <w:rPr>
          <w:kern w:val="0"/>
          <w:sz w:val="24"/>
        </w:rPr>
        <w:t>本基金本报告期末未持有股票。</w:t>
      </w:r>
      <w:r>
        <w:rPr>
          <w:rFonts w:hint="eastAsia"/>
          <w:kern w:val="0"/>
          <w:sz w:val="24"/>
        </w:rPr>
        <w:br w:type="textWrapping"/>
      </w:r>
    </w:p>
    <w:p>
      <w:pPr>
        <w:pStyle w:val="3"/>
        <w:spacing w:before="29" w:after="0" w:line="288" w:lineRule="auto"/>
        <w:rPr>
          <w:rFonts w:ascii="Times New Roman" w:hAnsi="Times New Roman"/>
          <w:kern w:val="0"/>
          <w:szCs w:val="24"/>
        </w:rPr>
      </w:pPr>
      <w:bookmarkStart w:id="217" w:name="_Toc361324882"/>
      <w:bookmarkStart w:id="218" w:name="_Toc67668002"/>
      <w:r>
        <w:rPr>
          <w:rFonts w:ascii="Times New Roman" w:hAnsi="Times New Roman"/>
          <w:kern w:val="0"/>
          <w:szCs w:val="24"/>
        </w:rPr>
        <w:t>8.4</w:t>
      </w:r>
      <w:bookmarkStart w:id="219" w:name="_Toc234814103"/>
      <w:r>
        <w:rPr>
          <w:rFonts w:hint="eastAsia" w:ascii="Times New Roman" w:hAnsi="Times New Roman"/>
          <w:kern w:val="0"/>
          <w:szCs w:val="24"/>
        </w:rPr>
        <w:t>报告期内股票投资组合的重大变动</w:t>
      </w:r>
      <w:bookmarkEnd w:id="217"/>
      <w:bookmarkEnd w:id="218"/>
      <w:bookmarkEnd w:id="219"/>
    </w:p>
    <w:p>
      <w:pPr>
        <w:spacing w:before="29" w:line="288" w:lineRule="auto"/>
        <w:rPr>
          <w:kern w:val="0"/>
          <w:sz w:val="24"/>
        </w:rPr>
      </w:pPr>
      <w:r>
        <w:rPr>
          <w:kern w:val="0"/>
          <w:sz w:val="24"/>
        </w:rPr>
        <w:t>本基金本报告期内未持有股票。</w:t>
      </w:r>
      <w:r>
        <w:rPr>
          <w:rFonts w:hint="eastAsia"/>
          <w:kern w:val="0"/>
          <w:sz w:val="24"/>
        </w:rPr>
        <w:br w:type="textWrapping"/>
      </w:r>
    </w:p>
    <w:p>
      <w:pPr>
        <w:pStyle w:val="3"/>
        <w:spacing w:before="29" w:after="0" w:line="288" w:lineRule="auto"/>
        <w:rPr>
          <w:rFonts w:ascii="Times New Roman" w:hAnsi="Times New Roman"/>
          <w:kern w:val="0"/>
          <w:szCs w:val="24"/>
        </w:rPr>
      </w:pPr>
      <w:bookmarkStart w:id="220" w:name="_Toc234814104"/>
      <w:bookmarkStart w:id="221" w:name="_Toc361324883"/>
      <w:bookmarkStart w:id="222" w:name="_Toc67668003"/>
      <w:r>
        <w:rPr>
          <w:rFonts w:ascii="Times New Roman" w:hAnsi="Times New Roman"/>
          <w:kern w:val="0"/>
          <w:szCs w:val="24"/>
        </w:rPr>
        <w:t>8.5</w:t>
      </w:r>
      <w:r>
        <w:rPr>
          <w:rFonts w:hint="eastAsia" w:ascii="Times New Roman" w:hAnsi="Times New Roman"/>
          <w:kern w:val="0"/>
          <w:szCs w:val="24"/>
        </w:rPr>
        <w:t>期末按债券品种分类的债券投资组合</w:t>
      </w:r>
      <w:bookmarkEnd w:id="220"/>
      <w:bookmarkEnd w:id="221"/>
      <w:bookmarkEnd w:id="222"/>
    </w:p>
    <w:p>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349"/>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326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债券品种</w:t>
            </w:r>
          </w:p>
        </w:tc>
        <w:tc>
          <w:tcPr>
            <w:tcW w:w="3349"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54" w:type="dxa"/>
            <w:vAlign w:val="center"/>
          </w:tcPr>
          <w:p>
            <w:pPr>
              <w:widowControl/>
              <w:autoSpaceDE w:val="0"/>
              <w:autoSpaceDN w:val="0"/>
              <w:spacing w:before="29" w:line="288" w:lineRule="auto"/>
              <w:ind w:right="-15"/>
              <w:jc w:val="center"/>
              <w:textAlignment w:val="bottom"/>
              <w:rPr>
                <w:color w:val="000000"/>
                <w:sz w:val="24"/>
              </w:rPr>
            </w:pPr>
            <w:r>
              <w:rPr>
                <w:color w:val="000000"/>
                <w:sz w:val="24"/>
              </w:rPr>
              <w:t>占基金资产净值比例</w:t>
            </w:r>
            <w:r>
              <w:rPr>
                <w:sz w:val="24"/>
              </w:rPr>
              <w:t>（</w:t>
            </w:r>
            <w:r>
              <w:rPr>
                <w:color w:val="000000"/>
                <w:sz w:val="24"/>
              </w:rPr>
              <w:t>％</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color w:val="000000"/>
                <w:sz w:val="24"/>
              </w:rPr>
              <w:t>1</w:t>
            </w:r>
          </w:p>
        </w:tc>
        <w:tc>
          <w:tcPr>
            <w:tcW w:w="3260" w:type="dxa"/>
            <w:vAlign w:val="center"/>
          </w:tcPr>
          <w:p>
            <w:pPr>
              <w:spacing w:before="29" w:line="288" w:lineRule="auto"/>
              <w:ind w:left="17"/>
              <w:rPr>
                <w:color w:val="000000"/>
                <w:sz w:val="24"/>
              </w:rPr>
            </w:pPr>
            <w:r>
              <w:rPr>
                <w:rFonts w:hint="eastAsia"/>
                <w:color w:val="000000"/>
                <w:sz w:val="24"/>
              </w:rPr>
              <w:t>国家债券</w:t>
            </w:r>
          </w:p>
        </w:tc>
        <w:tc>
          <w:tcPr>
            <w:tcW w:w="3349" w:type="dxa"/>
            <w:vAlign w:val="center"/>
          </w:tcPr>
          <w:p>
            <w:pPr>
              <w:spacing w:before="29" w:line="288" w:lineRule="auto"/>
              <w:jc w:val="right"/>
              <w:rPr>
                <w:color w:val="000000"/>
                <w:kern w:val="0"/>
                <w:sz w:val="24"/>
              </w:rPr>
            </w:pPr>
            <w:r>
              <w:rPr>
                <w:color w:val="000000"/>
                <w:kern w:val="0"/>
                <w:sz w:val="24"/>
              </w:rPr>
              <w:t>14,986,500.00</w:t>
            </w:r>
          </w:p>
        </w:tc>
        <w:tc>
          <w:tcPr>
            <w:tcW w:w="1754" w:type="dxa"/>
            <w:vAlign w:val="center"/>
          </w:tcPr>
          <w:p>
            <w:pPr>
              <w:spacing w:before="29" w:line="288" w:lineRule="auto"/>
              <w:jc w:val="right"/>
              <w:rPr>
                <w:color w:val="000000"/>
                <w:kern w:val="0"/>
                <w:sz w:val="24"/>
              </w:rPr>
            </w:pPr>
            <w:r>
              <w:rPr>
                <w:color w:val="000000"/>
                <w:kern w:val="0"/>
                <w:sz w:val="24"/>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color w:val="000000"/>
                <w:sz w:val="24"/>
              </w:rPr>
              <w:t>2</w:t>
            </w:r>
          </w:p>
        </w:tc>
        <w:tc>
          <w:tcPr>
            <w:tcW w:w="3260" w:type="dxa"/>
            <w:vAlign w:val="center"/>
          </w:tcPr>
          <w:p>
            <w:pPr>
              <w:spacing w:before="29" w:line="288" w:lineRule="auto"/>
              <w:ind w:left="17"/>
              <w:rPr>
                <w:color w:val="000000"/>
                <w:sz w:val="24"/>
              </w:rPr>
            </w:pPr>
            <w:r>
              <w:rPr>
                <w:rFonts w:hint="eastAsia"/>
                <w:color w:val="000000"/>
                <w:sz w:val="24"/>
              </w:rPr>
              <w:t>央行票据</w:t>
            </w:r>
          </w:p>
        </w:tc>
        <w:tc>
          <w:tcPr>
            <w:tcW w:w="3349" w:type="dxa"/>
            <w:vAlign w:val="center"/>
          </w:tcPr>
          <w:p>
            <w:pPr>
              <w:spacing w:before="29" w:line="288" w:lineRule="auto"/>
              <w:jc w:val="right"/>
              <w:rPr>
                <w:color w:val="000000"/>
                <w:kern w:val="0"/>
                <w:sz w:val="24"/>
              </w:rPr>
            </w:pPr>
            <w:r>
              <w:rPr>
                <w:color w:val="000000"/>
                <w:kern w:val="0"/>
                <w:sz w:val="24"/>
              </w:rPr>
              <w:t>-</w:t>
            </w:r>
          </w:p>
        </w:tc>
        <w:tc>
          <w:tcPr>
            <w:tcW w:w="1754" w:type="dxa"/>
            <w:vAlign w:val="center"/>
          </w:tcPr>
          <w:p>
            <w:pPr>
              <w:spacing w:before="29" w:line="288" w:lineRule="auto"/>
              <w:jc w:val="right"/>
              <w:rPr>
                <w:color w:val="000000"/>
                <w:kern w:val="0"/>
                <w:sz w:val="24"/>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color w:val="000000"/>
                <w:sz w:val="24"/>
              </w:rPr>
              <w:t>3</w:t>
            </w:r>
          </w:p>
        </w:tc>
        <w:tc>
          <w:tcPr>
            <w:tcW w:w="3260" w:type="dxa"/>
            <w:vAlign w:val="center"/>
          </w:tcPr>
          <w:p>
            <w:pPr>
              <w:spacing w:before="29" w:line="288" w:lineRule="auto"/>
              <w:ind w:left="17"/>
              <w:rPr>
                <w:color w:val="000000"/>
                <w:sz w:val="24"/>
              </w:rPr>
            </w:pPr>
            <w:r>
              <w:rPr>
                <w:rFonts w:hint="eastAsia"/>
                <w:color w:val="000000"/>
                <w:sz w:val="24"/>
              </w:rPr>
              <w:t>金融债券</w:t>
            </w:r>
          </w:p>
        </w:tc>
        <w:tc>
          <w:tcPr>
            <w:tcW w:w="3349" w:type="dxa"/>
            <w:vAlign w:val="center"/>
          </w:tcPr>
          <w:p>
            <w:pPr>
              <w:spacing w:before="29" w:line="288" w:lineRule="auto"/>
              <w:jc w:val="right"/>
              <w:rPr>
                <w:color w:val="000000"/>
                <w:kern w:val="0"/>
                <w:sz w:val="24"/>
              </w:rPr>
            </w:pPr>
            <w:r>
              <w:rPr>
                <w:color w:val="000000"/>
                <w:kern w:val="0"/>
                <w:sz w:val="24"/>
              </w:rPr>
              <w:t>-</w:t>
            </w:r>
          </w:p>
        </w:tc>
        <w:tc>
          <w:tcPr>
            <w:tcW w:w="1754" w:type="dxa"/>
            <w:vAlign w:val="center"/>
          </w:tcPr>
          <w:p>
            <w:pPr>
              <w:spacing w:before="29" w:line="288" w:lineRule="auto"/>
              <w:jc w:val="right"/>
              <w:rPr>
                <w:color w:val="000000"/>
                <w:kern w:val="0"/>
                <w:sz w:val="24"/>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p>
        </w:tc>
        <w:tc>
          <w:tcPr>
            <w:tcW w:w="3260" w:type="dxa"/>
            <w:vAlign w:val="center"/>
          </w:tcPr>
          <w:p>
            <w:pPr>
              <w:spacing w:before="29" w:line="288" w:lineRule="auto"/>
              <w:ind w:left="17"/>
              <w:rPr>
                <w:color w:val="000000"/>
                <w:sz w:val="24"/>
              </w:rPr>
            </w:pPr>
            <w:r>
              <w:rPr>
                <w:rFonts w:hint="eastAsia"/>
                <w:color w:val="000000"/>
                <w:sz w:val="24"/>
              </w:rPr>
              <w:t>其中：政策性金融债</w:t>
            </w:r>
          </w:p>
        </w:tc>
        <w:tc>
          <w:tcPr>
            <w:tcW w:w="3349" w:type="dxa"/>
            <w:vAlign w:val="center"/>
          </w:tcPr>
          <w:p>
            <w:pPr>
              <w:spacing w:before="29" w:line="288" w:lineRule="auto"/>
              <w:jc w:val="right"/>
              <w:rPr>
                <w:color w:val="000000"/>
                <w:kern w:val="0"/>
                <w:sz w:val="24"/>
              </w:rPr>
            </w:pPr>
            <w:r>
              <w:rPr>
                <w:color w:val="000000"/>
                <w:kern w:val="0"/>
                <w:sz w:val="24"/>
              </w:rPr>
              <w:t>-</w:t>
            </w:r>
          </w:p>
        </w:tc>
        <w:tc>
          <w:tcPr>
            <w:tcW w:w="1754" w:type="dxa"/>
            <w:vAlign w:val="center"/>
          </w:tcPr>
          <w:p>
            <w:pPr>
              <w:spacing w:before="29" w:line="288" w:lineRule="auto"/>
              <w:jc w:val="right"/>
              <w:rPr>
                <w:color w:val="000000"/>
                <w:kern w:val="0"/>
                <w:sz w:val="24"/>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color w:val="000000"/>
                <w:sz w:val="24"/>
              </w:rPr>
              <w:t>4</w:t>
            </w:r>
          </w:p>
        </w:tc>
        <w:tc>
          <w:tcPr>
            <w:tcW w:w="3260" w:type="dxa"/>
            <w:vAlign w:val="center"/>
          </w:tcPr>
          <w:p>
            <w:pPr>
              <w:spacing w:before="29" w:line="288" w:lineRule="auto"/>
              <w:ind w:left="17"/>
              <w:rPr>
                <w:color w:val="000000"/>
                <w:sz w:val="24"/>
              </w:rPr>
            </w:pPr>
            <w:r>
              <w:rPr>
                <w:rFonts w:hint="eastAsia"/>
                <w:color w:val="000000"/>
                <w:sz w:val="24"/>
              </w:rPr>
              <w:t>企业债券</w:t>
            </w:r>
          </w:p>
        </w:tc>
        <w:tc>
          <w:tcPr>
            <w:tcW w:w="3349" w:type="dxa"/>
            <w:vAlign w:val="center"/>
          </w:tcPr>
          <w:p>
            <w:pPr>
              <w:spacing w:before="29" w:line="288" w:lineRule="auto"/>
              <w:jc w:val="right"/>
              <w:rPr>
                <w:color w:val="000000"/>
                <w:kern w:val="0"/>
                <w:sz w:val="24"/>
              </w:rPr>
            </w:pPr>
            <w:r>
              <w:rPr>
                <w:color w:val="000000"/>
                <w:kern w:val="0"/>
                <w:sz w:val="24"/>
              </w:rPr>
              <w:t>-</w:t>
            </w:r>
          </w:p>
        </w:tc>
        <w:tc>
          <w:tcPr>
            <w:tcW w:w="1754" w:type="dxa"/>
            <w:vAlign w:val="center"/>
          </w:tcPr>
          <w:p>
            <w:pPr>
              <w:spacing w:before="29" w:line="288" w:lineRule="auto"/>
              <w:jc w:val="right"/>
              <w:rPr>
                <w:color w:val="000000"/>
                <w:kern w:val="0"/>
                <w:sz w:val="24"/>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color w:val="000000"/>
                <w:sz w:val="24"/>
              </w:rPr>
              <w:t>5</w:t>
            </w:r>
          </w:p>
        </w:tc>
        <w:tc>
          <w:tcPr>
            <w:tcW w:w="3260" w:type="dxa"/>
            <w:vAlign w:val="center"/>
          </w:tcPr>
          <w:p>
            <w:pPr>
              <w:spacing w:before="29" w:line="288" w:lineRule="auto"/>
              <w:ind w:left="17"/>
              <w:rPr>
                <w:color w:val="000000"/>
                <w:sz w:val="24"/>
              </w:rPr>
            </w:pPr>
            <w:r>
              <w:rPr>
                <w:rFonts w:hint="eastAsia"/>
                <w:color w:val="000000"/>
                <w:sz w:val="24"/>
              </w:rPr>
              <w:t>企业短期融资券</w:t>
            </w:r>
          </w:p>
        </w:tc>
        <w:tc>
          <w:tcPr>
            <w:tcW w:w="3349" w:type="dxa"/>
            <w:vAlign w:val="center"/>
          </w:tcPr>
          <w:p>
            <w:pPr>
              <w:spacing w:before="29" w:line="288" w:lineRule="auto"/>
              <w:jc w:val="right"/>
              <w:rPr>
                <w:color w:val="000000"/>
                <w:kern w:val="0"/>
                <w:sz w:val="24"/>
              </w:rPr>
            </w:pPr>
            <w:r>
              <w:rPr>
                <w:color w:val="000000"/>
                <w:kern w:val="0"/>
                <w:sz w:val="24"/>
              </w:rPr>
              <w:t>4,983,000.00</w:t>
            </w:r>
          </w:p>
        </w:tc>
        <w:tc>
          <w:tcPr>
            <w:tcW w:w="1754" w:type="dxa"/>
            <w:vAlign w:val="center"/>
          </w:tcPr>
          <w:p>
            <w:pPr>
              <w:spacing w:before="29" w:line="288" w:lineRule="auto"/>
              <w:jc w:val="right"/>
              <w:rPr>
                <w:color w:val="000000"/>
                <w:kern w:val="0"/>
                <w:sz w:val="24"/>
              </w:rPr>
            </w:pPr>
            <w:r>
              <w:rPr>
                <w:color w:val="000000"/>
                <w:kern w:val="0"/>
                <w:sz w:val="24"/>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color w:val="000000"/>
                <w:sz w:val="24"/>
              </w:rPr>
              <w:t>6</w:t>
            </w:r>
          </w:p>
        </w:tc>
        <w:tc>
          <w:tcPr>
            <w:tcW w:w="3260" w:type="dxa"/>
            <w:vAlign w:val="center"/>
          </w:tcPr>
          <w:p>
            <w:pPr>
              <w:spacing w:before="29" w:line="288" w:lineRule="auto"/>
              <w:ind w:left="17"/>
              <w:rPr>
                <w:color w:val="000000"/>
                <w:sz w:val="24"/>
              </w:rPr>
            </w:pPr>
            <w:r>
              <w:rPr>
                <w:rFonts w:hint="eastAsia"/>
                <w:color w:val="000000"/>
                <w:sz w:val="24"/>
              </w:rPr>
              <w:t>中期票据</w:t>
            </w:r>
          </w:p>
        </w:tc>
        <w:tc>
          <w:tcPr>
            <w:tcW w:w="3349" w:type="dxa"/>
            <w:vAlign w:val="center"/>
          </w:tcPr>
          <w:p>
            <w:pPr>
              <w:spacing w:before="29" w:line="288" w:lineRule="auto"/>
              <w:jc w:val="right"/>
              <w:rPr>
                <w:color w:val="000000"/>
                <w:kern w:val="0"/>
                <w:sz w:val="24"/>
              </w:rPr>
            </w:pPr>
            <w:r>
              <w:rPr>
                <w:color w:val="000000"/>
                <w:kern w:val="0"/>
                <w:sz w:val="24"/>
              </w:rPr>
              <w:t>344,894,000.00</w:t>
            </w:r>
          </w:p>
        </w:tc>
        <w:tc>
          <w:tcPr>
            <w:tcW w:w="1754" w:type="dxa"/>
            <w:vAlign w:val="center"/>
          </w:tcPr>
          <w:p>
            <w:pPr>
              <w:spacing w:before="29" w:line="288" w:lineRule="auto"/>
              <w:jc w:val="right"/>
              <w:rPr>
                <w:color w:val="000000"/>
                <w:kern w:val="0"/>
                <w:sz w:val="24"/>
              </w:rPr>
            </w:pPr>
            <w:r>
              <w:rPr>
                <w:color w:val="000000"/>
                <w:kern w:val="0"/>
                <w:sz w:val="24"/>
              </w:rPr>
              <w:t>116.92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color w:val="000000"/>
                <w:sz w:val="24"/>
              </w:rPr>
              <w:t>7</w:t>
            </w:r>
          </w:p>
        </w:tc>
        <w:tc>
          <w:tcPr>
            <w:tcW w:w="3260" w:type="dxa"/>
            <w:vAlign w:val="center"/>
          </w:tcPr>
          <w:p>
            <w:pPr>
              <w:spacing w:before="29" w:line="288" w:lineRule="auto"/>
              <w:ind w:left="17"/>
              <w:rPr>
                <w:color w:val="000000"/>
                <w:sz w:val="24"/>
              </w:rPr>
            </w:pPr>
            <w:r>
              <w:rPr>
                <w:rFonts w:hint="eastAsia"/>
                <w:color w:val="000000"/>
                <w:sz w:val="24"/>
              </w:rPr>
              <w:t>可转债</w:t>
            </w:r>
            <w:r>
              <w:rPr>
                <w:rFonts w:hint="eastAsia"/>
                <w:sz w:val="24"/>
              </w:rPr>
              <w:t>（可交换债）</w:t>
            </w:r>
          </w:p>
        </w:tc>
        <w:tc>
          <w:tcPr>
            <w:tcW w:w="3349" w:type="dxa"/>
            <w:vAlign w:val="center"/>
          </w:tcPr>
          <w:p>
            <w:pPr>
              <w:spacing w:before="29" w:line="288" w:lineRule="auto"/>
              <w:jc w:val="right"/>
              <w:rPr>
                <w:color w:val="000000"/>
                <w:kern w:val="0"/>
                <w:sz w:val="24"/>
              </w:rPr>
            </w:pPr>
            <w:r>
              <w:rPr>
                <w:color w:val="000000"/>
                <w:kern w:val="0"/>
                <w:sz w:val="24"/>
              </w:rPr>
              <w:t>-</w:t>
            </w:r>
          </w:p>
        </w:tc>
        <w:tc>
          <w:tcPr>
            <w:tcW w:w="1754" w:type="dxa"/>
            <w:vAlign w:val="center"/>
          </w:tcPr>
          <w:p>
            <w:pPr>
              <w:spacing w:before="29" w:line="288" w:lineRule="auto"/>
              <w:jc w:val="right"/>
              <w:rPr>
                <w:color w:val="000000"/>
                <w:kern w:val="0"/>
                <w:sz w:val="24"/>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color w:val="000000"/>
                <w:sz w:val="24"/>
              </w:rPr>
              <w:t>8</w:t>
            </w:r>
          </w:p>
        </w:tc>
        <w:tc>
          <w:tcPr>
            <w:tcW w:w="3260" w:type="dxa"/>
            <w:vAlign w:val="center"/>
          </w:tcPr>
          <w:p>
            <w:pPr>
              <w:spacing w:before="29" w:line="288" w:lineRule="auto"/>
              <w:ind w:left="17"/>
              <w:rPr>
                <w:color w:val="000000"/>
                <w:sz w:val="24"/>
              </w:rPr>
            </w:pPr>
            <w:r>
              <w:rPr>
                <w:rFonts w:hint="eastAsia"/>
                <w:color w:val="000000"/>
                <w:sz w:val="24"/>
              </w:rPr>
              <w:t>同业存单</w:t>
            </w:r>
          </w:p>
        </w:tc>
        <w:tc>
          <w:tcPr>
            <w:tcW w:w="3349" w:type="dxa"/>
            <w:vAlign w:val="center"/>
          </w:tcPr>
          <w:p>
            <w:pPr>
              <w:spacing w:before="29" w:line="288" w:lineRule="auto"/>
              <w:jc w:val="right"/>
              <w:rPr>
                <w:color w:val="000000"/>
                <w:kern w:val="0"/>
                <w:sz w:val="24"/>
              </w:rPr>
            </w:pPr>
            <w:r>
              <w:rPr>
                <w:rFonts w:hint="eastAsia"/>
                <w:color w:val="000000"/>
                <w:kern w:val="0"/>
                <w:sz w:val="24"/>
              </w:rPr>
              <w:t>-</w:t>
            </w:r>
          </w:p>
        </w:tc>
        <w:tc>
          <w:tcPr>
            <w:tcW w:w="1754" w:type="dxa"/>
            <w:vAlign w:val="center"/>
          </w:tcPr>
          <w:p>
            <w:pPr>
              <w:spacing w:before="29" w:line="288" w:lineRule="auto"/>
              <w:jc w:val="right"/>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color w:val="000000"/>
                <w:sz w:val="24"/>
              </w:rPr>
              <w:t>9</w:t>
            </w:r>
          </w:p>
        </w:tc>
        <w:tc>
          <w:tcPr>
            <w:tcW w:w="3260" w:type="dxa"/>
            <w:vAlign w:val="center"/>
          </w:tcPr>
          <w:p>
            <w:pPr>
              <w:spacing w:before="29" w:line="288" w:lineRule="auto"/>
              <w:ind w:left="17"/>
              <w:rPr>
                <w:color w:val="000000"/>
                <w:sz w:val="24"/>
              </w:rPr>
            </w:pPr>
            <w:r>
              <w:rPr>
                <w:rFonts w:hint="eastAsia"/>
                <w:color w:val="000000"/>
                <w:sz w:val="24"/>
              </w:rPr>
              <w:t>其他</w:t>
            </w:r>
          </w:p>
        </w:tc>
        <w:tc>
          <w:tcPr>
            <w:tcW w:w="3349" w:type="dxa"/>
            <w:vAlign w:val="center"/>
          </w:tcPr>
          <w:p>
            <w:pPr>
              <w:spacing w:before="29" w:line="288" w:lineRule="auto"/>
              <w:jc w:val="right"/>
              <w:rPr>
                <w:color w:val="000000"/>
                <w:kern w:val="0"/>
                <w:sz w:val="24"/>
              </w:rPr>
            </w:pPr>
            <w:r>
              <w:rPr>
                <w:color w:val="000000"/>
                <w:kern w:val="0"/>
                <w:sz w:val="24"/>
              </w:rPr>
              <w:t>-</w:t>
            </w:r>
          </w:p>
        </w:tc>
        <w:tc>
          <w:tcPr>
            <w:tcW w:w="1754" w:type="dxa"/>
            <w:vAlign w:val="center"/>
          </w:tcPr>
          <w:p>
            <w:pPr>
              <w:spacing w:before="29" w:line="288" w:lineRule="auto"/>
              <w:jc w:val="right"/>
              <w:rPr>
                <w:color w:val="000000"/>
                <w:kern w:val="0"/>
                <w:sz w:val="24"/>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color w:val="000000"/>
                <w:sz w:val="24"/>
              </w:rPr>
              <w:t>10</w:t>
            </w:r>
          </w:p>
        </w:tc>
        <w:tc>
          <w:tcPr>
            <w:tcW w:w="3260" w:type="dxa"/>
            <w:vAlign w:val="center"/>
          </w:tcPr>
          <w:p>
            <w:pPr>
              <w:spacing w:before="29" w:line="288" w:lineRule="auto"/>
              <w:ind w:left="17"/>
              <w:rPr>
                <w:color w:val="000000"/>
                <w:sz w:val="24"/>
              </w:rPr>
            </w:pPr>
            <w:r>
              <w:rPr>
                <w:rFonts w:hint="eastAsia"/>
                <w:color w:val="000000"/>
                <w:sz w:val="24"/>
              </w:rPr>
              <w:t>合计</w:t>
            </w:r>
          </w:p>
        </w:tc>
        <w:tc>
          <w:tcPr>
            <w:tcW w:w="3349" w:type="dxa"/>
            <w:vAlign w:val="center"/>
          </w:tcPr>
          <w:p>
            <w:pPr>
              <w:spacing w:before="29" w:line="288" w:lineRule="auto"/>
              <w:jc w:val="right"/>
              <w:rPr>
                <w:color w:val="000000"/>
                <w:kern w:val="0"/>
                <w:sz w:val="24"/>
              </w:rPr>
            </w:pPr>
            <w:r>
              <w:rPr>
                <w:color w:val="000000"/>
                <w:kern w:val="0"/>
                <w:sz w:val="24"/>
              </w:rPr>
              <w:t>364,863,500.00</w:t>
            </w:r>
          </w:p>
        </w:tc>
        <w:tc>
          <w:tcPr>
            <w:tcW w:w="1754" w:type="dxa"/>
            <w:vAlign w:val="center"/>
          </w:tcPr>
          <w:p>
            <w:pPr>
              <w:spacing w:before="29" w:line="288" w:lineRule="auto"/>
              <w:jc w:val="right"/>
              <w:rPr>
                <w:color w:val="000000"/>
                <w:kern w:val="0"/>
                <w:sz w:val="24"/>
              </w:rPr>
            </w:pPr>
            <w:r>
              <w:rPr>
                <w:color w:val="000000"/>
                <w:kern w:val="0"/>
                <w:sz w:val="24"/>
              </w:rPr>
              <w:t>123.69</w:t>
            </w:r>
          </w:p>
        </w:tc>
      </w:tr>
    </w:tbl>
    <w:p>
      <w:pPr>
        <w:pStyle w:val="28"/>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23" w:name="_Toc361324884"/>
      <w:bookmarkStart w:id="224" w:name="_Toc67668004"/>
      <w:r>
        <w:rPr>
          <w:rFonts w:ascii="Times New Roman" w:hAnsi="Times New Roman"/>
          <w:kern w:val="0"/>
          <w:szCs w:val="24"/>
        </w:rPr>
        <w:t>8.6</w:t>
      </w:r>
      <w:bookmarkStart w:id="225" w:name="_Toc234814105"/>
      <w:r>
        <w:rPr>
          <w:rFonts w:hint="eastAsia" w:ascii="Times New Roman" w:hAnsi="Times New Roman"/>
          <w:kern w:val="0"/>
          <w:szCs w:val="24"/>
        </w:rPr>
        <w:t>期末按公允价值占基金资产净值比例大小排序的前五名债券投资明细</w:t>
      </w:r>
      <w:bookmarkEnd w:id="223"/>
      <w:bookmarkEnd w:id="224"/>
      <w:bookmarkEnd w:id="225"/>
    </w:p>
    <w:p>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74"/>
        <w:gridCol w:w="1282"/>
        <w:gridCol w:w="1763"/>
        <w:gridCol w:w="1843"/>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774"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282"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763" w:type="dxa"/>
            <w:vAlign w:val="center"/>
          </w:tcPr>
          <w:p>
            <w:pPr>
              <w:widowControl/>
              <w:autoSpaceDE w:val="0"/>
              <w:autoSpaceDN w:val="0"/>
              <w:spacing w:before="29" w:line="288" w:lineRule="auto"/>
              <w:ind w:right="-15"/>
              <w:jc w:val="center"/>
              <w:textAlignment w:val="bottom"/>
              <w:rPr>
                <w:color w:val="000000"/>
                <w:sz w:val="24"/>
              </w:rPr>
            </w:pPr>
            <w:r>
              <w:rPr>
                <w:color w:val="000000"/>
                <w:kern w:val="0"/>
                <w:sz w:val="24"/>
              </w:rPr>
              <w:t>数量</w:t>
            </w:r>
            <w:r>
              <w:rPr>
                <w:sz w:val="24"/>
              </w:rPr>
              <w:t>（</w:t>
            </w:r>
            <w:r>
              <w:rPr>
                <w:color w:val="000000"/>
                <w:kern w:val="0"/>
                <w:sz w:val="24"/>
              </w:rPr>
              <w:t>张）</w:t>
            </w:r>
          </w:p>
        </w:tc>
        <w:tc>
          <w:tcPr>
            <w:tcW w:w="1843"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493" w:type="dxa"/>
            <w:vAlign w:val="center"/>
          </w:tcPr>
          <w:p>
            <w:pPr>
              <w:widowControl/>
              <w:autoSpaceDE w:val="0"/>
              <w:autoSpaceDN w:val="0"/>
              <w:spacing w:before="29" w:line="288" w:lineRule="auto"/>
              <w:ind w:right="-15"/>
              <w:jc w:val="center"/>
              <w:textAlignment w:val="bottom"/>
              <w:rPr>
                <w:color w:val="000000"/>
                <w:sz w:val="24"/>
              </w:rPr>
            </w:pPr>
            <w:r>
              <w:rPr>
                <w:color w:val="000000"/>
                <w:kern w:val="0"/>
                <w:sz w:val="24"/>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pPr>
            <w:r>
              <w:rPr>
                <w:color w:val="000000"/>
                <w:sz w:val="24"/>
              </w:rPr>
              <w:t>1</w:t>
            </w:r>
          </w:p>
        </w:tc>
        <w:tc>
          <w:tcPr>
            <w:tcW w:w="1774" w:type="dxa"/>
            <w:vAlign w:val="center"/>
          </w:tcPr>
          <w:p>
            <w:pPr>
              <w:jc w:val="center"/>
            </w:pPr>
            <w:r>
              <w:rPr>
                <w:color w:val="000000"/>
                <w:sz w:val="24"/>
              </w:rPr>
              <w:t>101900509</w:t>
            </w:r>
          </w:p>
        </w:tc>
        <w:tc>
          <w:tcPr>
            <w:tcW w:w="1282" w:type="dxa"/>
            <w:vAlign w:val="center"/>
          </w:tcPr>
          <w:p>
            <w:pPr>
              <w:jc w:val="center"/>
            </w:pPr>
            <w:r>
              <w:rPr>
                <w:color w:val="000000"/>
                <w:sz w:val="24"/>
              </w:rPr>
              <w:t>19泉国投MTN001</w:t>
            </w:r>
          </w:p>
        </w:tc>
        <w:tc>
          <w:tcPr>
            <w:tcW w:w="1763" w:type="dxa"/>
            <w:vAlign w:val="center"/>
          </w:tcPr>
          <w:p>
            <w:pPr>
              <w:jc w:val="right"/>
            </w:pPr>
            <w:r>
              <w:rPr>
                <w:color w:val="000000"/>
                <w:sz w:val="24"/>
              </w:rPr>
              <w:t>200,000</w:t>
            </w:r>
          </w:p>
        </w:tc>
        <w:tc>
          <w:tcPr>
            <w:tcW w:w="1843" w:type="dxa"/>
            <w:vAlign w:val="center"/>
          </w:tcPr>
          <w:p>
            <w:pPr>
              <w:jc w:val="right"/>
            </w:pPr>
            <w:r>
              <w:rPr>
                <w:color w:val="000000"/>
                <w:sz w:val="24"/>
              </w:rPr>
              <w:t>20,804,000.00</w:t>
            </w:r>
          </w:p>
        </w:tc>
        <w:tc>
          <w:tcPr>
            <w:tcW w:w="1493" w:type="dxa"/>
            <w:vAlign w:val="center"/>
          </w:tcPr>
          <w:p>
            <w:pPr>
              <w:jc w:val="right"/>
            </w:pPr>
            <w:r>
              <w:rPr>
                <w:color w:val="000000"/>
                <w:sz w:val="24"/>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pPr>
            <w:r>
              <w:rPr>
                <w:color w:val="000000"/>
                <w:sz w:val="24"/>
              </w:rPr>
              <w:t>2</w:t>
            </w:r>
          </w:p>
        </w:tc>
        <w:tc>
          <w:tcPr>
            <w:tcW w:w="1774" w:type="dxa"/>
            <w:vAlign w:val="center"/>
          </w:tcPr>
          <w:p>
            <w:pPr>
              <w:jc w:val="center"/>
            </w:pPr>
            <w:r>
              <w:rPr>
                <w:color w:val="000000"/>
                <w:sz w:val="24"/>
              </w:rPr>
              <w:t>101759057</w:t>
            </w:r>
          </w:p>
        </w:tc>
        <w:tc>
          <w:tcPr>
            <w:tcW w:w="1282" w:type="dxa"/>
            <w:vAlign w:val="center"/>
          </w:tcPr>
          <w:p>
            <w:pPr>
              <w:jc w:val="center"/>
            </w:pPr>
            <w:r>
              <w:rPr>
                <w:color w:val="000000"/>
                <w:sz w:val="24"/>
              </w:rPr>
              <w:t>17郑州城建MTN002</w:t>
            </w:r>
          </w:p>
        </w:tc>
        <w:tc>
          <w:tcPr>
            <w:tcW w:w="1763" w:type="dxa"/>
            <w:vAlign w:val="center"/>
          </w:tcPr>
          <w:p>
            <w:pPr>
              <w:jc w:val="right"/>
            </w:pPr>
            <w:r>
              <w:rPr>
                <w:color w:val="000000"/>
                <w:sz w:val="24"/>
              </w:rPr>
              <w:t>200,000</w:t>
            </w:r>
          </w:p>
        </w:tc>
        <w:tc>
          <w:tcPr>
            <w:tcW w:w="1843" w:type="dxa"/>
            <w:vAlign w:val="center"/>
          </w:tcPr>
          <w:p>
            <w:pPr>
              <w:jc w:val="right"/>
            </w:pPr>
            <w:r>
              <w:rPr>
                <w:color w:val="000000"/>
                <w:sz w:val="24"/>
              </w:rPr>
              <w:t>20,626,000.00</w:t>
            </w:r>
          </w:p>
        </w:tc>
        <w:tc>
          <w:tcPr>
            <w:tcW w:w="1493" w:type="dxa"/>
            <w:vAlign w:val="center"/>
          </w:tcPr>
          <w:p>
            <w:pPr>
              <w:jc w:val="right"/>
            </w:pPr>
            <w:r>
              <w:rPr>
                <w:color w:val="000000"/>
                <w:sz w:val="24"/>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pPr>
            <w:r>
              <w:rPr>
                <w:color w:val="000000"/>
                <w:sz w:val="24"/>
              </w:rPr>
              <w:t>3</w:t>
            </w:r>
          </w:p>
        </w:tc>
        <w:tc>
          <w:tcPr>
            <w:tcW w:w="1774" w:type="dxa"/>
            <w:vAlign w:val="center"/>
          </w:tcPr>
          <w:p>
            <w:pPr>
              <w:jc w:val="center"/>
            </w:pPr>
            <w:r>
              <w:rPr>
                <w:color w:val="000000"/>
                <w:sz w:val="24"/>
              </w:rPr>
              <w:t>101755021</w:t>
            </w:r>
          </w:p>
        </w:tc>
        <w:tc>
          <w:tcPr>
            <w:tcW w:w="1282" w:type="dxa"/>
            <w:vAlign w:val="center"/>
          </w:tcPr>
          <w:p>
            <w:pPr>
              <w:jc w:val="center"/>
            </w:pPr>
            <w:r>
              <w:rPr>
                <w:color w:val="000000"/>
                <w:sz w:val="24"/>
              </w:rPr>
              <w:t>17乐山国资MTN001</w:t>
            </w:r>
          </w:p>
        </w:tc>
        <w:tc>
          <w:tcPr>
            <w:tcW w:w="1763" w:type="dxa"/>
            <w:vAlign w:val="center"/>
          </w:tcPr>
          <w:p>
            <w:pPr>
              <w:jc w:val="right"/>
            </w:pPr>
            <w:r>
              <w:rPr>
                <w:color w:val="000000"/>
                <w:sz w:val="24"/>
              </w:rPr>
              <w:t>200,000</w:t>
            </w:r>
          </w:p>
        </w:tc>
        <w:tc>
          <w:tcPr>
            <w:tcW w:w="1843" w:type="dxa"/>
            <w:vAlign w:val="center"/>
          </w:tcPr>
          <w:p>
            <w:pPr>
              <w:jc w:val="right"/>
            </w:pPr>
            <w:r>
              <w:rPr>
                <w:color w:val="000000"/>
                <w:sz w:val="24"/>
              </w:rPr>
              <w:t>20,516,000.00</w:t>
            </w:r>
          </w:p>
        </w:tc>
        <w:tc>
          <w:tcPr>
            <w:tcW w:w="1493" w:type="dxa"/>
            <w:vAlign w:val="center"/>
          </w:tcPr>
          <w:p>
            <w:pPr>
              <w:jc w:val="right"/>
            </w:pPr>
            <w:r>
              <w:rPr>
                <w:color w:val="000000"/>
                <w:sz w:val="24"/>
              </w:rPr>
              <w:t>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pPr>
            <w:r>
              <w:rPr>
                <w:color w:val="000000"/>
                <w:sz w:val="24"/>
              </w:rPr>
              <w:t>4</w:t>
            </w:r>
          </w:p>
        </w:tc>
        <w:tc>
          <w:tcPr>
            <w:tcW w:w="1774" w:type="dxa"/>
            <w:vAlign w:val="center"/>
          </w:tcPr>
          <w:p>
            <w:pPr>
              <w:jc w:val="center"/>
            </w:pPr>
            <w:r>
              <w:rPr>
                <w:color w:val="000000"/>
                <w:sz w:val="24"/>
              </w:rPr>
              <w:t>101900405</w:t>
            </w:r>
          </w:p>
        </w:tc>
        <w:tc>
          <w:tcPr>
            <w:tcW w:w="1282" w:type="dxa"/>
            <w:vAlign w:val="center"/>
          </w:tcPr>
          <w:p>
            <w:pPr>
              <w:jc w:val="center"/>
            </w:pPr>
            <w:r>
              <w:rPr>
                <w:color w:val="000000"/>
                <w:sz w:val="24"/>
              </w:rPr>
              <w:t>19常熟城投MTN001</w:t>
            </w:r>
          </w:p>
        </w:tc>
        <w:tc>
          <w:tcPr>
            <w:tcW w:w="1763" w:type="dxa"/>
            <w:vAlign w:val="center"/>
          </w:tcPr>
          <w:p>
            <w:pPr>
              <w:jc w:val="right"/>
            </w:pPr>
            <w:r>
              <w:rPr>
                <w:color w:val="000000"/>
                <w:sz w:val="24"/>
              </w:rPr>
              <w:t>200,000</w:t>
            </w:r>
          </w:p>
        </w:tc>
        <w:tc>
          <w:tcPr>
            <w:tcW w:w="1843" w:type="dxa"/>
            <w:vAlign w:val="center"/>
          </w:tcPr>
          <w:p>
            <w:pPr>
              <w:jc w:val="right"/>
            </w:pPr>
            <w:r>
              <w:rPr>
                <w:color w:val="000000"/>
                <w:sz w:val="24"/>
              </w:rPr>
              <w:t>20,422,000.00</w:t>
            </w:r>
          </w:p>
        </w:tc>
        <w:tc>
          <w:tcPr>
            <w:tcW w:w="1493" w:type="dxa"/>
            <w:vAlign w:val="center"/>
          </w:tcPr>
          <w:p>
            <w:pPr>
              <w:jc w:val="right"/>
            </w:pPr>
            <w:r>
              <w:rPr>
                <w:color w:val="000000"/>
                <w:sz w:val="24"/>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jc w:val="center"/>
            </w:pPr>
            <w:r>
              <w:rPr>
                <w:color w:val="000000"/>
                <w:sz w:val="24"/>
              </w:rPr>
              <w:t>5</w:t>
            </w:r>
          </w:p>
        </w:tc>
        <w:tc>
          <w:tcPr>
            <w:tcW w:w="1774" w:type="dxa"/>
            <w:vAlign w:val="center"/>
          </w:tcPr>
          <w:p>
            <w:pPr>
              <w:jc w:val="center"/>
            </w:pPr>
            <w:r>
              <w:rPr>
                <w:color w:val="000000"/>
                <w:sz w:val="24"/>
              </w:rPr>
              <w:t>101900299</w:t>
            </w:r>
          </w:p>
        </w:tc>
        <w:tc>
          <w:tcPr>
            <w:tcW w:w="1282" w:type="dxa"/>
            <w:vAlign w:val="center"/>
          </w:tcPr>
          <w:p>
            <w:pPr>
              <w:jc w:val="center"/>
            </w:pPr>
            <w:r>
              <w:rPr>
                <w:color w:val="000000"/>
                <w:sz w:val="24"/>
              </w:rPr>
              <w:t>19江北国资MTN001</w:t>
            </w:r>
          </w:p>
        </w:tc>
        <w:tc>
          <w:tcPr>
            <w:tcW w:w="1763" w:type="dxa"/>
            <w:vAlign w:val="center"/>
          </w:tcPr>
          <w:p>
            <w:pPr>
              <w:jc w:val="right"/>
            </w:pPr>
            <w:r>
              <w:rPr>
                <w:color w:val="000000"/>
                <w:sz w:val="24"/>
              </w:rPr>
              <w:t>200,000</w:t>
            </w:r>
          </w:p>
        </w:tc>
        <w:tc>
          <w:tcPr>
            <w:tcW w:w="1843" w:type="dxa"/>
            <w:vAlign w:val="center"/>
          </w:tcPr>
          <w:p>
            <w:pPr>
              <w:jc w:val="right"/>
            </w:pPr>
            <w:r>
              <w:rPr>
                <w:color w:val="000000"/>
                <w:sz w:val="24"/>
              </w:rPr>
              <w:t>20,402,000.00</w:t>
            </w:r>
          </w:p>
        </w:tc>
        <w:tc>
          <w:tcPr>
            <w:tcW w:w="1493" w:type="dxa"/>
            <w:vAlign w:val="center"/>
          </w:tcPr>
          <w:p>
            <w:pPr>
              <w:jc w:val="right"/>
            </w:pPr>
            <w:r>
              <w:rPr>
                <w:color w:val="000000"/>
                <w:sz w:val="24"/>
              </w:rPr>
              <w:t>6.92</w:t>
            </w:r>
          </w:p>
        </w:tc>
      </w:tr>
    </w:tbl>
    <w:p>
      <w:pPr>
        <w:pStyle w:val="28"/>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26" w:name="_Toc67668005"/>
      <w:bookmarkStart w:id="227" w:name="_Toc361324885"/>
      <w:r>
        <w:rPr>
          <w:rFonts w:ascii="Times New Roman" w:hAnsi="Times New Roman"/>
          <w:kern w:val="0"/>
          <w:szCs w:val="24"/>
        </w:rPr>
        <w:t>8.7</w:t>
      </w:r>
      <w:r>
        <w:rPr>
          <w:rFonts w:hint="eastAsia" w:ascii="Times New Roman" w:hAnsi="Times New Roman"/>
          <w:kern w:val="0"/>
          <w:szCs w:val="24"/>
        </w:rPr>
        <w:t>期末按公允价值占基金资产净值比例大小排序的所有资产支持证券投资明细</w:t>
      </w:r>
      <w:bookmarkEnd w:id="226"/>
      <w:bookmarkEnd w:id="227"/>
    </w:p>
    <w:p>
      <w:pPr>
        <w:tabs>
          <w:tab w:val="left" w:pos="426"/>
        </w:tabs>
        <w:spacing w:before="29" w:line="288" w:lineRule="auto"/>
        <w:jc w:val="left"/>
        <w:rPr>
          <w:kern w:val="0"/>
          <w:sz w:val="24"/>
        </w:rPr>
      </w:pPr>
      <w:r>
        <w:rPr>
          <w:kern w:val="0"/>
          <w:sz w:val="24"/>
        </w:rPr>
        <w:t>本基金本报告期末未持有资产支持证券。</w:t>
      </w:r>
    </w:p>
    <w:p>
      <w:pPr>
        <w:pStyle w:val="28"/>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28" w:name="_Toc67668006"/>
      <w:r>
        <w:rPr>
          <w:rFonts w:ascii="Times New Roman" w:hAnsi="Times New Roman"/>
          <w:kern w:val="0"/>
          <w:szCs w:val="24"/>
        </w:rPr>
        <w:t>8.8</w:t>
      </w:r>
      <w:r>
        <w:rPr>
          <w:rFonts w:hint="eastAsia" w:ascii="Times New Roman" w:hAnsi="Times New Roman"/>
          <w:kern w:val="0"/>
          <w:szCs w:val="24"/>
        </w:rPr>
        <w:t>报告期末按公允价值占基金资产净值比例大小排序的前五名贵金属投资明细</w:t>
      </w:r>
      <w:bookmarkEnd w:id="228"/>
    </w:p>
    <w:p>
      <w:pPr>
        <w:tabs>
          <w:tab w:val="left" w:pos="426"/>
        </w:tabs>
        <w:spacing w:before="29" w:line="288" w:lineRule="auto"/>
        <w:jc w:val="left"/>
        <w:rPr>
          <w:kern w:val="0"/>
          <w:sz w:val="24"/>
        </w:rPr>
      </w:pPr>
      <w:r>
        <w:rPr>
          <w:kern w:val="0"/>
          <w:sz w:val="24"/>
        </w:rPr>
        <w:t>本基金本报告期末未持有贵金属。</w:t>
      </w:r>
    </w:p>
    <w:p>
      <w:pPr>
        <w:pStyle w:val="28"/>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29" w:name="_Toc361324886"/>
      <w:bookmarkStart w:id="230" w:name="_Toc67668007"/>
      <w:r>
        <w:rPr>
          <w:rFonts w:ascii="Times New Roman" w:hAnsi="Times New Roman"/>
          <w:kern w:val="0"/>
          <w:szCs w:val="24"/>
        </w:rPr>
        <w:t>8.9</w:t>
      </w:r>
      <w:r>
        <w:rPr>
          <w:rFonts w:hint="eastAsia" w:ascii="Times New Roman" w:hAnsi="Times New Roman"/>
          <w:kern w:val="0"/>
          <w:szCs w:val="24"/>
        </w:rPr>
        <w:t>期末按公允价值占基金资产净值比例大小排序的前五名权证投资明细</w:t>
      </w:r>
      <w:bookmarkEnd w:id="229"/>
      <w:bookmarkEnd w:id="230"/>
    </w:p>
    <w:p>
      <w:pPr>
        <w:tabs>
          <w:tab w:val="left" w:pos="426"/>
        </w:tabs>
        <w:spacing w:before="29" w:line="288" w:lineRule="auto"/>
        <w:jc w:val="left"/>
        <w:rPr>
          <w:kern w:val="0"/>
          <w:sz w:val="24"/>
        </w:rPr>
      </w:pPr>
      <w:r>
        <w:rPr>
          <w:kern w:val="0"/>
          <w:sz w:val="24"/>
        </w:rPr>
        <w:t>本基金本报告期末未持有权证。</w:t>
      </w:r>
    </w:p>
    <w:p>
      <w:pPr>
        <w:pStyle w:val="28"/>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31" w:name="_Toc67668008"/>
      <w:r>
        <w:rPr>
          <w:rFonts w:hint="eastAsia" w:ascii="Times New Roman" w:hAnsi="Times New Roman"/>
          <w:kern w:val="0"/>
          <w:szCs w:val="24"/>
        </w:rPr>
        <w:t>8.10 报告期末本基金投资的股指期货交易情况说明</w:t>
      </w:r>
      <w:bookmarkEnd w:id="231"/>
    </w:p>
    <w:p>
      <w:pPr>
        <w:tabs>
          <w:tab w:val="left" w:pos="426"/>
        </w:tabs>
        <w:spacing w:before="29" w:line="288" w:lineRule="auto"/>
        <w:jc w:val="left"/>
        <w:rPr>
          <w:kern w:val="0"/>
          <w:sz w:val="24"/>
        </w:rPr>
      </w:pPr>
      <w:r>
        <w:rPr>
          <w:kern w:val="0"/>
          <w:sz w:val="24"/>
        </w:rPr>
        <w:t>本基金本报告期末未持有股指期货。</w:t>
      </w:r>
    </w:p>
    <w:p>
      <w:pPr>
        <w:adjustRightInd w:val="0"/>
        <w:snapToGrid w:val="0"/>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32" w:name="_Toc67668009"/>
      <w:r>
        <w:rPr>
          <w:rFonts w:hint="eastAsia" w:ascii="Times New Roman" w:hAnsi="Times New Roman"/>
          <w:kern w:val="0"/>
          <w:szCs w:val="24"/>
        </w:rPr>
        <w:t>8.11报告期末本基金投资的国债期货交易情况说明</w:t>
      </w:r>
      <w:bookmarkEnd w:id="232"/>
    </w:p>
    <w:p>
      <w:pPr>
        <w:tabs>
          <w:tab w:val="left" w:pos="426"/>
        </w:tabs>
        <w:spacing w:before="29" w:line="288" w:lineRule="auto"/>
        <w:jc w:val="left"/>
        <w:rPr>
          <w:kern w:val="0"/>
          <w:sz w:val="24"/>
        </w:rPr>
      </w:pPr>
      <w:r>
        <w:rPr>
          <w:rFonts w:hint="eastAsia"/>
          <w:kern w:val="0"/>
          <w:sz w:val="24"/>
        </w:rPr>
        <w:t>本基金本报告期末未持有国债期货。</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33" w:name="_Toc361324887"/>
      <w:bookmarkStart w:id="234" w:name="_Toc67668010"/>
      <w:r>
        <w:rPr>
          <w:rFonts w:ascii="Times New Roman" w:hAnsi="Times New Roman"/>
          <w:kern w:val="0"/>
          <w:szCs w:val="24"/>
        </w:rPr>
        <w:t xml:space="preserve">8.12 </w:t>
      </w:r>
      <w:r>
        <w:rPr>
          <w:rFonts w:hint="eastAsia" w:ascii="Times New Roman" w:hAnsi="Times New Roman"/>
          <w:kern w:val="0"/>
          <w:szCs w:val="24"/>
        </w:rPr>
        <w:t>投资组合报告附注</w:t>
      </w:r>
      <w:bookmarkEnd w:id="233"/>
      <w:bookmarkEnd w:id="234"/>
    </w:p>
    <w:p>
      <w:pPr>
        <w:spacing w:before="29" w:line="288" w:lineRule="auto"/>
        <w:rPr>
          <w:kern w:val="0"/>
          <w:sz w:val="24"/>
        </w:rPr>
      </w:pPr>
      <w:r>
        <w:rPr>
          <w:b/>
          <w:kern w:val="0"/>
          <w:sz w:val="24"/>
        </w:rPr>
        <w:t>8.12.1</w:t>
      </w:r>
      <w:r>
        <w:rPr>
          <w:kern w:val="0"/>
          <w:sz w:val="24"/>
        </w:rPr>
        <w:t>报告期内本基金投资的前十名证券的发行主体未被监管部门立案调查，在本报告编制日前一年内本基金投资的前十名证券的发行主体未受到公开谴责和处罚。</w:t>
      </w:r>
    </w:p>
    <w:p>
      <w:pPr>
        <w:spacing w:before="29" w:line="288" w:lineRule="auto"/>
        <w:rPr>
          <w:kern w:val="0"/>
          <w:sz w:val="24"/>
        </w:rPr>
      </w:pPr>
      <w:r>
        <w:rPr>
          <w:b/>
          <w:kern w:val="0"/>
          <w:sz w:val="24"/>
        </w:rPr>
        <w:t>8.12.2</w:t>
      </w:r>
      <w:r>
        <w:rPr>
          <w:kern w:val="0"/>
          <w:sz w:val="24"/>
        </w:rPr>
        <w:t>本基金投资的前十名股票中，没有超出基金合同规定的备选股票库之外的股票。</w:t>
      </w:r>
    </w:p>
    <w:p>
      <w:pPr>
        <w:spacing w:before="29" w:line="288" w:lineRule="auto"/>
        <w:rPr>
          <w:rFonts w:eastAsiaTheme="minorEastAsia"/>
          <w:b/>
          <w:sz w:val="24"/>
        </w:rPr>
      </w:pPr>
      <w:r>
        <w:rPr>
          <w:rFonts w:eastAsiaTheme="minorEastAsia"/>
          <w:b/>
          <w:sz w:val="24"/>
        </w:rPr>
        <w:t>8.12.3</w:t>
      </w:r>
      <w:r>
        <w:rPr>
          <w:rFonts w:hint="eastAsia" w:eastAsiaTheme="minorEastAsia"/>
          <w:b/>
          <w:sz w:val="24"/>
        </w:rPr>
        <w:t>期末其他各项资产构成</w:t>
      </w:r>
    </w:p>
    <w:p>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4117"/>
        <w:gridCol w:w="4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before="29" w:line="288" w:lineRule="auto"/>
              <w:jc w:val="center"/>
              <w:rPr>
                <w:color w:val="000000"/>
                <w:sz w:val="24"/>
              </w:rPr>
            </w:pPr>
            <w:r>
              <w:rPr>
                <w:rFonts w:hint="eastAsia"/>
                <w:color w:val="000000"/>
                <w:sz w:val="24"/>
              </w:rPr>
              <w:t>序号</w:t>
            </w:r>
          </w:p>
        </w:tc>
        <w:tc>
          <w:tcPr>
            <w:tcW w:w="4117" w:type="dxa"/>
          </w:tcPr>
          <w:p>
            <w:pPr>
              <w:spacing w:before="29" w:line="288" w:lineRule="auto"/>
              <w:jc w:val="center"/>
              <w:rPr>
                <w:color w:val="000000"/>
                <w:sz w:val="24"/>
              </w:rPr>
            </w:pPr>
            <w:r>
              <w:rPr>
                <w:rFonts w:hint="eastAsia"/>
                <w:color w:val="000000"/>
                <w:sz w:val="24"/>
              </w:rPr>
              <w:t>名称</w:t>
            </w:r>
          </w:p>
        </w:tc>
        <w:tc>
          <w:tcPr>
            <w:tcW w:w="4118" w:type="dxa"/>
          </w:tcPr>
          <w:p>
            <w:pPr>
              <w:spacing w:before="29" w:line="288" w:lineRule="auto"/>
              <w:jc w:val="center"/>
              <w:rPr>
                <w:color w:val="000000"/>
                <w:sz w:val="24"/>
              </w:rPr>
            </w:pPr>
            <w:r>
              <w:rPr>
                <w:rFonts w:hint="eastAsia"/>
                <w:color w:val="00000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tcPr>
          <w:p>
            <w:pPr>
              <w:spacing w:before="29" w:line="288" w:lineRule="auto"/>
              <w:jc w:val="center"/>
              <w:rPr>
                <w:color w:val="000000"/>
                <w:sz w:val="24"/>
              </w:rPr>
            </w:pPr>
            <w:r>
              <w:rPr>
                <w:color w:val="000000"/>
                <w:sz w:val="24"/>
              </w:rPr>
              <w:t>1</w:t>
            </w:r>
          </w:p>
        </w:tc>
        <w:tc>
          <w:tcPr>
            <w:tcW w:w="4117" w:type="dxa"/>
            <w:vAlign w:val="center"/>
          </w:tcPr>
          <w:p>
            <w:pPr>
              <w:spacing w:before="29" w:line="288" w:lineRule="auto"/>
              <w:ind w:left="105" w:leftChars="50"/>
              <w:rPr>
                <w:color w:val="000000"/>
                <w:sz w:val="24"/>
              </w:rPr>
            </w:pPr>
            <w:r>
              <w:rPr>
                <w:rFonts w:hint="eastAsia"/>
                <w:color w:val="000000"/>
                <w:sz w:val="24"/>
              </w:rPr>
              <w:t>存出保证金</w:t>
            </w:r>
          </w:p>
        </w:tc>
        <w:tc>
          <w:tcPr>
            <w:tcW w:w="4118" w:type="dxa"/>
            <w:vAlign w:val="center"/>
          </w:tcPr>
          <w:p>
            <w:pPr>
              <w:spacing w:before="29" w:line="288" w:lineRule="auto"/>
              <w:jc w:val="right"/>
              <w:rPr>
                <w:color w:val="000000"/>
                <w:kern w:val="0"/>
                <w:sz w:val="24"/>
              </w:rPr>
            </w:pPr>
            <w:r>
              <w:rPr>
                <w:color w:val="000000"/>
                <w:kern w:val="0"/>
                <w:sz w:val="24"/>
              </w:rPr>
              <w:t>2,458.65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tcPr>
          <w:p>
            <w:pPr>
              <w:spacing w:before="29" w:line="288" w:lineRule="auto"/>
              <w:jc w:val="center"/>
              <w:rPr>
                <w:color w:val="000000"/>
                <w:sz w:val="24"/>
              </w:rPr>
            </w:pPr>
            <w:r>
              <w:rPr>
                <w:color w:val="000000"/>
                <w:sz w:val="24"/>
              </w:rPr>
              <w:t>2</w:t>
            </w:r>
          </w:p>
        </w:tc>
        <w:tc>
          <w:tcPr>
            <w:tcW w:w="4117" w:type="dxa"/>
            <w:vAlign w:val="center"/>
          </w:tcPr>
          <w:p>
            <w:pPr>
              <w:spacing w:before="29" w:line="288" w:lineRule="auto"/>
              <w:ind w:left="105" w:leftChars="50"/>
              <w:rPr>
                <w:color w:val="000000"/>
                <w:sz w:val="24"/>
              </w:rPr>
            </w:pPr>
            <w:r>
              <w:rPr>
                <w:rFonts w:hint="eastAsia"/>
                <w:color w:val="000000"/>
                <w:sz w:val="24"/>
              </w:rPr>
              <w:t>应收证券清算款</w:t>
            </w:r>
          </w:p>
        </w:tc>
        <w:tc>
          <w:tcPr>
            <w:tcW w:w="4118"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tcPr>
          <w:p>
            <w:pPr>
              <w:spacing w:before="29" w:line="288" w:lineRule="auto"/>
              <w:jc w:val="center"/>
              <w:rPr>
                <w:color w:val="000000"/>
                <w:sz w:val="24"/>
              </w:rPr>
            </w:pPr>
            <w:r>
              <w:rPr>
                <w:color w:val="000000"/>
                <w:sz w:val="24"/>
              </w:rPr>
              <w:t>3</w:t>
            </w:r>
          </w:p>
        </w:tc>
        <w:tc>
          <w:tcPr>
            <w:tcW w:w="4117" w:type="dxa"/>
            <w:vAlign w:val="center"/>
          </w:tcPr>
          <w:p>
            <w:pPr>
              <w:spacing w:before="29" w:line="288" w:lineRule="auto"/>
              <w:ind w:left="105" w:leftChars="50"/>
              <w:rPr>
                <w:color w:val="000000"/>
                <w:sz w:val="24"/>
              </w:rPr>
            </w:pPr>
            <w:r>
              <w:rPr>
                <w:rFonts w:hint="eastAsia"/>
                <w:color w:val="000000"/>
                <w:sz w:val="24"/>
              </w:rPr>
              <w:t>应收股利</w:t>
            </w:r>
          </w:p>
        </w:tc>
        <w:tc>
          <w:tcPr>
            <w:tcW w:w="4118"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tcPr>
          <w:p>
            <w:pPr>
              <w:spacing w:before="29" w:line="288" w:lineRule="auto"/>
              <w:jc w:val="center"/>
              <w:rPr>
                <w:color w:val="000000"/>
                <w:sz w:val="24"/>
              </w:rPr>
            </w:pPr>
            <w:r>
              <w:rPr>
                <w:color w:val="000000"/>
                <w:sz w:val="24"/>
              </w:rPr>
              <w:t>4</w:t>
            </w:r>
          </w:p>
        </w:tc>
        <w:tc>
          <w:tcPr>
            <w:tcW w:w="4117" w:type="dxa"/>
            <w:vAlign w:val="center"/>
          </w:tcPr>
          <w:p>
            <w:pPr>
              <w:spacing w:before="29" w:line="288" w:lineRule="auto"/>
              <w:ind w:left="105" w:leftChars="50"/>
              <w:rPr>
                <w:color w:val="000000"/>
                <w:sz w:val="24"/>
              </w:rPr>
            </w:pPr>
            <w:r>
              <w:rPr>
                <w:rFonts w:hint="eastAsia"/>
                <w:color w:val="000000"/>
                <w:sz w:val="24"/>
              </w:rPr>
              <w:t>应收利息</w:t>
            </w:r>
          </w:p>
        </w:tc>
        <w:tc>
          <w:tcPr>
            <w:tcW w:w="4118" w:type="dxa"/>
            <w:vAlign w:val="center"/>
          </w:tcPr>
          <w:p>
            <w:pPr>
              <w:spacing w:before="29" w:line="288" w:lineRule="auto"/>
              <w:jc w:val="right"/>
              <w:rPr>
                <w:color w:val="000000"/>
                <w:kern w:val="0"/>
                <w:sz w:val="24"/>
              </w:rPr>
            </w:pPr>
            <w:r>
              <w:rPr>
                <w:color w:val="000000"/>
                <w:kern w:val="0"/>
                <w:sz w:val="24"/>
              </w:rPr>
              <w:t>8,295,282.84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tcPr>
          <w:p>
            <w:pPr>
              <w:spacing w:before="29" w:line="288" w:lineRule="auto"/>
              <w:jc w:val="center"/>
              <w:rPr>
                <w:color w:val="000000"/>
                <w:sz w:val="24"/>
              </w:rPr>
            </w:pPr>
            <w:r>
              <w:rPr>
                <w:color w:val="000000"/>
                <w:sz w:val="24"/>
              </w:rPr>
              <w:t>5</w:t>
            </w:r>
          </w:p>
        </w:tc>
        <w:tc>
          <w:tcPr>
            <w:tcW w:w="4117" w:type="dxa"/>
            <w:vAlign w:val="center"/>
          </w:tcPr>
          <w:p>
            <w:pPr>
              <w:spacing w:before="29" w:line="288" w:lineRule="auto"/>
              <w:ind w:left="105" w:leftChars="50"/>
              <w:rPr>
                <w:color w:val="000000"/>
                <w:sz w:val="24"/>
              </w:rPr>
            </w:pPr>
            <w:r>
              <w:rPr>
                <w:rFonts w:hint="eastAsia"/>
                <w:color w:val="000000"/>
                <w:sz w:val="24"/>
              </w:rPr>
              <w:t>应收申购款</w:t>
            </w:r>
          </w:p>
        </w:tc>
        <w:tc>
          <w:tcPr>
            <w:tcW w:w="4118" w:type="dxa"/>
            <w:vAlign w:val="center"/>
          </w:tcPr>
          <w:p>
            <w:pPr>
              <w:spacing w:before="29" w:line="288" w:lineRule="auto"/>
              <w:jc w:val="right"/>
              <w:rPr>
                <w:color w:val="000000"/>
                <w:kern w:val="0"/>
                <w:sz w:val="24"/>
              </w:rPr>
            </w:pPr>
            <w:r>
              <w:rPr>
                <w:color w:val="000000"/>
                <w:kern w:val="0"/>
                <w:sz w:val="24"/>
              </w:rPr>
              <w:t>476,142.85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tcPr>
          <w:p>
            <w:pPr>
              <w:spacing w:before="29" w:line="288" w:lineRule="auto"/>
              <w:jc w:val="center"/>
              <w:rPr>
                <w:color w:val="000000"/>
                <w:sz w:val="24"/>
              </w:rPr>
            </w:pPr>
            <w:r>
              <w:rPr>
                <w:color w:val="000000"/>
                <w:sz w:val="24"/>
              </w:rPr>
              <w:t>6</w:t>
            </w:r>
          </w:p>
        </w:tc>
        <w:tc>
          <w:tcPr>
            <w:tcW w:w="4117" w:type="dxa"/>
            <w:vAlign w:val="center"/>
          </w:tcPr>
          <w:p>
            <w:pPr>
              <w:spacing w:before="29" w:line="288" w:lineRule="auto"/>
              <w:ind w:left="105" w:leftChars="50"/>
              <w:rPr>
                <w:color w:val="000000"/>
                <w:sz w:val="24"/>
              </w:rPr>
            </w:pPr>
            <w:r>
              <w:rPr>
                <w:rFonts w:hint="eastAsia"/>
                <w:color w:val="000000"/>
                <w:sz w:val="24"/>
              </w:rPr>
              <w:t>其他应收款</w:t>
            </w:r>
          </w:p>
        </w:tc>
        <w:tc>
          <w:tcPr>
            <w:tcW w:w="4118"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tcPr>
          <w:p>
            <w:pPr>
              <w:spacing w:before="29" w:line="288" w:lineRule="auto"/>
              <w:jc w:val="center"/>
              <w:rPr>
                <w:color w:val="000000"/>
                <w:sz w:val="24"/>
              </w:rPr>
            </w:pPr>
            <w:r>
              <w:rPr>
                <w:color w:val="000000"/>
                <w:sz w:val="24"/>
              </w:rPr>
              <w:t>7</w:t>
            </w:r>
          </w:p>
        </w:tc>
        <w:tc>
          <w:tcPr>
            <w:tcW w:w="4117" w:type="dxa"/>
            <w:vAlign w:val="center"/>
          </w:tcPr>
          <w:p>
            <w:pPr>
              <w:spacing w:before="29" w:line="288" w:lineRule="auto"/>
              <w:ind w:left="105" w:leftChars="50"/>
              <w:rPr>
                <w:color w:val="000000"/>
                <w:sz w:val="24"/>
              </w:rPr>
            </w:pPr>
            <w:r>
              <w:rPr>
                <w:rFonts w:hint="eastAsia"/>
                <w:color w:val="000000"/>
                <w:sz w:val="24"/>
              </w:rPr>
              <w:t>待摊费用</w:t>
            </w:r>
          </w:p>
        </w:tc>
        <w:tc>
          <w:tcPr>
            <w:tcW w:w="4118"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before="29" w:line="288" w:lineRule="auto"/>
              <w:jc w:val="center"/>
              <w:rPr>
                <w:color w:val="000000"/>
                <w:sz w:val="24"/>
              </w:rPr>
            </w:pPr>
            <w:r>
              <w:rPr>
                <w:color w:val="000000"/>
                <w:sz w:val="24"/>
              </w:rPr>
              <w:t>8</w:t>
            </w:r>
          </w:p>
        </w:tc>
        <w:tc>
          <w:tcPr>
            <w:tcW w:w="4117" w:type="dxa"/>
            <w:vAlign w:val="center"/>
          </w:tcPr>
          <w:p>
            <w:pPr>
              <w:spacing w:before="29" w:line="288" w:lineRule="auto"/>
              <w:ind w:left="105" w:leftChars="50"/>
              <w:rPr>
                <w:color w:val="000000"/>
                <w:sz w:val="24"/>
              </w:rPr>
            </w:pPr>
            <w:r>
              <w:rPr>
                <w:rFonts w:hint="eastAsia"/>
                <w:color w:val="000000"/>
                <w:sz w:val="24"/>
              </w:rPr>
              <w:t>其他</w:t>
            </w:r>
          </w:p>
        </w:tc>
        <w:tc>
          <w:tcPr>
            <w:tcW w:w="4118"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before="29" w:line="288" w:lineRule="auto"/>
              <w:jc w:val="center"/>
              <w:rPr>
                <w:color w:val="000000"/>
                <w:sz w:val="24"/>
              </w:rPr>
            </w:pPr>
            <w:r>
              <w:rPr>
                <w:color w:val="000000"/>
                <w:sz w:val="24"/>
              </w:rPr>
              <w:t>9</w:t>
            </w:r>
          </w:p>
        </w:tc>
        <w:tc>
          <w:tcPr>
            <w:tcW w:w="4117" w:type="dxa"/>
            <w:vAlign w:val="center"/>
          </w:tcPr>
          <w:p>
            <w:pPr>
              <w:spacing w:before="29" w:line="288" w:lineRule="auto"/>
              <w:ind w:left="105" w:leftChars="50"/>
              <w:rPr>
                <w:color w:val="000000"/>
                <w:sz w:val="24"/>
              </w:rPr>
            </w:pPr>
            <w:r>
              <w:rPr>
                <w:rFonts w:hint="eastAsia"/>
                <w:color w:val="000000"/>
                <w:sz w:val="24"/>
              </w:rPr>
              <w:t>合计</w:t>
            </w:r>
          </w:p>
        </w:tc>
        <w:tc>
          <w:tcPr>
            <w:tcW w:w="4118" w:type="dxa"/>
            <w:vAlign w:val="center"/>
          </w:tcPr>
          <w:p>
            <w:pPr>
              <w:spacing w:before="29" w:line="288" w:lineRule="auto"/>
              <w:jc w:val="right"/>
              <w:rPr>
                <w:color w:val="000000"/>
                <w:kern w:val="0"/>
                <w:sz w:val="24"/>
              </w:rPr>
            </w:pPr>
            <w:r>
              <w:rPr>
                <w:color w:val="000000"/>
                <w:kern w:val="0"/>
                <w:sz w:val="24"/>
              </w:rPr>
              <w:t>8,773,884.34</w:t>
            </w:r>
          </w:p>
        </w:tc>
      </w:tr>
    </w:tbl>
    <w:p>
      <w:pPr>
        <w:pStyle w:val="28"/>
        <w:spacing w:before="0" w:beforeAutospacing="0" w:after="0" w:afterAutospacing="0" w:line="360" w:lineRule="auto"/>
        <w:rPr>
          <w:rFonts w:asciiTheme="minorEastAsia" w:hAnsiTheme="minorEastAsia" w:eastAsiaTheme="minorEastAsia"/>
          <w:b/>
          <w:bCs/>
          <w:color w:val="000000"/>
          <w:sz w:val="21"/>
          <w:szCs w:val="21"/>
        </w:rPr>
      </w:pPr>
    </w:p>
    <w:p>
      <w:pPr>
        <w:spacing w:before="29" w:line="288" w:lineRule="auto"/>
        <w:rPr>
          <w:rFonts w:eastAsiaTheme="minorEastAsia"/>
          <w:b/>
          <w:sz w:val="24"/>
        </w:rPr>
      </w:pPr>
      <w:r>
        <w:rPr>
          <w:rFonts w:eastAsiaTheme="minorEastAsia"/>
          <w:b/>
          <w:sz w:val="24"/>
        </w:rPr>
        <w:t>8.12.4</w:t>
      </w:r>
      <w:r>
        <w:rPr>
          <w:rFonts w:hint="eastAsia" w:eastAsiaTheme="minorEastAsia"/>
          <w:b/>
          <w:sz w:val="24"/>
        </w:rPr>
        <w:t>期末持有的处于转股期的可转换债券明细</w:t>
      </w:r>
    </w:p>
    <w:p>
      <w:pPr>
        <w:tabs>
          <w:tab w:val="left" w:pos="426"/>
        </w:tabs>
        <w:spacing w:before="29" w:line="288" w:lineRule="auto"/>
        <w:jc w:val="left"/>
        <w:rPr>
          <w:kern w:val="0"/>
          <w:sz w:val="24"/>
        </w:rPr>
      </w:pPr>
      <w:r>
        <w:rPr>
          <w:kern w:val="0"/>
          <w:sz w:val="24"/>
        </w:rPr>
        <w:t>本基金本报告期末未持有处于转股期的可转换债券。</w:t>
      </w:r>
    </w:p>
    <w:p>
      <w:pPr>
        <w:pStyle w:val="28"/>
        <w:spacing w:before="0" w:beforeAutospacing="0" w:after="0" w:afterAutospacing="0" w:line="360" w:lineRule="auto"/>
        <w:rPr>
          <w:rFonts w:asciiTheme="minorEastAsia" w:hAnsiTheme="minorEastAsia" w:eastAsiaTheme="minorEastAsia"/>
          <w:color w:val="000000"/>
          <w:sz w:val="21"/>
          <w:szCs w:val="21"/>
        </w:rPr>
      </w:pPr>
    </w:p>
    <w:p>
      <w:pPr>
        <w:spacing w:before="29" w:line="288" w:lineRule="auto"/>
        <w:rPr>
          <w:rFonts w:eastAsiaTheme="minorEastAsia"/>
          <w:b/>
          <w:sz w:val="24"/>
        </w:rPr>
      </w:pPr>
      <w:r>
        <w:rPr>
          <w:rFonts w:eastAsiaTheme="minorEastAsia"/>
          <w:b/>
          <w:sz w:val="24"/>
        </w:rPr>
        <w:t>8.12.5</w:t>
      </w:r>
      <w:r>
        <w:rPr>
          <w:rFonts w:hint="eastAsia" w:eastAsiaTheme="minorEastAsia"/>
          <w:b/>
          <w:sz w:val="24"/>
        </w:rPr>
        <w:t>期末前十名股票中存在流通受限情况的说明</w:t>
      </w:r>
    </w:p>
    <w:p>
      <w:pPr>
        <w:tabs>
          <w:tab w:val="left" w:pos="426"/>
        </w:tabs>
        <w:spacing w:before="29" w:line="288" w:lineRule="auto"/>
        <w:jc w:val="left"/>
        <w:rPr>
          <w:kern w:val="0"/>
          <w:sz w:val="24"/>
        </w:rPr>
      </w:pPr>
      <w:r>
        <w:rPr>
          <w:kern w:val="0"/>
          <w:sz w:val="24"/>
        </w:rPr>
        <w:t>本基金本报告期末未持有股票。</w:t>
      </w:r>
    </w:p>
    <w:p>
      <w:pPr>
        <w:autoSpaceDE w:val="0"/>
        <w:autoSpaceDN w:val="0"/>
        <w:adjustRightInd w:val="0"/>
        <w:spacing w:line="360" w:lineRule="auto"/>
        <w:ind w:firstLine="420"/>
        <w:rPr>
          <w:rFonts w:asciiTheme="minorEastAsia" w:hAnsiTheme="minorEastAsia" w:eastAsiaTheme="minorEastAsia"/>
          <w:color w:val="000000"/>
          <w:szCs w:val="21"/>
        </w:rPr>
      </w:pPr>
    </w:p>
    <w:p>
      <w:pPr>
        <w:spacing w:before="29" w:line="288" w:lineRule="auto"/>
        <w:rPr>
          <w:rFonts w:eastAsiaTheme="minorEastAsia"/>
          <w:b/>
          <w:sz w:val="24"/>
        </w:rPr>
      </w:pPr>
      <w:r>
        <w:rPr>
          <w:rFonts w:eastAsiaTheme="minorEastAsia"/>
          <w:b/>
          <w:sz w:val="24"/>
        </w:rPr>
        <w:t>8.12.6</w:t>
      </w:r>
      <w:r>
        <w:rPr>
          <w:rFonts w:hint="eastAsia" w:eastAsiaTheme="minorEastAsia"/>
          <w:b/>
          <w:sz w:val="24"/>
        </w:rPr>
        <w:t>投资组合报告附注的其他文字描述部分</w:t>
      </w:r>
    </w:p>
    <w:p>
      <w:pPr>
        <w:spacing w:before="29" w:line="288" w:lineRule="auto"/>
        <w:rPr>
          <w:kern w:val="0"/>
          <w:sz w:val="24"/>
        </w:rPr>
      </w:pPr>
      <w:r>
        <w:rPr>
          <w:kern w:val="0"/>
          <w:sz w:val="24"/>
        </w:rPr>
        <w:t>由于四舍五入的原因，分项之和与合计项之间可能存在尾差。</w:t>
      </w:r>
    </w:p>
    <w:p>
      <w:pPr>
        <w:spacing w:before="29" w:line="288" w:lineRule="auto"/>
        <w:rPr>
          <w:kern w:val="0"/>
          <w:sz w:val="24"/>
        </w:rPr>
      </w:pPr>
    </w:p>
    <w:p>
      <w:pPr>
        <w:pStyle w:val="2"/>
        <w:keepNext/>
        <w:keepLines/>
        <w:widowControl w:val="0"/>
        <w:spacing w:before="312" w:beforeLines="100" w:after="312" w:afterLines="100" w:line="288" w:lineRule="auto"/>
        <w:jc w:val="center"/>
        <w:rPr>
          <w:b/>
          <w:bCs/>
          <w:szCs w:val="24"/>
          <w:lang w:val="en-US"/>
        </w:rPr>
      </w:pPr>
      <w:bookmarkStart w:id="235" w:name="_Toc361324888"/>
      <w:bookmarkStart w:id="236" w:name="_Toc225500050"/>
      <w:bookmarkStart w:id="237" w:name="_Toc67668011"/>
      <w:r>
        <w:rPr>
          <w:rFonts w:hint="eastAsia"/>
          <w:b/>
          <w:bCs/>
          <w:szCs w:val="24"/>
          <w:lang w:val="en-US"/>
        </w:rPr>
        <w:t>§</w:t>
      </w:r>
      <w:r>
        <w:rPr>
          <w:b/>
          <w:bCs/>
          <w:szCs w:val="24"/>
          <w:lang w:val="en-US"/>
        </w:rPr>
        <w:t>9</w:t>
      </w:r>
      <w:r>
        <w:rPr>
          <w:rFonts w:hint="eastAsia"/>
          <w:b/>
          <w:bCs/>
          <w:szCs w:val="24"/>
          <w:lang w:val="en-US"/>
        </w:rPr>
        <w:t>基金份额持有人信息</w:t>
      </w:r>
      <w:bookmarkEnd w:id="235"/>
      <w:bookmarkEnd w:id="236"/>
      <w:bookmarkEnd w:id="237"/>
    </w:p>
    <w:p>
      <w:pPr>
        <w:pStyle w:val="3"/>
        <w:spacing w:before="29" w:after="0" w:line="288" w:lineRule="auto"/>
        <w:rPr>
          <w:rFonts w:ascii="Times New Roman" w:hAnsi="Times New Roman"/>
          <w:kern w:val="0"/>
          <w:szCs w:val="24"/>
        </w:rPr>
      </w:pPr>
      <w:bookmarkStart w:id="238" w:name="_Toc361324889"/>
      <w:bookmarkStart w:id="239" w:name="_Toc225500051"/>
      <w:bookmarkStart w:id="240" w:name="_Toc67668012"/>
      <w:r>
        <w:rPr>
          <w:rFonts w:ascii="Times New Roman" w:hAnsi="Times New Roman"/>
          <w:kern w:val="0"/>
          <w:szCs w:val="24"/>
        </w:rPr>
        <w:t xml:space="preserve">9.1 </w:t>
      </w:r>
      <w:r>
        <w:rPr>
          <w:rFonts w:hint="eastAsia" w:ascii="Times New Roman" w:hAnsi="Times New Roman"/>
          <w:kern w:val="0"/>
          <w:szCs w:val="24"/>
        </w:rPr>
        <w:t>期末基金份额持有人户数及持有人结构</w:t>
      </w:r>
      <w:bookmarkEnd w:id="238"/>
      <w:bookmarkEnd w:id="239"/>
      <w:bookmarkEnd w:id="240"/>
    </w:p>
    <w:p>
      <w:pPr>
        <w:autoSpaceDE w:val="0"/>
        <w:autoSpaceDN w:val="0"/>
        <w:adjustRightInd w:val="0"/>
        <w:spacing w:before="29" w:line="288" w:lineRule="auto"/>
        <w:ind w:left="15"/>
        <w:jc w:val="right"/>
        <w:rPr>
          <w:bCs/>
          <w:color w:val="000000"/>
          <w:sz w:val="24"/>
        </w:rPr>
      </w:pPr>
      <w:r>
        <w:rPr>
          <w:rFonts w:hint="eastAsia"/>
          <w:bCs/>
          <w:color w:val="000000"/>
          <w:sz w:val="24"/>
        </w:rPr>
        <w:t>份额单位：份</w:t>
      </w:r>
    </w:p>
    <w:p>
      <w:pPr>
        <w:spacing w:before="29" w:line="288" w:lineRule="auto"/>
        <w:jc w:val="right"/>
        <w:rPr>
          <w:color w:val="000000"/>
          <w:kern w:val="0"/>
          <w:sz w:val="24"/>
        </w:rPr>
      </w:pPr>
    </w:p>
    <w:tbl>
      <w:tblPr>
        <w:tblStyle w:val="31"/>
        <w:tblW w:w="5000" w:type="pct"/>
        <w:jc w:val="center"/>
        <w:tblLayout w:type="fixed"/>
        <w:tblCellMar>
          <w:top w:w="0" w:type="dxa"/>
          <w:left w:w="108" w:type="dxa"/>
          <w:bottom w:w="0" w:type="dxa"/>
          <w:right w:w="108" w:type="dxa"/>
        </w:tblCellMar>
      </w:tblPr>
      <w:tblGrid>
        <w:gridCol w:w="1668"/>
        <w:gridCol w:w="851"/>
        <w:gridCol w:w="1417"/>
        <w:gridCol w:w="1701"/>
        <w:gridCol w:w="992"/>
        <w:gridCol w:w="1701"/>
        <w:gridCol w:w="956"/>
      </w:tblGrid>
      <w:tr>
        <w:tblPrEx>
          <w:tblCellMar>
            <w:top w:w="0" w:type="dxa"/>
            <w:left w:w="108" w:type="dxa"/>
            <w:bottom w:w="0" w:type="dxa"/>
            <w:right w:w="108" w:type="dxa"/>
          </w:tblCellMar>
        </w:tblPrEx>
        <w:trPr>
          <w:jc w:val="center"/>
        </w:trPr>
        <w:tc>
          <w:tcPr>
            <w:tcW w:w="898" w:type="pct"/>
            <w:vMerge w:val="restart"/>
            <w:tcBorders>
              <w:top w:val="single" w:color="000000" w:sz="8" w:space="0"/>
              <w:left w:val="single" w:color="000000" w:sz="8" w:space="0"/>
              <w:right w:val="single" w:color="000000" w:sz="8" w:space="0"/>
            </w:tcBorders>
            <w:vAlign w:val="center"/>
          </w:tcPr>
          <w:p>
            <w:pPr>
              <w:widowControl/>
              <w:autoSpaceDE w:val="0"/>
              <w:autoSpaceDN w:val="0"/>
              <w:spacing w:before="29" w:line="288" w:lineRule="auto"/>
              <w:ind w:right="-15"/>
              <w:jc w:val="center"/>
              <w:textAlignment w:val="bottom"/>
              <w:rPr>
                <w:color w:val="000000"/>
                <w:szCs w:val="21"/>
              </w:rPr>
            </w:pPr>
            <w:r>
              <w:rPr>
                <w:rFonts w:hint="eastAsia"/>
                <w:color w:val="000000"/>
                <w:szCs w:val="21"/>
              </w:rPr>
              <w:t>份额级别</w:t>
            </w:r>
          </w:p>
        </w:tc>
        <w:tc>
          <w:tcPr>
            <w:tcW w:w="458" w:type="pct"/>
            <w:vMerge w:val="restart"/>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spacing w:before="29" w:line="288" w:lineRule="auto"/>
              <w:ind w:right="-15"/>
              <w:jc w:val="center"/>
              <w:textAlignment w:val="bottom"/>
              <w:rPr>
                <w:color w:val="000000"/>
                <w:szCs w:val="21"/>
              </w:rPr>
            </w:pPr>
            <w:r>
              <w:rPr>
                <w:rFonts w:hint="eastAsia"/>
                <w:color w:val="000000"/>
                <w:szCs w:val="21"/>
              </w:rPr>
              <w:t>持有人户数</w:t>
            </w:r>
            <w:r>
              <w:rPr>
                <w:color w:val="000000"/>
                <w:szCs w:val="21"/>
              </w:rPr>
              <w:t>(</w:t>
            </w:r>
            <w:r>
              <w:rPr>
                <w:rFonts w:hint="eastAsia"/>
                <w:color w:val="000000"/>
                <w:szCs w:val="21"/>
              </w:rPr>
              <w:t>户</w:t>
            </w:r>
            <w:r>
              <w:rPr>
                <w:color w:val="000000"/>
                <w:szCs w:val="21"/>
              </w:rPr>
              <w:t>)</w:t>
            </w:r>
          </w:p>
        </w:tc>
        <w:tc>
          <w:tcPr>
            <w:tcW w:w="763" w:type="pct"/>
            <w:vMerge w:val="restart"/>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spacing w:before="29" w:line="288" w:lineRule="auto"/>
              <w:ind w:right="-15"/>
              <w:jc w:val="center"/>
              <w:textAlignment w:val="bottom"/>
              <w:rPr>
                <w:color w:val="000000"/>
                <w:szCs w:val="21"/>
              </w:rPr>
            </w:pPr>
            <w:r>
              <w:rPr>
                <w:rFonts w:hint="eastAsia"/>
                <w:color w:val="000000"/>
                <w:szCs w:val="21"/>
              </w:rPr>
              <w:t>户均持有的基金份额</w:t>
            </w:r>
          </w:p>
        </w:tc>
        <w:tc>
          <w:tcPr>
            <w:tcW w:w="2881" w:type="pct"/>
            <w:gridSpan w:val="4"/>
            <w:tcBorders>
              <w:top w:val="single" w:color="000000" w:sz="8" w:space="0"/>
              <w:left w:val="single" w:color="000000" w:sz="8" w:space="0"/>
              <w:bottom w:val="single" w:color="000000" w:sz="8" w:space="0"/>
              <w:right w:val="single" w:color="auto" w:sz="4" w:space="0"/>
            </w:tcBorders>
            <w:vAlign w:val="center"/>
          </w:tcPr>
          <w:p>
            <w:pPr>
              <w:widowControl/>
              <w:autoSpaceDE w:val="0"/>
              <w:autoSpaceDN w:val="0"/>
              <w:spacing w:before="29" w:line="288" w:lineRule="auto"/>
              <w:ind w:right="-15"/>
              <w:jc w:val="center"/>
              <w:textAlignment w:val="bottom"/>
              <w:rPr>
                <w:color w:val="000000"/>
                <w:szCs w:val="21"/>
              </w:rPr>
            </w:pPr>
            <w:r>
              <w:rPr>
                <w:rFonts w:hint="eastAsia"/>
                <w:color w:val="000000"/>
                <w:szCs w:val="21"/>
              </w:rPr>
              <w:t>持有人结构</w:t>
            </w:r>
          </w:p>
        </w:tc>
      </w:tr>
      <w:tr>
        <w:tblPrEx>
          <w:tblCellMar>
            <w:top w:w="0" w:type="dxa"/>
            <w:left w:w="108" w:type="dxa"/>
            <w:bottom w:w="0" w:type="dxa"/>
            <w:right w:w="108" w:type="dxa"/>
          </w:tblCellMar>
        </w:tblPrEx>
        <w:trPr>
          <w:jc w:val="center"/>
        </w:trPr>
        <w:tc>
          <w:tcPr>
            <w:tcW w:w="898" w:type="pct"/>
            <w:vMerge w:val="continue"/>
            <w:tcBorders>
              <w:left w:val="single" w:color="000000" w:sz="8" w:space="0"/>
              <w:right w:val="single" w:color="000000" w:sz="8" w:space="0"/>
            </w:tcBorders>
          </w:tcPr>
          <w:p>
            <w:pPr>
              <w:widowControl/>
              <w:autoSpaceDE w:val="0"/>
              <w:autoSpaceDN w:val="0"/>
              <w:spacing w:before="29" w:line="288" w:lineRule="auto"/>
              <w:ind w:right="-15"/>
              <w:jc w:val="center"/>
              <w:textAlignment w:val="bottom"/>
              <w:rPr>
                <w:color w:val="000000"/>
                <w:szCs w:val="21"/>
              </w:rPr>
            </w:pPr>
          </w:p>
        </w:tc>
        <w:tc>
          <w:tcPr>
            <w:tcW w:w="458" w:type="pct"/>
            <w:vMerge w:val="continue"/>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spacing w:before="29" w:line="288" w:lineRule="auto"/>
              <w:ind w:right="-15"/>
              <w:jc w:val="center"/>
              <w:textAlignment w:val="bottom"/>
              <w:rPr>
                <w:color w:val="000000"/>
                <w:szCs w:val="21"/>
              </w:rPr>
            </w:pPr>
          </w:p>
        </w:tc>
        <w:tc>
          <w:tcPr>
            <w:tcW w:w="763" w:type="pct"/>
            <w:vMerge w:val="continue"/>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color="000000" w:sz="8" w:space="0"/>
              <w:left w:val="single" w:color="000000" w:sz="8" w:space="0"/>
              <w:bottom w:val="single" w:color="000000" w:sz="8" w:space="0"/>
              <w:right w:val="single" w:color="000000" w:sz="8" w:space="0"/>
            </w:tcBorders>
            <w:vAlign w:val="center"/>
          </w:tcPr>
          <w:p>
            <w:pPr>
              <w:autoSpaceDE w:val="0"/>
              <w:autoSpaceDN w:val="0"/>
              <w:spacing w:before="29" w:line="288" w:lineRule="auto"/>
              <w:ind w:right="-15"/>
              <w:jc w:val="center"/>
              <w:textAlignment w:val="bottom"/>
              <w:rPr>
                <w:color w:val="000000"/>
                <w:szCs w:val="21"/>
              </w:rPr>
            </w:pPr>
            <w:r>
              <w:rPr>
                <w:rFonts w:hint="eastAsia"/>
                <w:color w:val="000000"/>
                <w:szCs w:val="21"/>
              </w:rPr>
              <w:t>机构投资者</w:t>
            </w:r>
          </w:p>
        </w:tc>
        <w:tc>
          <w:tcPr>
            <w:tcW w:w="1431" w:type="pct"/>
            <w:gridSpan w:val="2"/>
            <w:tcBorders>
              <w:top w:val="single" w:color="000000" w:sz="8" w:space="0"/>
              <w:left w:val="single" w:color="000000" w:sz="8" w:space="0"/>
              <w:bottom w:val="single" w:color="000000" w:sz="8" w:space="0"/>
              <w:right w:val="single" w:color="000000" w:sz="8" w:space="0"/>
            </w:tcBorders>
            <w:vAlign w:val="center"/>
          </w:tcPr>
          <w:p>
            <w:pPr>
              <w:autoSpaceDE w:val="0"/>
              <w:autoSpaceDN w:val="0"/>
              <w:spacing w:before="29" w:line="288" w:lineRule="auto"/>
              <w:ind w:right="-15"/>
              <w:jc w:val="center"/>
              <w:textAlignment w:val="bottom"/>
              <w:rPr>
                <w:color w:val="000000"/>
                <w:szCs w:val="21"/>
              </w:rPr>
            </w:pPr>
            <w:r>
              <w:rPr>
                <w:rFonts w:hint="eastAsia"/>
                <w:color w:val="000000"/>
                <w:szCs w:val="21"/>
              </w:rPr>
              <w:t>个人投资者</w:t>
            </w:r>
          </w:p>
        </w:tc>
      </w:tr>
      <w:tr>
        <w:tblPrEx>
          <w:tblCellMar>
            <w:top w:w="0" w:type="dxa"/>
            <w:left w:w="108" w:type="dxa"/>
            <w:bottom w:w="0" w:type="dxa"/>
            <w:right w:w="108" w:type="dxa"/>
          </w:tblCellMar>
        </w:tblPrEx>
        <w:trPr>
          <w:jc w:val="center"/>
        </w:trPr>
        <w:tc>
          <w:tcPr>
            <w:tcW w:w="898" w:type="pct"/>
            <w:vMerge w:val="continue"/>
            <w:tcBorders>
              <w:left w:val="single" w:color="000000" w:sz="8" w:space="0"/>
              <w:bottom w:val="single" w:color="000000" w:sz="8" w:space="0"/>
              <w:right w:val="single" w:color="000000" w:sz="8" w:space="0"/>
            </w:tcBorders>
          </w:tcPr>
          <w:p>
            <w:pPr>
              <w:widowControl/>
              <w:autoSpaceDE w:val="0"/>
              <w:autoSpaceDN w:val="0"/>
              <w:spacing w:before="29" w:line="288" w:lineRule="auto"/>
              <w:ind w:right="-15"/>
              <w:jc w:val="center"/>
              <w:textAlignment w:val="bottom"/>
              <w:rPr>
                <w:color w:val="000000"/>
                <w:szCs w:val="21"/>
              </w:rPr>
            </w:pPr>
          </w:p>
        </w:tc>
        <w:tc>
          <w:tcPr>
            <w:tcW w:w="458" w:type="pct"/>
            <w:vMerge w:val="continue"/>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spacing w:before="29" w:line="288" w:lineRule="auto"/>
              <w:ind w:right="-15"/>
              <w:jc w:val="center"/>
              <w:textAlignment w:val="bottom"/>
              <w:rPr>
                <w:color w:val="000000"/>
                <w:szCs w:val="21"/>
              </w:rPr>
            </w:pPr>
          </w:p>
        </w:tc>
        <w:tc>
          <w:tcPr>
            <w:tcW w:w="763" w:type="pct"/>
            <w:vMerge w:val="continue"/>
            <w:tcBorders>
              <w:top w:val="single" w:color="000000" w:sz="8" w:space="0"/>
              <w:left w:val="single" w:color="000000" w:sz="8" w:space="0"/>
              <w:bottom w:val="single" w:color="000000" w:sz="8" w:space="0"/>
              <w:right w:val="single" w:color="000000" w:sz="8" w:space="0"/>
            </w:tcBorders>
            <w:vAlign w:val="center"/>
          </w:tcPr>
          <w:p>
            <w:pPr>
              <w:widowControl/>
              <w:autoSpaceDE w:val="0"/>
              <w:autoSpaceDN w:val="0"/>
              <w:spacing w:before="29" w:line="288" w:lineRule="auto"/>
              <w:ind w:right="-15"/>
              <w:jc w:val="center"/>
              <w:textAlignment w:val="bottom"/>
              <w:rPr>
                <w:color w:val="000000"/>
                <w:szCs w:val="21"/>
              </w:rPr>
            </w:pPr>
          </w:p>
        </w:tc>
        <w:tc>
          <w:tcPr>
            <w:tcW w:w="916" w:type="pct"/>
            <w:tcBorders>
              <w:top w:val="single" w:color="000000" w:sz="8" w:space="0"/>
              <w:left w:val="single" w:color="000000" w:sz="8" w:space="0"/>
              <w:bottom w:val="single" w:color="000000" w:sz="8" w:space="0"/>
              <w:right w:val="single" w:color="000000" w:sz="8" w:space="0"/>
            </w:tcBorders>
            <w:vAlign w:val="center"/>
          </w:tcPr>
          <w:p>
            <w:pPr>
              <w:autoSpaceDE w:val="0"/>
              <w:autoSpaceDN w:val="0"/>
              <w:spacing w:before="29" w:line="288" w:lineRule="auto"/>
              <w:ind w:right="-15"/>
              <w:jc w:val="center"/>
              <w:textAlignment w:val="bottom"/>
              <w:rPr>
                <w:color w:val="000000"/>
                <w:szCs w:val="21"/>
              </w:rPr>
            </w:pPr>
            <w:r>
              <w:rPr>
                <w:rFonts w:hint="eastAsia"/>
                <w:color w:val="000000"/>
                <w:szCs w:val="21"/>
              </w:rPr>
              <w:t>持有份额</w:t>
            </w:r>
          </w:p>
        </w:tc>
        <w:tc>
          <w:tcPr>
            <w:tcW w:w="534" w:type="pct"/>
            <w:tcBorders>
              <w:top w:val="single" w:color="000000" w:sz="8" w:space="0"/>
              <w:left w:val="single" w:color="000000" w:sz="8" w:space="0"/>
              <w:bottom w:val="single" w:color="000000" w:sz="8" w:space="0"/>
              <w:right w:val="single" w:color="000000" w:sz="8" w:space="0"/>
            </w:tcBorders>
            <w:vAlign w:val="center"/>
          </w:tcPr>
          <w:p>
            <w:pPr>
              <w:autoSpaceDE w:val="0"/>
              <w:autoSpaceDN w:val="0"/>
              <w:spacing w:before="29" w:line="288" w:lineRule="auto"/>
              <w:ind w:right="-15"/>
              <w:jc w:val="center"/>
              <w:textAlignment w:val="bottom"/>
              <w:rPr>
                <w:color w:val="000000"/>
                <w:szCs w:val="21"/>
              </w:rPr>
            </w:pPr>
            <w:r>
              <w:rPr>
                <w:rFonts w:hint="eastAsia"/>
                <w:color w:val="000000"/>
                <w:szCs w:val="21"/>
              </w:rPr>
              <w:t>占总份额比例</w:t>
            </w:r>
          </w:p>
        </w:tc>
        <w:tc>
          <w:tcPr>
            <w:tcW w:w="916" w:type="pct"/>
            <w:tcBorders>
              <w:top w:val="single" w:color="000000" w:sz="8" w:space="0"/>
              <w:left w:val="single" w:color="000000" w:sz="8" w:space="0"/>
              <w:bottom w:val="single" w:color="000000" w:sz="8" w:space="0"/>
              <w:right w:val="single" w:color="000000" w:sz="8" w:space="0"/>
            </w:tcBorders>
            <w:vAlign w:val="center"/>
          </w:tcPr>
          <w:p>
            <w:pPr>
              <w:autoSpaceDE w:val="0"/>
              <w:autoSpaceDN w:val="0"/>
              <w:spacing w:before="29" w:line="288" w:lineRule="auto"/>
              <w:ind w:right="-15"/>
              <w:jc w:val="center"/>
              <w:textAlignment w:val="bottom"/>
              <w:rPr>
                <w:color w:val="000000"/>
                <w:szCs w:val="21"/>
              </w:rPr>
            </w:pPr>
            <w:r>
              <w:rPr>
                <w:rFonts w:hint="eastAsia"/>
                <w:color w:val="000000"/>
                <w:szCs w:val="21"/>
              </w:rPr>
              <w:t>持有份额</w:t>
            </w:r>
          </w:p>
        </w:tc>
        <w:tc>
          <w:tcPr>
            <w:tcW w:w="515" w:type="pct"/>
            <w:tcBorders>
              <w:top w:val="single" w:color="000000" w:sz="8" w:space="0"/>
              <w:left w:val="single" w:color="000000" w:sz="8" w:space="0"/>
              <w:bottom w:val="single" w:color="000000" w:sz="8" w:space="0"/>
              <w:right w:val="single" w:color="auto" w:sz="4" w:space="0"/>
            </w:tcBorders>
            <w:vAlign w:val="center"/>
          </w:tcPr>
          <w:p>
            <w:pPr>
              <w:autoSpaceDE w:val="0"/>
              <w:autoSpaceDN w:val="0"/>
              <w:spacing w:before="29" w:line="288" w:lineRule="auto"/>
              <w:ind w:right="-15"/>
              <w:jc w:val="center"/>
              <w:textAlignment w:val="bottom"/>
              <w:rPr>
                <w:color w:val="000000"/>
                <w:szCs w:val="21"/>
              </w:rPr>
            </w:pPr>
            <w:r>
              <w:rPr>
                <w:rFonts w:hint="eastAsia"/>
                <w:color w:val="000000"/>
                <w:szCs w:val="21"/>
              </w:rPr>
              <w:t>占总份额比例</w:t>
            </w:r>
          </w:p>
        </w:tc>
      </w:tr>
      <w:tr>
        <w:tblPrEx>
          <w:tblCellMar>
            <w:top w:w="0" w:type="dxa"/>
            <w:left w:w="108" w:type="dxa"/>
            <w:bottom w:w="0" w:type="dxa"/>
            <w:right w:w="108" w:type="dxa"/>
          </w:tblCellMar>
        </w:tblPrEx>
        <w:trPr>
          <w:jc w:val="center"/>
        </w:trPr>
        <w:tc>
          <w:tcPr>
            <w:tcW w:w="898" w:type="pct"/>
            <w:tcBorders>
              <w:left w:val="single" w:color="000000" w:sz="8" w:space="0"/>
              <w:bottom w:val="single" w:color="000000" w:sz="8" w:space="0"/>
              <w:right w:val="single" w:color="000000" w:sz="8" w:space="0"/>
            </w:tcBorders>
            <w:vAlign w:val="center"/>
          </w:tcPr>
          <w:p>
            <w:pPr>
              <w:spacing w:before="29" w:line="288" w:lineRule="auto"/>
              <w:jc w:val="center"/>
              <w:rPr>
                <w:bCs/>
                <w:szCs w:val="21"/>
              </w:rPr>
            </w:pPr>
            <w:bookmarkStart w:id="293" w:name="_GoBack" w:colFirst="1" w:colLast="2"/>
            <w:r>
              <w:rPr>
                <w:bCs/>
                <w:szCs w:val="21"/>
              </w:rPr>
              <w:t>交银丰晟收益债券A</w:t>
            </w:r>
          </w:p>
        </w:tc>
        <w:tc>
          <w:tcPr>
            <w:tcW w:w="851"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3,413</w:t>
            </w:r>
          </w:p>
        </w:tc>
        <w:tc>
          <w:tcPr>
            <w:tcW w:w="1417"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81,178.20</w:t>
            </w:r>
          </w:p>
        </w:tc>
        <w:tc>
          <w:tcPr>
            <w:tcW w:w="916"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216,091,576.16</w:t>
            </w:r>
          </w:p>
        </w:tc>
        <w:tc>
          <w:tcPr>
            <w:tcW w:w="534"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77.99%</w:t>
            </w:r>
          </w:p>
        </w:tc>
        <w:tc>
          <w:tcPr>
            <w:tcW w:w="916"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60,969,629.56</w:t>
            </w:r>
          </w:p>
        </w:tc>
        <w:tc>
          <w:tcPr>
            <w:tcW w:w="515" w:type="pct"/>
            <w:tcBorders>
              <w:top w:val="single" w:color="000000" w:sz="8" w:space="0"/>
              <w:left w:val="single" w:color="000000" w:sz="8" w:space="0"/>
              <w:bottom w:val="single" w:color="000000" w:sz="8" w:space="0"/>
              <w:right w:val="single" w:color="auto" w:sz="4" w:space="0"/>
            </w:tcBorders>
            <w:vAlign w:val="center"/>
          </w:tcPr>
          <w:p>
            <w:pPr>
              <w:spacing w:before="29" w:line="288" w:lineRule="auto"/>
              <w:jc w:val="right"/>
              <w:rPr>
                <w:color w:val="000000"/>
                <w:kern w:val="0"/>
                <w:szCs w:val="21"/>
              </w:rPr>
            </w:pPr>
            <w:r>
              <w:rPr>
                <w:color w:val="000000"/>
                <w:kern w:val="0"/>
                <w:szCs w:val="21"/>
              </w:rPr>
              <w:t>22.01%</w:t>
            </w:r>
          </w:p>
        </w:tc>
      </w:tr>
      <w:tr>
        <w:tblPrEx>
          <w:tblCellMar>
            <w:top w:w="0" w:type="dxa"/>
            <w:left w:w="108" w:type="dxa"/>
            <w:bottom w:w="0" w:type="dxa"/>
            <w:right w:w="108" w:type="dxa"/>
          </w:tblCellMar>
        </w:tblPrEx>
        <w:trPr>
          <w:jc w:val="center"/>
        </w:trPr>
        <w:tc>
          <w:tcPr>
            <w:tcW w:w="898" w:type="pct"/>
            <w:tcBorders>
              <w:left w:val="single" w:color="000000" w:sz="8" w:space="0"/>
              <w:bottom w:val="single" w:color="000000" w:sz="8" w:space="0"/>
              <w:right w:val="single" w:color="000000" w:sz="8" w:space="0"/>
            </w:tcBorders>
            <w:vAlign w:val="center"/>
          </w:tcPr>
          <w:p>
            <w:pPr>
              <w:spacing w:before="29" w:line="288" w:lineRule="auto"/>
              <w:jc w:val="center"/>
              <w:rPr>
                <w:bCs/>
                <w:szCs w:val="21"/>
              </w:rPr>
            </w:pPr>
            <w:r>
              <w:rPr>
                <w:bCs/>
                <w:szCs w:val="21"/>
              </w:rPr>
              <w:t>交银丰晟收益债券C</w:t>
            </w:r>
          </w:p>
        </w:tc>
        <w:tc>
          <w:tcPr>
            <w:tcW w:w="851"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25</w:t>
            </w:r>
          </w:p>
        </w:tc>
        <w:tc>
          <w:tcPr>
            <w:tcW w:w="1417"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4,733.49</w:t>
            </w:r>
          </w:p>
        </w:tc>
        <w:tc>
          <w:tcPr>
            <w:tcW w:w="916"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w:t>
            </w:r>
          </w:p>
        </w:tc>
        <w:tc>
          <w:tcPr>
            <w:tcW w:w="534"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w:t>
            </w:r>
          </w:p>
        </w:tc>
        <w:tc>
          <w:tcPr>
            <w:tcW w:w="916"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118,337.28</w:t>
            </w:r>
          </w:p>
        </w:tc>
        <w:tc>
          <w:tcPr>
            <w:tcW w:w="515" w:type="pct"/>
            <w:tcBorders>
              <w:top w:val="single" w:color="000000" w:sz="8" w:space="0"/>
              <w:left w:val="single" w:color="000000" w:sz="8" w:space="0"/>
              <w:bottom w:val="single" w:color="000000" w:sz="8" w:space="0"/>
              <w:right w:val="single" w:color="auto" w:sz="4" w:space="0"/>
            </w:tcBorders>
            <w:vAlign w:val="center"/>
          </w:tcPr>
          <w:p>
            <w:pPr>
              <w:spacing w:before="29" w:line="288" w:lineRule="auto"/>
              <w:jc w:val="right"/>
              <w:rPr>
                <w:color w:val="000000"/>
                <w:kern w:val="0"/>
                <w:szCs w:val="21"/>
              </w:rPr>
            </w:pPr>
            <w:r>
              <w:rPr>
                <w:color w:val="000000"/>
                <w:kern w:val="0"/>
                <w:szCs w:val="21"/>
              </w:rPr>
              <w:t>100.00%</w:t>
            </w:r>
          </w:p>
        </w:tc>
      </w:tr>
      <w:tr>
        <w:tblPrEx>
          <w:tblCellMar>
            <w:top w:w="0" w:type="dxa"/>
            <w:left w:w="108" w:type="dxa"/>
            <w:bottom w:w="0" w:type="dxa"/>
            <w:right w:w="108" w:type="dxa"/>
          </w:tblCellMar>
        </w:tblPrEx>
        <w:trPr>
          <w:jc w:val="center"/>
        </w:trPr>
        <w:tc>
          <w:tcPr>
            <w:tcW w:w="898"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center"/>
              <w:rPr>
                <w:bCs/>
                <w:szCs w:val="21"/>
              </w:rPr>
            </w:pPr>
            <w:r>
              <w:rPr>
                <w:rFonts w:hint="eastAsia"/>
                <w:bCs/>
                <w:szCs w:val="21"/>
              </w:rPr>
              <w:t>合计</w:t>
            </w:r>
          </w:p>
        </w:tc>
        <w:tc>
          <w:tcPr>
            <w:tcW w:w="851"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3,438</w:t>
            </w:r>
          </w:p>
        </w:tc>
        <w:tc>
          <w:tcPr>
            <w:tcW w:w="1417"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80,622.32</w:t>
            </w:r>
          </w:p>
        </w:tc>
        <w:tc>
          <w:tcPr>
            <w:tcW w:w="916"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216,091,576.16</w:t>
            </w:r>
          </w:p>
        </w:tc>
        <w:tc>
          <w:tcPr>
            <w:tcW w:w="534"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77.96%</w:t>
            </w:r>
          </w:p>
        </w:tc>
        <w:tc>
          <w:tcPr>
            <w:tcW w:w="916"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color w:val="000000"/>
                <w:kern w:val="0"/>
                <w:szCs w:val="21"/>
              </w:rPr>
            </w:pPr>
            <w:r>
              <w:rPr>
                <w:color w:val="000000"/>
                <w:kern w:val="0"/>
                <w:szCs w:val="21"/>
              </w:rPr>
              <w:t>61,087,966.84</w:t>
            </w:r>
          </w:p>
        </w:tc>
        <w:tc>
          <w:tcPr>
            <w:tcW w:w="515" w:type="pct"/>
            <w:tcBorders>
              <w:top w:val="single" w:color="000000" w:sz="8" w:space="0"/>
              <w:left w:val="single" w:color="000000" w:sz="8" w:space="0"/>
              <w:bottom w:val="single" w:color="000000" w:sz="8" w:space="0"/>
              <w:right w:val="single" w:color="auto" w:sz="4" w:space="0"/>
            </w:tcBorders>
            <w:vAlign w:val="center"/>
          </w:tcPr>
          <w:p>
            <w:pPr>
              <w:spacing w:before="29" w:line="288" w:lineRule="auto"/>
              <w:jc w:val="right"/>
              <w:rPr>
                <w:color w:val="000000"/>
                <w:kern w:val="0"/>
                <w:szCs w:val="21"/>
              </w:rPr>
            </w:pPr>
            <w:r>
              <w:rPr>
                <w:color w:val="000000"/>
                <w:kern w:val="0"/>
                <w:szCs w:val="21"/>
              </w:rPr>
              <w:t>22.04%</w:t>
            </w:r>
          </w:p>
        </w:tc>
      </w:tr>
      <w:bookmarkEnd w:id="293"/>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41" w:name="_Toc361324891"/>
      <w:bookmarkStart w:id="242" w:name="_Toc67668013"/>
      <w:r>
        <w:rPr>
          <w:rFonts w:ascii="Times New Roman" w:hAnsi="Times New Roman"/>
          <w:kern w:val="0"/>
          <w:szCs w:val="24"/>
        </w:rPr>
        <w:t>9.2</w:t>
      </w:r>
      <w:r>
        <w:rPr>
          <w:rFonts w:hint="eastAsia" w:ascii="Times New Roman" w:hAnsi="Times New Roman"/>
          <w:kern w:val="0"/>
          <w:szCs w:val="24"/>
        </w:rPr>
        <w:t>期末基金管理人的从业人员持有本基金的情况</w:t>
      </w:r>
      <w:bookmarkEnd w:id="241"/>
      <w:bookmarkEnd w:id="242"/>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694"/>
        <w:gridCol w:w="2126"/>
        <w:gridCol w:w="1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68" w:type="dxa"/>
            <w:noWrap/>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94"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2126" w:type="dxa"/>
            <w:noWrap/>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持有份额总数（份）</w:t>
            </w:r>
          </w:p>
        </w:tc>
        <w:tc>
          <w:tcPr>
            <w:tcW w:w="1910" w:type="dxa"/>
            <w:noWrap/>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占基金总份额比例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68" w:type="dxa"/>
            <w:vMerge w:val="restart"/>
            <w:noWrap/>
            <w:vAlign w:val="center"/>
          </w:tcPr>
          <w:p>
            <w:pPr>
              <w:spacing w:line="360" w:lineRule="auto"/>
              <w:rPr>
                <w:rFonts w:asciiTheme="minorEastAsia" w:hAnsiTheme="minorEastAsia" w:eastAsiaTheme="minorEastAsia"/>
                <w:color w:val="000000"/>
                <w:szCs w:val="21"/>
              </w:rPr>
            </w:pPr>
            <w:r>
              <w:rPr>
                <w:rFonts w:hint="eastAsia"/>
                <w:color w:val="000000"/>
                <w:sz w:val="24"/>
              </w:rPr>
              <w:t>基金管理人所有从业人员持有本基金</w:t>
            </w:r>
          </w:p>
        </w:tc>
        <w:tc>
          <w:tcPr>
            <w:tcW w:w="2694" w:type="dxa"/>
            <w:vAlign w:val="center"/>
          </w:tcPr>
          <w:p>
            <w:pPr>
              <w:spacing w:before="29" w:line="288" w:lineRule="auto"/>
              <w:rPr>
                <w:color w:val="000000"/>
                <w:kern w:val="0"/>
                <w:sz w:val="24"/>
              </w:rPr>
            </w:pPr>
            <w:r>
              <w:rPr>
                <w:color w:val="000000"/>
                <w:kern w:val="0"/>
                <w:sz w:val="24"/>
              </w:rPr>
              <w:t>交银丰晟收益债券A</w:t>
            </w:r>
          </w:p>
        </w:tc>
        <w:tc>
          <w:tcPr>
            <w:tcW w:w="2126" w:type="dxa"/>
            <w:noWrap/>
            <w:vAlign w:val="center"/>
          </w:tcPr>
          <w:p>
            <w:pPr>
              <w:widowControl/>
              <w:spacing w:before="29" w:line="288" w:lineRule="auto"/>
              <w:jc w:val="right"/>
              <w:rPr>
                <w:color w:val="000000"/>
                <w:kern w:val="0"/>
                <w:sz w:val="24"/>
              </w:rPr>
            </w:pPr>
            <w:r>
              <w:rPr>
                <w:color w:val="000000"/>
                <w:kern w:val="0"/>
                <w:sz w:val="24"/>
              </w:rPr>
              <w:t>304.77</w:t>
            </w:r>
          </w:p>
        </w:tc>
        <w:tc>
          <w:tcPr>
            <w:tcW w:w="1910" w:type="dxa"/>
            <w:noWrap/>
            <w:vAlign w:val="center"/>
          </w:tcPr>
          <w:p>
            <w:pPr>
              <w:widowControl/>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68" w:type="dxa"/>
            <w:vMerge w:val="continue"/>
            <w:vAlign w:val="center"/>
          </w:tcPr>
          <w:p>
            <w:pPr>
              <w:widowControl/>
              <w:spacing w:line="360" w:lineRule="auto"/>
              <w:jc w:val="left"/>
              <w:rPr>
                <w:rFonts w:asciiTheme="minorEastAsia" w:hAnsiTheme="minorEastAsia" w:eastAsiaTheme="minorEastAsia"/>
                <w:color w:val="000000"/>
                <w:szCs w:val="21"/>
              </w:rPr>
            </w:pPr>
          </w:p>
        </w:tc>
        <w:tc>
          <w:tcPr>
            <w:tcW w:w="2694" w:type="dxa"/>
            <w:vAlign w:val="center"/>
          </w:tcPr>
          <w:p>
            <w:pPr>
              <w:spacing w:before="29" w:line="288" w:lineRule="auto"/>
              <w:rPr>
                <w:color w:val="000000"/>
                <w:kern w:val="0"/>
                <w:sz w:val="24"/>
              </w:rPr>
            </w:pPr>
            <w:r>
              <w:rPr>
                <w:color w:val="000000"/>
                <w:kern w:val="0"/>
                <w:sz w:val="24"/>
              </w:rPr>
              <w:t>交银丰晟收益债券C</w:t>
            </w:r>
          </w:p>
        </w:tc>
        <w:tc>
          <w:tcPr>
            <w:tcW w:w="2126" w:type="dxa"/>
            <w:noWrap/>
            <w:vAlign w:val="center"/>
          </w:tcPr>
          <w:p>
            <w:pPr>
              <w:widowControl/>
              <w:spacing w:before="29" w:line="288" w:lineRule="auto"/>
              <w:jc w:val="right"/>
              <w:rPr>
                <w:color w:val="000000"/>
                <w:kern w:val="0"/>
                <w:sz w:val="24"/>
              </w:rPr>
            </w:pPr>
            <w:r>
              <w:rPr>
                <w:color w:val="000000"/>
                <w:kern w:val="0"/>
                <w:sz w:val="24"/>
              </w:rPr>
              <w:t>0.00</w:t>
            </w:r>
          </w:p>
        </w:tc>
        <w:tc>
          <w:tcPr>
            <w:tcW w:w="1910" w:type="dxa"/>
            <w:noWrap/>
            <w:vAlign w:val="center"/>
          </w:tcPr>
          <w:p>
            <w:pPr>
              <w:widowControl/>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268" w:type="dxa"/>
            <w:vMerge w:val="continue"/>
            <w:vAlign w:val="center"/>
          </w:tcPr>
          <w:p>
            <w:pPr>
              <w:widowControl/>
              <w:spacing w:line="360" w:lineRule="auto"/>
              <w:jc w:val="left"/>
              <w:rPr>
                <w:rFonts w:asciiTheme="minorEastAsia" w:hAnsiTheme="minorEastAsia" w:eastAsiaTheme="minorEastAsia"/>
                <w:color w:val="000000"/>
                <w:szCs w:val="21"/>
              </w:rPr>
            </w:pPr>
          </w:p>
        </w:tc>
        <w:tc>
          <w:tcPr>
            <w:tcW w:w="2694" w:type="dxa"/>
            <w:vAlign w:val="center"/>
          </w:tcPr>
          <w:p>
            <w:pPr>
              <w:spacing w:before="29" w:line="288" w:lineRule="auto"/>
              <w:jc w:val="center"/>
              <w:rPr>
                <w:color w:val="000000"/>
                <w:kern w:val="0"/>
                <w:sz w:val="24"/>
              </w:rPr>
            </w:pPr>
            <w:r>
              <w:rPr>
                <w:rFonts w:hint="eastAsia"/>
                <w:color w:val="000000"/>
                <w:kern w:val="0"/>
                <w:sz w:val="24"/>
              </w:rPr>
              <w:t>合计</w:t>
            </w:r>
          </w:p>
        </w:tc>
        <w:tc>
          <w:tcPr>
            <w:tcW w:w="2126" w:type="dxa"/>
            <w:noWrap/>
            <w:vAlign w:val="center"/>
          </w:tcPr>
          <w:p>
            <w:pPr>
              <w:spacing w:before="29" w:line="288" w:lineRule="auto"/>
              <w:jc w:val="right"/>
              <w:rPr>
                <w:color w:val="000000"/>
                <w:kern w:val="0"/>
                <w:sz w:val="24"/>
              </w:rPr>
            </w:pPr>
            <w:r>
              <w:rPr>
                <w:color w:val="000000"/>
                <w:kern w:val="0"/>
                <w:sz w:val="24"/>
              </w:rPr>
              <w:t>304.77</w:t>
            </w:r>
          </w:p>
        </w:tc>
        <w:tc>
          <w:tcPr>
            <w:tcW w:w="1910" w:type="dxa"/>
            <w:noWrap/>
            <w:vAlign w:val="center"/>
          </w:tcPr>
          <w:p>
            <w:pPr>
              <w:spacing w:before="29" w:line="288" w:lineRule="auto"/>
              <w:jc w:val="right"/>
              <w:rPr>
                <w:color w:val="000000"/>
                <w:kern w:val="0"/>
                <w:sz w:val="24"/>
              </w:rPr>
            </w:pPr>
            <w:r>
              <w:rPr>
                <w:color w:val="000000"/>
                <w:kern w:val="0"/>
                <w:sz w:val="24"/>
              </w:rPr>
              <w:t>0.00%</w:t>
            </w:r>
          </w:p>
        </w:tc>
      </w:tr>
    </w:tbl>
    <w:p>
      <w:pPr>
        <w:widowControl/>
        <w:spacing w:line="360" w:lineRule="auto"/>
        <w:jc w:val="left"/>
        <w:rPr>
          <w:rFonts w:ascii="宋体" w:hAnsi="宋体"/>
          <w:szCs w:val="21"/>
        </w:rPr>
      </w:pPr>
    </w:p>
    <w:p>
      <w:pPr>
        <w:pStyle w:val="3"/>
        <w:spacing w:before="29" w:after="0" w:line="288" w:lineRule="auto"/>
        <w:rPr>
          <w:rFonts w:ascii="Times New Roman" w:hAnsi="Times New Roman"/>
          <w:kern w:val="0"/>
          <w:szCs w:val="24"/>
        </w:rPr>
      </w:pPr>
      <w:bookmarkStart w:id="243" w:name="_Toc67668014"/>
      <w:r>
        <w:rPr>
          <w:rFonts w:ascii="Times New Roman" w:hAnsi="Times New Roman"/>
          <w:kern w:val="0"/>
          <w:szCs w:val="24"/>
        </w:rPr>
        <w:t>9.3</w:t>
      </w:r>
      <w:r>
        <w:rPr>
          <w:rFonts w:hint="eastAsia" w:ascii="Times New Roman" w:hAnsi="Times New Roman"/>
          <w:kern w:val="0"/>
          <w:szCs w:val="24"/>
        </w:rPr>
        <w:t>期末基金管理人的从业人员持有本开放式基金份额总量区间的情况</w:t>
      </w:r>
      <w:bookmarkEnd w:id="243"/>
    </w:p>
    <w:tbl>
      <w:tblPr>
        <w:tblStyle w:val="31"/>
        <w:tblW w:w="8998"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3000"/>
        <w:gridCol w:w="2999"/>
        <w:gridCol w:w="29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3459" w:type="dxa"/>
            <w:shd w:val="clear" w:color="auto" w:fill="auto"/>
            <w:tcMar>
              <w:top w:w="0" w:type="dxa"/>
              <w:left w:w="108" w:type="dxa"/>
              <w:bottom w:w="0" w:type="dxa"/>
              <w:right w:w="108" w:type="dxa"/>
            </w:tcMar>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459" w:type="dxa"/>
            <w:shd w:val="clear" w:color="auto" w:fill="auto"/>
            <w:tcMar>
              <w:top w:w="0" w:type="dxa"/>
              <w:left w:w="108" w:type="dxa"/>
              <w:bottom w:w="0" w:type="dxa"/>
              <w:right w:w="108" w:type="dxa"/>
            </w:tcMar>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3459" w:type="dxa"/>
            <w:shd w:val="clear" w:color="auto" w:fill="auto"/>
            <w:tcMar>
              <w:top w:w="0" w:type="dxa"/>
              <w:left w:w="108" w:type="dxa"/>
              <w:bottom w:w="0" w:type="dxa"/>
              <w:right w:w="108" w:type="dxa"/>
            </w:tcMar>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持有基金份额总量的数量区间（万份）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3459" w:type="dxa"/>
            <w:vMerge w:val="restart"/>
            <w:shd w:val="clear" w:color="auto" w:fill="auto"/>
            <w:tcMar>
              <w:top w:w="0" w:type="dxa"/>
              <w:left w:w="108" w:type="dxa"/>
              <w:bottom w:w="0" w:type="dxa"/>
              <w:right w:w="108" w:type="dxa"/>
            </w:tcMar>
            <w:vAlign w:val="center"/>
          </w:tcPr>
          <w:p>
            <w:pPr>
              <w:pStyle w:val="4"/>
              <w:spacing w:before="29" w:line="288" w:lineRule="auto"/>
              <w:ind w:firstLine="0" w:firstLineChars="0"/>
              <w:jc w:val="center"/>
              <w:rPr>
                <w:color w:val="000000"/>
                <w:sz w:val="24"/>
              </w:rPr>
            </w:pPr>
            <w:r>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tcPr>
          <w:p>
            <w:pPr>
              <w:spacing w:before="29" w:line="288" w:lineRule="auto"/>
              <w:jc w:val="right"/>
              <w:rPr>
                <w:color w:val="000000"/>
                <w:kern w:val="0"/>
                <w:sz w:val="24"/>
              </w:rPr>
            </w:pPr>
            <w:r>
              <w:rPr>
                <w:rFonts w:hint="eastAsia"/>
                <w:color w:val="000000"/>
                <w:kern w:val="0"/>
                <w:sz w:val="24"/>
              </w:rPr>
              <w:t>交银丰晟收益债券A</w:t>
            </w:r>
          </w:p>
        </w:tc>
        <w:tc>
          <w:tcPr>
            <w:tcW w:w="3459" w:type="dxa"/>
            <w:shd w:val="clear" w:color="auto" w:fill="auto"/>
            <w:tcMar>
              <w:top w:w="0" w:type="dxa"/>
              <w:left w:w="108" w:type="dxa"/>
              <w:bottom w:w="0" w:type="dxa"/>
              <w:right w:w="108" w:type="dxa"/>
            </w:tcMar>
            <w:vAlign w:val="center"/>
          </w:tcPr>
          <w:p>
            <w:pPr>
              <w:spacing w:before="29" w:line="288" w:lineRule="auto"/>
              <w:jc w:val="right"/>
              <w:rPr>
                <w:color w:val="000000"/>
                <w:kern w:val="0"/>
                <w:sz w:val="24"/>
              </w:rPr>
            </w:pPr>
            <w:r>
              <w:rPr>
                <w:color w:val="000000"/>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3459" w:type="dxa"/>
            <w:vMerge w:val="continue"/>
            <w:shd w:val="clear" w:color="auto" w:fill="auto"/>
            <w:vAlign w:val="center"/>
          </w:tcPr>
          <w:p>
            <w:pPr>
              <w:pStyle w:val="4"/>
              <w:spacing w:before="29" w:line="288" w:lineRule="auto"/>
              <w:ind w:firstLine="0" w:firstLineChars="0"/>
              <w:jc w:val="center"/>
              <w:rPr>
                <w:color w:val="000000"/>
                <w:sz w:val="24"/>
              </w:rPr>
            </w:pPr>
          </w:p>
        </w:tc>
        <w:tc>
          <w:tcPr>
            <w:tcW w:w="3459" w:type="dxa"/>
            <w:shd w:val="clear" w:color="auto" w:fill="auto"/>
            <w:tcMar>
              <w:top w:w="0" w:type="dxa"/>
              <w:left w:w="108" w:type="dxa"/>
              <w:bottom w:w="0" w:type="dxa"/>
              <w:right w:w="108" w:type="dxa"/>
            </w:tcMar>
            <w:vAlign w:val="center"/>
          </w:tcPr>
          <w:p>
            <w:pPr>
              <w:spacing w:before="29" w:line="288" w:lineRule="auto"/>
              <w:jc w:val="right"/>
              <w:rPr>
                <w:color w:val="000000"/>
                <w:kern w:val="0"/>
                <w:sz w:val="24"/>
              </w:rPr>
            </w:pPr>
            <w:r>
              <w:rPr>
                <w:rFonts w:hint="eastAsia"/>
                <w:color w:val="000000"/>
                <w:kern w:val="0"/>
                <w:sz w:val="24"/>
              </w:rPr>
              <w:t>交银丰晟收益债券C</w:t>
            </w:r>
          </w:p>
        </w:tc>
        <w:tc>
          <w:tcPr>
            <w:tcW w:w="3459" w:type="dxa"/>
            <w:shd w:val="clear" w:color="auto" w:fill="auto"/>
            <w:tcMar>
              <w:top w:w="0" w:type="dxa"/>
              <w:left w:w="108" w:type="dxa"/>
              <w:bottom w:w="0" w:type="dxa"/>
              <w:right w:w="108" w:type="dxa"/>
            </w:tcMar>
            <w:vAlign w:val="center"/>
          </w:tcPr>
          <w:p>
            <w:pPr>
              <w:spacing w:before="29" w:line="288" w:lineRule="auto"/>
              <w:jc w:val="right"/>
              <w:rPr>
                <w:color w:val="000000"/>
                <w:kern w:val="0"/>
                <w:sz w:val="24"/>
              </w:rPr>
            </w:pPr>
            <w:r>
              <w:rPr>
                <w:color w:val="000000"/>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3459" w:type="dxa"/>
            <w:vMerge w:val="continue"/>
            <w:shd w:val="clear" w:color="auto" w:fill="auto"/>
            <w:vAlign w:val="center"/>
          </w:tcPr>
          <w:p>
            <w:pPr>
              <w:pStyle w:val="4"/>
              <w:spacing w:before="29" w:line="288" w:lineRule="auto"/>
              <w:ind w:firstLine="0" w:firstLineChars="0"/>
              <w:jc w:val="center"/>
              <w:rPr>
                <w:color w:val="000000"/>
                <w:sz w:val="24"/>
              </w:rPr>
            </w:pPr>
          </w:p>
        </w:tc>
        <w:tc>
          <w:tcPr>
            <w:tcW w:w="3459" w:type="dxa"/>
            <w:shd w:val="clear" w:color="auto" w:fill="auto"/>
            <w:tcMar>
              <w:top w:w="0" w:type="dxa"/>
              <w:left w:w="108" w:type="dxa"/>
              <w:bottom w:w="0" w:type="dxa"/>
              <w:right w:w="108" w:type="dxa"/>
            </w:tcMar>
            <w:vAlign w:val="center"/>
          </w:tcPr>
          <w:p>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pPr>
              <w:spacing w:before="29" w:line="288" w:lineRule="auto"/>
              <w:jc w:val="right"/>
              <w:rPr>
                <w:color w:val="000000"/>
                <w:kern w:val="0"/>
                <w:sz w:val="24"/>
              </w:rPr>
            </w:pPr>
            <w:r>
              <w:rPr>
                <w:color w:val="000000"/>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3459" w:type="dxa"/>
            <w:vMerge w:val="restart"/>
            <w:shd w:val="clear" w:color="auto" w:fill="auto"/>
            <w:tcMar>
              <w:top w:w="0" w:type="dxa"/>
              <w:left w:w="108" w:type="dxa"/>
              <w:bottom w:w="0" w:type="dxa"/>
              <w:right w:w="108" w:type="dxa"/>
            </w:tcMar>
            <w:vAlign w:val="center"/>
          </w:tcPr>
          <w:p>
            <w:pPr>
              <w:pStyle w:val="4"/>
              <w:spacing w:before="29" w:line="288" w:lineRule="auto"/>
              <w:ind w:firstLine="0" w:firstLineChars="0"/>
              <w:jc w:val="center"/>
              <w:rPr>
                <w:color w:val="000000"/>
                <w:sz w:val="24"/>
              </w:rPr>
            </w:pPr>
            <w:r>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tcPr>
          <w:p>
            <w:pPr>
              <w:spacing w:before="29" w:line="288" w:lineRule="auto"/>
              <w:jc w:val="right"/>
              <w:rPr>
                <w:color w:val="000000"/>
                <w:kern w:val="0"/>
                <w:sz w:val="24"/>
              </w:rPr>
            </w:pPr>
            <w:r>
              <w:rPr>
                <w:rFonts w:hint="eastAsia"/>
                <w:color w:val="000000"/>
                <w:kern w:val="0"/>
                <w:sz w:val="24"/>
              </w:rPr>
              <w:t>交银丰晟收益债券A</w:t>
            </w:r>
          </w:p>
        </w:tc>
        <w:tc>
          <w:tcPr>
            <w:tcW w:w="3459" w:type="dxa"/>
            <w:shd w:val="clear" w:color="auto" w:fill="auto"/>
            <w:tcMar>
              <w:top w:w="0" w:type="dxa"/>
              <w:left w:w="108" w:type="dxa"/>
              <w:bottom w:w="0" w:type="dxa"/>
              <w:right w:w="108" w:type="dxa"/>
            </w:tcMar>
            <w:vAlign w:val="center"/>
          </w:tcPr>
          <w:p>
            <w:pPr>
              <w:spacing w:before="29" w:line="288" w:lineRule="auto"/>
              <w:jc w:val="right"/>
              <w:rPr>
                <w:color w:val="000000"/>
                <w:kern w:val="0"/>
                <w:sz w:val="24"/>
              </w:rPr>
            </w:pPr>
            <w:r>
              <w:rPr>
                <w:color w:val="000000"/>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trPr>
        <w:tc>
          <w:tcPr>
            <w:tcW w:w="3459" w:type="dxa"/>
            <w:vMerge w:val="continue"/>
            <w:shd w:val="clear" w:color="auto" w:fill="auto"/>
            <w:vAlign w:val="center"/>
          </w:tcPr>
          <w:p>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pPr>
              <w:spacing w:before="29" w:line="288" w:lineRule="auto"/>
              <w:jc w:val="right"/>
              <w:rPr>
                <w:color w:val="000000"/>
                <w:kern w:val="0"/>
                <w:sz w:val="24"/>
              </w:rPr>
            </w:pPr>
            <w:r>
              <w:rPr>
                <w:rFonts w:hint="eastAsia"/>
                <w:color w:val="000000"/>
                <w:kern w:val="0"/>
                <w:sz w:val="24"/>
              </w:rPr>
              <w:t>交银丰晟收益债券C</w:t>
            </w:r>
          </w:p>
        </w:tc>
        <w:tc>
          <w:tcPr>
            <w:tcW w:w="3459" w:type="dxa"/>
            <w:shd w:val="clear" w:color="auto" w:fill="auto"/>
            <w:tcMar>
              <w:top w:w="0" w:type="dxa"/>
              <w:left w:w="108" w:type="dxa"/>
              <w:bottom w:w="0" w:type="dxa"/>
              <w:right w:w="108" w:type="dxa"/>
            </w:tcMar>
            <w:vAlign w:val="center"/>
          </w:tcPr>
          <w:p>
            <w:pPr>
              <w:spacing w:before="29" w:line="288" w:lineRule="auto"/>
              <w:jc w:val="right"/>
              <w:rPr>
                <w:color w:val="000000"/>
                <w:kern w:val="0"/>
                <w:sz w:val="24"/>
              </w:rPr>
            </w:pPr>
            <w:r>
              <w:rPr>
                <w:color w:val="000000"/>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3" w:hRule="atLeast"/>
        </w:trPr>
        <w:tc>
          <w:tcPr>
            <w:tcW w:w="3459" w:type="dxa"/>
            <w:vMerge w:val="continue"/>
            <w:shd w:val="clear" w:color="auto" w:fill="auto"/>
            <w:vAlign w:val="center"/>
          </w:tcPr>
          <w:p>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pPr>
              <w:spacing w:before="29" w:line="288" w:lineRule="auto"/>
              <w:jc w:val="right"/>
              <w:rPr>
                <w:color w:val="000000"/>
                <w:kern w:val="0"/>
                <w:sz w:val="24"/>
              </w:rPr>
            </w:pPr>
            <w:r>
              <w:rPr>
                <w:color w:val="000000"/>
                <w:kern w:val="0"/>
                <w:sz w:val="24"/>
              </w:rPr>
              <w:t>0</w:t>
            </w:r>
          </w:p>
        </w:tc>
      </w:tr>
    </w:tbl>
    <w:p>
      <w:pPr>
        <w:spacing w:line="360" w:lineRule="auto"/>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244" w:name="_Toc225500053"/>
      <w:bookmarkStart w:id="245" w:name="_Toc361324892"/>
      <w:bookmarkStart w:id="246" w:name="_Toc67668015"/>
      <w:r>
        <w:rPr>
          <w:rFonts w:hint="eastAsia"/>
          <w:b/>
          <w:bCs/>
          <w:szCs w:val="24"/>
          <w:lang w:val="en-US"/>
        </w:rPr>
        <w:t>§</w:t>
      </w:r>
      <w:r>
        <w:rPr>
          <w:b/>
          <w:bCs/>
          <w:szCs w:val="24"/>
          <w:lang w:val="en-US"/>
        </w:rPr>
        <w:t>10</w:t>
      </w:r>
      <w:r>
        <w:rPr>
          <w:rFonts w:hint="eastAsia"/>
          <w:b/>
          <w:bCs/>
          <w:szCs w:val="24"/>
          <w:lang w:val="en-US"/>
        </w:rPr>
        <w:t>开放式基金份额变动</w:t>
      </w:r>
      <w:bookmarkEnd w:id="244"/>
      <w:bookmarkEnd w:id="245"/>
      <w:bookmarkEnd w:id="246"/>
    </w:p>
    <w:p>
      <w:pPr>
        <w:autoSpaceDE w:val="0"/>
        <w:autoSpaceDN w:val="0"/>
        <w:adjustRightInd w:val="0"/>
        <w:spacing w:before="29" w:line="288" w:lineRule="auto"/>
        <w:ind w:left="15"/>
        <w:jc w:val="right"/>
        <w:rPr>
          <w:bCs/>
          <w:color w:val="000000"/>
          <w:sz w:val="24"/>
        </w:rPr>
      </w:pPr>
      <w:r>
        <w:rPr>
          <w:rFonts w:hint="eastAsia"/>
          <w:bCs/>
          <w:color w:val="000000"/>
          <w:sz w:val="24"/>
        </w:rPr>
        <w:t>单位：份</w:t>
      </w:r>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2835"/>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jc w:val="center"/>
              <w:rPr>
                <w:sz w:val="24"/>
              </w:rPr>
            </w:pPr>
            <w:r>
              <w:rPr>
                <w:rFonts w:hint="eastAsia"/>
                <w:sz w:val="24"/>
              </w:rPr>
              <w:t>项目</w:t>
            </w:r>
          </w:p>
        </w:tc>
        <w:tc>
          <w:tcPr>
            <w:tcW w:w="2835" w:type="dxa"/>
            <w:vAlign w:val="center"/>
          </w:tcPr>
          <w:p>
            <w:pPr>
              <w:spacing w:before="29" w:line="288" w:lineRule="auto"/>
              <w:jc w:val="right"/>
              <w:rPr>
                <w:sz w:val="24"/>
              </w:rPr>
            </w:pPr>
            <w:r>
              <w:rPr>
                <w:sz w:val="24"/>
              </w:rPr>
              <w:t>交银丰晟收益债券A</w:t>
            </w:r>
          </w:p>
        </w:tc>
        <w:tc>
          <w:tcPr>
            <w:tcW w:w="2902" w:type="dxa"/>
            <w:vAlign w:val="center"/>
          </w:tcPr>
          <w:p>
            <w:pPr>
              <w:spacing w:before="29" w:line="288" w:lineRule="auto"/>
              <w:jc w:val="right"/>
              <w:rPr>
                <w:sz w:val="24"/>
              </w:rPr>
            </w:pPr>
            <w:r>
              <w:rPr>
                <w:sz w:val="24"/>
              </w:rPr>
              <w:t>交银丰晟收益债券C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rFonts w:hint="eastAsia"/>
                <w:sz w:val="24"/>
              </w:rPr>
              <w:t>基金合同生效日（</w:t>
            </w:r>
            <w:r>
              <w:rPr>
                <w:sz w:val="24"/>
              </w:rPr>
              <w:t>2018年5月23日</w:t>
            </w:r>
            <w:r>
              <w:rPr>
                <w:rFonts w:hint="eastAsia"/>
                <w:sz w:val="24"/>
              </w:rPr>
              <w:t>）基金份额总额</w:t>
            </w:r>
          </w:p>
        </w:tc>
        <w:tc>
          <w:tcPr>
            <w:tcW w:w="2835" w:type="dxa"/>
            <w:vAlign w:val="center"/>
          </w:tcPr>
          <w:p>
            <w:pPr>
              <w:spacing w:before="29" w:line="288" w:lineRule="auto"/>
              <w:jc w:val="right"/>
              <w:rPr>
                <w:color w:val="000000"/>
                <w:kern w:val="0"/>
                <w:sz w:val="24"/>
              </w:rPr>
            </w:pPr>
            <w:r>
              <w:rPr>
                <w:color w:val="000000"/>
                <w:kern w:val="0"/>
                <w:sz w:val="24"/>
              </w:rPr>
              <w:t>330,813,244.80</w:t>
            </w:r>
          </w:p>
        </w:tc>
        <w:tc>
          <w:tcPr>
            <w:tcW w:w="2902" w:type="dxa"/>
            <w:vAlign w:val="center"/>
          </w:tcPr>
          <w:p>
            <w:pPr>
              <w:spacing w:before="29" w:line="288" w:lineRule="auto"/>
              <w:jc w:val="right"/>
              <w:rPr>
                <w:color w:val="000000"/>
                <w:kern w:val="0"/>
                <w:sz w:val="24"/>
              </w:rPr>
            </w:pPr>
            <w:r>
              <w:rPr>
                <w:color w:val="000000"/>
                <w:kern w:val="0"/>
                <w:sz w:val="24"/>
              </w:rPr>
              <w:t>776,663.43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rFonts w:hint="eastAsia"/>
                <w:sz w:val="24"/>
              </w:rPr>
              <w:t>本报告期期初基金份额总额</w:t>
            </w:r>
          </w:p>
        </w:tc>
        <w:tc>
          <w:tcPr>
            <w:tcW w:w="2835" w:type="dxa"/>
            <w:vAlign w:val="center"/>
          </w:tcPr>
          <w:p>
            <w:pPr>
              <w:spacing w:before="29" w:line="288" w:lineRule="auto"/>
              <w:jc w:val="right"/>
              <w:rPr>
                <w:color w:val="000000"/>
                <w:kern w:val="0"/>
                <w:sz w:val="24"/>
              </w:rPr>
            </w:pPr>
            <w:r>
              <w:rPr>
                <w:color w:val="000000"/>
                <w:kern w:val="0"/>
                <w:sz w:val="24"/>
              </w:rPr>
              <w:t>330,813,244.80</w:t>
            </w:r>
          </w:p>
        </w:tc>
        <w:tc>
          <w:tcPr>
            <w:tcW w:w="2902" w:type="dxa"/>
            <w:vAlign w:val="center"/>
          </w:tcPr>
          <w:p>
            <w:pPr>
              <w:spacing w:before="29" w:line="288" w:lineRule="auto"/>
              <w:jc w:val="right"/>
              <w:rPr>
                <w:color w:val="000000"/>
                <w:kern w:val="0"/>
                <w:sz w:val="24"/>
              </w:rPr>
            </w:pPr>
            <w:r>
              <w:rPr>
                <w:color w:val="000000"/>
                <w:kern w:val="0"/>
                <w:sz w:val="24"/>
              </w:rPr>
              <w:t>776,663.43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sz w:val="24"/>
              </w:rPr>
              <w:t>本报告期</w:t>
            </w:r>
            <w:r>
              <w:rPr>
                <w:rFonts w:hint="eastAsia"/>
                <w:sz w:val="24"/>
              </w:rPr>
              <w:t>基金总申购份额</w:t>
            </w:r>
          </w:p>
        </w:tc>
        <w:tc>
          <w:tcPr>
            <w:tcW w:w="2835" w:type="dxa"/>
            <w:vAlign w:val="center"/>
          </w:tcPr>
          <w:p>
            <w:pPr>
              <w:spacing w:before="29" w:line="288" w:lineRule="auto"/>
              <w:jc w:val="right"/>
              <w:rPr>
                <w:color w:val="000000"/>
                <w:kern w:val="0"/>
                <w:sz w:val="24"/>
              </w:rPr>
            </w:pPr>
            <w:r>
              <w:rPr>
                <w:color w:val="000000"/>
                <w:kern w:val="0"/>
                <w:sz w:val="24"/>
              </w:rPr>
              <w:t>241,176,992.27</w:t>
            </w:r>
          </w:p>
        </w:tc>
        <w:tc>
          <w:tcPr>
            <w:tcW w:w="2902" w:type="dxa"/>
            <w:vAlign w:val="center"/>
          </w:tcPr>
          <w:p>
            <w:pPr>
              <w:spacing w:before="29" w:line="288" w:lineRule="auto"/>
              <w:jc w:val="right"/>
              <w:rPr>
                <w:color w:val="000000"/>
                <w:kern w:val="0"/>
                <w:sz w:val="24"/>
              </w:rPr>
            </w:pPr>
            <w:r>
              <w:rPr>
                <w:color w:val="000000"/>
                <w:kern w:val="0"/>
                <w:sz w:val="24"/>
              </w:rPr>
              <w:t>73,523.98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rFonts w:hint="eastAsia"/>
                <w:sz w:val="24"/>
              </w:rPr>
              <w:t>减：</w:t>
            </w:r>
            <w:r>
              <w:rPr>
                <w:sz w:val="24"/>
              </w:rPr>
              <w:t>本报告期</w:t>
            </w:r>
            <w:r>
              <w:rPr>
                <w:rFonts w:hint="eastAsia"/>
                <w:sz w:val="24"/>
              </w:rPr>
              <w:t>基金总赎回份额</w:t>
            </w:r>
          </w:p>
        </w:tc>
        <w:tc>
          <w:tcPr>
            <w:tcW w:w="2835" w:type="dxa"/>
            <w:vAlign w:val="center"/>
          </w:tcPr>
          <w:p>
            <w:pPr>
              <w:spacing w:before="29" w:line="288" w:lineRule="auto"/>
              <w:jc w:val="right"/>
              <w:rPr>
                <w:color w:val="000000"/>
                <w:kern w:val="0"/>
                <w:sz w:val="24"/>
              </w:rPr>
            </w:pPr>
            <w:r>
              <w:rPr>
                <w:color w:val="000000"/>
                <w:kern w:val="0"/>
                <w:sz w:val="24"/>
              </w:rPr>
              <w:t>294,929,031.35</w:t>
            </w:r>
          </w:p>
        </w:tc>
        <w:tc>
          <w:tcPr>
            <w:tcW w:w="2902" w:type="dxa"/>
            <w:vAlign w:val="center"/>
          </w:tcPr>
          <w:p>
            <w:pPr>
              <w:spacing w:before="29" w:line="288" w:lineRule="auto"/>
              <w:jc w:val="right"/>
              <w:rPr>
                <w:color w:val="000000"/>
                <w:kern w:val="0"/>
                <w:sz w:val="24"/>
              </w:rPr>
            </w:pPr>
            <w:r>
              <w:rPr>
                <w:color w:val="000000"/>
                <w:kern w:val="0"/>
                <w:sz w:val="24"/>
              </w:rPr>
              <w:t>731,850.13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sz w:val="24"/>
              </w:rPr>
              <w:t>本报告期</w:t>
            </w:r>
            <w:r>
              <w:rPr>
                <w:rFonts w:hint="eastAsia"/>
                <w:sz w:val="24"/>
              </w:rPr>
              <w:t>基金拆分变动份额</w:t>
            </w:r>
          </w:p>
        </w:tc>
        <w:tc>
          <w:tcPr>
            <w:tcW w:w="2835" w:type="dxa"/>
            <w:vAlign w:val="center"/>
          </w:tcPr>
          <w:p>
            <w:pPr>
              <w:spacing w:before="29" w:line="288" w:lineRule="auto"/>
              <w:jc w:val="right"/>
              <w:rPr>
                <w:color w:val="000000"/>
                <w:kern w:val="0"/>
                <w:sz w:val="24"/>
              </w:rPr>
            </w:pPr>
            <w:r>
              <w:rPr>
                <w:color w:val="000000"/>
                <w:kern w:val="0"/>
                <w:sz w:val="24"/>
              </w:rPr>
              <w:t>-</w:t>
            </w:r>
          </w:p>
        </w:tc>
        <w:tc>
          <w:tcPr>
            <w:tcW w:w="2902" w:type="dxa"/>
            <w:vAlign w:val="center"/>
          </w:tcPr>
          <w:p>
            <w:pPr>
              <w:spacing w:before="29" w:line="288" w:lineRule="auto"/>
              <w:jc w:val="right"/>
              <w:rPr>
                <w:color w:val="000000"/>
                <w:kern w:val="0"/>
                <w:sz w:val="24"/>
              </w:rPr>
            </w:pP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rFonts w:hint="eastAsia"/>
                <w:sz w:val="24"/>
              </w:rPr>
              <w:t>本报告期期末基金份额总额</w:t>
            </w:r>
          </w:p>
        </w:tc>
        <w:tc>
          <w:tcPr>
            <w:tcW w:w="2835" w:type="dxa"/>
            <w:vAlign w:val="center"/>
          </w:tcPr>
          <w:p>
            <w:pPr>
              <w:spacing w:before="29" w:line="288" w:lineRule="auto"/>
              <w:jc w:val="right"/>
              <w:rPr>
                <w:color w:val="000000"/>
                <w:kern w:val="0"/>
                <w:sz w:val="24"/>
              </w:rPr>
            </w:pPr>
            <w:r>
              <w:rPr>
                <w:color w:val="000000"/>
                <w:kern w:val="0"/>
                <w:sz w:val="24"/>
              </w:rPr>
              <w:t>277,061,205.72</w:t>
            </w:r>
          </w:p>
        </w:tc>
        <w:tc>
          <w:tcPr>
            <w:tcW w:w="2902" w:type="dxa"/>
            <w:vAlign w:val="center"/>
          </w:tcPr>
          <w:p>
            <w:pPr>
              <w:spacing w:before="29" w:line="288" w:lineRule="auto"/>
              <w:jc w:val="right"/>
              <w:rPr>
                <w:color w:val="000000"/>
                <w:kern w:val="0"/>
                <w:sz w:val="24"/>
              </w:rPr>
            </w:pPr>
            <w:r>
              <w:rPr>
                <w:color w:val="000000"/>
                <w:kern w:val="0"/>
                <w:sz w:val="24"/>
              </w:rPr>
              <w:t>118,337.28</w:t>
            </w:r>
          </w:p>
        </w:tc>
      </w:tr>
    </w:tbl>
    <w:p>
      <w:pPr>
        <w:tabs>
          <w:tab w:val="left" w:pos="426"/>
        </w:tabs>
        <w:spacing w:before="29" w:line="288" w:lineRule="auto"/>
        <w:jc w:val="left"/>
        <w:rPr>
          <w:kern w:val="0"/>
          <w:sz w:val="24"/>
        </w:rPr>
      </w:pPr>
      <w:r>
        <w:rPr>
          <w:kern w:val="0"/>
          <w:sz w:val="24"/>
        </w:rPr>
        <w:t>注：1、如果本报告期间发生转换入、红利再投业务，则总申购份额中包含该业务；</w:t>
      </w:r>
    </w:p>
    <w:p>
      <w:pPr>
        <w:tabs>
          <w:tab w:val="left" w:pos="426"/>
        </w:tabs>
        <w:spacing w:before="29" w:line="288" w:lineRule="auto"/>
        <w:jc w:val="left"/>
        <w:rPr>
          <w:kern w:val="0"/>
          <w:sz w:val="24"/>
        </w:rPr>
      </w:pPr>
      <w:r>
        <w:rPr>
          <w:kern w:val="0"/>
          <w:sz w:val="24"/>
        </w:rPr>
        <w:t>2、如果本报告期间发生转换出业务，则总赎回份额中包含该业务。</w:t>
      </w:r>
    </w:p>
    <w:p>
      <w:pPr>
        <w:tabs>
          <w:tab w:val="left" w:pos="426"/>
        </w:tabs>
        <w:spacing w:before="29" w:line="288" w:lineRule="auto"/>
        <w:jc w:val="left"/>
        <w:rPr>
          <w:rFonts w:ascii="宋体" w:hAnsi="宋体"/>
          <w:szCs w:val="21"/>
        </w:rPr>
      </w:pPr>
    </w:p>
    <w:p>
      <w:pPr>
        <w:pStyle w:val="2"/>
        <w:keepNext/>
        <w:keepLines/>
        <w:widowControl w:val="0"/>
        <w:spacing w:before="312" w:beforeLines="100" w:after="312" w:afterLines="100" w:line="288" w:lineRule="auto"/>
        <w:jc w:val="center"/>
        <w:rPr>
          <w:b/>
          <w:bCs/>
          <w:szCs w:val="24"/>
          <w:lang w:val="en-US"/>
        </w:rPr>
      </w:pPr>
      <w:bookmarkStart w:id="247" w:name="_Toc67668016"/>
      <w:bookmarkStart w:id="248" w:name="_Toc225500054"/>
      <w:bookmarkStart w:id="249" w:name="_Toc361324893"/>
      <w:r>
        <w:rPr>
          <w:rFonts w:hint="eastAsia"/>
          <w:b/>
          <w:bCs/>
          <w:szCs w:val="24"/>
          <w:lang w:val="en-US"/>
        </w:rPr>
        <w:t>§</w:t>
      </w:r>
      <w:r>
        <w:rPr>
          <w:b/>
          <w:bCs/>
          <w:szCs w:val="24"/>
          <w:lang w:val="en-US"/>
        </w:rPr>
        <w:t>11</w:t>
      </w:r>
      <w:r>
        <w:rPr>
          <w:rFonts w:hint="eastAsia"/>
          <w:b/>
          <w:bCs/>
          <w:szCs w:val="24"/>
          <w:lang w:val="en-US"/>
        </w:rPr>
        <w:t>重大事件揭示</w:t>
      </w:r>
      <w:bookmarkEnd w:id="247"/>
      <w:bookmarkEnd w:id="248"/>
      <w:bookmarkEnd w:id="249"/>
    </w:p>
    <w:p/>
    <w:p>
      <w:pPr>
        <w:pStyle w:val="3"/>
        <w:spacing w:before="29" w:after="0" w:line="288" w:lineRule="auto"/>
        <w:rPr>
          <w:rFonts w:ascii="Times New Roman" w:hAnsi="Times New Roman"/>
          <w:kern w:val="0"/>
          <w:szCs w:val="24"/>
        </w:rPr>
      </w:pPr>
      <w:bookmarkStart w:id="250" w:name="_Toc361324894"/>
      <w:bookmarkStart w:id="251" w:name="_Toc67668017"/>
      <w:r>
        <w:rPr>
          <w:rFonts w:ascii="Times New Roman" w:hAnsi="Times New Roman"/>
          <w:kern w:val="0"/>
          <w:szCs w:val="24"/>
        </w:rPr>
        <w:t>11.1</w:t>
      </w:r>
      <w:r>
        <w:rPr>
          <w:rFonts w:hint="eastAsia" w:ascii="Times New Roman" w:hAnsi="Times New Roman"/>
          <w:kern w:val="0"/>
          <w:szCs w:val="24"/>
        </w:rPr>
        <w:t>基金份额持有人大会决议</w:t>
      </w:r>
      <w:bookmarkEnd w:id="250"/>
      <w:bookmarkEnd w:id="251"/>
    </w:p>
    <w:p>
      <w:pPr>
        <w:spacing w:before="29" w:line="288" w:lineRule="auto"/>
        <w:ind w:firstLine="480" w:firstLineChars="200"/>
        <w:rPr>
          <w:kern w:val="0"/>
          <w:sz w:val="24"/>
        </w:rPr>
      </w:pPr>
      <w:r>
        <w:rPr>
          <w:kern w:val="0"/>
          <w:sz w:val="24"/>
        </w:rPr>
        <w:t>本基金本报告期内未召开基金份额持有人大会。</w:t>
      </w:r>
    </w:p>
    <w:p>
      <w:pPr>
        <w:widowControl/>
        <w:spacing w:line="360" w:lineRule="auto"/>
        <w:ind w:firstLine="420" w:firstLineChars="200"/>
        <w:rPr>
          <w:rFonts w:cs="Arial"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252" w:name="_Toc67668018"/>
      <w:bookmarkStart w:id="253" w:name="_Toc361324895"/>
      <w:r>
        <w:rPr>
          <w:rFonts w:ascii="Times New Roman" w:hAnsi="Times New Roman"/>
          <w:kern w:val="0"/>
          <w:szCs w:val="24"/>
        </w:rPr>
        <w:t xml:space="preserve">11.2 </w:t>
      </w:r>
      <w:r>
        <w:rPr>
          <w:rFonts w:hint="eastAsia" w:ascii="Times New Roman" w:hAnsi="Times New Roman"/>
          <w:kern w:val="0"/>
          <w:szCs w:val="24"/>
        </w:rPr>
        <w:t>基金管理人、基金托管人的专门基金托管部门的重大人事变动</w:t>
      </w:r>
      <w:bookmarkEnd w:id="252"/>
      <w:bookmarkEnd w:id="253"/>
    </w:p>
    <w:p>
      <w:pPr>
        <w:spacing w:before="29" w:line="288" w:lineRule="auto"/>
        <w:ind w:firstLine="480" w:firstLineChars="200"/>
        <w:rPr>
          <w:kern w:val="0"/>
          <w:sz w:val="24"/>
        </w:rPr>
      </w:pPr>
      <w:r>
        <w:rPr>
          <w:kern w:val="0"/>
          <w:sz w:val="24"/>
        </w:rPr>
        <w:t xml:space="preserve">1、基金管理人的重大人事变动：本报告期内，本基金的基金管理人未发生重大人事变动。 </w:t>
      </w:r>
    </w:p>
    <w:p>
      <w:pPr>
        <w:spacing w:before="29" w:line="288" w:lineRule="auto"/>
        <w:ind w:firstLine="480" w:firstLineChars="200"/>
        <w:rPr>
          <w:kern w:val="0"/>
          <w:sz w:val="24"/>
        </w:rPr>
      </w:pPr>
      <w:r>
        <w:rPr>
          <w:kern w:val="0"/>
          <w:sz w:val="24"/>
        </w:rPr>
        <w:t>2、基金托管人的基金托管部门的重大人事变动：自2020年8月28日起，刘波先生担任招商银行股份有限公司资产托管部总经理职务。</w:t>
      </w:r>
    </w:p>
    <w:p>
      <w:pPr>
        <w:widowControl/>
        <w:spacing w:line="360" w:lineRule="auto"/>
        <w:ind w:firstLine="420" w:firstLineChars="200"/>
        <w:rPr>
          <w:rFonts w:cs="Arial"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254" w:name="_Toc67668019"/>
      <w:bookmarkStart w:id="255" w:name="_Toc361324896"/>
      <w:r>
        <w:rPr>
          <w:rFonts w:ascii="Times New Roman" w:hAnsi="Times New Roman"/>
          <w:kern w:val="0"/>
          <w:szCs w:val="24"/>
        </w:rPr>
        <w:t xml:space="preserve">11.3 </w:t>
      </w:r>
      <w:r>
        <w:rPr>
          <w:rFonts w:hint="eastAsia" w:ascii="Times New Roman" w:hAnsi="Times New Roman"/>
          <w:kern w:val="0"/>
          <w:szCs w:val="24"/>
        </w:rPr>
        <w:t>涉及基金管理人、基金财产、基金托管业务的诉讼</w:t>
      </w:r>
      <w:bookmarkEnd w:id="254"/>
      <w:bookmarkEnd w:id="255"/>
    </w:p>
    <w:p>
      <w:pPr>
        <w:spacing w:before="29" w:line="288" w:lineRule="auto"/>
        <w:ind w:firstLine="480" w:firstLineChars="200"/>
        <w:rPr>
          <w:kern w:val="0"/>
          <w:sz w:val="24"/>
        </w:rPr>
      </w:pPr>
      <w:r>
        <w:rPr>
          <w:kern w:val="0"/>
          <w:sz w:val="24"/>
        </w:rPr>
        <w:t>本报告期内未发生涉及本基金管理人、基金财产、基金托管业务的诉讼事项。</w:t>
      </w:r>
    </w:p>
    <w:p>
      <w:pPr>
        <w:widowControl/>
        <w:spacing w:line="360" w:lineRule="auto"/>
        <w:ind w:firstLine="420" w:firstLineChars="200"/>
        <w:rPr>
          <w:rFonts w:cs="Arial"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256" w:name="_Toc361324897"/>
      <w:bookmarkStart w:id="257" w:name="_Toc67668020"/>
      <w:r>
        <w:rPr>
          <w:rFonts w:ascii="Times New Roman" w:hAnsi="Times New Roman"/>
          <w:kern w:val="0"/>
          <w:szCs w:val="24"/>
        </w:rPr>
        <w:t xml:space="preserve">11.4 </w:t>
      </w:r>
      <w:r>
        <w:rPr>
          <w:rFonts w:hint="eastAsia" w:ascii="Times New Roman" w:hAnsi="Times New Roman"/>
          <w:kern w:val="0"/>
          <w:szCs w:val="24"/>
        </w:rPr>
        <w:t>基金投资策略的改变</w:t>
      </w:r>
      <w:bookmarkEnd w:id="256"/>
      <w:bookmarkEnd w:id="257"/>
    </w:p>
    <w:p>
      <w:pPr>
        <w:spacing w:before="29" w:line="288" w:lineRule="auto"/>
        <w:ind w:firstLine="480" w:firstLineChars="200"/>
        <w:rPr>
          <w:kern w:val="0"/>
          <w:sz w:val="24"/>
        </w:rPr>
      </w:pPr>
      <w:r>
        <w:rPr>
          <w:kern w:val="0"/>
          <w:sz w:val="24"/>
        </w:rPr>
        <w:t>交银施罗德丰晟收益债券型证券投资基金的封闭期自2018年5月23日开始至2020年5月25日止，自2020年5月26日起转为开放式运作，并自该日起适用《交银施罗德丰晟收益债券型证券投资基金基金合同》中关于“转为开放式运作后的投资”的相关规定进行运作。</w:t>
      </w:r>
    </w:p>
    <w:p>
      <w:pPr>
        <w:widowControl/>
        <w:spacing w:line="360" w:lineRule="auto"/>
        <w:ind w:firstLine="420" w:firstLineChars="200"/>
        <w:rPr>
          <w:rFonts w:cs="Arial"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258" w:name="_Toc361324898"/>
      <w:bookmarkStart w:id="259" w:name="_Toc67668021"/>
      <w:bookmarkStart w:id="260" w:name="_Toc409100466"/>
      <w:bookmarkStart w:id="261" w:name="_Toc409100103"/>
      <w:r>
        <w:rPr>
          <w:rFonts w:ascii="Times New Roman" w:hAnsi="Times New Roman"/>
          <w:kern w:val="0"/>
          <w:szCs w:val="24"/>
        </w:rPr>
        <w:t>11.</w:t>
      </w:r>
      <w:bookmarkEnd w:id="258"/>
      <w:r>
        <w:rPr>
          <w:rFonts w:ascii="Times New Roman" w:hAnsi="Times New Roman"/>
          <w:kern w:val="0"/>
          <w:szCs w:val="24"/>
        </w:rPr>
        <w:t>5为基金进行审计的会计师事务所情况</w:t>
      </w:r>
      <w:bookmarkEnd w:id="259"/>
      <w:bookmarkEnd w:id="260"/>
      <w:bookmarkEnd w:id="261"/>
    </w:p>
    <w:p>
      <w:pPr>
        <w:spacing w:line="360" w:lineRule="auto"/>
        <w:ind w:firstLine="480" w:firstLineChars="200"/>
        <w:rPr>
          <w:rFonts w:eastAsiaTheme="minorEastAsia"/>
          <w:color w:val="000000" w:themeColor="text1"/>
          <w:sz w:val="24"/>
        </w:rPr>
      </w:pPr>
      <w:bookmarkStart w:id="262" w:name="OLE_LINK3"/>
      <w:r>
        <w:rPr>
          <w:rFonts w:eastAsiaTheme="minorEastAsia"/>
          <w:color w:val="000000" w:themeColor="text1"/>
          <w:sz w:val="24"/>
        </w:rPr>
        <w:t>本报告期内，为本基金提供审计服务的会计师事务所为普华永道中天会计师事务所(特殊普通合伙)，本期审计费用为</w:t>
      </w:r>
      <w:r>
        <w:rPr>
          <w:rFonts w:hint="eastAsia" w:eastAsiaTheme="minorEastAsia"/>
          <w:color w:val="000000" w:themeColor="text1"/>
          <w:sz w:val="24"/>
        </w:rPr>
        <w:t>5</w:t>
      </w:r>
      <w:r>
        <w:rPr>
          <w:rFonts w:eastAsiaTheme="minorEastAsia"/>
          <w:color w:val="000000" w:themeColor="text1"/>
          <w:sz w:val="24"/>
        </w:rPr>
        <w:t>0,000.00元。自本基金基金合同生效以来，本基金未改聘为其审计的会计师事务所。</w:t>
      </w:r>
    </w:p>
    <w:bookmarkEnd w:id="262"/>
    <w:p>
      <w:pPr>
        <w:pStyle w:val="3"/>
        <w:spacing w:before="29" w:after="0" w:line="288" w:lineRule="auto"/>
        <w:rPr>
          <w:rFonts w:ascii="Times New Roman" w:hAnsi="Times New Roman"/>
          <w:kern w:val="0"/>
          <w:szCs w:val="24"/>
        </w:rPr>
      </w:pPr>
      <w:bookmarkStart w:id="263" w:name="_Toc361324899"/>
      <w:bookmarkStart w:id="264" w:name="_Toc67668022"/>
      <w:bookmarkStart w:id="265" w:name="_Toc409100104"/>
      <w:bookmarkStart w:id="266" w:name="_Toc409100467"/>
      <w:r>
        <w:rPr>
          <w:rFonts w:ascii="Times New Roman" w:hAnsi="Times New Roman"/>
          <w:kern w:val="0"/>
          <w:szCs w:val="24"/>
        </w:rPr>
        <w:t>11.6 管理人、托管人及其高级管理人员受稽查或处罚等情况</w:t>
      </w:r>
      <w:bookmarkEnd w:id="263"/>
      <w:bookmarkEnd w:id="264"/>
      <w:bookmarkEnd w:id="265"/>
      <w:bookmarkEnd w:id="266"/>
    </w:p>
    <w:p>
      <w:pPr>
        <w:spacing w:line="360" w:lineRule="auto"/>
        <w:ind w:firstLine="480" w:firstLineChars="200"/>
        <w:outlineLvl w:val="1"/>
        <w:rPr>
          <w:rFonts w:eastAsiaTheme="minorEastAsia"/>
          <w:color w:val="000000" w:themeColor="text1"/>
          <w:sz w:val="24"/>
        </w:rPr>
      </w:pPr>
      <w:bookmarkStart w:id="267" w:name="_Toc67668023"/>
      <w:r>
        <w:rPr>
          <w:rFonts w:eastAsiaTheme="minorEastAsia"/>
          <w:color w:val="000000" w:themeColor="text1"/>
          <w:sz w:val="24"/>
        </w:rPr>
        <w:t>1、管理人及其高级管理人员受稽查或处罚等情况</w:t>
      </w:r>
      <w:bookmarkEnd w:id="267"/>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pPr>
        <w:spacing w:line="360" w:lineRule="auto"/>
        <w:ind w:firstLine="480" w:firstLineChars="200"/>
        <w:outlineLvl w:val="1"/>
        <w:rPr>
          <w:rFonts w:eastAsiaTheme="minorEastAsia"/>
          <w:color w:val="000000" w:themeColor="text1"/>
          <w:sz w:val="24"/>
        </w:rPr>
      </w:pPr>
      <w:bookmarkStart w:id="268" w:name="_Toc67668024"/>
      <w:r>
        <w:rPr>
          <w:rFonts w:eastAsiaTheme="minorEastAsia"/>
          <w:color w:val="000000" w:themeColor="text1"/>
          <w:sz w:val="24"/>
        </w:rPr>
        <w:t>2、托管人及其高级管理人员受稽查或处罚等情况</w:t>
      </w:r>
      <w:bookmarkEnd w:id="268"/>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pPr>
        <w:pStyle w:val="3"/>
        <w:spacing w:before="29" w:after="0" w:line="288" w:lineRule="auto"/>
        <w:rPr>
          <w:rFonts w:ascii="Times New Roman" w:hAnsi="Times New Roman"/>
          <w:kern w:val="0"/>
          <w:szCs w:val="24"/>
        </w:rPr>
      </w:pPr>
      <w:bookmarkStart w:id="269" w:name="_Toc67668025"/>
      <w:bookmarkStart w:id="270" w:name="_Toc361324900"/>
      <w:bookmarkStart w:id="271" w:name="_Toc409100468"/>
      <w:bookmarkStart w:id="272" w:name="_Toc409100105"/>
      <w:r>
        <w:rPr>
          <w:rFonts w:ascii="Times New Roman" w:hAnsi="Times New Roman"/>
          <w:kern w:val="0"/>
          <w:szCs w:val="24"/>
        </w:rPr>
        <w:t>11.7 基金租用证券公司交易单元的有关情况</w:t>
      </w:r>
      <w:bookmarkEnd w:id="269"/>
      <w:bookmarkEnd w:id="270"/>
      <w:bookmarkEnd w:id="271"/>
      <w:bookmarkEnd w:id="272"/>
    </w:p>
    <w:p>
      <w:pPr>
        <w:spacing w:line="360" w:lineRule="auto"/>
        <w:outlineLvl w:val="1"/>
        <w:rPr>
          <w:rFonts w:eastAsiaTheme="minorEastAsia"/>
          <w:b/>
          <w:color w:val="000000" w:themeColor="text1"/>
          <w:sz w:val="24"/>
        </w:rPr>
      </w:pPr>
      <w:bookmarkStart w:id="273" w:name="_Toc249760070"/>
      <w:bookmarkStart w:id="274" w:name="_Toc67668026"/>
      <w:r>
        <w:rPr>
          <w:rFonts w:eastAsiaTheme="minorEastAsia"/>
          <w:b/>
          <w:color w:val="000000" w:themeColor="text1"/>
          <w:sz w:val="24"/>
        </w:rPr>
        <w:t>11.7.1基金租用证券公司交易单元进行股票投资及佣金支付情况</w:t>
      </w:r>
      <w:bookmarkEnd w:id="273"/>
      <w:bookmarkEnd w:id="274"/>
    </w:p>
    <w:p>
      <w:pPr>
        <w:pStyle w:val="4"/>
        <w:spacing w:line="360" w:lineRule="auto"/>
        <w:ind w:firstLine="6240" w:firstLineChars="2600"/>
        <w:jc w:val="right"/>
        <w:rPr>
          <w:rFonts w:eastAsiaTheme="minorEastAsia"/>
          <w:color w:val="000000" w:themeColor="text1"/>
          <w:sz w:val="24"/>
        </w:rPr>
      </w:pPr>
      <w:r>
        <w:rPr>
          <w:rFonts w:eastAsiaTheme="minorEastAsia"/>
          <w:color w:val="000000" w:themeColor="text1"/>
          <w:sz w:val="24"/>
        </w:rPr>
        <w:t>金额单位：人民币元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780"/>
        <w:gridCol w:w="1800"/>
        <w:gridCol w:w="1080"/>
        <w:gridCol w:w="162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eastAsiaTheme="minorEastAsia"/>
                <w:color w:val="000000" w:themeColor="text1"/>
                <w:sz w:val="24"/>
              </w:rPr>
            </w:pPr>
            <w:bookmarkStart w:id="275" w:name="_Toc249760071"/>
            <w:r>
              <w:rPr>
                <w:rFonts w:eastAsiaTheme="minorEastAsia"/>
                <w:color w:val="000000" w:themeColor="text1"/>
                <w:sz w:val="24"/>
              </w:rPr>
              <w:t>券商名称</w:t>
            </w:r>
          </w:p>
        </w:tc>
        <w:tc>
          <w:tcPr>
            <w:tcW w:w="780" w:type="dxa"/>
            <w:vMerge w:val="restart"/>
            <w:vAlign w:val="center"/>
          </w:tcPr>
          <w:p>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vAlign w:val="center"/>
          </w:tcPr>
          <w:p>
            <w:pPr>
              <w:widowControl/>
              <w:spacing w:line="276" w:lineRule="auto"/>
              <w:jc w:val="left"/>
              <w:rPr>
                <w:rFonts w:eastAsiaTheme="minorEastAsia"/>
                <w:color w:val="000000" w:themeColor="text1"/>
                <w:sz w:val="24"/>
              </w:rPr>
            </w:pPr>
          </w:p>
        </w:tc>
        <w:tc>
          <w:tcPr>
            <w:tcW w:w="780" w:type="dxa"/>
            <w:vMerge w:val="continue"/>
            <w:vAlign w:val="center"/>
          </w:tcPr>
          <w:p>
            <w:pPr>
              <w:widowControl/>
              <w:spacing w:line="276" w:lineRule="auto"/>
              <w:jc w:val="left"/>
              <w:rPr>
                <w:rFonts w:eastAsiaTheme="minorEastAsia"/>
                <w:color w:val="000000" w:themeColor="text1"/>
                <w:sz w:val="24"/>
              </w:rPr>
            </w:pPr>
          </w:p>
        </w:tc>
        <w:tc>
          <w:tcPr>
            <w:tcW w:w="180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continue"/>
            <w:vAlign w:val="center"/>
          </w:tcPr>
          <w:p>
            <w:pPr>
              <w:widowControl/>
              <w:spacing w:line="276" w:lineRule="auto"/>
              <w:jc w:val="left"/>
              <w:rPr>
                <w:rFonts w:eastAsiaTheme="minorEastAsia"/>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中信证券股份有限公司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海通证券股份有限公司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国盛证券有限责任公司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华西证券股份有限公司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中泰证券股份有限公司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东北证券股份有限公司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太平洋证券股份有限公司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国元证券股份有限公司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长江证券股份有限公司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浙商证券股份有限公司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东吴证券股份有限公司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bl>
    <w:p>
      <w:pPr>
        <w:spacing w:before="312" w:beforeLines="100" w:line="360" w:lineRule="auto"/>
        <w:outlineLvl w:val="1"/>
        <w:rPr>
          <w:rFonts w:eastAsiaTheme="minorEastAsia"/>
          <w:b/>
          <w:color w:val="000000" w:themeColor="text1"/>
          <w:sz w:val="24"/>
        </w:rPr>
      </w:pPr>
      <w:bookmarkStart w:id="276" w:name="_Toc67668027"/>
      <w:r>
        <w:rPr>
          <w:rFonts w:eastAsiaTheme="minorEastAsia"/>
          <w:b/>
          <w:color w:val="000000" w:themeColor="text1"/>
          <w:sz w:val="24"/>
        </w:rPr>
        <w:t>11.7.2 基金租用证券公司交易单元进行其他证券投资的情况</w:t>
      </w:r>
      <w:bookmarkEnd w:id="275"/>
      <w:bookmarkEnd w:id="276"/>
    </w:p>
    <w:p>
      <w:pPr>
        <w:spacing w:line="360" w:lineRule="auto"/>
        <w:ind w:firstLine="420"/>
        <w:jc w:val="right"/>
        <w:rPr>
          <w:rFonts w:eastAsiaTheme="minorEastAsia"/>
          <w:color w:val="000000" w:themeColor="text1"/>
          <w:sz w:val="24"/>
        </w:rPr>
      </w:pPr>
      <w:bookmarkStart w:id="277"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77"/>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20"/>
        <w:gridCol w:w="1080"/>
        <w:gridCol w:w="1143"/>
        <w:gridCol w:w="1197"/>
        <w:gridCol w:w="1497"/>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vAlign w:val="center"/>
          </w:tcPr>
          <w:p>
            <w:pPr>
              <w:widowControl/>
              <w:spacing w:line="276" w:lineRule="auto"/>
              <w:jc w:val="left"/>
              <w:rPr>
                <w:rFonts w:eastAsiaTheme="minorEastAsia"/>
                <w:color w:val="000000" w:themeColor="text1"/>
                <w:kern w:val="0"/>
                <w:sz w:val="24"/>
              </w:rPr>
            </w:pPr>
          </w:p>
        </w:tc>
        <w:tc>
          <w:tcPr>
            <w:tcW w:w="132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center"/>
            </w:pPr>
            <w:r>
              <w:rPr>
                <w:rFonts w:eastAsiaTheme="minorEastAsia"/>
                <w:color w:val="000000" w:themeColor="text1"/>
                <w:sz w:val="24"/>
              </w:rPr>
              <w:t>中信证券股份有限公司</w:t>
            </w:r>
          </w:p>
        </w:tc>
        <w:tc>
          <w:tcPr>
            <w:tcW w:w="1320" w:type="dxa"/>
            <w:vAlign w:val="center"/>
          </w:tcPr>
          <w:p>
            <w:pPr>
              <w:jc w:val="right"/>
            </w:pPr>
            <w:r>
              <w:rPr>
                <w:rFonts w:eastAsiaTheme="minorEastAsia"/>
                <w:color w:val="000000" w:themeColor="text1"/>
                <w:sz w:val="24"/>
              </w:rPr>
              <w:t>351,744,295.46</w:t>
            </w:r>
          </w:p>
        </w:tc>
        <w:tc>
          <w:tcPr>
            <w:tcW w:w="1080" w:type="dxa"/>
            <w:vAlign w:val="center"/>
          </w:tcPr>
          <w:p>
            <w:pPr>
              <w:jc w:val="right"/>
            </w:pPr>
            <w:r>
              <w:rPr>
                <w:rFonts w:eastAsiaTheme="minorEastAsia"/>
                <w:color w:val="000000" w:themeColor="text1"/>
                <w:sz w:val="24"/>
              </w:rPr>
              <w:t>97.20%</w:t>
            </w:r>
          </w:p>
        </w:tc>
        <w:tc>
          <w:tcPr>
            <w:tcW w:w="1143" w:type="dxa"/>
            <w:vAlign w:val="center"/>
          </w:tcPr>
          <w:p>
            <w:pPr>
              <w:jc w:val="right"/>
            </w:pPr>
            <w:r>
              <w:rPr>
                <w:rFonts w:eastAsiaTheme="minorEastAsia"/>
                <w:color w:val="000000" w:themeColor="text1"/>
                <w:sz w:val="24"/>
              </w:rPr>
              <w:t>9,387,500,000.00</w:t>
            </w:r>
          </w:p>
        </w:tc>
        <w:tc>
          <w:tcPr>
            <w:tcW w:w="1197" w:type="dxa"/>
            <w:vAlign w:val="center"/>
          </w:tcPr>
          <w:p>
            <w:pPr>
              <w:jc w:val="right"/>
            </w:pPr>
            <w:r>
              <w:rPr>
                <w:rFonts w:eastAsiaTheme="minorEastAsia"/>
                <w:color w:val="000000" w:themeColor="text1"/>
                <w:sz w:val="24"/>
              </w:rPr>
              <w:t>100.00%</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center"/>
            </w:pPr>
            <w:r>
              <w:rPr>
                <w:rFonts w:eastAsiaTheme="minorEastAsia"/>
                <w:color w:val="000000" w:themeColor="text1"/>
                <w:sz w:val="24"/>
              </w:rPr>
              <w:t>海通证券股份有限公司</w:t>
            </w:r>
          </w:p>
        </w:tc>
        <w:tc>
          <w:tcPr>
            <w:tcW w:w="1320" w:type="dxa"/>
            <w:vAlign w:val="center"/>
          </w:tcPr>
          <w:p>
            <w:pPr>
              <w:jc w:val="right"/>
            </w:pPr>
            <w:r>
              <w:rPr>
                <w:rFonts w:eastAsiaTheme="minorEastAsia"/>
                <w:color w:val="000000" w:themeColor="text1"/>
                <w:sz w:val="24"/>
              </w:rPr>
              <w:t>10,143,263.01</w:t>
            </w:r>
          </w:p>
        </w:tc>
        <w:tc>
          <w:tcPr>
            <w:tcW w:w="1080" w:type="dxa"/>
            <w:vAlign w:val="center"/>
          </w:tcPr>
          <w:p>
            <w:pPr>
              <w:jc w:val="right"/>
            </w:pPr>
            <w:r>
              <w:rPr>
                <w:rFonts w:eastAsiaTheme="minorEastAsia"/>
                <w:color w:val="000000" w:themeColor="text1"/>
                <w:sz w:val="24"/>
              </w:rPr>
              <w:t>2.80%</w:t>
            </w:r>
          </w:p>
        </w:tc>
        <w:tc>
          <w:tcPr>
            <w:tcW w:w="1143" w:type="dxa"/>
            <w:vAlign w:val="center"/>
          </w:tcPr>
          <w:p>
            <w:pPr>
              <w:jc w:val="right"/>
            </w:pPr>
            <w:r>
              <w:rPr>
                <w:rFonts w:eastAsiaTheme="minorEastAsia"/>
                <w:color w:val="000000" w:themeColor="text1"/>
                <w:sz w:val="24"/>
              </w:rPr>
              <w:t>-</w:t>
            </w:r>
          </w:p>
        </w:tc>
        <w:tc>
          <w:tcPr>
            <w:tcW w:w="1197" w:type="dxa"/>
            <w:vAlign w:val="center"/>
          </w:tcPr>
          <w:p>
            <w:pPr>
              <w:jc w:val="right"/>
            </w:pPr>
            <w:r>
              <w:rPr>
                <w:rFonts w:eastAsiaTheme="minorEastAsia"/>
                <w:color w:val="000000" w:themeColor="text1"/>
                <w:sz w:val="24"/>
              </w:rPr>
              <w:t>-</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bl>
    <w:p>
      <w:pPr>
        <w:autoSpaceDE w:val="0"/>
        <w:autoSpaceDN w:val="0"/>
        <w:adjustRightInd w:val="0"/>
        <w:spacing w:line="360" w:lineRule="auto"/>
        <w:jc w:val="left"/>
        <w:rPr>
          <w:rFonts w:eastAsiaTheme="minorEastAsia"/>
          <w:color w:val="000000" w:themeColor="text1"/>
          <w:sz w:val="24"/>
        </w:rPr>
      </w:pP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注：1、报告期内，本基金新增加交易单元为华西证券股份有限公司、东北证券股份有限公司、长江证券股份有限公司、浙商证券股份有限公司和东吴证券股份有限公司，其它交易单元未发生变化；</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2、租用证券公司交易单元的选择标准主要包括：券商基本面评价（财务状况、经营状况）、券商研究机构评价（报告质量、及时性和数量）、券商每日信息评价（及时性和有效性）和券商协作表现评价等四个方面；</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3、租用证券公司交易单元的程序：首先根据租用证券公司交易单元的选择标准进行综合评价，然后根据评价选择基金交易单元。研究部提交方案，并上报公司批准。</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78" w:name="_Toc361324901"/>
      <w:bookmarkStart w:id="279" w:name="_Toc67668028"/>
      <w:r>
        <w:rPr>
          <w:rFonts w:ascii="Times New Roman" w:hAnsi="Times New Roman"/>
          <w:kern w:val="0"/>
          <w:szCs w:val="24"/>
        </w:rPr>
        <w:t>11.8</w:t>
      </w:r>
      <w:r>
        <w:rPr>
          <w:rFonts w:hint="eastAsia" w:ascii="Times New Roman" w:hAnsi="Times New Roman"/>
          <w:kern w:val="0"/>
          <w:szCs w:val="24"/>
        </w:rPr>
        <w:t>其他重大事件</w:t>
      </w:r>
      <w:bookmarkEnd w:id="278"/>
      <w:bookmarkEnd w:id="279"/>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20"/>
        <w:gridCol w:w="2331"/>
        <w:gridCol w:w="1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4320"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公告事项</w:t>
            </w:r>
          </w:p>
        </w:tc>
        <w:tc>
          <w:tcPr>
            <w:tcW w:w="233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法定披露方式</w:t>
            </w:r>
          </w:p>
        </w:tc>
        <w:tc>
          <w:tcPr>
            <w:tcW w:w="1629"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法定披露日期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w:t>
            </w:r>
          </w:p>
        </w:tc>
        <w:tc>
          <w:tcPr>
            <w:tcW w:w="4320" w:type="dxa"/>
            <w:vAlign w:val="center"/>
          </w:tcPr>
          <w:p>
            <w:pPr>
              <w:jc w:val="left"/>
            </w:pPr>
            <w:r>
              <w:rPr>
                <w:color w:val="000000"/>
                <w:sz w:val="24"/>
              </w:rPr>
              <w:t>交银施罗德基金管理有限公司关于交银施罗德丰晟收益债券型证券投资基金分红的公告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w:t>
            </w:r>
          </w:p>
        </w:tc>
        <w:tc>
          <w:tcPr>
            <w:tcW w:w="4320" w:type="dxa"/>
            <w:vAlign w:val="center"/>
          </w:tcPr>
          <w:p>
            <w:pPr>
              <w:jc w:val="left"/>
            </w:pPr>
            <w:r>
              <w:rPr>
                <w:color w:val="000000"/>
                <w:sz w:val="24"/>
              </w:rPr>
              <w:t>交银施罗德丰晟收益债券型证券投资基金2019年第4季度报告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w:t>
            </w:r>
          </w:p>
        </w:tc>
        <w:tc>
          <w:tcPr>
            <w:tcW w:w="4320" w:type="dxa"/>
            <w:vAlign w:val="center"/>
          </w:tcPr>
          <w:p>
            <w:pPr>
              <w:jc w:val="left"/>
            </w:pPr>
            <w:r>
              <w:rPr>
                <w:color w:val="000000"/>
                <w:sz w:val="24"/>
              </w:rPr>
              <w:t>交银施罗德基金管理有限公司关于春节假期调整延期办理有关业务的公告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4</w:t>
            </w:r>
          </w:p>
        </w:tc>
        <w:tc>
          <w:tcPr>
            <w:tcW w:w="4320" w:type="dxa"/>
            <w:vAlign w:val="center"/>
          </w:tcPr>
          <w:p>
            <w:pPr>
              <w:jc w:val="left"/>
            </w:pPr>
            <w:r>
              <w:rPr>
                <w:color w:val="000000"/>
                <w:sz w:val="24"/>
              </w:rPr>
              <w:t>交银施罗德基金管理有限公司关于终止泰诚财富基金销售（大连）有限公司办理相关销售业务的公告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5</w:t>
            </w:r>
          </w:p>
        </w:tc>
        <w:tc>
          <w:tcPr>
            <w:tcW w:w="4320" w:type="dxa"/>
            <w:vAlign w:val="center"/>
          </w:tcPr>
          <w:p>
            <w:pPr>
              <w:jc w:val="left"/>
            </w:pPr>
            <w:r>
              <w:rPr>
                <w:color w:val="000000"/>
                <w:sz w:val="24"/>
              </w:rPr>
              <w:t>交银施罗德丰晟收益债券型证券投资基金2019年年度报告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6</w:t>
            </w:r>
          </w:p>
        </w:tc>
        <w:tc>
          <w:tcPr>
            <w:tcW w:w="4320" w:type="dxa"/>
            <w:vAlign w:val="center"/>
          </w:tcPr>
          <w:p>
            <w:pPr>
              <w:jc w:val="left"/>
            </w:pPr>
            <w:r>
              <w:rPr>
                <w:color w:val="000000"/>
                <w:sz w:val="24"/>
              </w:rPr>
              <w:t>交银施罗德基金管理有限公司关于暂停部分销售机构办理相关销售业务的公告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7</w:t>
            </w:r>
          </w:p>
        </w:tc>
        <w:tc>
          <w:tcPr>
            <w:tcW w:w="4320" w:type="dxa"/>
            <w:vAlign w:val="center"/>
          </w:tcPr>
          <w:p>
            <w:pPr>
              <w:jc w:val="left"/>
            </w:pPr>
            <w:r>
              <w:rPr>
                <w:color w:val="000000"/>
                <w:sz w:val="24"/>
              </w:rPr>
              <w:t>交银施罗德丰晟收益债券型证券投资基金2020年第1季度报告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8</w:t>
            </w:r>
          </w:p>
        </w:tc>
        <w:tc>
          <w:tcPr>
            <w:tcW w:w="4320" w:type="dxa"/>
            <w:vAlign w:val="center"/>
          </w:tcPr>
          <w:p>
            <w:pPr>
              <w:jc w:val="left"/>
            </w:pPr>
            <w:r>
              <w:rPr>
                <w:color w:val="000000"/>
                <w:sz w:val="24"/>
              </w:rPr>
              <w:t>交银施罗德基金管理有限公司关于交银施罗德丰晟收益债券型证券投资基金封闭期结束转为开放式运作的提示性公告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2020-05-18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9</w:t>
            </w:r>
          </w:p>
        </w:tc>
        <w:tc>
          <w:tcPr>
            <w:tcW w:w="4320" w:type="dxa"/>
            <w:vAlign w:val="center"/>
          </w:tcPr>
          <w:p>
            <w:pPr>
              <w:jc w:val="left"/>
            </w:pPr>
            <w:r>
              <w:rPr>
                <w:color w:val="000000"/>
                <w:sz w:val="24"/>
              </w:rPr>
              <w:t>交银施罗德基金管理有限公司关于交银施罗德丰晟收益债券型证券投资基金封闭期结束转为开放式运作暨开放基金日常申购、赎回、定期定额投资业务的公告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2020-05-20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10</w:t>
            </w:r>
          </w:p>
        </w:tc>
        <w:tc>
          <w:tcPr>
            <w:tcW w:w="4320" w:type="dxa"/>
            <w:vAlign w:val="center"/>
          </w:tcPr>
          <w:p>
            <w:pPr>
              <w:jc w:val="left"/>
            </w:pPr>
            <w:r>
              <w:rPr>
                <w:color w:val="000000"/>
                <w:sz w:val="24"/>
              </w:rPr>
              <w:t>交银施罗德基金管理有限公司关于增加中信证券股份有限公司、中信证券（山东）有限责任公司为旗下基金销售机构的公告</w:t>
            </w:r>
          </w:p>
        </w:tc>
        <w:tc>
          <w:tcPr>
            <w:tcW w:w="2331" w:type="dxa"/>
            <w:vAlign w:val="center"/>
          </w:tcPr>
          <w:p>
            <w:pPr>
              <w:jc w:val="center"/>
            </w:pPr>
            <w:r>
              <w:rPr>
                <w:color w:val="000000"/>
                <w:sz w:val="24"/>
              </w:rPr>
              <w:t>中国证券报、上海证券报、公司网站</w:t>
            </w:r>
          </w:p>
        </w:tc>
        <w:tc>
          <w:tcPr>
            <w:tcW w:w="1629" w:type="dxa"/>
            <w:vAlign w:val="center"/>
          </w:tcPr>
          <w:p>
            <w:pPr>
              <w:jc w:val="center"/>
            </w:pPr>
            <w:r>
              <w:rPr>
                <w:color w:val="000000"/>
                <w:sz w:val="24"/>
              </w:rPr>
              <w:t>2020-05-27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11</w:t>
            </w:r>
          </w:p>
        </w:tc>
        <w:tc>
          <w:tcPr>
            <w:tcW w:w="4320" w:type="dxa"/>
            <w:vAlign w:val="center"/>
          </w:tcPr>
          <w:p>
            <w:pPr>
              <w:jc w:val="left"/>
            </w:pPr>
            <w:r>
              <w:rPr>
                <w:color w:val="000000"/>
                <w:sz w:val="24"/>
              </w:rPr>
              <w:t>交银施罗德基金管理有限公司关于增加中信期货有限公司为旗下基金销售机构的公告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12</w:t>
            </w:r>
          </w:p>
        </w:tc>
        <w:tc>
          <w:tcPr>
            <w:tcW w:w="4320" w:type="dxa"/>
            <w:vAlign w:val="center"/>
          </w:tcPr>
          <w:p>
            <w:pPr>
              <w:jc w:val="left"/>
            </w:pPr>
            <w:r>
              <w:rPr>
                <w:color w:val="000000"/>
                <w:sz w:val="24"/>
              </w:rPr>
              <w:t>交银施罗德丰晟收益债券型证券投资基金（更新）招募说明书摘要（2020年第1号）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13</w:t>
            </w:r>
          </w:p>
        </w:tc>
        <w:tc>
          <w:tcPr>
            <w:tcW w:w="4320" w:type="dxa"/>
            <w:vAlign w:val="center"/>
          </w:tcPr>
          <w:p>
            <w:pPr>
              <w:jc w:val="left"/>
            </w:pPr>
            <w:r>
              <w:rPr>
                <w:color w:val="000000"/>
                <w:sz w:val="24"/>
              </w:rPr>
              <w:t>交银施罗德丰晟收益债券型证券投资基金（更新）招募说明书（2020年第1号）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14</w:t>
            </w:r>
          </w:p>
        </w:tc>
        <w:tc>
          <w:tcPr>
            <w:tcW w:w="4320" w:type="dxa"/>
            <w:vAlign w:val="center"/>
          </w:tcPr>
          <w:p>
            <w:pPr>
              <w:jc w:val="left"/>
            </w:pPr>
            <w:r>
              <w:rPr>
                <w:color w:val="000000"/>
                <w:sz w:val="24"/>
              </w:rPr>
              <w:t>交银施罗德基金管理有限公司关于交银施罗德丰晟收益债券型证券投资基金开放日常转换业务的公告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2020-06-10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15</w:t>
            </w:r>
          </w:p>
        </w:tc>
        <w:tc>
          <w:tcPr>
            <w:tcW w:w="4320" w:type="dxa"/>
            <w:vAlign w:val="center"/>
          </w:tcPr>
          <w:p>
            <w:pPr>
              <w:jc w:val="left"/>
            </w:pPr>
            <w:r>
              <w:rPr>
                <w:color w:val="000000"/>
                <w:sz w:val="24"/>
              </w:rPr>
              <w:t>交银施罗德丰晟收益债券型证券投资基金基金合同</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2020-07-08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16</w:t>
            </w:r>
          </w:p>
        </w:tc>
        <w:tc>
          <w:tcPr>
            <w:tcW w:w="4320" w:type="dxa"/>
            <w:vAlign w:val="center"/>
          </w:tcPr>
          <w:p>
            <w:pPr>
              <w:jc w:val="left"/>
            </w:pPr>
            <w:r>
              <w:rPr>
                <w:color w:val="000000"/>
                <w:sz w:val="24"/>
              </w:rPr>
              <w:t>交银施罗德基金管理有限公司关于调整交银施罗德丰晟收益债券型证券投资基金管理费率与托管费率并修改基金合同的公告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2020-07-08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17</w:t>
            </w:r>
          </w:p>
        </w:tc>
        <w:tc>
          <w:tcPr>
            <w:tcW w:w="4320" w:type="dxa"/>
            <w:vAlign w:val="center"/>
          </w:tcPr>
          <w:p>
            <w:pPr>
              <w:jc w:val="left"/>
            </w:pPr>
            <w:r>
              <w:rPr>
                <w:color w:val="000000"/>
                <w:sz w:val="24"/>
              </w:rPr>
              <w:t>交银施罗德丰晟收益债券型证券投资基金（更新）招募说明书摘要（2020年第2号）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18</w:t>
            </w:r>
          </w:p>
        </w:tc>
        <w:tc>
          <w:tcPr>
            <w:tcW w:w="4320" w:type="dxa"/>
            <w:vAlign w:val="center"/>
          </w:tcPr>
          <w:p>
            <w:pPr>
              <w:jc w:val="left"/>
            </w:pPr>
            <w:r>
              <w:rPr>
                <w:color w:val="000000"/>
                <w:sz w:val="24"/>
              </w:rPr>
              <w:t>交银施罗德丰晟收益债券型证券投资基金（更新）招募说明书（2020年第2号）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19</w:t>
            </w:r>
          </w:p>
        </w:tc>
        <w:tc>
          <w:tcPr>
            <w:tcW w:w="4320" w:type="dxa"/>
            <w:vAlign w:val="center"/>
          </w:tcPr>
          <w:p>
            <w:pPr>
              <w:jc w:val="left"/>
            </w:pPr>
            <w:r>
              <w:rPr>
                <w:color w:val="000000"/>
                <w:sz w:val="24"/>
              </w:rPr>
              <w:t>交银施罗德丰晟收益债券型证券投资基金2020年第2季度报告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20</w:t>
            </w:r>
          </w:p>
        </w:tc>
        <w:tc>
          <w:tcPr>
            <w:tcW w:w="4320" w:type="dxa"/>
            <w:vAlign w:val="center"/>
          </w:tcPr>
          <w:p>
            <w:pPr>
              <w:jc w:val="left"/>
            </w:pPr>
            <w:r>
              <w:rPr>
                <w:color w:val="000000"/>
                <w:sz w:val="24"/>
              </w:rPr>
              <w:t>交银施罗德丰晟收益债券型证券投资基金2020年中期报告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21</w:t>
            </w:r>
          </w:p>
        </w:tc>
        <w:tc>
          <w:tcPr>
            <w:tcW w:w="4320" w:type="dxa"/>
            <w:vAlign w:val="center"/>
          </w:tcPr>
          <w:p>
            <w:pPr>
              <w:jc w:val="left"/>
            </w:pPr>
            <w:r>
              <w:rPr>
                <w:color w:val="000000"/>
                <w:sz w:val="24"/>
              </w:rPr>
              <w:t>交银施罗德丰晟收益债券型证券投资基金（C类份额）基金产品资料概要</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22</w:t>
            </w:r>
          </w:p>
        </w:tc>
        <w:tc>
          <w:tcPr>
            <w:tcW w:w="4320" w:type="dxa"/>
            <w:vAlign w:val="center"/>
          </w:tcPr>
          <w:p>
            <w:pPr>
              <w:jc w:val="left"/>
            </w:pPr>
            <w:r>
              <w:rPr>
                <w:color w:val="000000"/>
                <w:sz w:val="24"/>
              </w:rPr>
              <w:t>交银施罗德丰晟收益债券型证券投资基金（A类份额）基金产品资料概要</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23</w:t>
            </w:r>
          </w:p>
        </w:tc>
        <w:tc>
          <w:tcPr>
            <w:tcW w:w="4320" w:type="dxa"/>
            <w:vAlign w:val="center"/>
          </w:tcPr>
          <w:p>
            <w:pPr>
              <w:jc w:val="left"/>
            </w:pPr>
            <w:r>
              <w:rPr>
                <w:color w:val="000000"/>
                <w:sz w:val="24"/>
              </w:rPr>
              <w:t>交银施罗德基金管理有限公司关于暂停上海凯石财富基金销售有限公司办理相关销售业务的公告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24</w:t>
            </w:r>
          </w:p>
        </w:tc>
        <w:tc>
          <w:tcPr>
            <w:tcW w:w="4320" w:type="dxa"/>
            <w:vAlign w:val="center"/>
          </w:tcPr>
          <w:p>
            <w:pPr>
              <w:jc w:val="left"/>
            </w:pPr>
            <w:r>
              <w:rPr>
                <w:color w:val="000000"/>
                <w:sz w:val="24"/>
              </w:rPr>
              <w:t>交银施罗德基金管理有限公司关于交银施罗德丰晟收益债券型证券投资基金基金经理变更的公告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2020-10-17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25</w:t>
            </w:r>
          </w:p>
        </w:tc>
        <w:tc>
          <w:tcPr>
            <w:tcW w:w="4320" w:type="dxa"/>
            <w:vAlign w:val="center"/>
          </w:tcPr>
          <w:p>
            <w:pPr>
              <w:jc w:val="left"/>
            </w:pPr>
            <w:r>
              <w:rPr>
                <w:color w:val="000000"/>
                <w:sz w:val="24"/>
              </w:rPr>
              <w:t>交银施罗德丰晟收益债券型证券投资基金（C类份额）基金产品资料概要更新（2020年第3号）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26</w:t>
            </w:r>
          </w:p>
        </w:tc>
        <w:tc>
          <w:tcPr>
            <w:tcW w:w="4320" w:type="dxa"/>
            <w:vAlign w:val="center"/>
          </w:tcPr>
          <w:p>
            <w:pPr>
              <w:jc w:val="left"/>
            </w:pPr>
            <w:r>
              <w:rPr>
                <w:color w:val="000000"/>
                <w:sz w:val="24"/>
              </w:rPr>
              <w:t>交银施罗德丰晟收益债券型证券投资基金（A类份额）基金产品资料概要更新（2020年第3号）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27</w:t>
            </w:r>
          </w:p>
        </w:tc>
        <w:tc>
          <w:tcPr>
            <w:tcW w:w="4320" w:type="dxa"/>
            <w:vAlign w:val="center"/>
          </w:tcPr>
          <w:p>
            <w:pPr>
              <w:jc w:val="left"/>
            </w:pPr>
            <w:r>
              <w:rPr>
                <w:color w:val="000000"/>
                <w:sz w:val="24"/>
              </w:rPr>
              <w:t>交银施罗德丰晟收益债券型证券投资基金（更新）招募说明书（2020年第3号）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28</w:t>
            </w:r>
          </w:p>
        </w:tc>
        <w:tc>
          <w:tcPr>
            <w:tcW w:w="4320" w:type="dxa"/>
            <w:vAlign w:val="center"/>
          </w:tcPr>
          <w:p>
            <w:pPr>
              <w:jc w:val="left"/>
            </w:pPr>
            <w:r>
              <w:rPr>
                <w:color w:val="000000"/>
                <w:sz w:val="24"/>
              </w:rPr>
              <w:t>交银施罗德丰晟收益债券型证券投资基金2020年第3季度报告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29</w:t>
            </w:r>
          </w:p>
        </w:tc>
        <w:tc>
          <w:tcPr>
            <w:tcW w:w="4320" w:type="dxa"/>
            <w:vAlign w:val="center"/>
          </w:tcPr>
          <w:p>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2020-12-31</w:t>
            </w:r>
          </w:p>
        </w:tc>
      </w:tr>
    </w:tbl>
    <w:p>
      <w:pPr>
        <w:tabs>
          <w:tab w:val="left" w:pos="426"/>
        </w:tabs>
        <w:spacing w:before="29" w:line="288" w:lineRule="auto"/>
        <w:jc w:val="left"/>
        <w:rPr>
          <w:kern w:val="0"/>
          <w:sz w:val="24"/>
        </w:rPr>
      </w:pPr>
    </w:p>
    <w:p>
      <w:pPr>
        <w:pStyle w:val="2"/>
        <w:keepNext/>
        <w:keepLines/>
        <w:widowControl w:val="0"/>
        <w:spacing w:before="312" w:beforeLines="100" w:after="312" w:afterLines="100" w:line="360" w:lineRule="auto"/>
        <w:jc w:val="center"/>
        <w:rPr>
          <w:rFonts w:eastAsiaTheme="minorEastAsia"/>
          <w:b/>
          <w:bCs/>
          <w:sz w:val="21"/>
          <w:szCs w:val="21"/>
          <w:lang w:val="en-US"/>
        </w:rPr>
      </w:pPr>
      <w:bookmarkStart w:id="280" w:name="_Toc374532345"/>
      <w:bookmarkStart w:id="281" w:name="_Toc67668029"/>
      <w:r>
        <w:rPr>
          <w:rFonts w:eastAsiaTheme="minorEastAsia"/>
          <w:b/>
          <w:bCs/>
        </w:rPr>
        <w:t>§</w:t>
      </w:r>
      <w:r>
        <w:rPr>
          <w:rFonts w:eastAsiaTheme="minorEastAsia"/>
          <w:b/>
          <w:bCs/>
          <w:sz w:val="21"/>
          <w:szCs w:val="21"/>
          <w:lang w:val="en-US"/>
        </w:rPr>
        <w:t>12  影响投资者决策的其他重要信息</w:t>
      </w:r>
      <w:bookmarkEnd w:id="280"/>
      <w:bookmarkEnd w:id="281"/>
    </w:p>
    <w:p>
      <w:pPr>
        <w:pStyle w:val="3"/>
        <w:spacing w:before="29" w:after="0" w:line="288" w:lineRule="auto"/>
        <w:rPr>
          <w:rFonts w:ascii="Times New Roman" w:hAnsi="Times New Roman"/>
          <w:kern w:val="0"/>
          <w:szCs w:val="24"/>
        </w:rPr>
      </w:pPr>
      <w:bookmarkStart w:id="282" w:name="_Toc67668030"/>
      <w:r>
        <w:rPr>
          <w:rFonts w:ascii="Times New Roman" w:hAnsi="Times New Roman"/>
          <w:kern w:val="0"/>
          <w:szCs w:val="24"/>
        </w:rPr>
        <w:t>12.</w:t>
      </w:r>
      <w:r>
        <w:rPr>
          <w:rFonts w:hint="eastAsia" w:ascii="Times New Roman" w:hAnsi="Times New Roman"/>
          <w:kern w:val="0"/>
          <w:szCs w:val="24"/>
        </w:rPr>
        <w:t>1 报告期内单一投资者持有基金份额比例达到或超过20%的情况</w:t>
      </w:r>
      <w:bookmarkEnd w:id="282"/>
    </w:p>
    <w:tbl>
      <w:tblPr>
        <w:tblStyle w:val="31"/>
        <w:tblW w:w="92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851"/>
        <w:gridCol w:w="850"/>
        <w:gridCol w:w="1134"/>
        <w:gridCol w:w="141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投资者类别</w:t>
            </w:r>
            <w:r>
              <w:rPr>
                <w:rFonts w:ascii="宋体" w:hAnsi="宋体"/>
                <w:color w:val="000000"/>
                <w:kern w:val="0"/>
                <w:szCs w:val="21"/>
              </w:rPr>
              <w:t xml:space="preserve">  </w:t>
            </w:r>
          </w:p>
        </w:tc>
        <w:tc>
          <w:tcPr>
            <w:tcW w:w="5670" w:type="dxa"/>
            <w:gridSpan w:val="5"/>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报告期内持有基金份额变化情况</w:t>
            </w:r>
          </w:p>
        </w:tc>
        <w:tc>
          <w:tcPr>
            <w:tcW w:w="2549" w:type="dxa"/>
            <w:gridSpan w:val="2"/>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报告期末持有基金情况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autoSpaceDE w:val="0"/>
              <w:autoSpaceDN w:val="0"/>
              <w:adjustRightInd w:val="0"/>
              <w:jc w:val="center"/>
              <w:rPr>
                <w:rFonts w:ascii="宋体" w:hAnsi="宋体"/>
                <w:b/>
                <w:bCs/>
                <w:color w:val="000000"/>
                <w:kern w:val="0"/>
                <w:szCs w:val="21"/>
              </w:rPr>
            </w:pPr>
          </w:p>
        </w:tc>
        <w:tc>
          <w:tcPr>
            <w:tcW w:w="992" w:type="dxa"/>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序号</w:t>
            </w:r>
          </w:p>
        </w:tc>
        <w:tc>
          <w:tcPr>
            <w:tcW w:w="1843" w:type="dxa"/>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持有基金份额比例达到或者超过20%的时间区间</w:t>
            </w:r>
          </w:p>
        </w:tc>
        <w:tc>
          <w:tcPr>
            <w:tcW w:w="851" w:type="dxa"/>
            <w:vAlign w:val="center"/>
          </w:tcPr>
          <w:p>
            <w:pPr>
              <w:widowControl/>
              <w:jc w:val="center"/>
              <w:rPr>
                <w:rFonts w:ascii="宋体" w:hAnsi="宋体"/>
                <w:b/>
                <w:bCs/>
                <w:color w:val="000000"/>
                <w:kern w:val="0"/>
                <w:szCs w:val="21"/>
              </w:rPr>
            </w:pPr>
            <w:r>
              <w:rPr>
                <w:rFonts w:hint="eastAsia" w:ascii="宋体" w:hAnsi="宋体"/>
                <w:color w:val="000000"/>
                <w:kern w:val="0"/>
                <w:szCs w:val="21"/>
              </w:rPr>
              <w:t>期初份额</w:t>
            </w:r>
          </w:p>
        </w:tc>
        <w:tc>
          <w:tcPr>
            <w:tcW w:w="850" w:type="dxa"/>
            <w:vAlign w:val="center"/>
          </w:tcPr>
          <w:p>
            <w:pPr>
              <w:widowControl/>
              <w:jc w:val="center"/>
              <w:rPr>
                <w:rFonts w:ascii="宋体" w:hAnsi="宋体"/>
                <w:b/>
                <w:bCs/>
                <w:color w:val="000000"/>
                <w:kern w:val="0"/>
                <w:szCs w:val="21"/>
              </w:rPr>
            </w:pPr>
            <w:r>
              <w:rPr>
                <w:rFonts w:hint="eastAsia" w:ascii="宋体" w:hAnsi="宋体"/>
                <w:color w:val="000000"/>
                <w:kern w:val="0"/>
                <w:szCs w:val="21"/>
              </w:rPr>
              <w:t>申购份额</w:t>
            </w:r>
          </w:p>
        </w:tc>
        <w:tc>
          <w:tcPr>
            <w:tcW w:w="1134" w:type="dxa"/>
            <w:vAlign w:val="center"/>
          </w:tcPr>
          <w:p>
            <w:pPr>
              <w:widowControl/>
              <w:jc w:val="center"/>
              <w:rPr>
                <w:rFonts w:ascii="宋体" w:hAnsi="宋体"/>
                <w:b/>
                <w:bCs/>
                <w:color w:val="000000"/>
                <w:kern w:val="0"/>
                <w:szCs w:val="21"/>
              </w:rPr>
            </w:pPr>
            <w:r>
              <w:rPr>
                <w:rFonts w:hint="eastAsia" w:ascii="宋体" w:hAnsi="宋体"/>
                <w:color w:val="000000"/>
                <w:kern w:val="0"/>
                <w:szCs w:val="21"/>
              </w:rPr>
              <w:t>赎回份额</w:t>
            </w:r>
          </w:p>
        </w:tc>
        <w:tc>
          <w:tcPr>
            <w:tcW w:w="1419" w:type="dxa"/>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持有份额</w:t>
            </w:r>
          </w:p>
        </w:tc>
        <w:tc>
          <w:tcPr>
            <w:tcW w:w="1130" w:type="dxa"/>
            <w:vAlign w:val="center"/>
          </w:tcPr>
          <w:p>
            <w:pPr>
              <w:autoSpaceDE w:val="0"/>
              <w:autoSpaceDN w:val="0"/>
              <w:adjustRightInd w:val="0"/>
              <w:jc w:val="center"/>
              <w:rPr>
                <w:rFonts w:ascii="宋体" w:hAnsi="宋体"/>
                <w:b/>
                <w:bCs/>
                <w:color w:val="000000"/>
                <w:kern w:val="0"/>
                <w:szCs w:val="21"/>
              </w:rPr>
            </w:pPr>
            <w:r>
              <w:rPr>
                <w:rFonts w:hint="eastAsia" w:ascii="宋体" w:hAnsi="宋体"/>
                <w:color w:val="000000"/>
                <w:kern w:val="0"/>
                <w:szCs w:val="21"/>
              </w:rPr>
              <w:t>份额占比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Pr>
          <w:p/>
          <w:p>
            <w:r>
              <w:rPr>
                <w:rFonts w:hint="eastAsia" w:ascii="宋体" w:hAnsi="宋体"/>
                <w:bCs/>
                <w:color w:val="000000"/>
                <w:kern w:val="0"/>
                <w:szCs w:val="21"/>
              </w:rPr>
              <w:t>机构</w:t>
            </w:r>
          </w:p>
        </w:tc>
        <w:tc>
          <w:tcPr>
            <w:tcW w:w="992" w:type="dxa"/>
            <w:vAlign w:val="center"/>
          </w:tcPr>
          <w:p>
            <w:pPr>
              <w:jc w:val="center"/>
            </w:pPr>
            <w:r>
              <w:rPr>
                <w:rFonts w:ascii="宋体" w:hAnsi="宋体"/>
                <w:color w:val="000000"/>
                <w:kern w:val="0"/>
                <w:szCs w:val="21"/>
              </w:rPr>
              <w:t>1</w:t>
            </w:r>
          </w:p>
        </w:tc>
        <w:tc>
          <w:tcPr>
            <w:tcW w:w="1843" w:type="dxa"/>
            <w:vAlign w:val="center"/>
          </w:tcPr>
          <w:p>
            <w:pPr>
              <w:jc w:val="center"/>
            </w:pPr>
            <w:r>
              <w:rPr>
                <w:rFonts w:ascii="宋体" w:hAnsi="宋体"/>
                <w:color w:val="000000"/>
                <w:kern w:val="0"/>
                <w:szCs w:val="21"/>
              </w:rPr>
              <w:t>2020/1/1-2020/12/31</w:t>
            </w:r>
          </w:p>
        </w:tc>
        <w:tc>
          <w:tcPr>
            <w:tcW w:w="851" w:type="dxa"/>
            <w:vAlign w:val="center"/>
          </w:tcPr>
          <w:p>
            <w:pPr>
              <w:jc w:val="center"/>
            </w:pPr>
            <w:r>
              <w:rPr>
                <w:rFonts w:ascii="宋体" w:hAnsi="宋体"/>
                <w:color w:val="000000"/>
                <w:kern w:val="0"/>
                <w:szCs w:val="21"/>
              </w:rPr>
              <w:t>-</w:t>
            </w:r>
          </w:p>
        </w:tc>
        <w:tc>
          <w:tcPr>
            <w:tcW w:w="850" w:type="dxa"/>
            <w:vAlign w:val="center"/>
          </w:tcPr>
          <w:p>
            <w:pPr>
              <w:jc w:val="center"/>
            </w:pPr>
            <w:r>
              <w:rPr>
                <w:rFonts w:ascii="宋体" w:hAnsi="宋体"/>
                <w:color w:val="000000"/>
                <w:kern w:val="0"/>
                <w:szCs w:val="21"/>
              </w:rPr>
              <w:t>18,902,646.50</w:t>
            </w:r>
          </w:p>
        </w:tc>
        <w:tc>
          <w:tcPr>
            <w:tcW w:w="1134" w:type="dxa"/>
            <w:vAlign w:val="center"/>
          </w:tcPr>
          <w:p>
            <w:pPr>
              <w:jc w:val="center"/>
            </w:pPr>
            <w:r>
              <w:rPr>
                <w:rFonts w:ascii="宋体" w:hAnsi="宋体"/>
                <w:color w:val="000000"/>
                <w:kern w:val="0"/>
                <w:szCs w:val="21"/>
              </w:rPr>
              <w:t>-</w:t>
            </w:r>
          </w:p>
        </w:tc>
        <w:tc>
          <w:tcPr>
            <w:tcW w:w="1419" w:type="dxa"/>
            <w:vAlign w:val="center"/>
          </w:tcPr>
          <w:p>
            <w:pPr>
              <w:jc w:val="center"/>
            </w:pPr>
            <w:r>
              <w:rPr>
                <w:rFonts w:ascii="宋体" w:hAnsi="宋体"/>
                <w:color w:val="000000"/>
                <w:kern w:val="0"/>
                <w:szCs w:val="21"/>
              </w:rPr>
              <w:t>18,902,646.50</w:t>
            </w:r>
          </w:p>
        </w:tc>
        <w:tc>
          <w:tcPr>
            <w:tcW w:w="1130" w:type="dxa"/>
            <w:vAlign w:val="center"/>
          </w:tcPr>
          <w:p>
            <w:pPr>
              <w:jc w:val="center"/>
            </w:pPr>
            <w:r>
              <w:rPr>
                <w:rFonts w:ascii="宋体" w:hAnsi="宋体"/>
                <w:color w:val="000000"/>
                <w:kern w:val="0"/>
                <w:szCs w:val="21"/>
              </w:rPr>
              <w:t>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tc>
        <w:tc>
          <w:tcPr>
            <w:tcW w:w="992" w:type="dxa"/>
            <w:vAlign w:val="center"/>
          </w:tcPr>
          <w:p>
            <w:pPr>
              <w:jc w:val="center"/>
            </w:pPr>
            <w:r>
              <w:rPr>
                <w:rFonts w:ascii="宋体" w:hAnsi="宋体"/>
                <w:color w:val="000000"/>
                <w:kern w:val="0"/>
                <w:szCs w:val="21"/>
              </w:rPr>
              <w:t>2</w:t>
            </w:r>
          </w:p>
        </w:tc>
        <w:tc>
          <w:tcPr>
            <w:tcW w:w="1843" w:type="dxa"/>
            <w:vAlign w:val="center"/>
          </w:tcPr>
          <w:p>
            <w:pPr>
              <w:jc w:val="center"/>
            </w:pPr>
            <w:r>
              <w:rPr>
                <w:rFonts w:ascii="宋体" w:hAnsi="宋体"/>
                <w:color w:val="000000"/>
                <w:kern w:val="0"/>
                <w:szCs w:val="21"/>
              </w:rPr>
              <w:t>2020/1/1-2020/12/31</w:t>
            </w:r>
          </w:p>
        </w:tc>
        <w:tc>
          <w:tcPr>
            <w:tcW w:w="851" w:type="dxa"/>
            <w:vAlign w:val="center"/>
          </w:tcPr>
          <w:p>
            <w:pPr>
              <w:jc w:val="center"/>
            </w:pPr>
            <w:r>
              <w:rPr>
                <w:rFonts w:ascii="宋体" w:hAnsi="宋体"/>
                <w:color w:val="000000"/>
                <w:kern w:val="0"/>
                <w:szCs w:val="21"/>
              </w:rPr>
              <w:t>-</w:t>
            </w:r>
          </w:p>
        </w:tc>
        <w:tc>
          <w:tcPr>
            <w:tcW w:w="850" w:type="dxa"/>
            <w:vAlign w:val="center"/>
          </w:tcPr>
          <w:p>
            <w:pPr>
              <w:jc w:val="center"/>
            </w:pPr>
            <w:r>
              <w:rPr>
                <w:rFonts w:ascii="宋体" w:hAnsi="宋体"/>
                <w:color w:val="000000"/>
                <w:kern w:val="0"/>
                <w:szCs w:val="21"/>
              </w:rPr>
              <w:t>113,625,603.64</w:t>
            </w:r>
          </w:p>
        </w:tc>
        <w:tc>
          <w:tcPr>
            <w:tcW w:w="1134" w:type="dxa"/>
            <w:vAlign w:val="center"/>
          </w:tcPr>
          <w:p>
            <w:pPr>
              <w:jc w:val="center"/>
            </w:pPr>
            <w:r>
              <w:rPr>
                <w:rFonts w:ascii="宋体" w:hAnsi="宋体"/>
                <w:color w:val="000000"/>
                <w:kern w:val="0"/>
                <w:szCs w:val="21"/>
              </w:rPr>
              <w:t>-</w:t>
            </w:r>
          </w:p>
        </w:tc>
        <w:tc>
          <w:tcPr>
            <w:tcW w:w="1419" w:type="dxa"/>
            <w:vAlign w:val="center"/>
          </w:tcPr>
          <w:p>
            <w:pPr>
              <w:jc w:val="center"/>
            </w:pPr>
            <w:r>
              <w:rPr>
                <w:rFonts w:ascii="宋体" w:hAnsi="宋体"/>
                <w:color w:val="000000"/>
                <w:kern w:val="0"/>
                <w:szCs w:val="21"/>
              </w:rPr>
              <w:t>113,625,603.64</w:t>
            </w:r>
          </w:p>
        </w:tc>
        <w:tc>
          <w:tcPr>
            <w:tcW w:w="1130" w:type="dxa"/>
            <w:vAlign w:val="center"/>
          </w:tcPr>
          <w:p>
            <w:pPr>
              <w:jc w:val="center"/>
            </w:pPr>
            <w:r>
              <w:rPr>
                <w:rFonts w:ascii="宋体" w:hAnsi="宋体"/>
                <w:color w:val="000000"/>
                <w:kern w:val="0"/>
                <w:szCs w:val="21"/>
              </w:rPr>
              <w:t>40.99%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tc>
        <w:tc>
          <w:tcPr>
            <w:tcW w:w="992" w:type="dxa"/>
            <w:vAlign w:val="center"/>
          </w:tcPr>
          <w:p>
            <w:pPr>
              <w:jc w:val="center"/>
            </w:pPr>
            <w:r>
              <w:rPr>
                <w:rFonts w:ascii="宋体" w:hAnsi="宋体"/>
                <w:color w:val="000000"/>
                <w:kern w:val="0"/>
                <w:szCs w:val="21"/>
              </w:rPr>
              <w:t>3</w:t>
            </w:r>
          </w:p>
        </w:tc>
        <w:tc>
          <w:tcPr>
            <w:tcW w:w="1843" w:type="dxa"/>
            <w:vAlign w:val="center"/>
          </w:tcPr>
          <w:p>
            <w:pPr>
              <w:jc w:val="center"/>
            </w:pPr>
            <w:r>
              <w:rPr>
                <w:rFonts w:ascii="宋体" w:hAnsi="宋体"/>
                <w:color w:val="000000"/>
                <w:kern w:val="0"/>
                <w:szCs w:val="21"/>
              </w:rPr>
              <w:t>2020/1/1-2020/12/31</w:t>
            </w:r>
          </w:p>
        </w:tc>
        <w:tc>
          <w:tcPr>
            <w:tcW w:w="851" w:type="dxa"/>
            <w:vAlign w:val="center"/>
          </w:tcPr>
          <w:p>
            <w:pPr>
              <w:jc w:val="center"/>
            </w:pPr>
            <w:r>
              <w:rPr>
                <w:rFonts w:ascii="宋体" w:hAnsi="宋体"/>
                <w:color w:val="000000"/>
                <w:kern w:val="0"/>
                <w:szCs w:val="21"/>
              </w:rPr>
              <w:t>-</w:t>
            </w:r>
          </w:p>
        </w:tc>
        <w:tc>
          <w:tcPr>
            <w:tcW w:w="850" w:type="dxa"/>
            <w:vAlign w:val="center"/>
          </w:tcPr>
          <w:p>
            <w:pPr>
              <w:jc w:val="center"/>
            </w:pPr>
            <w:r>
              <w:rPr>
                <w:rFonts w:ascii="宋体" w:hAnsi="宋体"/>
                <w:color w:val="000000"/>
                <w:kern w:val="0"/>
                <w:szCs w:val="21"/>
              </w:rPr>
              <w:t>45,913,664.88</w:t>
            </w:r>
          </w:p>
        </w:tc>
        <w:tc>
          <w:tcPr>
            <w:tcW w:w="1134" w:type="dxa"/>
            <w:vAlign w:val="center"/>
          </w:tcPr>
          <w:p>
            <w:pPr>
              <w:jc w:val="center"/>
            </w:pPr>
            <w:r>
              <w:rPr>
                <w:rFonts w:ascii="宋体" w:hAnsi="宋体"/>
                <w:color w:val="000000"/>
                <w:kern w:val="0"/>
                <w:szCs w:val="21"/>
              </w:rPr>
              <w:t>-</w:t>
            </w:r>
          </w:p>
        </w:tc>
        <w:tc>
          <w:tcPr>
            <w:tcW w:w="1419" w:type="dxa"/>
            <w:vAlign w:val="center"/>
          </w:tcPr>
          <w:p>
            <w:pPr>
              <w:jc w:val="center"/>
            </w:pPr>
            <w:r>
              <w:rPr>
                <w:rFonts w:ascii="宋体" w:hAnsi="宋体"/>
                <w:color w:val="000000"/>
                <w:kern w:val="0"/>
                <w:szCs w:val="21"/>
              </w:rPr>
              <w:t>45,913,664.88</w:t>
            </w:r>
          </w:p>
        </w:tc>
        <w:tc>
          <w:tcPr>
            <w:tcW w:w="1130" w:type="dxa"/>
            <w:vAlign w:val="center"/>
          </w:tcPr>
          <w:p>
            <w:pPr>
              <w:jc w:val="center"/>
            </w:pPr>
            <w:r>
              <w:rPr>
                <w:rFonts w:ascii="宋体" w:hAnsi="宋体"/>
                <w:color w:val="000000"/>
                <w:kern w:val="0"/>
                <w:szCs w:val="21"/>
              </w:rPr>
              <w:t>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2" w:type="dxa"/>
            <w:gridSpan w:val="8"/>
            <w:vAlign w:val="center"/>
          </w:tcPr>
          <w:p>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2" w:type="dxa"/>
            <w:gridSpan w:val="8"/>
            <w:vAlign w:val="center"/>
          </w:tcPr>
          <w:p>
            <w:pPr>
              <w:autoSpaceDE w:val="0"/>
              <w:autoSpaceDN w:val="0"/>
              <w:adjustRightInd w:val="0"/>
              <w:jc w:val="left"/>
              <w:rPr>
                <w:rFonts w:ascii="宋体" w:hAnsi="宋体"/>
                <w:kern w:val="0"/>
                <w:szCs w:val="21"/>
              </w:rPr>
            </w:pPr>
            <w:r>
              <w:rPr>
                <w:rFonts w:hint="eastAsia" w:ascii="宋体" w:hAnsi="宋体"/>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pPr>
        <w:pStyle w:val="3"/>
        <w:spacing w:before="29" w:after="0" w:line="288" w:lineRule="auto"/>
        <w:rPr>
          <w:rFonts w:ascii="Times New Roman" w:hAnsi="Times New Roman"/>
          <w:kern w:val="0"/>
          <w:szCs w:val="24"/>
        </w:rPr>
      </w:pPr>
      <w:bookmarkStart w:id="283" w:name="_Toc67668031"/>
      <w:r>
        <w:rPr>
          <w:rFonts w:hint="eastAsia" w:ascii="Times New Roman" w:hAnsi="Times New Roman"/>
          <w:kern w:val="0"/>
          <w:szCs w:val="24"/>
        </w:rPr>
        <w:t>12.2 影响投资者决策的其他重要信息</w:t>
      </w:r>
      <w:bookmarkEnd w:id="283"/>
    </w:p>
    <w:p>
      <w:pPr>
        <w:spacing w:line="360" w:lineRule="auto"/>
        <w:ind w:firstLine="420" w:firstLineChars="200"/>
        <w:rPr>
          <w:rFonts w:ascii="宋体" w:hAnsi="宋体"/>
          <w:color w:val="000000"/>
          <w:szCs w:val="21"/>
        </w:rPr>
      </w:pPr>
      <w:r>
        <w:rPr>
          <w:rFonts w:ascii="宋体" w:hAnsi="宋体"/>
          <w:color w:val="000000"/>
          <w:szCs w:val="21"/>
        </w:rPr>
        <w:t>1、根据本基金基金合同的规定，本基金在基金合同生效之日起两年（含两年）的期间内封闭式运作，封闭期结束后转为开放式运作。封闭期在本基金的基金合同中如无特别指明即为自基金合同生效之日起至两个公历年后对应日止，若两年后对应日为非工作日的，相应顺延。本基金的封闭期自2018年5月23日开始至2020年5月25日止，自2020年5月26日起转为开放式运作。本基金在转为开放式运作后，自2020年5月26日开始办理日常申购、赎回、定期定额投资等业务，并适用基金合同中关于转为开放式运作后的有关规定。详情请查阅本基金管理人于2020年5月18日发布的《交银施罗德基金管理有限公司关于交银施罗德丰晟收益债券型证券投资基金封闭期结束转为开放式运作的提示性公告》以及2020年5月20日发布的《交银施罗德基金管理有限公司关于交银施罗德丰晟收益债券型证券投资基金封闭期结束转为开放式运作暨开放基金日常申购、赎回、定期定额投资业务的公告》。</w:t>
      </w:r>
    </w:p>
    <w:p>
      <w:pPr>
        <w:spacing w:line="360" w:lineRule="auto"/>
        <w:ind w:firstLine="420" w:firstLineChars="200"/>
        <w:rPr>
          <w:rFonts w:ascii="宋体" w:hAnsi="宋体"/>
          <w:color w:val="000000"/>
          <w:szCs w:val="21"/>
        </w:rPr>
      </w:pPr>
      <w:r>
        <w:rPr>
          <w:rFonts w:ascii="宋体" w:hAnsi="宋体"/>
          <w:color w:val="000000"/>
          <w:szCs w:val="21"/>
        </w:rPr>
        <w:t>2、为更好地满足广大投资者的投资需求，本基金管理人经与基金托管人招商银行股份有限公司协商一致，并报中国证券监督管理委员会备案，自2020年7月8日（含当日）起调整本基金的管理费率与托管费率，并对本基金的基金合同作相应修改。详情请查阅本基金管理人于2020年7月8日发布的《交银施罗德基金管理有限公司关于调整交银施罗德丰晟收益债券型证券投资基金管理费率与托管费率并修改基金合同的公告》。</w:t>
      </w:r>
    </w:p>
    <w:p>
      <w:pPr>
        <w:spacing w:before="29" w:line="288" w:lineRule="auto"/>
        <w:ind w:firstLine="480" w:firstLineChars="200"/>
        <w:rPr>
          <w:kern w:val="0"/>
          <w:sz w:val="24"/>
        </w:rPr>
      </w:pPr>
    </w:p>
    <w:p>
      <w:pPr>
        <w:pStyle w:val="2"/>
        <w:keepNext/>
        <w:keepLines/>
        <w:widowControl w:val="0"/>
        <w:spacing w:before="312" w:beforeLines="100" w:after="312" w:afterLines="100" w:line="288" w:lineRule="auto"/>
        <w:jc w:val="center"/>
        <w:rPr>
          <w:b/>
          <w:bCs/>
          <w:szCs w:val="24"/>
          <w:lang w:val="en-US"/>
        </w:rPr>
      </w:pPr>
      <w:bookmarkStart w:id="284" w:name="_Toc361324903"/>
      <w:bookmarkStart w:id="285" w:name="_Toc67668032"/>
      <w:bookmarkStart w:id="286" w:name="_Toc225500055"/>
      <w:r>
        <w:rPr>
          <w:rFonts w:hint="eastAsia"/>
          <w:b/>
          <w:bCs/>
          <w:szCs w:val="24"/>
          <w:lang w:val="en-US"/>
        </w:rPr>
        <w:t>§</w:t>
      </w:r>
      <w:r>
        <w:rPr>
          <w:b/>
          <w:bCs/>
          <w:szCs w:val="24"/>
          <w:lang w:val="en-US"/>
        </w:rPr>
        <w:t>13</w:t>
      </w:r>
      <w:r>
        <w:rPr>
          <w:rFonts w:hint="eastAsia"/>
          <w:b/>
          <w:bCs/>
          <w:szCs w:val="24"/>
          <w:lang w:val="en-US"/>
        </w:rPr>
        <w:t>备查文件目录</w:t>
      </w:r>
      <w:bookmarkEnd w:id="284"/>
      <w:bookmarkEnd w:id="285"/>
      <w:bookmarkEnd w:id="286"/>
    </w:p>
    <w:p/>
    <w:p>
      <w:pPr>
        <w:pStyle w:val="3"/>
        <w:spacing w:before="29" w:after="0" w:line="288" w:lineRule="auto"/>
        <w:rPr>
          <w:rFonts w:ascii="Times New Roman" w:hAnsi="Times New Roman"/>
          <w:kern w:val="0"/>
          <w:szCs w:val="24"/>
        </w:rPr>
      </w:pPr>
      <w:bookmarkStart w:id="287" w:name="_Toc67668033"/>
      <w:bookmarkStart w:id="288" w:name="_Toc361324904"/>
      <w:r>
        <w:rPr>
          <w:rFonts w:ascii="Times New Roman" w:hAnsi="Times New Roman"/>
          <w:kern w:val="0"/>
          <w:szCs w:val="24"/>
        </w:rPr>
        <w:t xml:space="preserve">13.1 </w:t>
      </w:r>
      <w:r>
        <w:rPr>
          <w:rFonts w:hint="eastAsia" w:ascii="Times New Roman" w:hAnsi="Times New Roman"/>
          <w:kern w:val="0"/>
          <w:szCs w:val="24"/>
        </w:rPr>
        <w:t>备查文件目录</w:t>
      </w:r>
      <w:bookmarkEnd w:id="287"/>
      <w:bookmarkEnd w:id="288"/>
    </w:p>
    <w:p>
      <w:pPr>
        <w:spacing w:before="29" w:line="288" w:lineRule="auto"/>
        <w:rPr>
          <w:kern w:val="0"/>
          <w:sz w:val="24"/>
        </w:rPr>
      </w:pPr>
      <w:r>
        <w:rPr>
          <w:kern w:val="0"/>
          <w:sz w:val="24"/>
        </w:rPr>
        <w:t xml:space="preserve">1、中国证监会准予交银施罗德丰晟收益债券型证券投资基金募集注册的文件； </w:t>
      </w:r>
    </w:p>
    <w:p>
      <w:pPr>
        <w:spacing w:before="29" w:line="288" w:lineRule="auto"/>
        <w:rPr>
          <w:kern w:val="0"/>
          <w:sz w:val="24"/>
        </w:rPr>
      </w:pPr>
      <w:r>
        <w:rPr>
          <w:kern w:val="0"/>
          <w:sz w:val="24"/>
        </w:rPr>
        <w:t xml:space="preserve">2、《交银施罗德丰晟收益债券型证券投资基金基金合同》； </w:t>
      </w:r>
    </w:p>
    <w:p>
      <w:pPr>
        <w:spacing w:before="29" w:line="288" w:lineRule="auto"/>
        <w:rPr>
          <w:kern w:val="0"/>
          <w:sz w:val="24"/>
        </w:rPr>
      </w:pPr>
      <w:r>
        <w:rPr>
          <w:kern w:val="0"/>
          <w:sz w:val="24"/>
        </w:rPr>
        <w:t xml:space="preserve">3、《交银施罗德丰晟收益债券型证券投资基金招募说明书》； </w:t>
      </w:r>
    </w:p>
    <w:p>
      <w:pPr>
        <w:spacing w:before="29" w:line="288" w:lineRule="auto"/>
        <w:rPr>
          <w:kern w:val="0"/>
          <w:sz w:val="24"/>
        </w:rPr>
      </w:pPr>
      <w:r>
        <w:rPr>
          <w:kern w:val="0"/>
          <w:sz w:val="24"/>
        </w:rPr>
        <w:t xml:space="preserve">4、《交银施罗德丰晟收益债券型证券投资基金托管协议》； </w:t>
      </w:r>
    </w:p>
    <w:p>
      <w:pPr>
        <w:spacing w:before="29" w:line="288" w:lineRule="auto"/>
        <w:rPr>
          <w:kern w:val="0"/>
          <w:sz w:val="24"/>
        </w:rPr>
      </w:pPr>
      <w:r>
        <w:rPr>
          <w:kern w:val="0"/>
          <w:sz w:val="24"/>
        </w:rPr>
        <w:t xml:space="preserve">5、关于申请募集注册交银施罗德丰晟收益债券型证券投资基金的法律意见书； </w:t>
      </w:r>
    </w:p>
    <w:p>
      <w:pPr>
        <w:spacing w:before="29" w:line="288" w:lineRule="auto"/>
        <w:rPr>
          <w:kern w:val="0"/>
          <w:sz w:val="24"/>
        </w:rPr>
      </w:pPr>
      <w:r>
        <w:rPr>
          <w:kern w:val="0"/>
          <w:sz w:val="24"/>
        </w:rPr>
        <w:t xml:space="preserve">6、基金管理人业务资格批件、营业执照； </w:t>
      </w:r>
    </w:p>
    <w:p>
      <w:pPr>
        <w:spacing w:before="29" w:line="288" w:lineRule="auto"/>
        <w:rPr>
          <w:kern w:val="0"/>
          <w:sz w:val="24"/>
        </w:rPr>
      </w:pPr>
      <w:r>
        <w:rPr>
          <w:kern w:val="0"/>
          <w:sz w:val="24"/>
        </w:rPr>
        <w:t xml:space="preserve">7、基金托管人业务资格批件、营业执照； </w:t>
      </w:r>
    </w:p>
    <w:p>
      <w:pPr>
        <w:spacing w:before="29" w:line="288" w:lineRule="auto"/>
        <w:rPr>
          <w:kern w:val="0"/>
          <w:sz w:val="24"/>
        </w:rPr>
      </w:pPr>
      <w:r>
        <w:rPr>
          <w:kern w:val="0"/>
          <w:sz w:val="24"/>
        </w:rPr>
        <w:t>8、报告期内交银施罗德丰晟收益债券型证券投资基金在指定报刊上各项公告的原稿。</w:t>
      </w:r>
    </w:p>
    <w:p>
      <w:pPr>
        <w:spacing w:line="360" w:lineRule="auto"/>
        <w:ind w:firstLine="315" w:firstLineChars="15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289" w:name="_Toc361324905"/>
      <w:bookmarkStart w:id="290" w:name="_Toc67668034"/>
      <w:r>
        <w:rPr>
          <w:rFonts w:ascii="Times New Roman" w:hAnsi="Times New Roman"/>
          <w:kern w:val="0"/>
          <w:szCs w:val="24"/>
        </w:rPr>
        <w:t>13.2</w:t>
      </w:r>
      <w:r>
        <w:rPr>
          <w:rFonts w:hint="eastAsia" w:ascii="Times New Roman" w:hAnsi="Times New Roman"/>
          <w:kern w:val="0"/>
          <w:szCs w:val="24"/>
        </w:rPr>
        <w:t>存放地点</w:t>
      </w:r>
      <w:bookmarkEnd w:id="289"/>
      <w:bookmarkEnd w:id="290"/>
    </w:p>
    <w:p>
      <w:pPr>
        <w:spacing w:before="29" w:line="288" w:lineRule="auto"/>
        <w:ind w:firstLine="480" w:firstLineChars="200"/>
        <w:rPr>
          <w:kern w:val="0"/>
          <w:sz w:val="24"/>
        </w:rPr>
      </w:pPr>
      <w:r>
        <w:rPr>
          <w:kern w:val="0"/>
          <w:sz w:val="24"/>
        </w:rPr>
        <w:t>备查文件存放于基金管理人的办公场所。</w:t>
      </w:r>
    </w:p>
    <w:p>
      <w:pPr>
        <w:spacing w:line="360" w:lineRule="auto"/>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291" w:name="_Toc67668035"/>
      <w:bookmarkStart w:id="292" w:name="_Toc361324906"/>
      <w:r>
        <w:rPr>
          <w:rFonts w:ascii="Times New Roman" w:hAnsi="Times New Roman"/>
          <w:kern w:val="0"/>
          <w:szCs w:val="24"/>
        </w:rPr>
        <w:t>13.3</w:t>
      </w:r>
      <w:r>
        <w:rPr>
          <w:rFonts w:hint="eastAsia" w:ascii="Times New Roman" w:hAnsi="Times New Roman"/>
          <w:kern w:val="0"/>
          <w:szCs w:val="24"/>
        </w:rPr>
        <w:t>查阅方式</w:t>
      </w:r>
      <w:bookmarkEnd w:id="291"/>
      <w:bookmarkEnd w:id="292"/>
    </w:p>
    <w:p>
      <w:pPr>
        <w:spacing w:before="29" w:line="288" w:lineRule="auto"/>
        <w:ind w:firstLine="480" w:firstLineChars="200"/>
        <w:rPr>
          <w:kern w:val="0"/>
          <w:sz w:val="24"/>
        </w:rPr>
      </w:pPr>
      <w:r>
        <w:rPr>
          <w:kern w:val="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pPr>
        <w:spacing w:before="29" w:line="288" w:lineRule="auto"/>
        <w:ind w:firstLine="480" w:firstLineChars="200"/>
        <w:rPr>
          <w:kern w:val="0"/>
          <w:sz w:val="24"/>
        </w:rPr>
      </w:pPr>
      <w:r>
        <w:rPr>
          <w:kern w:val="0"/>
          <w:sz w:val="24"/>
        </w:rPr>
        <w:t>投资者对本报告书如有疑问，可咨询本基金管理人交银施罗德基金管理有限公司。本公司客户服务中心电话：400-700-5000（免长途话费），021-61055000，电子邮件：services@jysld.com。</w:t>
      </w: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before="29" w:line="288" w:lineRule="auto"/>
        <w:ind w:firstLine="482" w:firstLineChars="200"/>
        <w:jc w:val="right"/>
        <w:rPr>
          <w:b/>
          <w:kern w:val="0"/>
          <w:sz w:val="24"/>
        </w:rPr>
      </w:pPr>
      <w:r>
        <w:rPr>
          <w:b/>
          <w:kern w:val="0"/>
          <w:sz w:val="24"/>
        </w:rPr>
        <w:t>交银施罗德基金管理有限公司</w:t>
      </w:r>
    </w:p>
    <w:p>
      <w:pPr>
        <w:spacing w:before="29" w:line="288" w:lineRule="auto"/>
        <w:ind w:firstLine="482" w:firstLineChars="200"/>
        <w:jc w:val="right"/>
        <w:rPr>
          <w:b/>
          <w:kern w:val="0"/>
          <w:sz w:val="24"/>
        </w:rPr>
      </w:pPr>
      <w:r>
        <w:rPr>
          <w:b/>
          <w:kern w:val="0"/>
          <w:sz w:val="24"/>
        </w:rPr>
        <w:t>二〇二一年三月三十日</w:t>
      </w:r>
    </w:p>
    <w:p>
      <w:pPr>
        <w:spacing w:line="360" w:lineRule="auto"/>
        <w:rPr>
          <w:rFonts w:asciiTheme="minorEastAsia" w:hAnsiTheme="minorEastAsia" w:eastAsiaTheme="minorEastAsia"/>
          <w:szCs w:val="21"/>
        </w:rPr>
      </w:pPr>
    </w:p>
    <w:sectPr>
      <w:footerReference r:id="rId9" w:type="default"/>
      <w:footerReference r:id="rId10" w:type="even"/>
      <w:pgSz w:w="11906" w:h="16838"/>
      <w:pgMar w:top="1418"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27</w:t>
    </w:r>
    <w:r>
      <w:rPr>
        <w:kern w:val="0"/>
        <w:szCs w:val="21"/>
      </w:rPr>
      <w:fldChar w:fldCharType="end"/>
    </w:r>
    <w:r>
      <w:rPr>
        <w:rFonts w:hint="eastAsia"/>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5"/>
      </w:rPr>
    </w:pPr>
    <w:r>
      <w:rPr>
        <w:rStyle w:val="35"/>
      </w:rPr>
      <w:fldChar w:fldCharType="begin"/>
    </w:r>
    <w:r>
      <w:rPr>
        <w:rStyle w:val="35"/>
      </w:rPr>
      <w:instrText xml:space="preserve">PAGE  </w:instrText>
    </w:r>
    <w:r>
      <w:rPr>
        <w:rStyle w:val="35"/>
      </w:rP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288" w:lineRule="auto"/>
      <w:jc w:val="right"/>
      <w:rPr>
        <w:rFonts w:eastAsiaTheme="minorEastAsia"/>
        <w:sz w:val="24"/>
      </w:rPr>
    </w:pPr>
    <w:r>
      <w:rPr>
        <w:rFonts w:eastAsiaTheme="minorEastAsia"/>
        <w:sz w:val="24"/>
      </w:rPr>
      <w:t>交银施罗德丰晟收益债券型证券投资基金2020年年度报告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printPostScriptOverText/>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41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739"/>
    <w:rsid w:val="00624E8F"/>
    <w:rsid w:val="00625AE8"/>
    <w:rsid w:val="0062629B"/>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3A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062E"/>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333"/>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17DF9"/>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11A7"/>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1FA"/>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 w:val="03B21729"/>
    <w:rsid w:val="09E94F67"/>
    <w:rsid w:val="2683781A"/>
    <w:rsid w:val="34B64D2A"/>
    <w:rsid w:val="430E0EA3"/>
    <w:rsid w:val="496B7D3D"/>
    <w:rsid w:val="5A6A688B"/>
    <w:rsid w:val="5B474BD0"/>
    <w:rsid w:val="64185599"/>
    <w:rsid w:val="68D674E8"/>
    <w:rsid w:val="6BE54A86"/>
    <w:rsid w:val="6D4225B0"/>
    <w:rsid w:val="7EC76DB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9"/>
    <w:pPr>
      <w:widowControl/>
      <w:jc w:val="left"/>
      <w:outlineLvl w:val="0"/>
    </w:pPr>
    <w:rPr>
      <w:kern w:val="0"/>
      <w:sz w:val="24"/>
      <w:szCs w:val="20"/>
      <w:lang w:val="en-GB"/>
    </w:rPr>
  </w:style>
  <w:style w:type="paragraph" w:styleId="3">
    <w:name w:val="heading 2"/>
    <w:basedOn w:val="1"/>
    <w:next w:val="4"/>
    <w:link w:val="41"/>
    <w:qFormat/>
    <w:uiPriority w:val="99"/>
    <w:pPr>
      <w:keepNext/>
      <w:keepLines/>
      <w:spacing w:before="260" w:after="260" w:line="360" w:lineRule="auto"/>
      <w:outlineLvl w:val="1"/>
    </w:pPr>
    <w:rPr>
      <w:rFonts w:ascii="Arial" w:hAnsi="Arial"/>
      <w:b/>
      <w:bCs/>
      <w:sz w:val="24"/>
      <w:szCs w:val="28"/>
    </w:rPr>
  </w:style>
  <w:style w:type="paragraph" w:styleId="5">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Document Map"/>
    <w:basedOn w:val="1"/>
    <w:link w:val="72"/>
    <w:semiHidden/>
    <w:qFormat/>
    <w:uiPriority w:val="99"/>
    <w:pPr>
      <w:shd w:val="clear" w:color="auto" w:fill="000080"/>
    </w:pPr>
  </w:style>
  <w:style w:type="paragraph" w:styleId="8">
    <w:name w:val="annotation text"/>
    <w:basedOn w:val="1"/>
    <w:link w:val="69"/>
    <w:semiHidden/>
    <w:qFormat/>
    <w:uiPriority w:val="99"/>
    <w:pPr>
      <w:jc w:val="left"/>
    </w:pPr>
  </w:style>
  <w:style w:type="paragraph" w:styleId="9">
    <w:name w:val="Body Text"/>
    <w:basedOn w:val="1"/>
    <w:link w:val="50"/>
    <w:qFormat/>
    <w:uiPriority w:val="99"/>
    <w:pPr>
      <w:spacing w:after="120"/>
    </w:pPr>
  </w:style>
  <w:style w:type="paragraph" w:styleId="10">
    <w:name w:val="Body Text Indent"/>
    <w:basedOn w:val="1"/>
    <w:link w:val="44"/>
    <w:qFormat/>
    <w:uiPriority w:val="99"/>
    <w:pPr>
      <w:widowControl/>
      <w:spacing w:before="100" w:beforeAutospacing="1" w:after="100" w:afterAutospacing="1"/>
      <w:jc w:val="left"/>
    </w:pPr>
    <w:rPr>
      <w:rFonts w:ascii="Arial Unicode MS" w:hAnsi="Arial Unicode MS" w:cs="Arial Unicode MS"/>
      <w:kern w:val="0"/>
      <w:sz w:val="24"/>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qFormat/>
    <w:uiPriority w:val="39"/>
    <w:pPr>
      <w:ind w:left="840" w:leftChars="400"/>
    </w:pPr>
  </w:style>
  <w:style w:type="paragraph" w:styleId="13">
    <w:name w:val="Plain Text"/>
    <w:basedOn w:val="1"/>
    <w:link w:val="45"/>
    <w:qFormat/>
    <w:uiPriority w:val="0"/>
    <w:rPr>
      <w:rFonts w:ascii="宋体" w:hAnsi="Courier New"/>
      <w:szCs w:val="21"/>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51"/>
    <w:qFormat/>
    <w:uiPriority w:val="99"/>
    <w:rPr>
      <w:sz w:val="24"/>
      <w:szCs w:val="20"/>
    </w:rPr>
  </w:style>
  <w:style w:type="paragraph" w:styleId="16">
    <w:name w:val="Body Text Indent 2"/>
    <w:basedOn w:val="1"/>
    <w:link w:val="46"/>
    <w:uiPriority w:val="0"/>
    <w:pPr>
      <w:spacing w:line="560" w:lineRule="exact"/>
      <w:ind w:firstLine="480" w:firstLineChars="200"/>
    </w:pPr>
    <w:rPr>
      <w:rFonts w:ascii="宋体" w:hAnsi="宋体"/>
      <w:color w:val="FF0000"/>
      <w:sz w:val="24"/>
    </w:rPr>
  </w:style>
  <w:style w:type="paragraph" w:styleId="17">
    <w:name w:val="Balloon Text"/>
    <w:basedOn w:val="1"/>
    <w:link w:val="43"/>
    <w:semiHidden/>
    <w:qFormat/>
    <w:uiPriority w:val="99"/>
    <w:rPr>
      <w:sz w:val="18"/>
      <w:szCs w:val="18"/>
    </w:rPr>
  </w:style>
  <w:style w:type="paragraph" w:styleId="18">
    <w:name w:val="footer"/>
    <w:basedOn w:val="1"/>
    <w:link w:val="47"/>
    <w:qFormat/>
    <w:uiPriority w:val="99"/>
    <w:pPr>
      <w:tabs>
        <w:tab w:val="center" w:pos="4153"/>
        <w:tab w:val="right" w:pos="8306"/>
      </w:tabs>
      <w:snapToGrid w:val="0"/>
      <w:jc w:val="left"/>
    </w:pPr>
    <w:rPr>
      <w:sz w:val="18"/>
      <w:szCs w:val="18"/>
    </w:rPr>
  </w:style>
  <w:style w:type="paragraph" w:styleId="19">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072"/>
      </w:tabs>
    </w:pPr>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List"/>
    <w:basedOn w:val="9"/>
    <w:qFormat/>
    <w:uiPriority w:val="99"/>
    <w:pPr>
      <w:spacing w:after="220" w:line="220" w:lineRule="atLeast"/>
      <w:ind w:left="1440" w:hanging="360"/>
    </w:pPr>
    <w:rPr>
      <w:szCs w:val="20"/>
    </w:rPr>
  </w:style>
  <w:style w:type="paragraph" w:styleId="23">
    <w:name w:val="footnote text"/>
    <w:basedOn w:val="1"/>
    <w:link w:val="74"/>
    <w:semiHidden/>
    <w:qFormat/>
    <w:uiPriority w:val="99"/>
    <w:pPr>
      <w:snapToGrid w:val="0"/>
      <w:jc w:val="left"/>
    </w:pPr>
    <w:rPr>
      <w:sz w:val="18"/>
      <w:szCs w:val="18"/>
    </w:rPr>
  </w:style>
  <w:style w:type="paragraph" w:styleId="2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5">
    <w:name w:val="Body Text Indent 3"/>
    <w:basedOn w:val="1"/>
    <w:link w:val="48"/>
    <w:qFormat/>
    <w:uiPriority w:val="99"/>
    <w:pPr>
      <w:spacing w:line="560" w:lineRule="exact"/>
      <w:ind w:firstLine="420" w:firstLineChars="200"/>
    </w:pPr>
    <w:rPr>
      <w:rFonts w:ascii="Arial" w:hAnsi="Arial" w:cs="Arial"/>
      <w:color w:val="FF0000"/>
    </w:rPr>
  </w:style>
  <w:style w:type="paragraph" w:styleId="26">
    <w:name w:val="toc 2"/>
    <w:basedOn w:val="1"/>
    <w:next w:val="1"/>
    <w:qFormat/>
    <w:uiPriority w:val="39"/>
    <w:pPr>
      <w:tabs>
        <w:tab w:val="left" w:pos="1260"/>
        <w:tab w:val="right" w:leader="dot" w:pos="9072"/>
      </w:tabs>
      <w:ind w:left="200" w:leftChars="200"/>
    </w:pPr>
    <w:rPr>
      <w:kern w:val="0"/>
      <w:szCs w:val="21"/>
    </w:rPr>
  </w:style>
  <w:style w:type="paragraph" w:styleId="2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8">
    <w:name w:val="Normal (Web)"/>
    <w:basedOn w:val="1"/>
    <w:qFormat/>
    <w:uiPriority w:val="99"/>
    <w:pPr>
      <w:widowControl/>
      <w:spacing w:before="100" w:beforeAutospacing="1" w:after="100" w:afterAutospacing="1"/>
      <w:jc w:val="left"/>
    </w:pPr>
    <w:rPr>
      <w:rFonts w:ascii="宋体" w:hAnsi="宋体"/>
      <w:kern w:val="0"/>
      <w:sz w:val="24"/>
    </w:rPr>
  </w:style>
  <w:style w:type="paragraph" w:styleId="29">
    <w:name w:val="index 1"/>
    <w:basedOn w:val="1"/>
    <w:next w:val="1"/>
    <w:semiHidden/>
    <w:qFormat/>
    <w:uiPriority w:val="99"/>
    <w:pPr>
      <w:jc w:val="right"/>
    </w:pPr>
    <w:rPr>
      <w:color w:val="008000"/>
    </w:rPr>
  </w:style>
  <w:style w:type="paragraph" w:styleId="30">
    <w:name w:val="annotation subject"/>
    <w:basedOn w:val="8"/>
    <w:next w:val="8"/>
    <w:link w:val="70"/>
    <w:semiHidden/>
    <w:qFormat/>
    <w:uiPriority w:val="99"/>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locked/>
    <w:uiPriority w:val="22"/>
    <w:rPr>
      <w:b/>
      <w:bCs/>
    </w:rPr>
  </w:style>
  <w:style w:type="character" w:styleId="35">
    <w:name w:val="page number"/>
    <w:qFormat/>
    <w:uiPriority w:val="99"/>
    <w:rPr>
      <w:rFonts w:cs="Times New Roman"/>
    </w:rPr>
  </w:style>
  <w:style w:type="character" w:styleId="36">
    <w:name w:val="FollowedHyperlink"/>
    <w:qFormat/>
    <w:uiPriority w:val="99"/>
    <w:rPr>
      <w:rFonts w:cs="Times New Roman"/>
      <w:color w:val="800080"/>
      <w:u w:val="single"/>
    </w:rPr>
  </w:style>
  <w:style w:type="character" w:styleId="37">
    <w:name w:val="Hyperlink"/>
    <w:qFormat/>
    <w:uiPriority w:val="99"/>
    <w:rPr>
      <w:rFonts w:cs="Times New Roman"/>
      <w:color w:val="0000FF"/>
      <w:u w:val="single"/>
    </w:rPr>
  </w:style>
  <w:style w:type="character" w:styleId="38">
    <w:name w:val="annotation reference"/>
    <w:semiHidden/>
    <w:qFormat/>
    <w:uiPriority w:val="99"/>
    <w:rPr>
      <w:rFonts w:cs="Times New Roman"/>
      <w:sz w:val="21"/>
    </w:rPr>
  </w:style>
  <w:style w:type="character" w:styleId="39">
    <w:name w:val="footnote reference"/>
    <w:semiHidden/>
    <w:qFormat/>
    <w:uiPriority w:val="99"/>
    <w:rPr>
      <w:rFonts w:cs="Times New Roman"/>
      <w:vertAlign w:val="superscript"/>
    </w:rPr>
  </w:style>
  <w:style w:type="character" w:customStyle="1" w:styleId="40">
    <w:name w:val="标题 1 Char"/>
    <w:link w:val="2"/>
    <w:qFormat/>
    <w:locked/>
    <w:uiPriority w:val="99"/>
    <w:rPr>
      <w:rFonts w:cs="Times New Roman"/>
      <w:sz w:val="24"/>
      <w:lang w:val="en-GB"/>
    </w:rPr>
  </w:style>
  <w:style w:type="character" w:customStyle="1" w:styleId="41">
    <w:name w:val="标题 2 Char"/>
    <w:link w:val="3"/>
    <w:qFormat/>
    <w:locked/>
    <w:uiPriority w:val="99"/>
    <w:rPr>
      <w:rFonts w:ascii="Arial" w:hAnsi="Arial"/>
      <w:b/>
      <w:kern w:val="2"/>
      <w:sz w:val="28"/>
    </w:rPr>
  </w:style>
  <w:style w:type="character" w:customStyle="1" w:styleId="42">
    <w:name w:val="标题 3 Char"/>
    <w:link w:val="5"/>
    <w:qFormat/>
    <w:locked/>
    <w:uiPriority w:val="99"/>
    <w:rPr>
      <w:rFonts w:cs="Times New Roman"/>
      <w:b/>
      <w:bCs/>
      <w:kern w:val="2"/>
      <w:sz w:val="32"/>
      <w:szCs w:val="32"/>
    </w:rPr>
  </w:style>
  <w:style w:type="character" w:customStyle="1" w:styleId="43">
    <w:name w:val="批注框文本 Char"/>
    <w:link w:val="17"/>
    <w:semiHidden/>
    <w:qFormat/>
    <w:locked/>
    <w:uiPriority w:val="99"/>
    <w:rPr>
      <w:rFonts w:cs="Times New Roman"/>
      <w:kern w:val="2"/>
      <w:sz w:val="18"/>
      <w:szCs w:val="18"/>
    </w:rPr>
  </w:style>
  <w:style w:type="character" w:customStyle="1" w:styleId="44">
    <w:name w:val="正文文本缩进 Char"/>
    <w:link w:val="10"/>
    <w:qFormat/>
    <w:locked/>
    <w:uiPriority w:val="99"/>
    <w:rPr>
      <w:rFonts w:ascii="Arial Unicode MS" w:hAnsi="Arial Unicode MS" w:eastAsia="Times New Roman" w:cs="Arial Unicode MS"/>
      <w:sz w:val="24"/>
      <w:szCs w:val="24"/>
    </w:rPr>
  </w:style>
  <w:style w:type="character" w:customStyle="1" w:styleId="45">
    <w:name w:val="纯文本 Char"/>
    <w:link w:val="13"/>
    <w:qFormat/>
    <w:locked/>
    <w:uiPriority w:val="0"/>
    <w:rPr>
      <w:rFonts w:ascii="宋体" w:hAnsi="Courier New"/>
      <w:kern w:val="2"/>
      <w:sz w:val="21"/>
    </w:rPr>
  </w:style>
  <w:style w:type="character" w:customStyle="1" w:styleId="46">
    <w:name w:val="正文文本缩进 2 Char"/>
    <w:link w:val="16"/>
    <w:qFormat/>
    <w:locked/>
    <w:uiPriority w:val="0"/>
    <w:rPr>
      <w:rFonts w:ascii="宋体" w:eastAsia="宋体" w:cs="Times New Roman"/>
      <w:color w:val="FF0000"/>
      <w:kern w:val="2"/>
      <w:sz w:val="24"/>
      <w:szCs w:val="24"/>
    </w:rPr>
  </w:style>
  <w:style w:type="character" w:customStyle="1" w:styleId="47">
    <w:name w:val="页脚 Char"/>
    <w:link w:val="18"/>
    <w:qFormat/>
    <w:locked/>
    <w:uiPriority w:val="99"/>
    <w:rPr>
      <w:rFonts w:cs="Times New Roman"/>
      <w:kern w:val="2"/>
      <w:sz w:val="18"/>
      <w:szCs w:val="18"/>
    </w:rPr>
  </w:style>
  <w:style w:type="character" w:customStyle="1" w:styleId="48">
    <w:name w:val="正文文本缩进 3 Char"/>
    <w:link w:val="25"/>
    <w:qFormat/>
    <w:locked/>
    <w:uiPriority w:val="99"/>
    <w:rPr>
      <w:rFonts w:ascii="Arial" w:hAnsi="Arial" w:cs="Arial"/>
      <w:color w:val="FF0000"/>
      <w:kern w:val="2"/>
      <w:sz w:val="24"/>
      <w:szCs w:val="24"/>
    </w:rPr>
  </w:style>
  <w:style w:type="character" w:customStyle="1" w:styleId="49">
    <w:name w:val="页眉 Char"/>
    <w:link w:val="19"/>
    <w:qFormat/>
    <w:locked/>
    <w:uiPriority w:val="99"/>
    <w:rPr>
      <w:rFonts w:cs="Times New Roman"/>
      <w:kern w:val="2"/>
      <w:sz w:val="18"/>
      <w:szCs w:val="18"/>
    </w:rPr>
  </w:style>
  <w:style w:type="character" w:customStyle="1" w:styleId="50">
    <w:name w:val="正文文本 Char"/>
    <w:link w:val="9"/>
    <w:qFormat/>
    <w:locked/>
    <w:uiPriority w:val="99"/>
    <w:rPr>
      <w:rFonts w:cs="Times New Roman"/>
      <w:kern w:val="2"/>
      <w:sz w:val="24"/>
      <w:szCs w:val="24"/>
    </w:rPr>
  </w:style>
  <w:style w:type="character" w:customStyle="1" w:styleId="51">
    <w:name w:val="日期 Char"/>
    <w:link w:val="15"/>
    <w:qFormat/>
    <w:locked/>
    <w:uiPriority w:val="99"/>
    <w:rPr>
      <w:rFonts w:cs="Times New Roman"/>
      <w:kern w:val="2"/>
      <w:sz w:val="24"/>
    </w:rPr>
  </w:style>
  <w:style w:type="character" w:customStyle="1" w:styleId="52">
    <w:name w:val="c1"/>
    <w:qFormat/>
    <w:uiPriority w:val="99"/>
    <w:rPr>
      <w:color w:val="000000"/>
      <w:spacing w:val="300"/>
      <w:sz w:val="18"/>
    </w:rPr>
  </w:style>
  <w:style w:type="paragraph" w:customStyle="1" w:styleId="53">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54">
    <w:name w:val="xl24"/>
    <w:basedOn w:val="1"/>
    <w:qFormat/>
    <w:uiPriority w:val="99"/>
    <w:pPr>
      <w:widowControl/>
      <w:pBdr>
        <w:top w:val="double" w:color="000000" w:sz="6"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55">
    <w:name w:val="xl2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left"/>
    </w:pPr>
    <w:rPr>
      <w:rFonts w:ascii="Arial Unicode MS" w:hAnsi="Arial Unicode MS" w:cs="Arial Unicode MS"/>
      <w:b/>
      <w:bCs/>
      <w:color w:val="000000"/>
      <w:kern w:val="0"/>
      <w:sz w:val="24"/>
    </w:rPr>
  </w:style>
  <w:style w:type="paragraph" w:customStyle="1" w:styleId="56">
    <w:name w:val="xl2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7">
    <w:name w:val="xl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58">
    <w:name w:val="xl2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9">
    <w:name w:val="xl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60">
    <w:name w:val="xl3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61">
    <w:name w:val="xl31"/>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2">
    <w:name w:val="xl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3">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64">
    <w:name w:val="xl34"/>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5">
    <w:name w:val="xl3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66">
    <w:name w:val="xl3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67">
    <w:name w:val="xl3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68">
    <w:name w:val="xl3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69">
    <w:name w:val="批注文字 Char"/>
    <w:link w:val="8"/>
    <w:semiHidden/>
    <w:qFormat/>
    <w:locked/>
    <w:uiPriority w:val="99"/>
    <w:rPr>
      <w:rFonts w:cs="Times New Roman"/>
      <w:kern w:val="2"/>
      <w:sz w:val="24"/>
      <w:szCs w:val="24"/>
    </w:rPr>
  </w:style>
  <w:style w:type="character" w:customStyle="1" w:styleId="70">
    <w:name w:val="批注主题 Char"/>
    <w:link w:val="30"/>
    <w:semiHidden/>
    <w:qFormat/>
    <w:locked/>
    <w:uiPriority w:val="99"/>
    <w:rPr>
      <w:rFonts w:cs="Times New Roman"/>
      <w:b/>
      <w:bCs/>
      <w:kern w:val="2"/>
      <w:sz w:val="24"/>
      <w:szCs w:val="24"/>
    </w:rPr>
  </w:style>
  <w:style w:type="paragraph" w:customStyle="1" w:styleId="71">
    <w:name w:val="Char"/>
    <w:basedOn w:val="1"/>
    <w:qFormat/>
    <w:uiPriority w:val="99"/>
  </w:style>
  <w:style w:type="character" w:customStyle="1" w:styleId="72">
    <w:name w:val="文档结构图 Char"/>
    <w:link w:val="7"/>
    <w:semiHidden/>
    <w:qFormat/>
    <w:locked/>
    <w:uiPriority w:val="99"/>
    <w:rPr>
      <w:rFonts w:cs="Times New Roman"/>
      <w:kern w:val="2"/>
      <w:sz w:val="24"/>
      <w:szCs w:val="24"/>
      <w:shd w:val="clear" w:color="auto" w:fill="000080"/>
    </w:rPr>
  </w:style>
  <w:style w:type="paragraph" w:customStyle="1" w:styleId="73">
    <w:name w:val="正文 + (符号) 宋体"/>
    <w:basedOn w:val="1"/>
    <w:qFormat/>
    <w:uiPriority w:val="99"/>
    <w:pPr>
      <w:autoSpaceDE w:val="0"/>
      <w:autoSpaceDN w:val="0"/>
      <w:adjustRightInd w:val="0"/>
      <w:ind w:right="1409" w:rightChars="671" w:firstLine="1229" w:firstLineChars="512"/>
      <w:jc w:val="distribute"/>
    </w:pPr>
    <w:rPr>
      <w:sz w:val="24"/>
    </w:rPr>
  </w:style>
  <w:style w:type="character" w:customStyle="1" w:styleId="74">
    <w:name w:val="脚注文本 Char"/>
    <w:link w:val="23"/>
    <w:semiHidden/>
    <w:qFormat/>
    <w:locked/>
    <w:uiPriority w:val="99"/>
    <w:rPr>
      <w:rFonts w:cs="Times New Roman"/>
      <w:kern w:val="2"/>
      <w:sz w:val="18"/>
      <w:szCs w:val="18"/>
    </w:rPr>
  </w:style>
  <w:style w:type="paragraph" w:customStyle="1" w:styleId="75">
    <w:name w:val="Char1"/>
    <w:basedOn w:val="1"/>
    <w:qFormat/>
    <w:uiPriority w:val="99"/>
  </w:style>
  <w:style w:type="paragraph" w:customStyle="1" w:styleId="76">
    <w:name w:val="Char Char Char Char Char Char1 Char Char Char"/>
    <w:basedOn w:val="1"/>
    <w:qFormat/>
    <w:uiPriority w:val="99"/>
    <w:pPr>
      <w:autoSpaceDE w:val="0"/>
      <w:autoSpaceDN w:val="0"/>
      <w:adjustRightInd w:val="0"/>
      <w:jc w:val="left"/>
      <w:textAlignment w:val="baseline"/>
    </w:pPr>
    <w:rPr>
      <w:rFonts w:ascii="宋体"/>
      <w:kern w:val="0"/>
      <w:sz w:val="34"/>
      <w:szCs w:val="20"/>
    </w:rPr>
  </w:style>
  <w:style w:type="paragraph" w:customStyle="1" w:styleId="77">
    <w:name w:val="Char Char Char Char"/>
    <w:basedOn w:val="1"/>
    <w:qFormat/>
    <w:uiPriority w:val="99"/>
    <w:pPr>
      <w:tabs>
        <w:tab w:val="left" w:pos="840"/>
      </w:tabs>
      <w:adjustRightInd w:val="0"/>
      <w:spacing w:line="360" w:lineRule="atLeast"/>
      <w:ind w:left="840" w:hanging="360"/>
      <w:textAlignment w:val="baseline"/>
    </w:pPr>
    <w:rPr>
      <w:sz w:val="24"/>
    </w:rPr>
  </w:style>
  <w:style w:type="paragraph" w:customStyle="1" w:styleId="78">
    <w:name w:val="Char Char Char Char Char Char1 Char Char Char1"/>
    <w:basedOn w:val="1"/>
    <w:qFormat/>
    <w:uiPriority w:val="99"/>
    <w:pPr>
      <w:autoSpaceDE w:val="0"/>
      <w:autoSpaceDN w:val="0"/>
      <w:adjustRightInd w:val="0"/>
      <w:jc w:val="left"/>
      <w:textAlignment w:val="baseline"/>
    </w:pPr>
    <w:rPr>
      <w:rFonts w:ascii="宋体"/>
      <w:kern w:val="0"/>
      <w:sz w:val="34"/>
      <w:szCs w:val="20"/>
    </w:rPr>
  </w:style>
  <w:style w:type="paragraph" w:customStyle="1" w:styleId="79">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445D28-0636-42E6-BA8B-BCFD37DB9301}">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7469</Words>
  <Characters>42576</Characters>
  <Lines>354</Lines>
  <Paragraphs>99</Paragraphs>
  <TotalTime>0</TotalTime>
  <ScaleCrop>false</ScaleCrop>
  <LinksUpToDate>false</LinksUpToDate>
  <CharactersWithSpaces>49946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2013-08-19T02:39:00Z</dcterms:created>
  <dc:creator>bonnieliu</dc:creator>
  <cp:lastModifiedBy>qianchao</cp:lastModifiedBy>
  <cp:lastPrinted>2007-07-19T00:46:00Z</cp:lastPrinted>
  <dcterms:modified xsi:type="dcterms:W3CDTF">2021-03-31T04:13:25Z</dcterms:modified>
  <cp:revision>1351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